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08BCAEE1"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0A118E">
        <w:rPr>
          <w:caps w:val="0"/>
        </w:rPr>
        <w:t>7</w:t>
      </w:r>
    </w:p>
    <w:p w14:paraId="0C6B487A" w14:textId="77777777" w:rsidR="00900037" w:rsidRPr="00013220" w:rsidRDefault="00900037" w:rsidP="002B6652">
      <w:pPr>
        <w:pStyle w:val="Subtitle"/>
        <w:ind w:left="-426" w:right="-623"/>
        <w:jc w:val="center"/>
        <w:rPr>
          <w:b/>
          <w:i w:val="0"/>
          <w:sz w:val="36"/>
          <w:szCs w:val="36"/>
        </w:rPr>
      </w:pPr>
    </w:p>
    <w:p w14:paraId="0AC82FDD" w14:textId="5C70E9FE" w:rsidR="00900037" w:rsidRPr="006F7EC0" w:rsidRDefault="000A118E" w:rsidP="006F7EC0">
      <w:pPr>
        <w:pStyle w:val="Title"/>
        <w:spacing w:before="200"/>
        <w:ind w:left="-426" w:right="-623"/>
        <w:jc w:val="center"/>
        <w:rPr>
          <w:caps w:val="0"/>
          <w:sz w:val="28"/>
          <w:szCs w:val="28"/>
        </w:rPr>
      </w:pPr>
      <w:r>
        <w:rPr>
          <w:caps w:val="0"/>
          <w:sz w:val="28"/>
          <w:szCs w:val="28"/>
        </w:rPr>
        <w:t xml:space="preserve">July </w:t>
      </w:r>
      <w:r w:rsidR="00960C5D">
        <w:rPr>
          <w:caps w:val="0"/>
          <w:sz w:val="28"/>
          <w:szCs w:val="28"/>
        </w:rPr>
        <w:t>202</w:t>
      </w:r>
      <w:r w:rsidR="00384772">
        <w:rPr>
          <w:caps w:val="0"/>
          <w:sz w:val="28"/>
          <w:szCs w:val="28"/>
        </w:rPr>
        <w:t>2</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960C5D">
        <w:rPr>
          <w:caps w:val="0"/>
          <w:sz w:val="28"/>
          <w:szCs w:val="28"/>
        </w:rPr>
        <w:t>202</w:t>
      </w:r>
      <w:r w:rsidR="00384772">
        <w:rPr>
          <w:caps w:val="0"/>
          <w:sz w:val="28"/>
          <w:szCs w:val="28"/>
        </w:rPr>
        <w:t>2</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600DDB53"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0F3A97">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04AEE0E9"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0A118E">
        <w:rPr>
          <w:rFonts w:cs="Arial"/>
        </w:rPr>
        <w:t>July</w:t>
      </w:r>
      <w:r w:rsidR="000A118E" w:rsidRPr="00ED55CD">
        <w:rPr>
          <w:rFonts w:cs="Arial"/>
        </w:rPr>
        <w:t xml:space="preserve"> </w:t>
      </w:r>
      <w:r w:rsidR="003467B2" w:rsidRPr="00ED55CD">
        <w:rPr>
          <w:rFonts w:cs="Arial"/>
        </w:rPr>
        <w:t xml:space="preserve">to </w:t>
      </w:r>
      <w:r w:rsidR="000A118E">
        <w:rPr>
          <w:rFonts w:cs="Arial"/>
        </w:rPr>
        <w:t>September</w:t>
      </w:r>
      <w:r w:rsidR="000A118E" w:rsidRPr="00ED55CD">
        <w:rPr>
          <w:rFonts w:cs="Arial"/>
        </w:rPr>
        <w:t xml:space="preserve"> </w:t>
      </w:r>
      <w:r w:rsidR="003467B2" w:rsidRPr="00ED55CD">
        <w:rPr>
          <w:rFonts w:cs="Arial"/>
        </w:rPr>
        <w:t>202</w:t>
      </w:r>
      <w:r w:rsidR="003D3453">
        <w:rPr>
          <w:rFonts w:cs="Arial"/>
        </w:rPr>
        <w:t>2</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76B06F39"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951376">
        <w:rPr>
          <w:rFonts w:cs="Arial"/>
        </w:rPr>
        <w:t>5</w:t>
      </w:r>
      <w:r w:rsidR="000A118E">
        <w:rPr>
          <w:rFonts w:cs="Arial"/>
        </w:rPr>
        <w:t>7</w:t>
      </w:r>
      <w:r w:rsidR="00281E08" w:rsidRPr="00ED55CD">
        <w:rPr>
          <w:rFonts w:cs="Arial"/>
        </w:rPr>
        <w:t xml:space="preserve"> </w:t>
      </w:r>
      <w:r w:rsidRPr="00ED55CD">
        <w:rPr>
          <w:rFonts w:cs="Arial"/>
        </w:rP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376E81E7"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0A118E">
        <w:rPr>
          <w:sz w:val="16"/>
          <w:szCs w:val="16"/>
        </w:rPr>
        <w:t xml:space="preserve">April </w:t>
      </w:r>
      <w:r w:rsidR="00DA70CA">
        <w:rPr>
          <w:sz w:val="16"/>
          <w:szCs w:val="16"/>
        </w:rPr>
        <w:t xml:space="preserve">2022 </w:t>
      </w:r>
      <w:r>
        <w:rPr>
          <w:sz w:val="16"/>
          <w:szCs w:val="16"/>
        </w:rPr>
        <w:t xml:space="preserve">to </w:t>
      </w:r>
      <w:r w:rsidR="00DA70CA">
        <w:rPr>
          <w:sz w:val="16"/>
          <w:szCs w:val="16"/>
        </w:rPr>
        <w:t xml:space="preserve">30 </w:t>
      </w:r>
      <w:r w:rsidR="000A118E">
        <w:rPr>
          <w:sz w:val="16"/>
          <w:szCs w:val="16"/>
        </w:rPr>
        <w:t xml:space="preserve">September </w:t>
      </w:r>
      <w:r w:rsidR="003D3453">
        <w:rPr>
          <w:sz w:val="16"/>
          <w:szCs w:val="16"/>
        </w:rPr>
        <w:t>2022</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5F7FCCE1"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w:t>
            </w:r>
            <w:r w:rsidR="00DB3881">
              <w:rPr>
                <w:rFonts w:cs="Arial"/>
                <w:b/>
                <w:bCs/>
                <w:sz w:val="18"/>
                <w:szCs w:val="18"/>
                <w:lang w:eastAsia="en-AU"/>
              </w:rPr>
              <w:t>6</w:t>
            </w:r>
          </w:p>
        </w:tc>
        <w:tc>
          <w:tcPr>
            <w:tcW w:w="992" w:type="dxa"/>
            <w:tcBorders>
              <w:top w:val="single" w:sz="4" w:space="0" w:color="auto"/>
              <w:left w:val="single" w:sz="4" w:space="0" w:color="auto"/>
              <w:bottom w:val="single" w:sz="4" w:space="0" w:color="auto"/>
              <w:right w:val="single" w:sz="4" w:space="0" w:color="auto"/>
            </w:tcBorders>
          </w:tcPr>
          <w:p w14:paraId="26E501C0" w14:textId="70B173F7"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w:t>
            </w:r>
            <w:r w:rsidR="00DB3881">
              <w:rPr>
                <w:rFonts w:cs="Arial"/>
                <w:b/>
                <w:bCs/>
                <w:sz w:val="18"/>
                <w:szCs w:val="18"/>
                <w:lang w:eastAsia="en-AU"/>
              </w:rPr>
              <w:t>7</w:t>
            </w:r>
          </w:p>
        </w:tc>
      </w:tr>
      <w:tr w:rsidR="006752AA"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6752AA" w:rsidRPr="00504360" w:rsidRDefault="006752AA" w:rsidP="006752AA">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39C8A97A" w:rsidR="006752AA" w:rsidRPr="00733DE0" w:rsidRDefault="006752AA" w:rsidP="006752AA">
            <w:pPr>
              <w:spacing w:line="240" w:lineRule="auto"/>
              <w:jc w:val="right"/>
              <w:rPr>
                <w:rFonts w:cs="Arial"/>
                <w:sz w:val="18"/>
                <w:szCs w:val="18"/>
              </w:rPr>
            </w:pPr>
            <w:r>
              <w:rPr>
                <w:rFonts w:cs="Arial"/>
                <w:sz w:val="18"/>
                <w:szCs w:val="18"/>
              </w:rPr>
              <w:t>2,060</w:t>
            </w:r>
          </w:p>
        </w:tc>
        <w:tc>
          <w:tcPr>
            <w:tcW w:w="992" w:type="dxa"/>
            <w:tcBorders>
              <w:top w:val="single" w:sz="4" w:space="0" w:color="auto"/>
              <w:left w:val="single" w:sz="4" w:space="0" w:color="auto"/>
              <w:bottom w:val="single" w:sz="4" w:space="0" w:color="auto"/>
              <w:right w:val="single" w:sz="4" w:space="0" w:color="auto"/>
            </w:tcBorders>
          </w:tcPr>
          <w:p w14:paraId="7FA692B3" w14:textId="5547BBC2" w:rsidR="006752AA" w:rsidRPr="00733DE0" w:rsidRDefault="006752AA" w:rsidP="006752AA">
            <w:pPr>
              <w:spacing w:line="240" w:lineRule="auto"/>
              <w:jc w:val="right"/>
              <w:rPr>
                <w:rFonts w:cs="Arial"/>
                <w:sz w:val="18"/>
                <w:szCs w:val="18"/>
              </w:rPr>
            </w:pPr>
            <w:r>
              <w:rPr>
                <w:rFonts w:cs="Arial"/>
                <w:sz w:val="18"/>
                <w:szCs w:val="18"/>
              </w:rPr>
              <w:t>2,13</w:t>
            </w:r>
            <w:r w:rsidR="007B173F">
              <w:rPr>
                <w:rFonts w:cs="Arial"/>
                <w:sz w:val="18"/>
                <w:szCs w:val="18"/>
              </w:rPr>
              <w:t>2</w:t>
            </w:r>
          </w:p>
        </w:tc>
      </w:tr>
      <w:tr w:rsidR="006752AA"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6752AA" w:rsidRPr="00504360" w:rsidRDefault="006752AA" w:rsidP="006752A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2BEE8207" w:rsidR="006752AA" w:rsidRPr="00733DE0" w:rsidRDefault="006752AA" w:rsidP="006752AA">
            <w:pPr>
              <w:spacing w:line="240" w:lineRule="auto"/>
              <w:jc w:val="right"/>
              <w:rPr>
                <w:rFonts w:cs="Arial"/>
                <w:sz w:val="18"/>
                <w:szCs w:val="18"/>
              </w:rPr>
            </w:pPr>
            <w:r>
              <w:rPr>
                <w:rFonts w:cs="Arial"/>
                <w:sz w:val="18"/>
                <w:szCs w:val="18"/>
              </w:rPr>
              <w:t>1,142</w:t>
            </w:r>
          </w:p>
        </w:tc>
        <w:tc>
          <w:tcPr>
            <w:tcW w:w="992" w:type="dxa"/>
            <w:tcBorders>
              <w:top w:val="single" w:sz="4" w:space="0" w:color="auto"/>
              <w:left w:val="single" w:sz="4" w:space="0" w:color="auto"/>
              <w:bottom w:val="single" w:sz="4" w:space="0" w:color="auto"/>
              <w:right w:val="single" w:sz="4" w:space="0" w:color="auto"/>
            </w:tcBorders>
          </w:tcPr>
          <w:p w14:paraId="01FC42FF" w14:textId="1C0D5CF7" w:rsidR="006752AA" w:rsidRPr="00733DE0" w:rsidRDefault="006752AA" w:rsidP="006752AA">
            <w:pPr>
              <w:spacing w:line="240" w:lineRule="auto"/>
              <w:jc w:val="right"/>
              <w:rPr>
                <w:rFonts w:cs="Arial"/>
                <w:sz w:val="18"/>
                <w:szCs w:val="18"/>
              </w:rPr>
            </w:pPr>
            <w:r>
              <w:rPr>
                <w:rFonts w:cs="Arial"/>
                <w:sz w:val="18"/>
                <w:szCs w:val="18"/>
              </w:rPr>
              <w:t>1,070</w:t>
            </w:r>
          </w:p>
        </w:tc>
      </w:tr>
      <w:tr w:rsidR="006752AA"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6752AA" w:rsidRPr="00504360" w:rsidRDefault="006752AA" w:rsidP="006752A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11424482" w:rsidR="006752AA" w:rsidRPr="00733DE0" w:rsidRDefault="006752AA" w:rsidP="006752AA">
            <w:pPr>
              <w:spacing w:line="240" w:lineRule="auto"/>
              <w:jc w:val="right"/>
              <w:rPr>
                <w:rFonts w:cs="Arial"/>
                <w:sz w:val="18"/>
                <w:szCs w:val="18"/>
              </w:rPr>
            </w:pPr>
            <w:r>
              <w:rPr>
                <w:rFonts w:cs="Arial"/>
                <w:sz w:val="18"/>
                <w:szCs w:val="18"/>
              </w:rPr>
              <w:t>918</w:t>
            </w:r>
          </w:p>
        </w:tc>
        <w:tc>
          <w:tcPr>
            <w:tcW w:w="992" w:type="dxa"/>
            <w:tcBorders>
              <w:top w:val="single" w:sz="4" w:space="0" w:color="auto"/>
              <w:left w:val="single" w:sz="4" w:space="0" w:color="auto"/>
              <w:bottom w:val="single" w:sz="4" w:space="0" w:color="auto"/>
              <w:right w:val="single" w:sz="4" w:space="0" w:color="auto"/>
            </w:tcBorders>
          </w:tcPr>
          <w:p w14:paraId="15DC554A" w14:textId="2882D9AC" w:rsidR="006752AA" w:rsidRPr="00733DE0" w:rsidRDefault="006752AA" w:rsidP="006752AA">
            <w:pPr>
              <w:spacing w:line="240" w:lineRule="auto"/>
              <w:jc w:val="right"/>
              <w:rPr>
                <w:rFonts w:cs="Arial"/>
                <w:sz w:val="18"/>
                <w:szCs w:val="18"/>
              </w:rPr>
            </w:pPr>
            <w:r>
              <w:rPr>
                <w:rFonts w:cs="Arial"/>
                <w:sz w:val="18"/>
                <w:szCs w:val="18"/>
              </w:rPr>
              <w:t>1,06</w:t>
            </w:r>
            <w:r w:rsidR="00B26321">
              <w:rPr>
                <w:rFonts w:cs="Arial"/>
                <w:sz w:val="18"/>
                <w:szCs w:val="18"/>
              </w:rPr>
              <w:t>2</w:t>
            </w:r>
          </w:p>
        </w:tc>
      </w:tr>
      <w:tr w:rsidR="006752AA"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6752AA" w:rsidRPr="00504360" w:rsidRDefault="006752AA" w:rsidP="006752AA">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75CA7850" w:rsidR="006752AA" w:rsidRPr="00733DE0" w:rsidRDefault="006752AA" w:rsidP="006752AA">
            <w:pPr>
              <w:spacing w:line="240" w:lineRule="auto"/>
              <w:jc w:val="right"/>
              <w:rPr>
                <w:rFonts w:cs="Arial"/>
                <w:sz w:val="18"/>
                <w:szCs w:val="18"/>
                <w:lang w:eastAsia="en-AU"/>
              </w:rPr>
            </w:pPr>
            <w:r>
              <w:rPr>
                <w:rFonts w:cs="Arial"/>
                <w:sz w:val="18"/>
                <w:szCs w:val="18"/>
              </w:rPr>
              <w:t>609</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672A1DBB" w:rsidR="006752AA" w:rsidRPr="00733DE0" w:rsidRDefault="006752AA" w:rsidP="006752AA">
            <w:pPr>
              <w:spacing w:line="240" w:lineRule="auto"/>
              <w:jc w:val="right"/>
              <w:rPr>
                <w:rFonts w:cs="Arial"/>
                <w:sz w:val="18"/>
                <w:szCs w:val="18"/>
              </w:rPr>
            </w:pPr>
            <w:r>
              <w:rPr>
                <w:rFonts w:cs="Arial"/>
                <w:sz w:val="18"/>
                <w:szCs w:val="18"/>
              </w:rPr>
              <w:t>543</w:t>
            </w:r>
          </w:p>
        </w:tc>
      </w:tr>
      <w:tr w:rsidR="00DB3881"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DB3881" w:rsidRPr="00504360" w:rsidRDefault="00DB3881" w:rsidP="00DB3881">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DB3881" w:rsidRPr="00733DE0" w:rsidRDefault="00DB3881" w:rsidP="00DB3881">
            <w:pPr>
              <w:spacing w:line="240" w:lineRule="auto"/>
              <w:jc w:val="right"/>
              <w:rPr>
                <w:rFonts w:cs="Arial"/>
                <w:sz w:val="18"/>
                <w:szCs w:val="18"/>
              </w:rPr>
            </w:pPr>
          </w:p>
        </w:tc>
      </w:tr>
      <w:tr w:rsidR="00DB3881"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DB3881" w:rsidRPr="001E2C9A" w:rsidRDefault="00DB3881" w:rsidP="00DB3881">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DB3881" w:rsidRPr="00733DE0" w:rsidRDefault="00DB3881" w:rsidP="00DB3881">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DB3881" w:rsidRPr="00733DE0" w:rsidRDefault="00DB3881" w:rsidP="00DB3881">
            <w:pPr>
              <w:spacing w:line="240" w:lineRule="auto"/>
              <w:jc w:val="right"/>
              <w:rPr>
                <w:rFonts w:cs="Arial"/>
                <w:sz w:val="18"/>
                <w:szCs w:val="18"/>
              </w:rPr>
            </w:pPr>
          </w:p>
        </w:tc>
      </w:tr>
      <w:tr w:rsidR="006752AA"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6752AA" w:rsidRPr="0041058E" w:rsidRDefault="006752AA" w:rsidP="006752AA">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2640AF5A" w:rsidR="006752AA" w:rsidRPr="00733DE0" w:rsidRDefault="006752AA" w:rsidP="006752AA">
            <w:pPr>
              <w:spacing w:line="240" w:lineRule="auto"/>
              <w:jc w:val="right"/>
              <w:rPr>
                <w:rFonts w:cs="Arial"/>
                <w:sz w:val="18"/>
                <w:szCs w:val="18"/>
              </w:rPr>
            </w:pPr>
            <w:r>
              <w:rPr>
                <w:rFonts w:cs="Arial"/>
                <w:sz w:val="18"/>
                <w:szCs w:val="18"/>
              </w:rPr>
              <w:t>229</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59EC01C6" w:rsidR="006752AA" w:rsidRPr="002D2253" w:rsidRDefault="006752AA" w:rsidP="006752AA">
            <w:pPr>
              <w:spacing w:line="240" w:lineRule="auto"/>
              <w:jc w:val="right"/>
              <w:rPr>
                <w:rFonts w:cs="Arial"/>
                <w:sz w:val="18"/>
                <w:szCs w:val="18"/>
              </w:rPr>
            </w:pPr>
            <w:r>
              <w:rPr>
                <w:rFonts w:cs="Arial"/>
                <w:sz w:val="18"/>
                <w:szCs w:val="18"/>
              </w:rPr>
              <w:t>296</w:t>
            </w:r>
          </w:p>
        </w:tc>
      </w:tr>
      <w:tr w:rsidR="006752AA"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6752AA" w:rsidRPr="00504360" w:rsidRDefault="006752AA" w:rsidP="006752AA">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3203BD09" w:rsidR="006752AA" w:rsidRPr="00733DE0" w:rsidRDefault="006752AA" w:rsidP="006752AA">
            <w:pPr>
              <w:spacing w:line="240" w:lineRule="auto"/>
              <w:jc w:val="right"/>
              <w:rPr>
                <w:rFonts w:cs="Arial"/>
                <w:sz w:val="18"/>
                <w:szCs w:val="18"/>
              </w:rPr>
            </w:pPr>
            <w:r>
              <w:rPr>
                <w:rFonts w:cs="Arial"/>
                <w:sz w:val="18"/>
                <w:szCs w:val="18"/>
              </w:rPr>
              <w:t>192</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4E0CF98C" w:rsidR="006752AA" w:rsidRPr="002D2253" w:rsidRDefault="006752AA" w:rsidP="006752AA">
            <w:pPr>
              <w:spacing w:line="240" w:lineRule="auto"/>
              <w:jc w:val="right"/>
              <w:rPr>
                <w:rFonts w:cs="Arial"/>
                <w:sz w:val="18"/>
                <w:szCs w:val="18"/>
              </w:rPr>
            </w:pPr>
            <w:r>
              <w:rPr>
                <w:rFonts w:cs="Arial"/>
                <w:sz w:val="18"/>
                <w:szCs w:val="18"/>
              </w:rPr>
              <w:t>243</w:t>
            </w:r>
          </w:p>
        </w:tc>
      </w:tr>
      <w:tr w:rsidR="006752AA"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6752AA" w:rsidRPr="00504360" w:rsidRDefault="006752AA" w:rsidP="006752AA">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15273124" w:rsidR="006752AA" w:rsidRPr="00733DE0" w:rsidRDefault="006752AA" w:rsidP="006752AA">
            <w:pPr>
              <w:spacing w:line="240" w:lineRule="auto"/>
              <w:jc w:val="right"/>
              <w:rPr>
                <w:rFonts w:cs="Arial"/>
                <w:sz w:val="18"/>
                <w:szCs w:val="18"/>
                <w:lang w:eastAsia="en-AU"/>
              </w:rPr>
            </w:pPr>
            <w:r>
              <w:rPr>
                <w:rFonts w:cs="Arial"/>
                <w:sz w:val="18"/>
                <w:szCs w:val="18"/>
              </w:rPr>
              <w:t>69%</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62CE49EC" w:rsidR="006752AA" w:rsidRPr="002D2253" w:rsidRDefault="006752AA" w:rsidP="006752AA">
            <w:pPr>
              <w:spacing w:line="240" w:lineRule="auto"/>
              <w:jc w:val="right"/>
              <w:rPr>
                <w:rFonts w:cs="Arial"/>
                <w:sz w:val="18"/>
                <w:szCs w:val="18"/>
              </w:rPr>
            </w:pPr>
            <w:r>
              <w:rPr>
                <w:rFonts w:cs="Arial"/>
                <w:sz w:val="18"/>
                <w:szCs w:val="18"/>
              </w:rPr>
              <w:t>64%</w:t>
            </w:r>
          </w:p>
        </w:tc>
      </w:tr>
      <w:tr w:rsidR="006752AA"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6752AA" w:rsidRPr="00504360" w:rsidRDefault="006752AA" w:rsidP="006752AA">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3A93461F" w:rsidR="006752AA" w:rsidRPr="00733DE0" w:rsidRDefault="006752AA" w:rsidP="006752AA">
            <w:pPr>
              <w:spacing w:line="240" w:lineRule="auto"/>
              <w:jc w:val="right"/>
              <w:rPr>
                <w:rFonts w:cs="Arial"/>
                <w:sz w:val="18"/>
                <w:szCs w:val="18"/>
                <w:lang w:eastAsia="en-AU"/>
              </w:rPr>
            </w:pPr>
            <w:r>
              <w:rPr>
                <w:rFonts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1EF6C950" w:rsidR="006752AA" w:rsidRPr="002D2253" w:rsidRDefault="006752AA" w:rsidP="006752AA">
            <w:pPr>
              <w:spacing w:line="240" w:lineRule="auto"/>
              <w:jc w:val="right"/>
              <w:rPr>
                <w:rFonts w:cs="Arial"/>
                <w:sz w:val="18"/>
                <w:szCs w:val="18"/>
                <w:lang w:eastAsia="en-AU"/>
              </w:rPr>
            </w:pPr>
            <w:r>
              <w:rPr>
                <w:rFonts w:cs="Arial"/>
                <w:sz w:val="18"/>
                <w:szCs w:val="18"/>
              </w:rPr>
              <w:t>32%</w:t>
            </w:r>
          </w:p>
        </w:tc>
      </w:tr>
      <w:tr w:rsidR="00DB3881"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DB3881" w:rsidRPr="00504360" w:rsidRDefault="00DB3881" w:rsidP="00DB3881">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DB3881" w:rsidRPr="00733DE0" w:rsidRDefault="00DB3881" w:rsidP="00DB3881">
            <w:pPr>
              <w:spacing w:line="240" w:lineRule="auto"/>
              <w:jc w:val="right"/>
              <w:rPr>
                <w:rFonts w:cs="Arial"/>
                <w:sz w:val="18"/>
                <w:szCs w:val="18"/>
                <w:lang w:eastAsia="en-AU"/>
              </w:rPr>
            </w:pPr>
          </w:p>
        </w:tc>
      </w:tr>
      <w:tr w:rsidR="00DB3881"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DB3881" w:rsidRPr="00504360" w:rsidRDefault="00DB3881" w:rsidP="00DB3881">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DB3881" w:rsidRPr="00733DE0" w:rsidRDefault="00DB3881" w:rsidP="00DB3881">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DB3881" w:rsidRPr="00733DE0" w:rsidRDefault="00DB3881" w:rsidP="00DB3881">
            <w:pPr>
              <w:spacing w:line="240" w:lineRule="auto"/>
              <w:jc w:val="right"/>
              <w:rPr>
                <w:rFonts w:cs="Arial"/>
                <w:sz w:val="18"/>
                <w:szCs w:val="18"/>
                <w:lang w:eastAsia="en-AU"/>
              </w:rPr>
            </w:pPr>
          </w:p>
        </w:tc>
      </w:tr>
      <w:tr w:rsidR="006752AA"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6752AA" w:rsidRPr="00504360" w:rsidRDefault="006752AA" w:rsidP="006752AA">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7900ADDC" w:rsidR="006752AA" w:rsidRPr="00733DE0" w:rsidRDefault="006752AA" w:rsidP="006752AA">
            <w:pPr>
              <w:spacing w:line="240" w:lineRule="auto"/>
              <w:jc w:val="right"/>
              <w:rPr>
                <w:rFonts w:cs="Arial"/>
                <w:sz w:val="18"/>
                <w:szCs w:val="18"/>
                <w:lang w:eastAsia="en-AU"/>
              </w:rPr>
            </w:pPr>
            <w:r>
              <w:rPr>
                <w:rFonts w:cs="Arial"/>
                <w:sz w:val="18"/>
                <w:szCs w:val="18"/>
              </w:rPr>
              <w:t>72</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6719A5D3" w:rsidR="006752AA" w:rsidRPr="002D2253" w:rsidRDefault="006752AA" w:rsidP="006752AA">
            <w:pPr>
              <w:spacing w:line="240" w:lineRule="auto"/>
              <w:jc w:val="right"/>
              <w:rPr>
                <w:rFonts w:cs="Arial"/>
                <w:sz w:val="18"/>
                <w:szCs w:val="18"/>
              </w:rPr>
            </w:pPr>
            <w:r>
              <w:rPr>
                <w:rFonts w:cs="Arial"/>
                <w:sz w:val="18"/>
                <w:szCs w:val="18"/>
              </w:rPr>
              <w:t>72</w:t>
            </w:r>
          </w:p>
        </w:tc>
      </w:tr>
      <w:tr w:rsidR="006752AA"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6752AA" w:rsidRPr="00504360" w:rsidRDefault="006752AA" w:rsidP="006752AA">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60151E8C" w:rsidR="006752AA" w:rsidRPr="00733DE0" w:rsidRDefault="006752AA" w:rsidP="006752AA">
            <w:pPr>
              <w:spacing w:line="240" w:lineRule="auto"/>
              <w:jc w:val="right"/>
              <w:rPr>
                <w:rFonts w:cs="Arial"/>
                <w:sz w:val="18"/>
                <w:szCs w:val="18"/>
                <w:lang w:eastAsia="en-AU"/>
              </w:rPr>
            </w:pPr>
            <w:r>
              <w:rPr>
                <w:rFonts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5DFB8477" w:rsidR="006752AA" w:rsidRPr="002D2253" w:rsidRDefault="006752AA" w:rsidP="006752AA">
            <w:pPr>
              <w:spacing w:line="240" w:lineRule="auto"/>
              <w:jc w:val="right"/>
              <w:rPr>
                <w:rFonts w:cs="Arial"/>
                <w:sz w:val="18"/>
                <w:szCs w:val="18"/>
              </w:rPr>
            </w:pPr>
            <w:r>
              <w:rPr>
                <w:rFonts w:cs="Arial"/>
                <w:sz w:val="18"/>
                <w:szCs w:val="18"/>
              </w:rPr>
              <w:t>23</w:t>
            </w:r>
          </w:p>
        </w:tc>
      </w:tr>
      <w:tr w:rsidR="006752AA"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6752AA" w:rsidRPr="00504360" w:rsidRDefault="006752AA" w:rsidP="006752AA">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6539DB7B" w:rsidR="006752AA" w:rsidRPr="00733DE0" w:rsidRDefault="006752AA" w:rsidP="006752AA">
            <w:pPr>
              <w:spacing w:line="240" w:lineRule="auto"/>
              <w:jc w:val="right"/>
              <w:rPr>
                <w:rFonts w:cs="Arial"/>
                <w:sz w:val="18"/>
                <w:szCs w:val="18"/>
              </w:rPr>
            </w:pPr>
            <w:r>
              <w:rPr>
                <w:rFonts w:cs="Arial"/>
                <w:sz w:val="18"/>
                <w:szCs w:val="18"/>
              </w:rPr>
              <w:t>128</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1515A9E4" w:rsidR="006752AA" w:rsidRPr="002D2253" w:rsidRDefault="006752AA" w:rsidP="006752AA">
            <w:pPr>
              <w:spacing w:line="240" w:lineRule="auto"/>
              <w:jc w:val="right"/>
              <w:rPr>
                <w:rFonts w:cs="Arial"/>
                <w:sz w:val="18"/>
                <w:szCs w:val="18"/>
              </w:rPr>
            </w:pPr>
            <w:r>
              <w:rPr>
                <w:rFonts w:cs="Arial"/>
                <w:sz w:val="18"/>
                <w:szCs w:val="18"/>
              </w:rPr>
              <w:t>116</w:t>
            </w:r>
          </w:p>
        </w:tc>
      </w:tr>
      <w:tr w:rsidR="006752AA" w:rsidRPr="00504360" w14:paraId="2709F33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6752AA" w:rsidRDefault="006752AA" w:rsidP="006752AA">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1EF20" w14:textId="35D32198" w:rsidR="006752AA" w:rsidRPr="00733DE0" w:rsidRDefault="006752AA" w:rsidP="006752AA">
            <w:pPr>
              <w:spacing w:line="240" w:lineRule="auto"/>
              <w:jc w:val="right"/>
              <w:rPr>
                <w:rFonts w:cs="Arial"/>
                <w:sz w:val="18"/>
                <w:szCs w:val="18"/>
              </w:rPr>
            </w:pPr>
            <w:r>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7B234F70" w:rsidR="006752AA" w:rsidRPr="002D2253" w:rsidRDefault="006752AA" w:rsidP="006752AA">
            <w:pPr>
              <w:spacing w:line="240" w:lineRule="auto"/>
              <w:jc w:val="right"/>
              <w:rPr>
                <w:rFonts w:cs="Arial"/>
                <w:sz w:val="18"/>
                <w:szCs w:val="18"/>
              </w:rPr>
            </w:pPr>
            <w:r>
              <w:rPr>
                <w:rFonts w:cs="Arial"/>
                <w:sz w:val="18"/>
                <w:szCs w:val="18"/>
              </w:rPr>
              <w:t>0</w:t>
            </w:r>
          </w:p>
        </w:tc>
      </w:tr>
      <w:tr w:rsidR="006752AA"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6752AA" w:rsidRPr="00504360" w:rsidRDefault="006752AA" w:rsidP="006752AA">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0236750E" w:rsidR="006752AA" w:rsidRPr="00733DE0" w:rsidRDefault="006752AA" w:rsidP="006752AA">
            <w:pPr>
              <w:spacing w:line="240" w:lineRule="auto"/>
              <w:jc w:val="right"/>
              <w:rPr>
                <w:rFonts w:cs="Arial"/>
                <w:sz w:val="18"/>
                <w:szCs w:val="18"/>
                <w:lang w:eastAsia="en-AU"/>
              </w:rPr>
            </w:pPr>
            <w:r>
              <w:rPr>
                <w:rFonts w:cs="Arial"/>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14AB840F" w:rsidR="006752AA" w:rsidRPr="002D2253" w:rsidRDefault="006752AA" w:rsidP="006752AA">
            <w:pPr>
              <w:spacing w:line="240" w:lineRule="auto"/>
              <w:jc w:val="right"/>
              <w:rPr>
                <w:rFonts w:cs="Arial"/>
                <w:sz w:val="18"/>
                <w:szCs w:val="18"/>
              </w:rPr>
            </w:pPr>
            <w:r>
              <w:rPr>
                <w:rFonts w:cs="Arial"/>
                <w:sz w:val="18"/>
                <w:szCs w:val="18"/>
              </w:rPr>
              <w:t>13</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0114A6" w:rsidRPr="00504360" w14:paraId="4B8C25F7" w14:textId="77777777" w:rsidTr="008F23DF">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0114A6" w:rsidRPr="00504360" w:rsidRDefault="000114A6" w:rsidP="000114A6">
            <w:pPr>
              <w:spacing w:line="240" w:lineRule="auto"/>
              <w:rPr>
                <w:rFonts w:cs="Arial"/>
                <w:sz w:val="18"/>
                <w:szCs w:val="18"/>
              </w:rPr>
            </w:pPr>
            <w:r w:rsidRPr="0041058E">
              <w:rPr>
                <w:rFonts w:cs="Arial"/>
                <w:b/>
                <w:sz w:val="18"/>
                <w:szCs w:val="18"/>
                <w:lang w:eastAsia="en-AU"/>
              </w:rPr>
              <w:lastRenderedPageBreak/>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EB36" w14:textId="70BCC949"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sidR="00951376">
              <w:rPr>
                <w:rFonts w:cs="Arial"/>
                <w:b/>
                <w:bCs/>
                <w:sz w:val="18"/>
                <w:szCs w:val="18"/>
                <w:lang w:eastAsia="en-AU"/>
              </w:rPr>
              <w:t>5</w:t>
            </w:r>
            <w:r w:rsidR="00DB3881">
              <w:rPr>
                <w:rFonts w:cs="Arial"/>
                <w:b/>
                <w:bCs/>
                <w:sz w:val="18"/>
                <w:szCs w:val="18"/>
                <w:lang w:eastAsia="en-AU"/>
              </w:rPr>
              <w:t>6</w:t>
            </w:r>
          </w:p>
        </w:tc>
        <w:tc>
          <w:tcPr>
            <w:tcW w:w="992" w:type="dxa"/>
            <w:tcBorders>
              <w:top w:val="single" w:sz="4" w:space="0" w:color="auto"/>
              <w:left w:val="single" w:sz="4" w:space="0" w:color="auto"/>
              <w:bottom w:val="single" w:sz="4" w:space="0" w:color="auto"/>
              <w:right w:val="single" w:sz="4" w:space="0" w:color="auto"/>
            </w:tcBorders>
          </w:tcPr>
          <w:p w14:paraId="4A5F7805" w14:textId="5AE319EB"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sidR="00951376">
              <w:rPr>
                <w:rFonts w:cs="Arial"/>
                <w:b/>
                <w:bCs/>
                <w:sz w:val="18"/>
                <w:szCs w:val="18"/>
                <w:lang w:eastAsia="en-AU"/>
              </w:rPr>
              <w:t>5</w:t>
            </w:r>
            <w:r w:rsidR="00DB3881">
              <w:rPr>
                <w:rFonts w:cs="Arial"/>
                <w:b/>
                <w:bCs/>
                <w:sz w:val="18"/>
                <w:szCs w:val="18"/>
                <w:lang w:eastAsia="en-AU"/>
              </w:rPr>
              <w:t>7</w:t>
            </w:r>
          </w:p>
        </w:tc>
      </w:tr>
      <w:tr w:rsidR="006752AA" w:rsidRPr="00504360" w14:paraId="0F426218"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6752AA" w:rsidRPr="00504360" w:rsidRDefault="006752AA" w:rsidP="006752AA">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606374A7" w:rsidR="006752AA" w:rsidRPr="00733DE0" w:rsidRDefault="006752AA" w:rsidP="006752AA">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2E2C48B6" w:rsidR="006752AA" w:rsidRPr="002D2253" w:rsidRDefault="006752AA" w:rsidP="006752AA">
            <w:pPr>
              <w:spacing w:line="240" w:lineRule="auto"/>
              <w:jc w:val="right"/>
              <w:rPr>
                <w:rFonts w:cs="Arial"/>
                <w:sz w:val="18"/>
                <w:szCs w:val="18"/>
              </w:rPr>
            </w:pPr>
            <w:r>
              <w:rPr>
                <w:rFonts w:cs="Arial"/>
                <w:sz w:val="18"/>
                <w:szCs w:val="18"/>
              </w:rPr>
              <w:t>100%</w:t>
            </w:r>
          </w:p>
        </w:tc>
      </w:tr>
      <w:tr w:rsidR="006752AA" w:rsidRPr="00504360" w14:paraId="09FA7CF5"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6752AA" w:rsidRPr="00504360" w:rsidRDefault="006752AA" w:rsidP="006752AA">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4201712D" w:rsidR="006752AA" w:rsidRPr="00733DE0" w:rsidRDefault="006752AA" w:rsidP="006752AA">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73EE4CE6" w:rsidR="006752AA" w:rsidRPr="002D2253" w:rsidRDefault="006752AA" w:rsidP="006752AA">
            <w:pPr>
              <w:spacing w:line="240" w:lineRule="auto"/>
              <w:jc w:val="right"/>
              <w:rPr>
                <w:rFonts w:cs="Arial"/>
                <w:sz w:val="18"/>
                <w:szCs w:val="18"/>
              </w:rPr>
            </w:pPr>
            <w:r>
              <w:rPr>
                <w:rFonts w:cs="Arial"/>
                <w:sz w:val="18"/>
                <w:szCs w:val="18"/>
              </w:rPr>
              <w:t>0%</w:t>
            </w:r>
          </w:p>
        </w:tc>
      </w:tr>
      <w:tr w:rsidR="006752AA" w:rsidRPr="00D157E2" w14:paraId="714A0FD4" w14:textId="2CDC150F"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6752AA" w:rsidRPr="00504360" w:rsidRDefault="006752AA" w:rsidP="006752A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6752AA" w:rsidRPr="00733DE0" w:rsidRDefault="006752AA" w:rsidP="006752A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18090B25" w:rsidR="006752AA" w:rsidRPr="002D2253" w:rsidRDefault="006752AA" w:rsidP="006752AA">
            <w:pPr>
              <w:spacing w:line="240" w:lineRule="auto"/>
              <w:rPr>
                <w:rFonts w:cs="Arial"/>
                <w:sz w:val="18"/>
                <w:szCs w:val="18"/>
                <w:lang w:eastAsia="en-AU"/>
              </w:rPr>
            </w:pPr>
            <w:r>
              <w:rPr>
                <w:rFonts w:cs="Arial"/>
                <w:sz w:val="18"/>
                <w:szCs w:val="18"/>
              </w:rPr>
              <w:t> </w:t>
            </w:r>
          </w:p>
        </w:tc>
      </w:tr>
      <w:tr w:rsidR="006752AA" w:rsidRPr="00504360" w14:paraId="148E7FF6"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6752AA" w:rsidRPr="0041058E" w:rsidRDefault="006752AA" w:rsidP="006752AA">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6752AA" w:rsidRPr="00733DE0" w:rsidRDefault="006752AA" w:rsidP="006752A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2DFD3A06"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71FF2B6B"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20DC563B" w:rsidR="006752AA" w:rsidRPr="00B50123" w:rsidRDefault="006752AA" w:rsidP="006752AA">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sidR="002547B5">
              <w:rPr>
                <w:rFonts w:cs="Arial"/>
                <w:sz w:val="18"/>
                <w:szCs w:val="18"/>
              </w:rPr>
              <w:t xml:space="preserve"> (VCP)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0E537CF7" w:rsidR="006752AA" w:rsidRPr="00733DE0" w:rsidRDefault="006752AA" w:rsidP="006752AA">
            <w:pPr>
              <w:spacing w:line="240" w:lineRule="auto"/>
              <w:jc w:val="right"/>
              <w:rPr>
                <w:rFonts w:cs="Arial"/>
                <w:sz w:val="18"/>
                <w:szCs w:val="18"/>
                <w:lang w:eastAsia="en-AU"/>
              </w:rPr>
            </w:pPr>
            <w:r>
              <w:rPr>
                <w:rFonts w:cs="Arial"/>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66A7B8C4" w:rsidR="006752AA" w:rsidRPr="002D2253" w:rsidRDefault="006752AA" w:rsidP="006752AA">
            <w:pPr>
              <w:spacing w:line="240" w:lineRule="auto"/>
              <w:jc w:val="right"/>
              <w:rPr>
                <w:rFonts w:cs="Arial"/>
                <w:sz w:val="18"/>
                <w:szCs w:val="18"/>
              </w:rPr>
            </w:pPr>
            <w:r>
              <w:rPr>
                <w:rFonts w:cs="Arial"/>
                <w:sz w:val="18"/>
                <w:szCs w:val="18"/>
              </w:rPr>
              <w:t>10</w:t>
            </w:r>
          </w:p>
        </w:tc>
      </w:tr>
      <w:bookmarkEnd w:id="1"/>
      <w:tr w:rsidR="006752AA" w:rsidRPr="00504360" w14:paraId="16DEBA40"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6752AA" w:rsidRPr="00B50123" w:rsidRDefault="006752AA" w:rsidP="006752AA">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420509D5" w:rsidR="006752AA" w:rsidRPr="00733DE0" w:rsidRDefault="006752AA" w:rsidP="006752AA">
            <w:pPr>
              <w:spacing w:line="240" w:lineRule="auto"/>
              <w:jc w:val="right"/>
              <w:rPr>
                <w:rFonts w:cs="Arial"/>
                <w:sz w:val="18"/>
                <w:szCs w:val="18"/>
                <w:lang w:eastAsia="en-AU"/>
              </w:rPr>
            </w:pPr>
            <w:r>
              <w:rPr>
                <w:rFonts w:cs="Arial"/>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4B682712" w:rsidR="006752AA" w:rsidRPr="002D2253" w:rsidRDefault="006752AA" w:rsidP="006752AA">
            <w:pPr>
              <w:spacing w:line="240" w:lineRule="auto"/>
              <w:jc w:val="right"/>
              <w:rPr>
                <w:rFonts w:cs="Arial"/>
                <w:sz w:val="18"/>
                <w:szCs w:val="18"/>
              </w:rPr>
            </w:pPr>
            <w:r>
              <w:rPr>
                <w:rFonts w:cs="Arial"/>
                <w:sz w:val="18"/>
                <w:szCs w:val="18"/>
              </w:rPr>
              <w:t>10</w:t>
            </w:r>
          </w:p>
        </w:tc>
      </w:tr>
      <w:tr w:rsidR="006752AA" w:rsidRPr="00504360" w14:paraId="7EB54823"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1B7D3A96" w:rsidR="006752AA" w:rsidRPr="00B50123" w:rsidRDefault="006752AA" w:rsidP="006752AA">
            <w:pPr>
              <w:spacing w:line="240" w:lineRule="auto"/>
              <w:rPr>
                <w:rFonts w:cs="Arial"/>
                <w:sz w:val="18"/>
                <w:szCs w:val="18"/>
                <w:lang w:eastAsia="en-AU"/>
              </w:rPr>
            </w:pPr>
            <w:r w:rsidRPr="0003283F">
              <w:rPr>
                <w:rFonts w:cs="Arial"/>
                <w:sz w:val="18"/>
                <w:szCs w:val="18"/>
              </w:rPr>
              <w:t xml:space="preserve">Voluntary agreements for </w:t>
            </w:r>
            <w:r w:rsidR="002547B5">
              <w:rPr>
                <w:rFonts w:cs="Arial"/>
                <w:sz w:val="18"/>
                <w:szCs w:val="18"/>
              </w:rPr>
              <w:t>Voluntary Income Management (</w:t>
            </w:r>
            <w:r w:rsidRPr="0003283F">
              <w:rPr>
                <w:rFonts w:cs="Arial"/>
                <w:sz w:val="18"/>
                <w:szCs w:val="18"/>
              </w:rPr>
              <w:t>VIM</w:t>
            </w:r>
            <w:r w:rsidR="002547B5">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6557EAB1" w:rsidR="006752AA" w:rsidRPr="00733DE0" w:rsidRDefault="006752AA" w:rsidP="006752AA">
            <w:pPr>
              <w:spacing w:line="240" w:lineRule="auto"/>
              <w:jc w:val="right"/>
              <w:rPr>
                <w:rFonts w:cs="Arial"/>
                <w:sz w:val="18"/>
                <w:szCs w:val="18"/>
                <w:lang w:eastAsia="en-AU"/>
              </w:rPr>
            </w:pPr>
            <w:r>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75AFBEA5" w:rsidR="006752AA" w:rsidRPr="002D2253" w:rsidRDefault="006752AA" w:rsidP="006752AA">
            <w:pPr>
              <w:spacing w:line="240" w:lineRule="auto"/>
              <w:jc w:val="right"/>
              <w:rPr>
                <w:rFonts w:cs="Arial"/>
                <w:sz w:val="18"/>
                <w:szCs w:val="18"/>
              </w:rPr>
            </w:pPr>
            <w:r>
              <w:rPr>
                <w:rFonts w:cs="Arial"/>
                <w:sz w:val="18"/>
                <w:szCs w:val="18"/>
              </w:rPr>
              <w:t>30</w:t>
            </w:r>
          </w:p>
        </w:tc>
      </w:tr>
      <w:tr w:rsidR="006752AA" w:rsidRPr="00504360" w14:paraId="52C3F0C4" w14:textId="77777777"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6752AA" w:rsidRPr="00504360" w:rsidRDefault="006752AA" w:rsidP="006752A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6752AA" w:rsidRPr="00733DE0" w:rsidRDefault="006752AA" w:rsidP="006752A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231A95D"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6E254E7A"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6752AA" w:rsidRPr="00E10506" w:rsidRDefault="006752AA" w:rsidP="006752AA">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6752AA" w:rsidRPr="00733DE0" w:rsidRDefault="006752AA" w:rsidP="006752A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63B4480"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53E5D51F"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6752AA" w:rsidRPr="00504360" w:rsidRDefault="006752AA" w:rsidP="006752AA">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65B87394" w:rsidR="006752AA" w:rsidRPr="00733DE0" w:rsidRDefault="006752AA" w:rsidP="006752AA">
            <w:pPr>
              <w:spacing w:line="240" w:lineRule="auto"/>
              <w:jc w:val="right"/>
              <w:rPr>
                <w:rFonts w:cs="Arial"/>
                <w:sz w:val="18"/>
                <w:szCs w:val="18"/>
                <w:lang w:eastAsia="en-AU"/>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5ABFDC1B" w:rsidR="006752AA" w:rsidRPr="002D2253" w:rsidRDefault="006752AA" w:rsidP="006752AA">
            <w:pPr>
              <w:spacing w:line="240" w:lineRule="auto"/>
              <w:jc w:val="right"/>
              <w:rPr>
                <w:rFonts w:cs="Arial"/>
                <w:sz w:val="18"/>
                <w:szCs w:val="18"/>
              </w:rPr>
            </w:pPr>
            <w:r>
              <w:rPr>
                <w:rFonts w:cs="Arial"/>
                <w:sz w:val="18"/>
                <w:szCs w:val="18"/>
              </w:rPr>
              <w:t>100%</w:t>
            </w:r>
          </w:p>
        </w:tc>
      </w:tr>
      <w:tr w:rsidR="006752AA" w:rsidRPr="00504360" w14:paraId="4859A3E0"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6752AA" w:rsidRDefault="006752AA" w:rsidP="006752AA">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02A95616" w:rsidR="006752AA" w:rsidRPr="00733DE0" w:rsidRDefault="006752AA" w:rsidP="006752AA">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0D6BF085" w:rsidR="006752AA" w:rsidRPr="002D2253" w:rsidRDefault="006752AA" w:rsidP="006752AA">
            <w:pPr>
              <w:spacing w:line="240" w:lineRule="auto"/>
              <w:jc w:val="right"/>
              <w:rPr>
                <w:rFonts w:cs="Arial"/>
                <w:sz w:val="18"/>
                <w:szCs w:val="18"/>
              </w:rPr>
            </w:pPr>
            <w:r>
              <w:rPr>
                <w:rFonts w:cs="Arial"/>
                <w:sz w:val="18"/>
                <w:szCs w:val="18"/>
              </w:rPr>
              <w:t>0%</w:t>
            </w:r>
          </w:p>
        </w:tc>
      </w:tr>
      <w:tr w:rsidR="006752AA" w:rsidRPr="00504360" w14:paraId="23135AF5" w14:textId="77777777" w:rsidTr="00D157E2">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6752AA" w:rsidRDefault="006752AA" w:rsidP="006752A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FF09C" w14:textId="77777777" w:rsidR="006752AA" w:rsidRPr="00733DE0" w:rsidRDefault="006752AA" w:rsidP="006752A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00F6E9B3"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37C0A955"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6752AA" w:rsidRDefault="006752AA" w:rsidP="006752AA">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6DD9" w14:textId="2C58E0C2" w:rsidR="006752AA" w:rsidRPr="00733DE0" w:rsidRDefault="006752AA" w:rsidP="006752A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1B70212A"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2926F0DE"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6752AA" w:rsidRDefault="006752AA" w:rsidP="006752AA">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66C68" w14:textId="15DBEF07" w:rsidR="006752AA" w:rsidRPr="00733DE0" w:rsidRDefault="006752AA" w:rsidP="006752AA">
            <w:pPr>
              <w:spacing w:line="240" w:lineRule="auto"/>
              <w:jc w:val="right"/>
              <w:rPr>
                <w:rFonts w:cs="Arial"/>
                <w:sz w:val="18"/>
                <w:szCs w:val="18"/>
              </w:rPr>
            </w:pPr>
            <w:r>
              <w:rPr>
                <w:rFonts w:cs="Arial"/>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37B51762" w:rsidR="006752AA" w:rsidRPr="003C7872" w:rsidRDefault="006752AA" w:rsidP="006752AA">
            <w:pPr>
              <w:spacing w:line="240" w:lineRule="auto"/>
              <w:jc w:val="right"/>
              <w:rPr>
                <w:rFonts w:cs="Arial"/>
                <w:sz w:val="18"/>
                <w:szCs w:val="18"/>
                <w:lang w:eastAsia="en-AU"/>
              </w:rPr>
            </w:pPr>
            <w:r>
              <w:rPr>
                <w:rFonts w:cs="Arial"/>
                <w:sz w:val="18"/>
                <w:szCs w:val="18"/>
              </w:rPr>
              <w:t>10</w:t>
            </w:r>
          </w:p>
        </w:tc>
      </w:tr>
      <w:tr w:rsidR="006752AA" w:rsidRPr="00504360" w14:paraId="09CC1571" w14:textId="77777777" w:rsidTr="00D157E2">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6752AA" w:rsidRDefault="006752AA" w:rsidP="006752A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4FDA4" w14:textId="77777777" w:rsidR="006752AA" w:rsidRPr="00733DE0" w:rsidRDefault="006752AA" w:rsidP="006752A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394EE8C0"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716838D1"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6752AA" w:rsidRDefault="006752AA" w:rsidP="006752AA">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3A1D1" w14:textId="77777777" w:rsidR="006752AA" w:rsidRPr="00733DE0" w:rsidRDefault="006752AA" w:rsidP="006752A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2343DD53" w:rsidR="006752AA" w:rsidRPr="002D2253" w:rsidRDefault="006752AA" w:rsidP="006752AA">
            <w:pPr>
              <w:spacing w:line="240" w:lineRule="auto"/>
              <w:jc w:val="right"/>
              <w:rPr>
                <w:rFonts w:cs="Arial"/>
                <w:sz w:val="18"/>
                <w:szCs w:val="18"/>
              </w:rPr>
            </w:pPr>
            <w:r>
              <w:rPr>
                <w:rFonts w:cs="Arial"/>
                <w:sz w:val="18"/>
                <w:szCs w:val="18"/>
              </w:rPr>
              <w:t> </w:t>
            </w:r>
          </w:p>
        </w:tc>
      </w:tr>
      <w:tr w:rsidR="006752AA" w:rsidRPr="00504360" w14:paraId="1562F8F8"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6752AA" w:rsidRDefault="006752AA" w:rsidP="006752AA">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D3333" w14:textId="56F83298" w:rsidR="006752AA" w:rsidRPr="00733DE0" w:rsidRDefault="006752AA" w:rsidP="006752AA">
            <w:pPr>
              <w:spacing w:line="240" w:lineRule="auto"/>
              <w:jc w:val="right"/>
              <w:rPr>
                <w:rFonts w:cs="Arial"/>
                <w:sz w:val="18"/>
                <w:szCs w:val="18"/>
              </w:rPr>
            </w:pPr>
            <w:r>
              <w:rPr>
                <w:rFonts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7D8E8F3E" w:rsidR="006752AA" w:rsidRPr="002D2253" w:rsidRDefault="006752AA" w:rsidP="006752AA">
            <w:pPr>
              <w:spacing w:line="240" w:lineRule="auto"/>
              <w:jc w:val="right"/>
              <w:rPr>
                <w:rFonts w:cs="Arial"/>
                <w:sz w:val="18"/>
                <w:szCs w:val="18"/>
              </w:rPr>
            </w:pPr>
            <w:r>
              <w:rPr>
                <w:rFonts w:cs="Arial"/>
                <w:sz w:val="18"/>
                <w:szCs w:val="18"/>
              </w:rPr>
              <w:t>212</w:t>
            </w:r>
          </w:p>
        </w:tc>
      </w:tr>
      <w:tr w:rsidR="006752AA" w:rsidRPr="00504360" w14:paraId="559E0289"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6752AA" w:rsidRDefault="006752AA" w:rsidP="006752AA">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D6E1" w14:textId="17A3CE1C" w:rsidR="006752AA" w:rsidRPr="00733DE0" w:rsidRDefault="006752AA" w:rsidP="006752AA">
            <w:pPr>
              <w:spacing w:line="240" w:lineRule="auto"/>
              <w:jc w:val="right"/>
              <w:rPr>
                <w:rFonts w:cs="Arial"/>
                <w:sz w:val="18"/>
                <w:szCs w:val="18"/>
              </w:rPr>
            </w:pPr>
            <w:r>
              <w:rPr>
                <w:rFonts w:cs="Arial"/>
                <w:sz w:val="18"/>
                <w:szCs w:val="18"/>
              </w:rPr>
              <w:t>33</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611A3269" w:rsidR="006752AA" w:rsidRPr="002D2253" w:rsidRDefault="006752AA" w:rsidP="006752AA">
            <w:pPr>
              <w:spacing w:line="240" w:lineRule="auto"/>
              <w:jc w:val="right"/>
              <w:rPr>
                <w:rFonts w:cs="Arial"/>
                <w:sz w:val="18"/>
                <w:szCs w:val="18"/>
              </w:rPr>
            </w:pPr>
            <w:r>
              <w:rPr>
                <w:rFonts w:cs="Arial"/>
                <w:sz w:val="18"/>
                <w:szCs w:val="18"/>
              </w:rPr>
              <w:t>33</w:t>
            </w:r>
          </w:p>
        </w:tc>
      </w:tr>
      <w:tr w:rsidR="006752AA" w:rsidRPr="00504360" w14:paraId="3D917EA4"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6752AA" w:rsidRPr="00504360" w:rsidRDefault="006752AA" w:rsidP="006752AA">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8A31A" w14:textId="27355039" w:rsidR="006752AA" w:rsidRPr="00733DE0" w:rsidRDefault="006752AA" w:rsidP="006752AA">
            <w:pPr>
              <w:spacing w:line="240" w:lineRule="auto"/>
              <w:jc w:val="right"/>
              <w:rPr>
                <w:rFonts w:cs="Arial"/>
                <w:sz w:val="18"/>
                <w:szCs w:val="18"/>
              </w:rPr>
            </w:pPr>
            <w:r>
              <w:rPr>
                <w:rFonts w:cs="Arial"/>
                <w:sz w:val="18"/>
                <w:szCs w:val="18"/>
              </w:rPr>
              <w:t>75</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450CCDC5" w:rsidR="006752AA" w:rsidRDefault="006752AA" w:rsidP="006752AA">
            <w:pPr>
              <w:spacing w:line="240" w:lineRule="auto"/>
              <w:jc w:val="right"/>
              <w:rPr>
                <w:rFonts w:cs="Arial"/>
                <w:sz w:val="18"/>
                <w:szCs w:val="18"/>
              </w:rPr>
            </w:pPr>
            <w:r>
              <w:rPr>
                <w:rFonts w:cs="Arial"/>
                <w:sz w:val="18"/>
                <w:szCs w:val="18"/>
              </w:rPr>
              <w:t>69</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06016">
      <w:pPr>
        <w:ind w:left="-142" w:right="-425"/>
        <w:jc w:val="both"/>
        <w:rPr>
          <w:rFonts w:cs="Arial"/>
          <w:b/>
          <w:bCs/>
          <w:sz w:val="22"/>
          <w:szCs w:val="22"/>
        </w:rPr>
      </w:pPr>
      <w:r w:rsidRPr="00B61ECB">
        <w:rPr>
          <w:rFonts w:cs="Arial"/>
          <w:b/>
          <w:bCs/>
          <w:sz w:val="22"/>
          <w:szCs w:val="22"/>
        </w:rPr>
        <w:t xml:space="preserve">Quarterly </w:t>
      </w:r>
      <w:r w:rsidR="003B2EC9">
        <w:rPr>
          <w:rFonts w:cs="Arial"/>
          <w:b/>
          <w:bCs/>
          <w:sz w:val="22"/>
          <w:szCs w:val="22"/>
        </w:rPr>
        <w:t>t</w:t>
      </w:r>
      <w:r w:rsidRPr="00B61ECB">
        <w:rPr>
          <w:rFonts w:cs="Arial"/>
          <w:b/>
          <w:bCs/>
          <w:sz w:val="22"/>
          <w:szCs w:val="22"/>
        </w:rPr>
        <w:t>rends</w:t>
      </w:r>
    </w:p>
    <w:p w14:paraId="5A8DB30C" w14:textId="77777777" w:rsidR="00B5515A" w:rsidRPr="00B5515A" w:rsidRDefault="00B5515A" w:rsidP="00B5515A">
      <w:pPr>
        <w:tabs>
          <w:tab w:val="left" w:pos="1134"/>
        </w:tabs>
        <w:ind w:left="-142" w:right="-425"/>
        <w:jc w:val="both"/>
      </w:pPr>
      <w:r w:rsidRPr="00B5515A">
        <w:t>There was an increase in the number of conferences and the number of clients being case managed from quarter 56, with a consistent number of agreements entered into to attend community support services along with voluntary agreements for VCPs and VIMs.</w:t>
      </w:r>
    </w:p>
    <w:p w14:paraId="259C4CB8" w14:textId="7837E9CF" w:rsidR="00940519" w:rsidRPr="000908AE" w:rsidRDefault="00940519" w:rsidP="000908AE">
      <w:pPr>
        <w:tabs>
          <w:tab w:val="left" w:pos="1134"/>
        </w:tabs>
        <w:ind w:left="-142" w:right="-425"/>
        <w:jc w:val="both"/>
      </w:pPr>
    </w:p>
    <w:p w14:paraId="765CFBFB" w14:textId="3CB3A61A" w:rsidR="00B5515A" w:rsidRDefault="00B5515A" w:rsidP="00B5515A">
      <w:pPr>
        <w:tabs>
          <w:tab w:val="left" w:pos="1134"/>
        </w:tabs>
        <w:ind w:left="-142" w:right="-425"/>
        <w:jc w:val="both"/>
      </w:pPr>
      <w:r w:rsidRPr="00B5515A">
        <w:t>There was also a decrease in the proportion of clients conferenced during the quarter who were ordered to attend a support service under a case plan, with only 9 per cent of clients being placed on a compulsory case plan, down from 14 per cent in quarter 56. This is a positive trend showing increasing client willingness to seek support.</w:t>
      </w:r>
    </w:p>
    <w:p w14:paraId="52F7F981" w14:textId="77777777" w:rsidR="00B5515A" w:rsidRPr="00B5515A" w:rsidRDefault="00B5515A" w:rsidP="00B5515A">
      <w:pPr>
        <w:tabs>
          <w:tab w:val="left" w:pos="1134"/>
        </w:tabs>
        <w:ind w:left="-142" w:right="-425"/>
        <w:jc w:val="both"/>
      </w:pPr>
    </w:p>
    <w:p w14:paraId="683BCC4F" w14:textId="77777777" w:rsidR="00B5515A" w:rsidRPr="00B5515A" w:rsidRDefault="00B5515A" w:rsidP="00B5515A">
      <w:pPr>
        <w:tabs>
          <w:tab w:val="left" w:pos="1134"/>
        </w:tabs>
        <w:ind w:left="-142" w:right="-425"/>
        <w:jc w:val="both"/>
      </w:pPr>
      <w:r w:rsidRPr="00B5515A">
        <w:t>Conferencing in Coen during the quarter was adversely impacted by Sorry Business and Local Commissioner availability. Nonetheless the FRC continued to assist vulnerable community members through its Intensive Case Management, resulting in clients entering into 3 VIMs and 5 VCPs for referrals to support services.</w:t>
      </w:r>
    </w:p>
    <w:p w14:paraId="7B833FFF" w14:textId="77777777" w:rsidR="00CC07DA" w:rsidRDefault="00CC07DA" w:rsidP="003C101E">
      <w:pPr>
        <w:ind w:left="-142"/>
        <w:rPr>
          <w:b/>
          <w:bCs/>
        </w:rPr>
      </w:pPr>
    </w:p>
    <w:p w14:paraId="58CB77D9" w14:textId="6B461AE9" w:rsidR="003C101E" w:rsidRDefault="003C101E" w:rsidP="003C101E">
      <w:pPr>
        <w:ind w:left="-142"/>
        <w:rPr>
          <w:b/>
          <w:bCs/>
        </w:rPr>
      </w:pPr>
      <w:r w:rsidRPr="009A1196">
        <w:rPr>
          <w:b/>
          <w:bCs/>
        </w:rPr>
        <w:t>Estimates</w:t>
      </w:r>
    </w:p>
    <w:p w14:paraId="1B557B01" w14:textId="0D6FB311" w:rsidR="00106149" w:rsidRDefault="00106149" w:rsidP="00106149">
      <w:pPr>
        <w:tabs>
          <w:tab w:val="left" w:pos="1134"/>
        </w:tabs>
        <w:ind w:left="-142" w:right="-425"/>
        <w:jc w:val="both"/>
      </w:pPr>
      <w:r w:rsidRPr="00106149">
        <w:t>Commissioner Williams and members of the Executive Management Team travelled to Brisbane to appear at the Estimates Hearing for agencies reporting to the Community Support and Services Committee on 4 August 2022.</w:t>
      </w:r>
    </w:p>
    <w:p w14:paraId="11355B2F" w14:textId="77777777" w:rsidR="00106149" w:rsidRPr="00106149" w:rsidRDefault="00106149" w:rsidP="00106149">
      <w:pPr>
        <w:tabs>
          <w:tab w:val="left" w:pos="1134"/>
        </w:tabs>
        <w:ind w:left="-142" w:right="-425"/>
        <w:jc w:val="both"/>
      </w:pPr>
    </w:p>
    <w:p w14:paraId="395C84F2" w14:textId="77777777" w:rsidR="00106149" w:rsidRPr="00106149" w:rsidRDefault="00106149" w:rsidP="00106149">
      <w:pPr>
        <w:tabs>
          <w:tab w:val="left" w:pos="1134"/>
        </w:tabs>
        <w:ind w:left="-142" w:right="-425"/>
        <w:jc w:val="both"/>
      </w:pPr>
      <w:r w:rsidRPr="00106149">
        <w:t>Commissioner Williams provided information in response to questions from the Committee regarding VIM agreements in connection with the proposed abolition of the Cashless Debit Card, and progress on the restoration of Childrens Court notices. The Commissioner also noted the Queensland Government’s Future Directions Review which commenced stakeholder consultations earlier in the year.</w:t>
      </w:r>
    </w:p>
    <w:p w14:paraId="76AE6494" w14:textId="77777777" w:rsidR="00106149" w:rsidRDefault="00106149" w:rsidP="003C101E">
      <w:pPr>
        <w:ind w:left="-142"/>
        <w:rPr>
          <w:b/>
          <w:bCs/>
        </w:rPr>
      </w:pPr>
    </w:p>
    <w:p w14:paraId="6EB6EBBF" w14:textId="77777777" w:rsidR="00D05326" w:rsidRDefault="00D05326">
      <w:pPr>
        <w:spacing w:line="240" w:lineRule="auto"/>
        <w:rPr>
          <w:b/>
          <w:bCs/>
        </w:rPr>
      </w:pPr>
      <w:r>
        <w:rPr>
          <w:b/>
          <w:bCs/>
        </w:rPr>
        <w:br w:type="page"/>
      </w:r>
    </w:p>
    <w:p w14:paraId="643FB0B0" w14:textId="1FA62C55" w:rsidR="00E13D9D" w:rsidRDefault="00E13D9D" w:rsidP="003C101E">
      <w:pPr>
        <w:ind w:left="-142"/>
        <w:rPr>
          <w:b/>
          <w:bCs/>
        </w:rPr>
      </w:pPr>
      <w:r>
        <w:rPr>
          <w:b/>
          <w:bCs/>
        </w:rPr>
        <w:lastRenderedPageBreak/>
        <w:t xml:space="preserve">New Local Commissioner </w:t>
      </w:r>
      <w:r w:rsidR="003B2EC9">
        <w:rPr>
          <w:b/>
          <w:bCs/>
        </w:rPr>
        <w:t>t</w:t>
      </w:r>
      <w:r>
        <w:rPr>
          <w:b/>
          <w:bCs/>
        </w:rPr>
        <w:t>raining</w:t>
      </w:r>
    </w:p>
    <w:p w14:paraId="22428A34" w14:textId="2BF02D9D" w:rsidR="002D5FAD" w:rsidRDefault="002D5FAD" w:rsidP="00D05326">
      <w:pPr>
        <w:tabs>
          <w:tab w:val="left" w:pos="1134"/>
        </w:tabs>
        <w:ind w:left="-142" w:right="-425"/>
        <w:jc w:val="both"/>
      </w:pPr>
      <w:r w:rsidRPr="009A1196">
        <w:t>Q</w:t>
      </w:r>
      <w:r>
        <w:t xml:space="preserve">uarter 57 saw </w:t>
      </w:r>
      <w:r w:rsidR="00B037B3">
        <w:t>the</w:t>
      </w:r>
      <w:r>
        <w:t xml:space="preserve"> </w:t>
      </w:r>
      <w:r w:rsidR="00341A5C">
        <w:t xml:space="preserve">commencement of the </w:t>
      </w:r>
      <w:r>
        <w:t>program</w:t>
      </w:r>
      <w:r w:rsidR="00C42540">
        <w:t xml:space="preserve"> to</w:t>
      </w:r>
      <w:r>
        <w:t xml:space="preserve"> </w:t>
      </w:r>
      <w:r w:rsidR="00B037B3">
        <w:t>induct and train 12 newly appointed Local Commissioners.</w:t>
      </w:r>
    </w:p>
    <w:p w14:paraId="78313884" w14:textId="13520B7A" w:rsidR="00FF0829" w:rsidRDefault="00FF0829" w:rsidP="00D05326">
      <w:pPr>
        <w:tabs>
          <w:tab w:val="left" w:pos="1134"/>
        </w:tabs>
        <w:ind w:left="-142" w:right="-425"/>
        <w:jc w:val="both"/>
      </w:pPr>
    </w:p>
    <w:p w14:paraId="3229DEC2" w14:textId="0F4721DA" w:rsidR="00115EE0" w:rsidRDefault="00FF0829" w:rsidP="00D05326">
      <w:pPr>
        <w:tabs>
          <w:tab w:val="left" w:pos="1134"/>
        </w:tabs>
        <w:ind w:left="-142" w:right="-425"/>
        <w:jc w:val="both"/>
      </w:pPr>
      <w:r>
        <w:t xml:space="preserve">The schedule of training </w:t>
      </w:r>
      <w:r w:rsidR="00533F2F">
        <w:t xml:space="preserve">will </w:t>
      </w:r>
      <w:r w:rsidR="004D7FB7">
        <w:t xml:space="preserve">continue </w:t>
      </w:r>
      <w:r w:rsidR="00533F2F">
        <w:t xml:space="preserve">over a six-month period </w:t>
      </w:r>
      <w:r w:rsidR="004D7FB7">
        <w:t xml:space="preserve">and </w:t>
      </w:r>
      <w:r w:rsidR="00C71039">
        <w:t>p</w:t>
      </w:r>
      <w:r w:rsidR="00341A5C">
        <w:t xml:space="preserve">rovide </w:t>
      </w:r>
      <w:r w:rsidR="004D7FB7">
        <w:t xml:space="preserve">new Local Commissioners with </w:t>
      </w:r>
      <w:r w:rsidR="00341A5C">
        <w:t xml:space="preserve">a foundational understanding </w:t>
      </w:r>
      <w:r w:rsidR="00630389" w:rsidRPr="00630389">
        <w:t>about their role</w:t>
      </w:r>
      <w:r w:rsidR="00C71039">
        <w:t xml:space="preserve"> and </w:t>
      </w:r>
      <w:r w:rsidR="00630389" w:rsidRPr="00630389">
        <w:t>legislative responsibilities</w:t>
      </w:r>
      <w:r w:rsidR="009040CC">
        <w:t>. Topics</w:t>
      </w:r>
      <w:r w:rsidR="00C71039">
        <w:t xml:space="preserve"> includ</w:t>
      </w:r>
      <w:r w:rsidR="009040CC">
        <w:t>e</w:t>
      </w:r>
      <w:r w:rsidR="00DB1D56">
        <w:t>d</w:t>
      </w:r>
      <w:r w:rsidR="009040CC">
        <w:t xml:space="preserve"> procedural fairness, natural justice,</w:t>
      </w:r>
      <w:r w:rsidR="00C71039">
        <w:t xml:space="preserve"> managing </w:t>
      </w:r>
      <w:r w:rsidR="009040CC">
        <w:t xml:space="preserve">conflicts of interests and confidentiality. </w:t>
      </w:r>
      <w:r w:rsidR="00C71039">
        <w:t>The</w:t>
      </w:r>
      <w:r w:rsidR="009040CC">
        <w:t xml:space="preserve"> delivery of the training</w:t>
      </w:r>
      <w:r w:rsidR="00C71039">
        <w:t xml:space="preserve"> program also in</w:t>
      </w:r>
      <w:r w:rsidR="009040CC">
        <w:t>volve</w:t>
      </w:r>
      <w:r w:rsidR="00DB1D56">
        <w:t>d</w:t>
      </w:r>
      <w:r w:rsidR="00630389" w:rsidRPr="00630389">
        <w:t xml:space="preserve"> </w:t>
      </w:r>
      <w:r w:rsidR="00C71039">
        <w:t xml:space="preserve">an </w:t>
      </w:r>
      <w:r w:rsidR="00630389" w:rsidRPr="00630389">
        <w:t xml:space="preserve">immersive </w:t>
      </w:r>
      <w:r w:rsidR="00C71039">
        <w:t xml:space="preserve">component - </w:t>
      </w:r>
      <w:r w:rsidR="00630389" w:rsidRPr="00630389">
        <w:t xml:space="preserve">shadowing </w:t>
      </w:r>
      <w:r w:rsidR="00341A5C">
        <w:t xml:space="preserve">the Commissioner, Deputy Commissioner, </w:t>
      </w:r>
      <w:r w:rsidR="00630389" w:rsidRPr="00630389">
        <w:t xml:space="preserve">other Local Commissioners and </w:t>
      </w:r>
      <w:r w:rsidR="00341A5C">
        <w:t xml:space="preserve">Local Registry </w:t>
      </w:r>
      <w:r w:rsidR="00630389" w:rsidRPr="00630389">
        <w:t>Coordinators in the performance of their duties.</w:t>
      </w:r>
    </w:p>
    <w:p w14:paraId="0DD300D7" w14:textId="77777777" w:rsidR="00D05326" w:rsidRDefault="00D05326" w:rsidP="00D05326">
      <w:pPr>
        <w:tabs>
          <w:tab w:val="left" w:pos="1134"/>
        </w:tabs>
        <w:ind w:left="-142" w:right="-425"/>
        <w:jc w:val="both"/>
      </w:pPr>
    </w:p>
    <w:p w14:paraId="06D59CCE" w14:textId="1520D026" w:rsidR="00E13D9D" w:rsidRPr="009A1196" w:rsidRDefault="00E13D9D" w:rsidP="009A1196">
      <w:pPr>
        <w:ind w:left="-142"/>
        <w:rPr>
          <w:b/>
          <w:bCs/>
        </w:rPr>
      </w:pPr>
      <w:r>
        <w:rPr>
          <w:b/>
          <w:bCs/>
        </w:rPr>
        <w:t>Cashless Debit Card Legislation</w:t>
      </w:r>
    </w:p>
    <w:p w14:paraId="360AE473" w14:textId="09819200" w:rsidR="00A0205F" w:rsidRPr="00D05326" w:rsidRDefault="00A0205F" w:rsidP="00D05326">
      <w:pPr>
        <w:tabs>
          <w:tab w:val="left" w:pos="1134"/>
        </w:tabs>
        <w:ind w:left="-142" w:right="-425"/>
        <w:jc w:val="both"/>
      </w:pPr>
      <w:r w:rsidRPr="00D05326">
        <w:t>A primary focus for the FRC during quarter 57 was the introduction and passage of legislation through the Australian Parliament to repeal the Cashless Debit Card (CDC) program. Following an election promise in early 2022 to repeal the CDC, on 27 July 2022 the Social Security (Administration) Amendment (Repeal of Cashless Debit Card and Other Measures) Bill (the Bill) was introduced in the House of Representatives.</w:t>
      </w:r>
    </w:p>
    <w:p w14:paraId="4ACACC76" w14:textId="6112A920" w:rsidR="00A0205F" w:rsidRPr="00D05326" w:rsidRDefault="00A0205F" w:rsidP="00D05326">
      <w:pPr>
        <w:tabs>
          <w:tab w:val="left" w:pos="1134"/>
        </w:tabs>
        <w:ind w:left="-142" w:right="-425"/>
        <w:jc w:val="both"/>
      </w:pPr>
    </w:p>
    <w:p w14:paraId="23EF1DCC" w14:textId="14819EE8" w:rsidR="00A0205F" w:rsidRPr="00D05326" w:rsidRDefault="003E4FD7" w:rsidP="00D05326">
      <w:pPr>
        <w:tabs>
          <w:tab w:val="left" w:pos="1134"/>
        </w:tabs>
        <w:ind w:left="-142" w:right="-425"/>
        <w:jc w:val="both"/>
      </w:pPr>
      <w:r w:rsidRPr="00D05326">
        <w:t>T</w:t>
      </w:r>
      <w:r w:rsidR="00A0205F" w:rsidRPr="00D05326">
        <w:t>he Bill</w:t>
      </w:r>
      <w:r w:rsidR="00A153D0" w:rsidRPr="00D05326">
        <w:t xml:space="preserve"> </w:t>
      </w:r>
      <w:r w:rsidRPr="00D05326">
        <w:t>recognised and valued the FRC as an independent statutory Commission</w:t>
      </w:r>
      <w:r w:rsidR="0054076F" w:rsidRPr="00D05326">
        <w:t xml:space="preserve"> and sought to </w:t>
      </w:r>
      <w:r w:rsidR="00A0205F" w:rsidRPr="00D05326">
        <w:t xml:space="preserve">preserve </w:t>
      </w:r>
      <w:r w:rsidR="0054076F" w:rsidRPr="00D05326">
        <w:t xml:space="preserve">the Commission’s unique model of </w:t>
      </w:r>
      <w:r w:rsidR="00A153D0" w:rsidRPr="00D05326">
        <w:t>income management</w:t>
      </w:r>
      <w:r w:rsidR="0054076F" w:rsidRPr="00D05326">
        <w:t>.</w:t>
      </w:r>
      <w:r w:rsidR="00A153D0" w:rsidRPr="00D05326">
        <w:t xml:space="preserve"> </w:t>
      </w:r>
      <w:r w:rsidR="0054076F" w:rsidRPr="00D05326">
        <w:t>T</w:t>
      </w:r>
      <w:r w:rsidR="005A3315" w:rsidRPr="00D05326">
        <w:t xml:space="preserve">he </w:t>
      </w:r>
      <w:r w:rsidR="0054076F" w:rsidRPr="00D05326">
        <w:t xml:space="preserve">FRC </w:t>
      </w:r>
      <w:r w:rsidRPr="00D05326">
        <w:t xml:space="preserve">was concerned </w:t>
      </w:r>
      <w:r w:rsidR="0054076F" w:rsidRPr="00D05326">
        <w:t>however that the Bill in its current form may adversely impact its operations and the wellbeing of our most vulnerable clients.</w:t>
      </w:r>
    </w:p>
    <w:p w14:paraId="1CA5317E" w14:textId="08687117" w:rsidR="00A153D0" w:rsidRPr="00CC07DA" w:rsidRDefault="00A153D0" w:rsidP="00CC07DA">
      <w:pPr>
        <w:ind w:left="-142" w:right="-425"/>
        <w:jc w:val="both"/>
        <w:rPr>
          <w:rFonts w:cs="Arial"/>
          <w:lang w:val="en-US"/>
        </w:rPr>
      </w:pPr>
    </w:p>
    <w:p w14:paraId="4F560FAF" w14:textId="63449FA8" w:rsidR="005A7CA8" w:rsidRPr="00CC07DA" w:rsidRDefault="0054076F" w:rsidP="00CC07DA">
      <w:pPr>
        <w:ind w:left="-142" w:right="-425"/>
        <w:jc w:val="both"/>
        <w:rPr>
          <w:rFonts w:cs="Arial"/>
          <w:lang w:val="en-US"/>
        </w:rPr>
      </w:pPr>
      <w:r>
        <w:rPr>
          <w:rFonts w:cs="Arial"/>
          <w:lang w:val="en-US"/>
        </w:rPr>
        <w:t>Consequently, t</w:t>
      </w:r>
      <w:r w:rsidR="00A153D0" w:rsidRPr="00CC07DA">
        <w:rPr>
          <w:rFonts w:cs="Arial"/>
          <w:lang w:val="en-US"/>
        </w:rPr>
        <w:t>he FRC participated in the</w:t>
      </w:r>
      <w:r w:rsidR="00A50B6B" w:rsidRPr="00CC07DA">
        <w:rPr>
          <w:rFonts w:cs="Arial"/>
          <w:lang w:val="en-US"/>
        </w:rPr>
        <w:t xml:space="preserve"> passage of the Bill</w:t>
      </w:r>
      <w:r w:rsidR="005A7CA8" w:rsidRPr="00CC07DA">
        <w:rPr>
          <w:rFonts w:cs="Arial"/>
          <w:lang w:val="en-US"/>
        </w:rPr>
        <w:t xml:space="preserve"> through Parliament</w:t>
      </w:r>
      <w:r w:rsidR="00A153D0" w:rsidRPr="00CC07DA">
        <w:rPr>
          <w:rFonts w:cs="Arial"/>
          <w:lang w:val="en-US"/>
        </w:rPr>
        <w:t xml:space="preserve"> </w:t>
      </w:r>
      <w:r w:rsidR="002F746C" w:rsidRPr="00CC07DA">
        <w:rPr>
          <w:rFonts w:cs="Arial"/>
          <w:lang w:val="en-US"/>
        </w:rPr>
        <w:t>by</w:t>
      </w:r>
      <w:r w:rsidR="005A7CA8" w:rsidRPr="00CC07DA">
        <w:rPr>
          <w:rFonts w:cs="Arial"/>
          <w:lang w:val="en-US"/>
        </w:rPr>
        <w:t>:</w:t>
      </w:r>
    </w:p>
    <w:p w14:paraId="3E6C8E89" w14:textId="74273A9C" w:rsidR="005A7CA8" w:rsidRPr="00CC07DA" w:rsidRDefault="005A7CA8" w:rsidP="00CC07DA">
      <w:pPr>
        <w:pStyle w:val="ListParagraph"/>
        <w:numPr>
          <w:ilvl w:val="0"/>
          <w:numId w:val="35"/>
        </w:numPr>
        <w:spacing w:line="288" w:lineRule="auto"/>
        <w:ind w:left="572" w:right="-425" w:hanging="357"/>
        <w:jc w:val="both"/>
        <w:rPr>
          <w:rFonts w:ascii="Verdana" w:hAnsi="Verdana" w:cs="Arial"/>
          <w:sz w:val="20"/>
          <w:szCs w:val="20"/>
          <w:lang w:val="en-US"/>
        </w:rPr>
      </w:pPr>
      <w:r w:rsidRPr="00CC07DA">
        <w:rPr>
          <w:rFonts w:ascii="Verdana" w:hAnsi="Verdana" w:cs="Arial"/>
          <w:sz w:val="20"/>
          <w:szCs w:val="20"/>
          <w:lang w:val="en-US"/>
        </w:rPr>
        <w:t xml:space="preserve">hosting </w:t>
      </w:r>
      <w:r w:rsidRPr="00CC07DA">
        <w:rPr>
          <w:rFonts w:ascii="Verdana" w:hAnsi="Verdana"/>
          <w:sz w:val="20"/>
          <w:szCs w:val="20"/>
        </w:rPr>
        <w:t>consultation visits by the Honourable Amanda Rishworth MP, Minister for Social Services in Cairns and the Honourable Justine Elliot MP, Assistant Minister for Social Services in Aurukun</w:t>
      </w:r>
    </w:p>
    <w:p w14:paraId="04B62D9B" w14:textId="4CC2476E" w:rsidR="005A7CA8" w:rsidRPr="00CC07DA" w:rsidRDefault="002F746C" w:rsidP="00CC07DA">
      <w:pPr>
        <w:pStyle w:val="ListParagraph"/>
        <w:numPr>
          <w:ilvl w:val="0"/>
          <w:numId w:val="35"/>
        </w:numPr>
        <w:spacing w:line="288" w:lineRule="auto"/>
        <w:ind w:left="572" w:right="-425" w:hanging="357"/>
        <w:jc w:val="both"/>
        <w:rPr>
          <w:rFonts w:ascii="Verdana" w:hAnsi="Verdana" w:cs="Arial"/>
          <w:sz w:val="20"/>
          <w:szCs w:val="20"/>
          <w:lang w:val="en-US"/>
        </w:rPr>
      </w:pPr>
      <w:r w:rsidRPr="00CC07DA">
        <w:rPr>
          <w:rFonts w:ascii="Verdana" w:hAnsi="Verdana" w:cs="Arial"/>
          <w:sz w:val="20"/>
          <w:szCs w:val="20"/>
          <w:lang w:val="en-US"/>
        </w:rPr>
        <w:t>providing a written submission to the</w:t>
      </w:r>
      <w:r w:rsidR="00A50B6B" w:rsidRPr="00CC07DA">
        <w:rPr>
          <w:rFonts w:ascii="Verdana" w:hAnsi="Verdana" w:cs="Arial"/>
          <w:sz w:val="20"/>
          <w:szCs w:val="20"/>
          <w:lang w:val="en-US"/>
        </w:rPr>
        <w:t xml:space="preserve"> Senate Standing Committee on Community Affairs’ Inquiry into the Bill</w:t>
      </w:r>
    </w:p>
    <w:p w14:paraId="12D3513F" w14:textId="6C2AD4E0" w:rsidR="005A7CA8" w:rsidRPr="00CC07DA" w:rsidRDefault="002F746C" w:rsidP="00CC07DA">
      <w:pPr>
        <w:pStyle w:val="ListParagraph"/>
        <w:numPr>
          <w:ilvl w:val="0"/>
          <w:numId w:val="35"/>
        </w:numPr>
        <w:spacing w:line="288" w:lineRule="auto"/>
        <w:ind w:left="572" w:right="-425" w:hanging="357"/>
        <w:jc w:val="both"/>
        <w:rPr>
          <w:rFonts w:ascii="Verdana" w:hAnsi="Verdana" w:cs="Arial"/>
          <w:sz w:val="20"/>
          <w:szCs w:val="20"/>
          <w:lang w:val="en-US"/>
        </w:rPr>
      </w:pPr>
      <w:r w:rsidRPr="00CC07DA">
        <w:rPr>
          <w:rFonts w:ascii="Verdana" w:hAnsi="Verdana" w:cs="Arial"/>
          <w:sz w:val="20"/>
          <w:szCs w:val="20"/>
          <w:lang w:val="en-US"/>
        </w:rPr>
        <w:t>giving in-person oral evidence at a hearing of the Committee</w:t>
      </w:r>
      <w:r w:rsidR="005A7CA8" w:rsidRPr="00CC07DA">
        <w:rPr>
          <w:rFonts w:ascii="Verdana" w:hAnsi="Verdana" w:cs="Arial"/>
          <w:sz w:val="20"/>
          <w:szCs w:val="20"/>
          <w:lang w:val="en-US"/>
        </w:rPr>
        <w:t xml:space="preserve"> in Bundaberg, and</w:t>
      </w:r>
    </w:p>
    <w:p w14:paraId="29C72951" w14:textId="5C004E93" w:rsidR="00A153D0" w:rsidRPr="00CC07DA" w:rsidRDefault="002F746C" w:rsidP="00CC07DA">
      <w:pPr>
        <w:pStyle w:val="ListParagraph"/>
        <w:numPr>
          <w:ilvl w:val="0"/>
          <w:numId w:val="35"/>
        </w:numPr>
        <w:spacing w:line="288" w:lineRule="auto"/>
        <w:ind w:left="572" w:right="-425" w:hanging="357"/>
        <w:jc w:val="both"/>
        <w:rPr>
          <w:rFonts w:ascii="Verdana" w:hAnsi="Verdana" w:cs="Arial"/>
          <w:sz w:val="20"/>
          <w:szCs w:val="20"/>
          <w:lang w:val="en-US"/>
        </w:rPr>
      </w:pPr>
      <w:r w:rsidRPr="00CC07DA">
        <w:rPr>
          <w:rFonts w:ascii="Verdana" w:hAnsi="Verdana" w:cs="Arial"/>
          <w:sz w:val="20"/>
          <w:szCs w:val="20"/>
          <w:lang w:val="en-US"/>
        </w:rPr>
        <w:t>travelling to Canberra to provide briefings and advice to Ministers and staff, Senators, and colleagues at the Department of Social Services and the National Indigenous Australians Agency.</w:t>
      </w:r>
    </w:p>
    <w:p w14:paraId="3B909F1C" w14:textId="3634D528" w:rsidR="002F746C" w:rsidRPr="00D05326" w:rsidRDefault="002F746C" w:rsidP="00D05326">
      <w:pPr>
        <w:tabs>
          <w:tab w:val="left" w:pos="1134"/>
        </w:tabs>
        <w:ind w:left="-142" w:right="-425"/>
        <w:jc w:val="both"/>
      </w:pPr>
    </w:p>
    <w:p w14:paraId="23E22D29" w14:textId="397D4094" w:rsidR="002F746C" w:rsidRPr="00D05326" w:rsidRDefault="002F746C" w:rsidP="00D05326">
      <w:pPr>
        <w:tabs>
          <w:tab w:val="left" w:pos="1134"/>
        </w:tabs>
        <w:ind w:left="-142" w:right="-425"/>
        <w:jc w:val="both"/>
      </w:pPr>
      <w:r w:rsidRPr="00D05326">
        <w:t xml:space="preserve">The Bill, with amendments to ensure the FRC’s model of income management could operate unchanged, </w:t>
      </w:r>
      <w:r w:rsidR="00A50B6B" w:rsidRPr="00D05326">
        <w:t xml:space="preserve">passed on 27 September 2022. Further information </w:t>
      </w:r>
      <w:r w:rsidR="00480546" w:rsidRPr="00D05326">
        <w:t>regarding the issues raised in the Bill, and the changes for the FRC are provided in the Future Direction and Challenges section.</w:t>
      </w:r>
    </w:p>
    <w:p w14:paraId="0150613B" w14:textId="77777777" w:rsidR="00A0205F" w:rsidRPr="00096869" w:rsidRDefault="00A0205F" w:rsidP="00096869">
      <w:pPr>
        <w:ind w:left="-142" w:right="-425"/>
        <w:jc w:val="both"/>
        <w:rPr>
          <w:rFonts w:cs="Arial"/>
        </w:rPr>
      </w:pPr>
    </w:p>
    <w:p w14:paraId="0ACCB538" w14:textId="77777777" w:rsidR="00480546" w:rsidRDefault="008E1956">
      <w:pPr>
        <w:ind w:left="-142" w:right="-425"/>
        <w:jc w:val="both"/>
        <w:rPr>
          <w:rFonts w:cs="Arial"/>
          <w:b/>
          <w:bCs/>
        </w:rPr>
      </w:pPr>
      <w:r>
        <w:rPr>
          <w:rFonts w:cs="Arial"/>
          <w:b/>
          <w:bCs/>
        </w:rPr>
        <w:t>Annual Report</w:t>
      </w:r>
    </w:p>
    <w:p w14:paraId="6A50EE3F" w14:textId="423574D5" w:rsidR="00480546" w:rsidRPr="00D05326" w:rsidRDefault="00480546" w:rsidP="00D05326">
      <w:pPr>
        <w:tabs>
          <w:tab w:val="left" w:pos="1134"/>
        </w:tabs>
        <w:ind w:left="-142" w:right="-425"/>
        <w:jc w:val="both"/>
      </w:pPr>
      <w:r w:rsidRPr="00D05326">
        <w:t xml:space="preserve">During quarter 57, much work occurred </w:t>
      </w:r>
      <w:r w:rsidR="00A276EC" w:rsidRPr="00D05326">
        <w:t>in the</w:t>
      </w:r>
      <w:r w:rsidRPr="00D05326">
        <w:t xml:space="preserve"> drafting and publishing the Commission’s Annual Report 202</w:t>
      </w:r>
      <w:r w:rsidR="00A276EC" w:rsidRPr="00D05326">
        <w:t>1</w:t>
      </w:r>
      <w:r w:rsidRPr="00D05326">
        <w:t>-2</w:t>
      </w:r>
      <w:r w:rsidR="00A276EC" w:rsidRPr="00D05326">
        <w:t>2</w:t>
      </w:r>
      <w:r w:rsidRPr="00D05326">
        <w:t xml:space="preserve"> which is required to be provided to the Minister for Seniors and Disability Services and Minister for Aboriginal and Torres Strait Islander Partnerships by 31 October 202</w:t>
      </w:r>
      <w:r w:rsidR="00A276EC" w:rsidRPr="00D05326">
        <w:t>2</w:t>
      </w:r>
      <w:r w:rsidRPr="00D05326">
        <w:t>.</w:t>
      </w:r>
    </w:p>
    <w:p w14:paraId="17CFF91B" w14:textId="20943F9A" w:rsidR="005A7CA8" w:rsidRDefault="005A7CA8" w:rsidP="00480546">
      <w:pPr>
        <w:ind w:left="-142" w:right="-425"/>
        <w:jc w:val="both"/>
        <w:rPr>
          <w:rFonts w:cs="Arial"/>
          <w:bCs/>
          <w:lang w:val="en"/>
        </w:rPr>
      </w:pPr>
    </w:p>
    <w:p w14:paraId="6806682B" w14:textId="4415939D" w:rsidR="00782942" w:rsidRDefault="00782942" w:rsidP="00C42540">
      <w:pPr>
        <w:ind w:left="-142" w:right="-425"/>
        <w:jc w:val="both"/>
        <w:rPr>
          <w:rFonts w:cs="Arial"/>
          <w:b/>
          <w:bCs/>
        </w:rPr>
      </w:pPr>
      <w:r>
        <w:rPr>
          <w:rFonts w:cs="Arial"/>
          <w:b/>
          <w:bCs/>
        </w:rPr>
        <w:br w:type="page"/>
      </w:r>
    </w:p>
    <w:p w14:paraId="7B028457" w14:textId="77777777" w:rsidR="00A640CB" w:rsidRDefault="00A640CB" w:rsidP="00A06016">
      <w:pPr>
        <w:ind w:left="-142" w:right="-425"/>
        <w:jc w:val="both"/>
        <w:rPr>
          <w:rFonts w:cs="Arial"/>
        </w:rPr>
      </w:pPr>
    </w:p>
    <w:p w14:paraId="42C25446" w14:textId="569E51A5" w:rsidR="00A83C16" w:rsidRDefault="00A83C16">
      <w:pPr>
        <w:spacing w:line="240" w:lineRule="auto"/>
      </w:pP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50678C54"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5B0C2D">
        <w:rPr>
          <w:noProof/>
        </w:rPr>
        <w:t>6</w:t>
      </w:r>
      <w:r w:rsidR="00F058BE">
        <w:rPr>
          <w:noProof/>
        </w:rPr>
        <w:fldChar w:fldCharType="end"/>
      </w:r>
    </w:p>
    <w:p w14:paraId="62DF3D4A" w14:textId="42112BB0"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5B0C2D">
        <w:rPr>
          <w:noProof/>
        </w:rPr>
        <w:t>19</w:t>
      </w:r>
      <w:r>
        <w:rPr>
          <w:noProof/>
        </w:rPr>
        <w:fldChar w:fldCharType="end"/>
      </w:r>
    </w:p>
    <w:p w14:paraId="293F38D2" w14:textId="6AF20948"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5B0C2D">
        <w:rPr>
          <w:noProof/>
        </w:rPr>
        <w:t>21</w:t>
      </w:r>
      <w:r>
        <w:rPr>
          <w:noProof/>
        </w:rPr>
        <w:fldChar w:fldCharType="end"/>
      </w:r>
    </w:p>
    <w:p w14:paraId="79738A35" w14:textId="5AB6AAC0"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5B0C2D">
        <w:rPr>
          <w:noProof/>
        </w:rPr>
        <w:t>22</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2098A596"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 xml:space="preserve">30 </w:t>
      </w:r>
      <w:r w:rsidR="000A118E">
        <w:rPr>
          <w:i/>
          <w:sz w:val="24"/>
          <w:szCs w:val="24"/>
        </w:rPr>
        <w:t xml:space="preserve">September </w:t>
      </w:r>
      <w:r w:rsidR="00E53438">
        <w:rPr>
          <w:i/>
          <w:sz w:val="24"/>
          <w:szCs w:val="24"/>
        </w:rPr>
        <w:t>202</w:t>
      </w:r>
      <w:r w:rsidR="001A5C4C">
        <w:rPr>
          <w:i/>
          <w:sz w:val="24"/>
          <w:szCs w:val="24"/>
        </w:rPr>
        <w:t>2</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091CFE">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Default="008F63D1" w:rsidP="0024013F">
      <w:pPr>
        <w:tabs>
          <w:tab w:val="left" w:pos="1134"/>
        </w:tabs>
        <w:ind w:left="-142" w:right="-425"/>
        <w:jc w:val="both"/>
        <w:rPr>
          <w:b/>
          <w:bCs/>
        </w:rPr>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7DD206F2"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E058DD">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0F408B">
        <w:t>57</w:t>
      </w:r>
      <w:r w:rsidR="005728FA">
        <w:t>,</w:t>
      </w:r>
      <w:r w:rsidR="007B68DE">
        <w:t xml:space="preserve"> </w:t>
      </w:r>
      <w:r w:rsidR="00EC23A7">
        <w:t>457</w:t>
      </w:r>
      <w:r w:rsidR="00C00E70">
        <w:t xml:space="preserve"> </w:t>
      </w:r>
      <w:r w:rsidR="006648A1">
        <w:t xml:space="preserve">clients </w:t>
      </w:r>
      <w:r w:rsidR="00FE5409">
        <w:t>(</w:t>
      </w:r>
      <w:r w:rsidR="00D356CC">
        <w:t>8</w:t>
      </w:r>
      <w:r w:rsidR="00EC23A7">
        <w:t>4</w:t>
      </w:r>
      <w:r w:rsidR="00D356CC">
        <w:t xml:space="preserve"> </w:t>
      </w:r>
      <w:r w:rsidR="00FE5409">
        <w:t>percen</w:t>
      </w:r>
      <w:r w:rsidR="00FC7C1D">
        <w:t>t</w:t>
      </w:r>
      <w:r w:rsidR="006648A1">
        <w:t>)</w:t>
      </w:r>
      <w:r w:rsidR="00FE5409">
        <w:t xml:space="preserve"> were notified to the Commission with only one type of trigger notice</w:t>
      </w:r>
      <w:r w:rsidR="003A48E8">
        <w:t>. T</w:t>
      </w:r>
      <w:r w:rsidR="00FE5409">
        <w:t xml:space="preserve">he remaining </w:t>
      </w:r>
      <w:r w:rsidR="00EC23A7">
        <w:t xml:space="preserve">86 </w:t>
      </w:r>
      <w:r w:rsidR="006648A1">
        <w:t xml:space="preserve">clients </w:t>
      </w:r>
      <w:r w:rsidR="00FE5409">
        <w:t>(</w:t>
      </w:r>
      <w:r w:rsidR="00D356CC">
        <w:t>1</w:t>
      </w:r>
      <w:r w:rsidR="00EC23A7">
        <w:t>6</w:t>
      </w:r>
      <w:r w:rsidR="00D356CC">
        <w:t xml:space="preserve"> </w:t>
      </w:r>
      <w:r w:rsidR="00FE5409">
        <w:t>percen</w:t>
      </w:r>
      <w:r w:rsidR="00FC7C1D">
        <w:t>t</w:t>
      </w:r>
      <w:r w:rsidR="00FE5409">
        <w:t>) received more than one type of trigger notice.</w:t>
      </w:r>
    </w:p>
    <w:p w14:paraId="613CE34C" w14:textId="66FEB78C" w:rsidR="004128E4" w:rsidRDefault="004128E4" w:rsidP="00106EA8">
      <w:pPr>
        <w:tabs>
          <w:tab w:val="left" w:pos="1134"/>
        </w:tabs>
        <w:ind w:left="-142" w:right="-425"/>
        <w:jc w:val="both"/>
      </w:pPr>
    </w:p>
    <w:p w14:paraId="73103485" w14:textId="3840A0F9" w:rsidR="000F3A97" w:rsidRPr="00D925BE" w:rsidRDefault="000F3A97" w:rsidP="000F3A97">
      <w:pPr>
        <w:spacing w:after="120" w:line="240" w:lineRule="auto"/>
        <w:ind w:right="-425"/>
        <w:jc w:val="both"/>
        <w:rPr>
          <w:b/>
          <w:sz w:val="16"/>
          <w:szCs w:val="16"/>
        </w:rPr>
      </w:pPr>
      <w:r>
        <w:rPr>
          <w:b/>
          <w:sz w:val="16"/>
          <w:szCs w:val="16"/>
        </w:rPr>
        <w:t>T</w:t>
      </w:r>
      <w:r w:rsidRPr="00362EE1">
        <w:rPr>
          <w:b/>
          <w:sz w:val="16"/>
          <w:szCs w:val="16"/>
        </w:rPr>
        <w:t xml:space="preserve">able </w:t>
      </w:r>
      <w:r>
        <w:rPr>
          <w:b/>
          <w:sz w:val="16"/>
          <w:szCs w:val="16"/>
        </w:rPr>
        <w:t>2</w:t>
      </w:r>
      <w:r w:rsidRPr="00362EE1">
        <w:rPr>
          <w:b/>
          <w:sz w:val="16"/>
          <w:szCs w:val="16"/>
        </w:rPr>
        <w:t xml:space="preserve">: </w:t>
      </w:r>
      <w:r w:rsidRPr="00D61631">
        <w:rPr>
          <w:rFonts w:cs="Arial"/>
          <w:bCs/>
          <w:sz w:val="16"/>
          <w:szCs w:val="16"/>
        </w:rPr>
        <w:t>Number of</w:t>
      </w:r>
      <w:r w:rsidRPr="000A2D9F">
        <w:rPr>
          <w:rFonts w:cs="Arial"/>
          <w:bCs/>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1 July 2022 to 30 Sept</w:t>
      </w:r>
      <w:r w:rsidR="00A53735">
        <w:rPr>
          <w:rFonts w:cs="Arial"/>
          <w:sz w:val="16"/>
          <w:szCs w:val="16"/>
        </w:rPr>
        <w:t>e</w:t>
      </w:r>
      <w:r>
        <w:rPr>
          <w:rFonts w:cs="Arial"/>
          <w:sz w:val="16"/>
          <w:szCs w:val="16"/>
        </w:rPr>
        <w:t>mber 2022</w:t>
      </w:r>
    </w:p>
    <w:tbl>
      <w:tblPr>
        <w:tblW w:w="5289" w:type="dxa"/>
        <w:tblInd w:w="93" w:type="dxa"/>
        <w:tblLook w:val="04A0" w:firstRow="1" w:lastRow="0" w:firstColumn="1" w:lastColumn="0" w:noHBand="0" w:noVBand="1"/>
      </w:tblPr>
      <w:tblGrid>
        <w:gridCol w:w="3446"/>
        <w:gridCol w:w="1843"/>
      </w:tblGrid>
      <w:tr w:rsidR="000F3A97" w:rsidRPr="006E764C" w14:paraId="70821912" w14:textId="77777777" w:rsidTr="006A327F">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4FBBC9AD" w14:textId="77777777" w:rsidR="000F3A97" w:rsidRPr="0093030B" w:rsidRDefault="000F3A97" w:rsidP="006A327F">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7234D952" w14:textId="77777777" w:rsidR="000F3A97" w:rsidRPr="0093030B" w:rsidRDefault="000F3A97" w:rsidP="006A327F">
            <w:pPr>
              <w:pStyle w:val="TableText"/>
              <w:rPr>
                <w:b/>
                <w:lang w:eastAsia="en-AU"/>
              </w:rPr>
            </w:pPr>
            <w:r w:rsidRPr="0093030B">
              <w:rPr>
                <w:b/>
                <w:lang w:eastAsia="en-AU"/>
              </w:rPr>
              <w:t>Number of Clients</w:t>
            </w:r>
          </w:p>
        </w:tc>
      </w:tr>
      <w:tr w:rsidR="000F3A97" w:rsidRPr="006E764C" w14:paraId="1FBE666A" w14:textId="77777777" w:rsidTr="006A327F">
        <w:trPr>
          <w:trHeight w:val="255"/>
        </w:trPr>
        <w:tc>
          <w:tcPr>
            <w:tcW w:w="3446" w:type="dxa"/>
            <w:tcBorders>
              <w:top w:val="nil"/>
              <w:left w:val="single" w:sz="4" w:space="0" w:color="auto"/>
              <w:bottom w:val="single" w:sz="4" w:space="0" w:color="auto"/>
              <w:right w:val="single" w:sz="4" w:space="0" w:color="auto"/>
            </w:tcBorders>
            <w:noWrap/>
            <w:hideMark/>
          </w:tcPr>
          <w:p w14:paraId="4A08B229" w14:textId="77777777" w:rsidR="000F3A97" w:rsidRPr="006E764C" w:rsidRDefault="000F3A97" w:rsidP="006A327F">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4AA7BB04" w14:textId="3E0414FA" w:rsidR="000F3A97" w:rsidRPr="005B6887" w:rsidRDefault="000F3A97" w:rsidP="006A327F">
            <w:pPr>
              <w:jc w:val="right"/>
              <w:rPr>
                <w:rFonts w:cs="Arial"/>
              </w:rPr>
            </w:pPr>
            <w:r>
              <w:rPr>
                <w:rFonts w:cs="Arial"/>
              </w:rPr>
              <w:t>457</w:t>
            </w:r>
          </w:p>
        </w:tc>
      </w:tr>
      <w:tr w:rsidR="000F3A97" w:rsidRPr="006E764C" w14:paraId="6EE5FA37" w14:textId="77777777" w:rsidTr="006A327F">
        <w:trPr>
          <w:trHeight w:val="255"/>
        </w:trPr>
        <w:tc>
          <w:tcPr>
            <w:tcW w:w="3446" w:type="dxa"/>
            <w:tcBorders>
              <w:top w:val="nil"/>
              <w:left w:val="single" w:sz="4" w:space="0" w:color="auto"/>
              <w:bottom w:val="single" w:sz="4" w:space="0" w:color="auto"/>
              <w:right w:val="single" w:sz="4" w:space="0" w:color="auto"/>
            </w:tcBorders>
            <w:noWrap/>
            <w:hideMark/>
          </w:tcPr>
          <w:p w14:paraId="666BC1CE" w14:textId="77777777" w:rsidR="000F3A97" w:rsidRPr="006E764C" w:rsidRDefault="000F3A97" w:rsidP="006A327F">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4EF6D8BF" w14:textId="054F60B6" w:rsidR="000F3A97" w:rsidRPr="005B6887" w:rsidRDefault="000F3A97" w:rsidP="006A327F">
            <w:pPr>
              <w:jc w:val="right"/>
              <w:rPr>
                <w:rFonts w:cs="Arial"/>
              </w:rPr>
            </w:pPr>
            <w:r>
              <w:rPr>
                <w:rFonts w:cs="Arial"/>
              </w:rPr>
              <w:t>79</w:t>
            </w:r>
          </w:p>
        </w:tc>
      </w:tr>
      <w:tr w:rsidR="000F3A97" w:rsidRPr="006E764C" w14:paraId="3BB999CF" w14:textId="77777777" w:rsidTr="006A327F">
        <w:trPr>
          <w:trHeight w:val="255"/>
        </w:trPr>
        <w:tc>
          <w:tcPr>
            <w:tcW w:w="3446" w:type="dxa"/>
            <w:tcBorders>
              <w:top w:val="nil"/>
              <w:left w:val="single" w:sz="4" w:space="0" w:color="auto"/>
              <w:bottom w:val="single" w:sz="4" w:space="0" w:color="auto"/>
              <w:right w:val="single" w:sz="4" w:space="0" w:color="auto"/>
            </w:tcBorders>
            <w:noWrap/>
            <w:hideMark/>
          </w:tcPr>
          <w:p w14:paraId="07BD003A" w14:textId="77777777" w:rsidR="000F3A97" w:rsidRPr="006E764C" w:rsidRDefault="000F3A97" w:rsidP="006A327F">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78BE6870" w14:textId="3EEACA9B" w:rsidR="000F3A97" w:rsidRPr="005B6887" w:rsidRDefault="000F3A97" w:rsidP="006A327F">
            <w:pPr>
              <w:jc w:val="right"/>
              <w:rPr>
                <w:rFonts w:cs="Arial"/>
              </w:rPr>
            </w:pPr>
            <w:r>
              <w:rPr>
                <w:rFonts w:cs="Arial"/>
              </w:rPr>
              <w:t>7</w:t>
            </w:r>
          </w:p>
        </w:tc>
      </w:tr>
      <w:tr w:rsidR="000F3A97" w:rsidRPr="006E764C" w14:paraId="7AF14BF6" w14:textId="77777777" w:rsidTr="006A327F">
        <w:trPr>
          <w:trHeight w:val="255"/>
        </w:trPr>
        <w:tc>
          <w:tcPr>
            <w:tcW w:w="3446" w:type="dxa"/>
            <w:tcBorders>
              <w:top w:val="nil"/>
              <w:left w:val="single" w:sz="4" w:space="0" w:color="auto"/>
              <w:bottom w:val="single" w:sz="4" w:space="0" w:color="auto"/>
              <w:right w:val="single" w:sz="4" w:space="0" w:color="auto"/>
            </w:tcBorders>
            <w:noWrap/>
            <w:hideMark/>
          </w:tcPr>
          <w:p w14:paraId="5A4E5D42" w14:textId="77777777" w:rsidR="000F3A97" w:rsidRPr="006E764C" w:rsidRDefault="000F3A97" w:rsidP="006A327F">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0B5C9CA0" w14:textId="47E5075A" w:rsidR="000F3A97" w:rsidRPr="005B6887" w:rsidRDefault="000F3A97" w:rsidP="006A327F">
            <w:pPr>
              <w:jc w:val="right"/>
              <w:rPr>
                <w:rFonts w:cs="Arial"/>
              </w:rPr>
            </w:pPr>
            <w:r>
              <w:rPr>
                <w:rFonts w:cs="Arial"/>
              </w:rPr>
              <w:t>0</w:t>
            </w:r>
          </w:p>
        </w:tc>
      </w:tr>
      <w:tr w:rsidR="000F3A97" w:rsidRPr="006E764C" w14:paraId="049146B5" w14:textId="77777777" w:rsidTr="006A327F">
        <w:trPr>
          <w:trHeight w:val="255"/>
        </w:trPr>
        <w:tc>
          <w:tcPr>
            <w:tcW w:w="3446" w:type="dxa"/>
            <w:tcBorders>
              <w:top w:val="nil"/>
              <w:left w:val="single" w:sz="4" w:space="0" w:color="auto"/>
              <w:bottom w:val="single" w:sz="4" w:space="0" w:color="auto"/>
              <w:right w:val="single" w:sz="4" w:space="0" w:color="auto"/>
            </w:tcBorders>
            <w:noWrap/>
            <w:hideMark/>
          </w:tcPr>
          <w:p w14:paraId="15FC1228" w14:textId="77777777" w:rsidR="000F3A97" w:rsidRPr="00645916" w:rsidRDefault="000F3A97" w:rsidP="006A327F">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025150B1" w14:textId="388FF906" w:rsidR="000F3A97" w:rsidRPr="005B6887" w:rsidRDefault="005B0C2D" w:rsidP="006A327F">
            <w:pPr>
              <w:jc w:val="right"/>
              <w:rPr>
                <w:rFonts w:cs="Arial"/>
                <w:b/>
                <w:bCs/>
              </w:rPr>
            </w:pPr>
            <w:r>
              <w:rPr>
                <w:rFonts w:cs="Arial"/>
                <w:b/>
                <w:bCs/>
              </w:rPr>
              <w:t>543</w:t>
            </w:r>
          </w:p>
        </w:tc>
      </w:tr>
    </w:tbl>
    <w:p w14:paraId="54D46414" w14:textId="77777777" w:rsidR="000F3A97" w:rsidRDefault="000F3A97" w:rsidP="00106EA8">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6ABE96E2" w:rsidR="003317A8" w:rsidRPr="002B14E8" w:rsidRDefault="00FB4106" w:rsidP="005C0A9F">
      <w:pPr>
        <w:tabs>
          <w:tab w:val="decimal" w:pos="720"/>
        </w:tabs>
        <w:ind w:left="-142" w:right="-425"/>
        <w:jc w:val="both"/>
      </w:pPr>
      <w:r>
        <w:tab/>
      </w:r>
      <w:r w:rsidR="00EC23A7">
        <w:t>56</w:t>
      </w:r>
      <w:r w:rsidR="00EC23A7" w:rsidRPr="002B14E8">
        <w:t xml:space="preserve"> </w:t>
      </w:r>
      <w:r w:rsidR="003317A8" w:rsidRPr="002B14E8">
        <w:t>percen</w:t>
      </w:r>
      <w:r w:rsidR="00FC7C1D" w:rsidRPr="002B14E8">
        <w:t>t</w:t>
      </w:r>
      <w:r w:rsidR="003317A8" w:rsidRPr="002B14E8">
        <w:t xml:space="preserve"> received a school attendance </w:t>
      </w:r>
      <w:r w:rsidR="00546F72" w:rsidRPr="002B14E8">
        <w:t xml:space="preserve">(EQ) </w:t>
      </w:r>
      <w:r w:rsidR="003317A8" w:rsidRPr="002B14E8">
        <w:t>notice</w:t>
      </w:r>
    </w:p>
    <w:p w14:paraId="148CD9E5" w14:textId="7A9DEECE" w:rsidR="003317A8" w:rsidRPr="002B14E8" w:rsidRDefault="00FB4106" w:rsidP="005C0A9F">
      <w:pPr>
        <w:tabs>
          <w:tab w:val="decimal" w:pos="720"/>
        </w:tabs>
        <w:ind w:left="-142" w:right="-425"/>
        <w:jc w:val="both"/>
      </w:pPr>
      <w:r w:rsidRPr="002B14E8">
        <w:tab/>
      </w:r>
      <w:r w:rsidR="00EC23A7">
        <w:t>15</w:t>
      </w:r>
      <w:r w:rsidR="00EC23A7" w:rsidRPr="002B14E8">
        <w:t xml:space="preserve"> </w:t>
      </w:r>
      <w:r w:rsidR="00FC7C1D" w:rsidRPr="002B14E8">
        <w:t xml:space="preserve">percent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35B9421A" w14:textId="3F89DE56" w:rsidR="00384FFE" w:rsidRPr="002B14E8" w:rsidRDefault="00384FFE" w:rsidP="00384FFE">
      <w:pPr>
        <w:tabs>
          <w:tab w:val="decimal" w:pos="720"/>
        </w:tabs>
        <w:ind w:left="-142" w:right="-425"/>
        <w:jc w:val="both"/>
      </w:pPr>
      <w:r w:rsidRPr="002B14E8">
        <w:tab/>
      </w:r>
      <w:r w:rsidR="00A04AB4">
        <w:t>7</w:t>
      </w:r>
      <w:r w:rsidR="00A04AB4" w:rsidRPr="002B14E8">
        <w:t xml:space="preserve"> </w:t>
      </w:r>
      <w:r w:rsidRPr="002B14E8">
        <w:t>percent received a child safety and welfare (CS) notice</w:t>
      </w:r>
      <w:r w:rsidR="003C0A9A">
        <w:t xml:space="preserve"> and</w:t>
      </w:r>
    </w:p>
    <w:p w14:paraId="2F67FFD0" w14:textId="1374B01D" w:rsidR="003317A8" w:rsidRDefault="00FB4106" w:rsidP="005C0A9F">
      <w:pPr>
        <w:tabs>
          <w:tab w:val="decimal" w:pos="720"/>
        </w:tabs>
        <w:ind w:left="-142" w:right="-425"/>
        <w:jc w:val="both"/>
      </w:pPr>
      <w:r w:rsidRPr="002B14E8">
        <w:tab/>
      </w:r>
      <w:r w:rsidR="00F9779C">
        <w:t>3</w:t>
      </w:r>
      <w:r w:rsidR="00E364B4" w:rsidRPr="002B14E8">
        <w:t xml:space="preserve"> </w:t>
      </w:r>
      <w:r w:rsidR="00FC7C1D" w:rsidRPr="002B14E8">
        <w:t xml:space="preserve">percent </w:t>
      </w:r>
      <w:r w:rsidR="00E364B4" w:rsidRPr="002B14E8">
        <w:t xml:space="preserve">received a domestic violence order </w:t>
      </w:r>
      <w:r w:rsidR="00546F72" w:rsidRPr="002B14E8">
        <w:t xml:space="preserve">(DVO) </w:t>
      </w:r>
      <w:r w:rsidR="00E364B4" w:rsidRPr="002B14E8">
        <w:t>notice</w:t>
      </w:r>
      <w:r w:rsidR="003C0A9A">
        <w:t>.</w:t>
      </w:r>
    </w:p>
    <w:p w14:paraId="7E950EE4" w14:textId="77777777" w:rsidR="003C0A9A" w:rsidRDefault="003C0A9A" w:rsidP="005C0A9F">
      <w:pPr>
        <w:tabs>
          <w:tab w:val="decimal" w:pos="720"/>
        </w:tabs>
        <w:ind w:left="-142" w:right="-425"/>
        <w:jc w:val="both"/>
      </w:pPr>
    </w:p>
    <w:p w14:paraId="74CFEB98" w14:textId="49F99C80"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3C0A9A">
        <w:t>3 clients with a District court notice (DIS), 5</w:t>
      </w:r>
      <w:r w:rsidR="005E1684">
        <w:t xml:space="preserve"> </w:t>
      </w:r>
      <w:r w:rsidR="00C43C99">
        <w:t xml:space="preserve">clients with a </w:t>
      </w:r>
      <w:r w:rsidR="00F9779C">
        <w:t>domestic violence breach (DVB)</w:t>
      </w:r>
      <w:r w:rsidR="00C43C99">
        <w:t xml:space="preserve"> notice</w:t>
      </w:r>
      <w:r w:rsidR="003C0A9A">
        <w:t>, 4 clients with a housing tenancy breach notice</w:t>
      </w:r>
      <w:r w:rsidR="005E1684">
        <w:t xml:space="preserve"> and </w:t>
      </w:r>
      <w:r w:rsidR="003C0A9A">
        <w:t>6</w:t>
      </w:r>
      <w:r w:rsidR="005E1684">
        <w:t xml:space="preserve"> clients with a </w:t>
      </w:r>
      <w:r w:rsidR="003C0A9A">
        <w:t>school enrolment</w:t>
      </w:r>
      <w:r w:rsidR="005E1684">
        <w:t xml:space="preserve"> notice (</w:t>
      </w:r>
      <w:r w:rsidR="003C0A9A">
        <w:t>SEN</w:t>
      </w:r>
      <w:r w:rsidR="005E1684">
        <w:t>)</w:t>
      </w:r>
      <w:r>
        <w:t>.</w:t>
      </w:r>
    </w:p>
    <w:p w14:paraId="45C18E5D" w14:textId="77777777" w:rsidR="00085687" w:rsidRDefault="00085687" w:rsidP="004E36FE">
      <w:pPr>
        <w:tabs>
          <w:tab w:val="left" w:pos="1134"/>
        </w:tabs>
        <w:ind w:left="-142" w:right="-425"/>
        <w:jc w:val="both"/>
      </w:pPr>
    </w:p>
    <w:p w14:paraId="78ABBEEE" w14:textId="4F227927" w:rsidR="004E36FE" w:rsidRDefault="00702AE8" w:rsidP="004E36FE">
      <w:pPr>
        <w:tabs>
          <w:tab w:val="left" w:pos="1134"/>
        </w:tabs>
        <w:ind w:left="-142" w:right="-425"/>
        <w:jc w:val="both"/>
      </w:pPr>
      <w:r>
        <w:t xml:space="preserve">Table </w:t>
      </w:r>
      <w:r w:rsidR="000F3A97">
        <w:t>3</w:t>
      </w:r>
      <w:r>
        <w:t xml:space="preserve"> shows t</w:t>
      </w:r>
      <w:r w:rsidR="00D87B74">
        <w:t xml:space="preserve">he </w:t>
      </w:r>
      <w:r w:rsidR="00D87B74" w:rsidRPr="00ED2A82">
        <w:t xml:space="preserve">combination of trigger notices received for </w:t>
      </w:r>
      <w:r w:rsidR="00A430B9">
        <w:t xml:space="preserve">the </w:t>
      </w:r>
      <w:r w:rsidR="00C33B2C">
        <w:t>86</w:t>
      </w:r>
      <w:r w:rsidR="00C33B2C"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One can see that predominantly </w:t>
      </w:r>
      <w:r w:rsidR="00E451BA" w:rsidRPr="00712441">
        <w:t>there is a nexus between</w:t>
      </w:r>
      <w:r w:rsidR="00266BB4" w:rsidRPr="00712441">
        <w:t xml:space="preserve"> </w:t>
      </w:r>
      <w:r w:rsidR="00D87B74" w:rsidRPr="00712441">
        <w:t xml:space="preserve">Court convictions </w:t>
      </w:r>
      <w:r w:rsidR="00266BB4" w:rsidRPr="00712441">
        <w:t xml:space="preserve">and domestic violence orders/breaches </w:t>
      </w:r>
      <w:r w:rsidR="00E451BA" w:rsidRPr="00712441">
        <w:t>with</w:t>
      </w:r>
      <w:r w:rsidR="00D87B74" w:rsidRPr="00712441">
        <w:t xml:space="preserve"> education </w:t>
      </w:r>
      <w:r w:rsidR="00E451BA" w:rsidRPr="00712441">
        <w:t xml:space="preserve">notices </w:t>
      </w:r>
      <w:r w:rsidR="00D87B74" w:rsidRPr="00712441">
        <w:t>and child safety issues</w:t>
      </w:r>
      <w:r w:rsidR="00A903B1" w:rsidRPr="00712441">
        <w:t xml:space="preserve">, and </w:t>
      </w:r>
      <w:r w:rsidR="00E451BA" w:rsidRPr="00712441">
        <w:t xml:space="preserve">also </w:t>
      </w:r>
      <w:r w:rsidR="00A903B1" w:rsidRPr="00712441">
        <w:t>a strong nexus between child safety issues and education notices</w:t>
      </w:r>
      <w:r w:rsidR="00266BB4" w:rsidRPr="00712441">
        <w:t>.</w:t>
      </w:r>
    </w:p>
    <w:p w14:paraId="4DF56508" w14:textId="6FC8AD83" w:rsidR="0030587D" w:rsidRDefault="0030587D" w:rsidP="00106EA8">
      <w:pPr>
        <w:tabs>
          <w:tab w:val="left" w:pos="1134"/>
        </w:tabs>
        <w:ind w:left="-142" w:right="-425"/>
        <w:jc w:val="both"/>
      </w:pPr>
    </w:p>
    <w:p w14:paraId="2742FE43" w14:textId="77777777" w:rsidR="000F3A97" w:rsidRDefault="000F3A97">
      <w:pPr>
        <w:spacing w:line="240" w:lineRule="auto"/>
        <w:rPr>
          <w:b/>
          <w:sz w:val="16"/>
          <w:szCs w:val="16"/>
        </w:rPr>
      </w:pPr>
      <w:r>
        <w:rPr>
          <w:b/>
          <w:sz w:val="16"/>
          <w:szCs w:val="16"/>
        </w:rPr>
        <w:br w:type="page"/>
      </w:r>
    </w:p>
    <w:p w14:paraId="545211AE" w14:textId="1E6E1129"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0F3A97">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F83C14">
        <w:rPr>
          <w:bCs/>
          <w:sz w:val="16"/>
          <w:szCs w:val="16"/>
        </w:rPr>
        <w:t xml:space="preserve">1 </w:t>
      </w:r>
      <w:r w:rsidR="000A118E">
        <w:rPr>
          <w:bCs/>
          <w:sz w:val="16"/>
          <w:szCs w:val="16"/>
        </w:rPr>
        <w:t xml:space="preserve">July </w:t>
      </w:r>
      <w:r w:rsidR="00415BC8">
        <w:rPr>
          <w:bCs/>
          <w:sz w:val="16"/>
          <w:szCs w:val="16"/>
        </w:rPr>
        <w:t>2022</w:t>
      </w:r>
      <w:r w:rsidR="00352CA2" w:rsidRPr="00352CA2">
        <w:rPr>
          <w:bCs/>
          <w:sz w:val="16"/>
          <w:szCs w:val="16"/>
        </w:rPr>
        <w:t xml:space="preserve"> to </w:t>
      </w:r>
      <w:r w:rsidR="00DA70CA">
        <w:rPr>
          <w:bCs/>
          <w:sz w:val="16"/>
          <w:szCs w:val="16"/>
        </w:rPr>
        <w:t xml:space="preserve">30 </w:t>
      </w:r>
      <w:r w:rsidR="000A118E">
        <w:rPr>
          <w:bCs/>
          <w:sz w:val="16"/>
          <w:szCs w:val="16"/>
        </w:rPr>
        <w:t xml:space="preserve">September </w:t>
      </w:r>
      <w:r w:rsidR="001A5C4C">
        <w:rPr>
          <w:bCs/>
          <w:sz w:val="16"/>
          <w:szCs w:val="16"/>
        </w:rPr>
        <w:t>2022</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C33B2C" w:rsidRPr="00FE5409" w14:paraId="4CC5A88B" w14:textId="77777777" w:rsidTr="00C33B2C">
        <w:trPr>
          <w:trHeight w:val="300"/>
        </w:trPr>
        <w:tc>
          <w:tcPr>
            <w:tcW w:w="2200" w:type="dxa"/>
            <w:shd w:val="clear" w:color="auto" w:fill="auto"/>
          </w:tcPr>
          <w:p w14:paraId="61A9D4A5" w14:textId="67CF5CBC" w:rsidR="00C33B2C" w:rsidRDefault="00C33B2C" w:rsidP="00C33B2C">
            <w:pPr>
              <w:spacing w:line="240" w:lineRule="auto"/>
              <w:rPr>
                <w:rFonts w:cs="Arial"/>
                <w:color w:val="000000"/>
              </w:rPr>
            </w:pPr>
            <w:r>
              <w:rPr>
                <w:rFonts w:cs="Arial"/>
                <w:color w:val="000000"/>
              </w:rPr>
              <w:t>CS,DVO</w:t>
            </w:r>
          </w:p>
        </w:tc>
        <w:tc>
          <w:tcPr>
            <w:tcW w:w="1197" w:type="dxa"/>
            <w:shd w:val="clear" w:color="auto" w:fill="auto"/>
          </w:tcPr>
          <w:p w14:paraId="4B4FBAFF" w14:textId="19257955" w:rsidR="00C33B2C" w:rsidRPr="00FE5409" w:rsidRDefault="00C33B2C" w:rsidP="00C33B2C">
            <w:pPr>
              <w:spacing w:line="240" w:lineRule="auto"/>
              <w:jc w:val="right"/>
              <w:rPr>
                <w:rFonts w:cs="Calibri"/>
                <w:color w:val="000000"/>
                <w:lang w:eastAsia="en-AU"/>
              </w:rPr>
            </w:pPr>
            <w:r>
              <w:rPr>
                <w:rFonts w:cs="Arial"/>
                <w:color w:val="000000"/>
              </w:rPr>
              <w:t>5</w:t>
            </w:r>
          </w:p>
        </w:tc>
      </w:tr>
      <w:tr w:rsidR="00C33B2C" w:rsidRPr="00FE5409" w14:paraId="72A48ECB" w14:textId="77777777" w:rsidTr="00C33B2C">
        <w:trPr>
          <w:trHeight w:val="300"/>
        </w:trPr>
        <w:tc>
          <w:tcPr>
            <w:tcW w:w="2200" w:type="dxa"/>
            <w:shd w:val="clear" w:color="auto" w:fill="auto"/>
          </w:tcPr>
          <w:p w14:paraId="5FB9CC03" w14:textId="4DAC6DF9" w:rsidR="00C33B2C" w:rsidRDefault="00C33B2C" w:rsidP="00C33B2C">
            <w:pPr>
              <w:spacing w:line="240" w:lineRule="auto"/>
              <w:rPr>
                <w:rFonts w:cs="Arial"/>
                <w:color w:val="000000"/>
              </w:rPr>
            </w:pPr>
            <w:r>
              <w:rPr>
                <w:rFonts w:cs="Arial"/>
                <w:color w:val="000000"/>
              </w:rPr>
              <w:t>CS,DVO,MAG</w:t>
            </w:r>
          </w:p>
        </w:tc>
        <w:tc>
          <w:tcPr>
            <w:tcW w:w="1197" w:type="dxa"/>
            <w:shd w:val="clear" w:color="auto" w:fill="auto"/>
          </w:tcPr>
          <w:p w14:paraId="75D4754A" w14:textId="6B03B6DB"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37C0D2CE" w14:textId="77777777" w:rsidTr="00C33B2C">
        <w:trPr>
          <w:trHeight w:val="300"/>
        </w:trPr>
        <w:tc>
          <w:tcPr>
            <w:tcW w:w="2200" w:type="dxa"/>
            <w:shd w:val="clear" w:color="auto" w:fill="auto"/>
          </w:tcPr>
          <w:p w14:paraId="0B6C9CC2" w14:textId="088AE1C1" w:rsidR="00C33B2C" w:rsidRDefault="00C33B2C" w:rsidP="00C33B2C">
            <w:pPr>
              <w:spacing w:line="240" w:lineRule="auto"/>
              <w:rPr>
                <w:rFonts w:cs="Arial"/>
                <w:color w:val="000000"/>
              </w:rPr>
            </w:pPr>
            <w:r>
              <w:rPr>
                <w:rFonts w:cs="Arial"/>
                <w:color w:val="000000"/>
              </w:rPr>
              <w:t>CS,EQ</w:t>
            </w:r>
          </w:p>
        </w:tc>
        <w:tc>
          <w:tcPr>
            <w:tcW w:w="1197" w:type="dxa"/>
            <w:shd w:val="clear" w:color="auto" w:fill="auto"/>
          </w:tcPr>
          <w:p w14:paraId="60C66FED" w14:textId="530355B2" w:rsidR="00C33B2C" w:rsidRPr="00FE5409" w:rsidRDefault="00C33B2C" w:rsidP="00C33B2C">
            <w:pPr>
              <w:spacing w:line="240" w:lineRule="auto"/>
              <w:jc w:val="right"/>
              <w:rPr>
                <w:rFonts w:cs="Calibri"/>
                <w:color w:val="000000"/>
                <w:lang w:eastAsia="en-AU"/>
              </w:rPr>
            </w:pPr>
            <w:r>
              <w:rPr>
                <w:rFonts w:cs="Arial"/>
                <w:color w:val="000000"/>
              </w:rPr>
              <w:t>24</w:t>
            </w:r>
          </w:p>
        </w:tc>
      </w:tr>
      <w:tr w:rsidR="00C33B2C" w:rsidRPr="00FE5409" w14:paraId="45421862" w14:textId="77777777" w:rsidTr="00C33B2C">
        <w:trPr>
          <w:trHeight w:val="300"/>
        </w:trPr>
        <w:tc>
          <w:tcPr>
            <w:tcW w:w="2200" w:type="dxa"/>
            <w:shd w:val="clear" w:color="auto" w:fill="auto"/>
          </w:tcPr>
          <w:p w14:paraId="2433043D" w14:textId="41FB6A6D" w:rsidR="00C33B2C" w:rsidRPr="00FE5409" w:rsidRDefault="00C33B2C" w:rsidP="00C33B2C">
            <w:pPr>
              <w:spacing w:line="240" w:lineRule="auto"/>
              <w:rPr>
                <w:rFonts w:cs="Calibri"/>
                <w:color w:val="000000"/>
                <w:lang w:eastAsia="en-AU"/>
              </w:rPr>
            </w:pPr>
            <w:r>
              <w:rPr>
                <w:rFonts w:cs="Arial"/>
                <w:color w:val="000000"/>
              </w:rPr>
              <w:t>CS,EQ,SEN</w:t>
            </w:r>
          </w:p>
        </w:tc>
        <w:tc>
          <w:tcPr>
            <w:tcW w:w="1197" w:type="dxa"/>
            <w:shd w:val="clear" w:color="auto" w:fill="auto"/>
          </w:tcPr>
          <w:p w14:paraId="5436615D" w14:textId="652EAC7D"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492A9CC8" w14:textId="77777777" w:rsidTr="00C33B2C">
        <w:trPr>
          <w:trHeight w:val="300"/>
        </w:trPr>
        <w:tc>
          <w:tcPr>
            <w:tcW w:w="2200" w:type="dxa"/>
            <w:shd w:val="clear" w:color="auto" w:fill="auto"/>
          </w:tcPr>
          <w:p w14:paraId="13AE3B26" w14:textId="4A9C2FE5" w:rsidR="00C33B2C" w:rsidRPr="00FE5409" w:rsidRDefault="00C33B2C" w:rsidP="00C33B2C">
            <w:pPr>
              <w:spacing w:line="240" w:lineRule="auto"/>
              <w:rPr>
                <w:rFonts w:cs="Calibri"/>
                <w:color w:val="000000"/>
                <w:lang w:eastAsia="en-AU"/>
              </w:rPr>
            </w:pPr>
            <w:r>
              <w:rPr>
                <w:rFonts w:cs="Arial"/>
                <w:color w:val="000000"/>
              </w:rPr>
              <w:t>CS,MAG</w:t>
            </w:r>
          </w:p>
        </w:tc>
        <w:tc>
          <w:tcPr>
            <w:tcW w:w="1197" w:type="dxa"/>
            <w:shd w:val="clear" w:color="auto" w:fill="auto"/>
          </w:tcPr>
          <w:p w14:paraId="1E1FE897" w14:textId="64E64107" w:rsidR="00C33B2C" w:rsidRPr="00FE5409" w:rsidRDefault="00C33B2C" w:rsidP="00C33B2C">
            <w:pPr>
              <w:spacing w:line="240" w:lineRule="auto"/>
              <w:jc w:val="right"/>
              <w:rPr>
                <w:rFonts w:cs="Calibri"/>
                <w:color w:val="000000"/>
                <w:lang w:eastAsia="en-AU"/>
              </w:rPr>
            </w:pPr>
            <w:r>
              <w:rPr>
                <w:rFonts w:cs="Arial"/>
                <w:color w:val="000000"/>
              </w:rPr>
              <w:t>5</w:t>
            </w:r>
          </w:p>
        </w:tc>
      </w:tr>
      <w:tr w:rsidR="00C33B2C" w:rsidRPr="00FE5409" w14:paraId="5DD4E31E" w14:textId="77777777" w:rsidTr="00C33B2C">
        <w:trPr>
          <w:trHeight w:val="300"/>
        </w:trPr>
        <w:tc>
          <w:tcPr>
            <w:tcW w:w="2200" w:type="dxa"/>
            <w:shd w:val="clear" w:color="auto" w:fill="auto"/>
          </w:tcPr>
          <w:p w14:paraId="4CAD65B0" w14:textId="71A6F69F" w:rsidR="00C33B2C" w:rsidRDefault="00C33B2C" w:rsidP="00C33B2C">
            <w:pPr>
              <w:spacing w:line="240" w:lineRule="auto"/>
              <w:rPr>
                <w:rFonts w:cs="Calibri"/>
                <w:color w:val="000000"/>
              </w:rPr>
            </w:pPr>
            <w:r>
              <w:rPr>
                <w:rFonts w:cs="Arial"/>
                <w:color w:val="000000"/>
              </w:rPr>
              <w:t>DVB,DVO</w:t>
            </w:r>
          </w:p>
        </w:tc>
        <w:tc>
          <w:tcPr>
            <w:tcW w:w="1197" w:type="dxa"/>
            <w:shd w:val="clear" w:color="auto" w:fill="auto"/>
          </w:tcPr>
          <w:p w14:paraId="3322EC6D" w14:textId="2D501A5D" w:rsidR="00C33B2C" w:rsidRDefault="00C33B2C" w:rsidP="00C33B2C">
            <w:pPr>
              <w:spacing w:line="240" w:lineRule="auto"/>
              <w:jc w:val="right"/>
              <w:rPr>
                <w:rFonts w:cs="Calibri"/>
                <w:color w:val="000000"/>
                <w:lang w:eastAsia="en-AU"/>
              </w:rPr>
            </w:pPr>
            <w:r>
              <w:rPr>
                <w:rFonts w:cs="Arial"/>
                <w:color w:val="000000"/>
              </w:rPr>
              <w:t>1</w:t>
            </w:r>
          </w:p>
        </w:tc>
      </w:tr>
      <w:tr w:rsidR="00C33B2C" w:rsidRPr="00FE5409" w14:paraId="6FF59BF7" w14:textId="77777777" w:rsidTr="00C33B2C">
        <w:trPr>
          <w:trHeight w:val="300"/>
        </w:trPr>
        <w:tc>
          <w:tcPr>
            <w:tcW w:w="2200" w:type="dxa"/>
            <w:shd w:val="clear" w:color="auto" w:fill="auto"/>
          </w:tcPr>
          <w:p w14:paraId="46C178A4" w14:textId="75102B23" w:rsidR="00C33B2C" w:rsidRDefault="00C33B2C" w:rsidP="00C33B2C">
            <w:pPr>
              <w:spacing w:line="240" w:lineRule="auto"/>
              <w:rPr>
                <w:rFonts w:cs="Calibri"/>
                <w:color w:val="000000"/>
                <w:lang w:eastAsia="en-AU"/>
              </w:rPr>
            </w:pPr>
            <w:r>
              <w:rPr>
                <w:rFonts w:cs="Arial"/>
                <w:color w:val="000000"/>
              </w:rPr>
              <w:t>DVB,DVO,MAG</w:t>
            </w:r>
          </w:p>
        </w:tc>
        <w:tc>
          <w:tcPr>
            <w:tcW w:w="1197" w:type="dxa"/>
            <w:shd w:val="clear" w:color="auto" w:fill="auto"/>
          </w:tcPr>
          <w:p w14:paraId="073DFBE8" w14:textId="0853D741" w:rsidR="00C33B2C" w:rsidRDefault="00C33B2C" w:rsidP="00C33B2C">
            <w:pPr>
              <w:spacing w:line="240" w:lineRule="auto"/>
              <w:jc w:val="right"/>
              <w:rPr>
                <w:rFonts w:cs="Calibri"/>
                <w:color w:val="000000"/>
                <w:lang w:eastAsia="en-AU"/>
              </w:rPr>
            </w:pPr>
            <w:r>
              <w:rPr>
                <w:rFonts w:cs="Arial"/>
                <w:color w:val="000000"/>
              </w:rPr>
              <w:t>3</w:t>
            </w:r>
          </w:p>
        </w:tc>
      </w:tr>
      <w:tr w:rsidR="00C33B2C" w:rsidRPr="00FE5409" w14:paraId="1F7BFD3E" w14:textId="77777777" w:rsidTr="00C33B2C">
        <w:trPr>
          <w:trHeight w:val="300"/>
        </w:trPr>
        <w:tc>
          <w:tcPr>
            <w:tcW w:w="2200" w:type="dxa"/>
            <w:shd w:val="clear" w:color="auto" w:fill="auto"/>
          </w:tcPr>
          <w:p w14:paraId="7F0F7750" w14:textId="13757DB5" w:rsidR="00C33B2C" w:rsidRPr="00FE5409" w:rsidRDefault="00C33B2C" w:rsidP="00C33B2C">
            <w:pPr>
              <w:spacing w:line="240" w:lineRule="auto"/>
              <w:rPr>
                <w:rFonts w:cs="Calibri"/>
                <w:color w:val="000000"/>
                <w:lang w:eastAsia="en-AU"/>
              </w:rPr>
            </w:pPr>
            <w:r>
              <w:rPr>
                <w:rFonts w:cs="Arial"/>
                <w:color w:val="000000"/>
              </w:rPr>
              <w:t>DVB,EQ,MAG</w:t>
            </w:r>
          </w:p>
        </w:tc>
        <w:tc>
          <w:tcPr>
            <w:tcW w:w="1197" w:type="dxa"/>
            <w:shd w:val="clear" w:color="auto" w:fill="auto"/>
          </w:tcPr>
          <w:p w14:paraId="0F6136B2" w14:textId="1D6438DC"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7473681C" w14:textId="77777777" w:rsidTr="00C33B2C">
        <w:trPr>
          <w:trHeight w:val="300"/>
        </w:trPr>
        <w:tc>
          <w:tcPr>
            <w:tcW w:w="2200" w:type="dxa"/>
            <w:shd w:val="clear" w:color="auto" w:fill="auto"/>
          </w:tcPr>
          <w:p w14:paraId="1EC80D89" w14:textId="28E61AED" w:rsidR="00C33B2C" w:rsidRPr="00FE5409" w:rsidRDefault="00C33B2C" w:rsidP="00C33B2C">
            <w:pPr>
              <w:spacing w:line="240" w:lineRule="auto"/>
              <w:rPr>
                <w:rFonts w:cs="Calibri"/>
                <w:color w:val="000000"/>
                <w:lang w:eastAsia="en-AU"/>
              </w:rPr>
            </w:pPr>
            <w:r>
              <w:rPr>
                <w:rFonts w:cs="Arial"/>
                <w:color w:val="000000"/>
              </w:rPr>
              <w:t>DVB,MAG</w:t>
            </w:r>
          </w:p>
        </w:tc>
        <w:tc>
          <w:tcPr>
            <w:tcW w:w="1197" w:type="dxa"/>
            <w:shd w:val="clear" w:color="auto" w:fill="auto"/>
          </w:tcPr>
          <w:p w14:paraId="7BBBF358" w14:textId="1EA3C91F" w:rsidR="00C33B2C" w:rsidRPr="00FE5409" w:rsidRDefault="00C33B2C" w:rsidP="00C33B2C">
            <w:pPr>
              <w:spacing w:line="240" w:lineRule="auto"/>
              <w:jc w:val="right"/>
              <w:rPr>
                <w:rFonts w:cs="Calibri"/>
                <w:color w:val="000000"/>
                <w:lang w:eastAsia="en-AU"/>
              </w:rPr>
            </w:pPr>
            <w:r>
              <w:rPr>
                <w:rFonts w:cs="Arial"/>
                <w:color w:val="000000"/>
              </w:rPr>
              <w:t>9</w:t>
            </w:r>
          </w:p>
        </w:tc>
      </w:tr>
      <w:tr w:rsidR="00C33B2C" w:rsidRPr="00FE5409" w14:paraId="0ACB3A1E" w14:textId="77777777" w:rsidTr="00C33B2C">
        <w:trPr>
          <w:trHeight w:val="300"/>
        </w:trPr>
        <w:tc>
          <w:tcPr>
            <w:tcW w:w="2200" w:type="dxa"/>
            <w:shd w:val="clear" w:color="auto" w:fill="auto"/>
          </w:tcPr>
          <w:p w14:paraId="067DD967" w14:textId="44FBB664" w:rsidR="00C33B2C" w:rsidRPr="00FE5409" w:rsidRDefault="00C33B2C" w:rsidP="00C33B2C">
            <w:pPr>
              <w:spacing w:line="240" w:lineRule="auto"/>
              <w:rPr>
                <w:rFonts w:cs="Calibri"/>
                <w:color w:val="000000"/>
                <w:lang w:eastAsia="en-AU"/>
              </w:rPr>
            </w:pPr>
            <w:r>
              <w:rPr>
                <w:rFonts w:cs="Arial"/>
                <w:color w:val="000000"/>
              </w:rPr>
              <w:t>DVO,EQ</w:t>
            </w:r>
          </w:p>
        </w:tc>
        <w:tc>
          <w:tcPr>
            <w:tcW w:w="1197" w:type="dxa"/>
            <w:shd w:val="clear" w:color="auto" w:fill="auto"/>
          </w:tcPr>
          <w:p w14:paraId="2509FA12" w14:textId="0790E975" w:rsidR="00C33B2C" w:rsidRPr="00FE5409" w:rsidRDefault="00C33B2C" w:rsidP="00C33B2C">
            <w:pPr>
              <w:spacing w:line="240" w:lineRule="auto"/>
              <w:jc w:val="right"/>
              <w:rPr>
                <w:rFonts w:cs="Calibri"/>
                <w:color w:val="000000"/>
                <w:lang w:eastAsia="en-AU"/>
              </w:rPr>
            </w:pPr>
            <w:r>
              <w:rPr>
                <w:rFonts w:cs="Arial"/>
                <w:color w:val="000000"/>
              </w:rPr>
              <w:t>4</w:t>
            </w:r>
          </w:p>
        </w:tc>
      </w:tr>
      <w:tr w:rsidR="00C33B2C" w:rsidRPr="00FE5409" w14:paraId="1787C4F7" w14:textId="77777777" w:rsidTr="00C33B2C">
        <w:trPr>
          <w:trHeight w:val="300"/>
        </w:trPr>
        <w:tc>
          <w:tcPr>
            <w:tcW w:w="2200" w:type="dxa"/>
            <w:shd w:val="clear" w:color="auto" w:fill="auto"/>
          </w:tcPr>
          <w:p w14:paraId="4FDE344B" w14:textId="5D58D9C9" w:rsidR="00C33B2C" w:rsidRPr="00FE5409" w:rsidRDefault="00C33B2C" w:rsidP="00C33B2C">
            <w:pPr>
              <w:spacing w:line="240" w:lineRule="auto"/>
              <w:rPr>
                <w:rFonts w:cs="Calibri"/>
                <w:color w:val="000000"/>
                <w:lang w:eastAsia="en-AU"/>
              </w:rPr>
            </w:pPr>
            <w:r>
              <w:rPr>
                <w:rFonts w:cs="Arial"/>
                <w:color w:val="000000"/>
              </w:rPr>
              <w:t>DVO,EQ,MAG</w:t>
            </w:r>
          </w:p>
        </w:tc>
        <w:tc>
          <w:tcPr>
            <w:tcW w:w="1197" w:type="dxa"/>
            <w:shd w:val="clear" w:color="auto" w:fill="auto"/>
          </w:tcPr>
          <w:p w14:paraId="1A891217" w14:textId="34A7DB46" w:rsidR="00C33B2C" w:rsidRPr="00FE5409" w:rsidRDefault="00C33B2C" w:rsidP="00C33B2C">
            <w:pPr>
              <w:spacing w:line="240" w:lineRule="auto"/>
              <w:jc w:val="right"/>
              <w:rPr>
                <w:rFonts w:cs="Calibri"/>
                <w:color w:val="000000"/>
                <w:lang w:eastAsia="en-AU"/>
              </w:rPr>
            </w:pPr>
            <w:r>
              <w:rPr>
                <w:rFonts w:cs="Arial"/>
                <w:color w:val="000000"/>
              </w:rPr>
              <w:t>1</w:t>
            </w:r>
          </w:p>
        </w:tc>
      </w:tr>
      <w:tr w:rsidR="00C33B2C" w:rsidRPr="00FE5409" w14:paraId="18BBD4F7" w14:textId="77777777" w:rsidTr="00C33B2C">
        <w:trPr>
          <w:trHeight w:val="300"/>
        </w:trPr>
        <w:tc>
          <w:tcPr>
            <w:tcW w:w="2200" w:type="dxa"/>
            <w:shd w:val="clear" w:color="auto" w:fill="auto"/>
          </w:tcPr>
          <w:p w14:paraId="39E361CB" w14:textId="2693CB72" w:rsidR="00C33B2C" w:rsidRPr="00FE5409" w:rsidRDefault="00C33B2C" w:rsidP="00C33B2C">
            <w:pPr>
              <w:spacing w:line="240" w:lineRule="auto"/>
              <w:rPr>
                <w:rFonts w:cs="Calibri"/>
                <w:color w:val="000000"/>
                <w:lang w:eastAsia="en-AU"/>
              </w:rPr>
            </w:pPr>
            <w:r>
              <w:rPr>
                <w:rFonts w:cs="Arial"/>
                <w:color w:val="000000"/>
              </w:rPr>
              <w:t>DVO,HT</w:t>
            </w:r>
          </w:p>
        </w:tc>
        <w:tc>
          <w:tcPr>
            <w:tcW w:w="1197" w:type="dxa"/>
            <w:shd w:val="clear" w:color="auto" w:fill="auto"/>
          </w:tcPr>
          <w:p w14:paraId="632B8C8C" w14:textId="0EF0A50A" w:rsidR="00C33B2C" w:rsidRDefault="00C33B2C" w:rsidP="00C33B2C">
            <w:pPr>
              <w:spacing w:line="240" w:lineRule="auto"/>
              <w:jc w:val="right"/>
              <w:rPr>
                <w:rFonts w:cs="Calibri"/>
                <w:color w:val="000000"/>
                <w:lang w:eastAsia="en-AU"/>
              </w:rPr>
            </w:pPr>
            <w:r>
              <w:rPr>
                <w:rFonts w:cs="Arial"/>
                <w:color w:val="000000"/>
              </w:rPr>
              <w:t>1</w:t>
            </w:r>
          </w:p>
        </w:tc>
      </w:tr>
      <w:tr w:rsidR="00C33B2C" w:rsidRPr="00FE5409" w14:paraId="3740FA89" w14:textId="77777777" w:rsidTr="00C33B2C">
        <w:trPr>
          <w:trHeight w:val="300"/>
        </w:trPr>
        <w:tc>
          <w:tcPr>
            <w:tcW w:w="2200" w:type="dxa"/>
            <w:shd w:val="clear" w:color="auto" w:fill="auto"/>
          </w:tcPr>
          <w:p w14:paraId="51D24033" w14:textId="40F83531" w:rsidR="00C33B2C" w:rsidRDefault="00C33B2C" w:rsidP="00C33B2C">
            <w:pPr>
              <w:spacing w:line="240" w:lineRule="auto"/>
              <w:rPr>
                <w:rFonts w:cs="Calibri"/>
                <w:color w:val="000000"/>
                <w:lang w:eastAsia="en-AU"/>
              </w:rPr>
            </w:pPr>
            <w:r>
              <w:rPr>
                <w:rFonts w:cs="Arial"/>
                <w:color w:val="000000"/>
              </w:rPr>
              <w:t>DVO,MAG</w:t>
            </w:r>
          </w:p>
        </w:tc>
        <w:tc>
          <w:tcPr>
            <w:tcW w:w="1197" w:type="dxa"/>
            <w:shd w:val="clear" w:color="auto" w:fill="auto"/>
          </w:tcPr>
          <w:p w14:paraId="09F5D6E0" w14:textId="0D1D7A5C" w:rsidR="00C33B2C" w:rsidRPr="00FE5409" w:rsidRDefault="00C33B2C" w:rsidP="00C33B2C">
            <w:pPr>
              <w:spacing w:line="240" w:lineRule="auto"/>
              <w:jc w:val="right"/>
              <w:rPr>
                <w:rFonts w:cs="Calibri"/>
                <w:color w:val="000000"/>
                <w:lang w:eastAsia="en-AU"/>
              </w:rPr>
            </w:pPr>
            <w:r>
              <w:rPr>
                <w:rFonts w:cs="Arial"/>
                <w:color w:val="000000"/>
              </w:rPr>
              <w:t>8</w:t>
            </w:r>
          </w:p>
        </w:tc>
      </w:tr>
      <w:tr w:rsidR="00C33B2C" w:rsidRPr="00FE5409" w14:paraId="1CA3553C" w14:textId="77777777" w:rsidTr="00C33B2C">
        <w:trPr>
          <w:trHeight w:val="300"/>
        </w:trPr>
        <w:tc>
          <w:tcPr>
            <w:tcW w:w="2200" w:type="dxa"/>
            <w:shd w:val="clear" w:color="auto" w:fill="auto"/>
          </w:tcPr>
          <w:p w14:paraId="2F839C82" w14:textId="74134E6D" w:rsidR="00C33B2C" w:rsidRDefault="00C33B2C" w:rsidP="00C33B2C">
            <w:pPr>
              <w:spacing w:line="240" w:lineRule="auto"/>
              <w:rPr>
                <w:rFonts w:cs="Calibri"/>
                <w:color w:val="000000"/>
                <w:lang w:eastAsia="en-AU"/>
              </w:rPr>
            </w:pPr>
            <w:r>
              <w:rPr>
                <w:rFonts w:cs="Arial"/>
                <w:color w:val="000000"/>
              </w:rPr>
              <w:t>EQ,MAG</w:t>
            </w:r>
          </w:p>
        </w:tc>
        <w:tc>
          <w:tcPr>
            <w:tcW w:w="1197" w:type="dxa"/>
            <w:shd w:val="clear" w:color="auto" w:fill="auto"/>
          </w:tcPr>
          <w:p w14:paraId="6717F1C7" w14:textId="23B4B1B9" w:rsidR="00C33B2C" w:rsidRPr="00FE5409" w:rsidRDefault="00C33B2C" w:rsidP="00C33B2C">
            <w:pPr>
              <w:spacing w:line="240" w:lineRule="auto"/>
              <w:jc w:val="right"/>
              <w:rPr>
                <w:rFonts w:cs="Calibri"/>
                <w:color w:val="000000"/>
                <w:lang w:eastAsia="en-AU"/>
              </w:rPr>
            </w:pPr>
            <w:r>
              <w:rPr>
                <w:rFonts w:cs="Arial"/>
                <w:color w:val="000000"/>
              </w:rPr>
              <w:t>10</w:t>
            </w:r>
          </w:p>
        </w:tc>
      </w:tr>
      <w:tr w:rsidR="00C33B2C" w:rsidRPr="00FE5409" w14:paraId="3579CCAD" w14:textId="77777777" w:rsidTr="00C33B2C">
        <w:trPr>
          <w:trHeight w:val="300"/>
        </w:trPr>
        <w:tc>
          <w:tcPr>
            <w:tcW w:w="2200" w:type="dxa"/>
            <w:shd w:val="clear" w:color="auto" w:fill="auto"/>
          </w:tcPr>
          <w:p w14:paraId="31A173C4" w14:textId="6612BF13" w:rsidR="00C33B2C" w:rsidRDefault="00C33B2C" w:rsidP="00C33B2C">
            <w:pPr>
              <w:spacing w:line="240" w:lineRule="auto"/>
              <w:rPr>
                <w:rFonts w:ascii="Calibri" w:hAnsi="Calibri" w:cs="Calibri"/>
                <w:sz w:val="22"/>
                <w:szCs w:val="22"/>
              </w:rPr>
            </w:pPr>
            <w:r>
              <w:rPr>
                <w:rFonts w:cs="Arial"/>
                <w:color w:val="000000"/>
              </w:rPr>
              <w:t>EQ,SEN</w:t>
            </w:r>
          </w:p>
        </w:tc>
        <w:tc>
          <w:tcPr>
            <w:tcW w:w="1197" w:type="dxa"/>
            <w:shd w:val="clear" w:color="auto" w:fill="auto"/>
          </w:tcPr>
          <w:p w14:paraId="19E3066A" w14:textId="783936EE" w:rsidR="00C33B2C" w:rsidRPr="00FE5409" w:rsidRDefault="00C33B2C" w:rsidP="00C33B2C">
            <w:pPr>
              <w:spacing w:line="240" w:lineRule="auto"/>
              <w:jc w:val="right"/>
              <w:rPr>
                <w:rFonts w:cs="Calibri"/>
                <w:color w:val="000000"/>
                <w:lang w:eastAsia="en-AU"/>
              </w:rPr>
            </w:pPr>
            <w:r>
              <w:rPr>
                <w:rFonts w:cs="Arial"/>
                <w:color w:val="000000"/>
              </w:rPr>
              <w:t>10</w:t>
            </w:r>
          </w:p>
        </w:tc>
      </w:tr>
      <w:tr w:rsidR="00C33B2C" w:rsidRPr="00FE5409" w14:paraId="1909BAFB" w14:textId="77777777" w:rsidTr="00C33B2C">
        <w:trPr>
          <w:trHeight w:val="300"/>
        </w:trPr>
        <w:tc>
          <w:tcPr>
            <w:tcW w:w="2200" w:type="dxa"/>
            <w:shd w:val="clear" w:color="auto" w:fill="auto"/>
          </w:tcPr>
          <w:p w14:paraId="7C712BC4" w14:textId="3F3397AE" w:rsidR="00C33B2C" w:rsidRDefault="00C33B2C" w:rsidP="00C33B2C">
            <w:pPr>
              <w:spacing w:line="240" w:lineRule="auto"/>
              <w:rPr>
                <w:rFonts w:ascii="Calibri" w:hAnsi="Calibri" w:cs="Calibri"/>
                <w:sz w:val="22"/>
                <w:szCs w:val="22"/>
              </w:rPr>
            </w:pPr>
            <w:r>
              <w:rPr>
                <w:rFonts w:cs="Arial"/>
                <w:color w:val="000000"/>
              </w:rPr>
              <w:t>HT,MAG</w:t>
            </w:r>
          </w:p>
        </w:tc>
        <w:tc>
          <w:tcPr>
            <w:tcW w:w="1197" w:type="dxa"/>
            <w:shd w:val="clear" w:color="auto" w:fill="auto"/>
          </w:tcPr>
          <w:p w14:paraId="1CA8F69E" w14:textId="394EBCE3" w:rsidR="00C33B2C" w:rsidRPr="00FE5409" w:rsidRDefault="00C33B2C" w:rsidP="00C33B2C">
            <w:pPr>
              <w:spacing w:line="240" w:lineRule="auto"/>
              <w:jc w:val="right"/>
              <w:rPr>
                <w:rFonts w:cs="Calibri"/>
                <w:color w:val="000000"/>
                <w:lang w:eastAsia="en-AU"/>
              </w:rPr>
            </w:pPr>
            <w:r>
              <w:rPr>
                <w:rFonts w:cs="Arial"/>
                <w:color w:val="000000"/>
              </w:rPr>
              <w:t>2</w:t>
            </w:r>
          </w:p>
        </w:tc>
      </w:tr>
      <w:tr w:rsidR="00277E4B" w:rsidRPr="00FE5409" w14:paraId="50E20029" w14:textId="77777777" w:rsidTr="0063787B">
        <w:trPr>
          <w:trHeight w:val="300"/>
        </w:trPr>
        <w:tc>
          <w:tcPr>
            <w:tcW w:w="2200" w:type="dxa"/>
            <w:shd w:val="clear" w:color="auto" w:fill="auto"/>
            <w:hideMark/>
          </w:tcPr>
          <w:p w14:paraId="53704947" w14:textId="77777777" w:rsidR="00277E4B" w:rsidRPr="00FE5409" w:rsidRDefault="00277E4B" w:rsidP="00277E4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646B076A" w:rsidR="00277E4B" w:rsidRPr="00FE5409" w:rsidRDefault="00C33B2C" w:rsidP="00277E4B">
            <w:pPr>
              <w:spacing w:line="240" w:lineRule="auto"/>
              <w:jc w:val="right"/>
              <w:rPr>
                <w:rFonts w:cs="Calibri"/>
                <w:b/>
                <w:bCs/>
                <w:color w:val="000000"/>
                <w:lang w:eastAsia="en-AU"/>
              </w:rPr>
            </w:pPr>
            <w:r>
              <w:rPr>
                <w:rFonts w:cs="Calibri"/>
                <w:b/>
                <w:bCs/>
                <w:color w:val="000000"/>
                <w:lang w:eastAsia="en-AU"/>
              </w:rPr>
              <w:t>86</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03B03E63" w:rsidR="0056316C" w:rsidRDefault="00A73CA0" w:rsidP="00C16F20">
      <w:pPr>
        <w:ind w:left="-142" w:right="-425"/>
        <w:jc w:val="both"/>
        <w:rPr>
          <w:rFonts w:cs="Arial"/>
        </w:rPr>
      </w:pPr>
      <w:r>
        <w:rPr>
          <w:rFonts w:cs="Arial"/>
        </w:rPr>
        <w:t>The following data</w:t>
      </w:r>
      <w:r w:rsidR="00D85018">
        <w:rPr>
          <w:rFonts w:cs="Arial"/>
        </w:rPr>
        <w:t xml:space="preserve"> (tables </w:t>
      </w:r>
      <w:r w:rsidR="000F3A97">
        <w:rPr>
          <w:rFonts w:cs="Arial"/>
        </w:rPr>
        <w:t>4</w:t>
      </w:r>
      <w:r w:rsidR="00D85018">
        <w:rPr>
          <w:rFonts w:cs="Arial"/>
        </w:rPr>
        <w:t xml:space="preserve"> to </w:t>
      </w:r>
      <w:r w:rsidR="000F3A97">
        <w:rPr>
          <w:rFonts w:cs="Arial"/>
        </w:rPr>
        <w:t>8</w:t>
      </w:r>
      <w:r w:rsidR="00D85018">
        <w:rPr>
          <w:rFonts w:cs="Arial"/>
        </w:rPr>
        <w:t>)</w:t>
      </w:r>
      <w:r>
        <w:rPr>
          <w:rFonts w:cs="Arial"/>
        </w:rPr>
        <w:t xml:space="preserve"> provides an overview of interactions that have taken place with clients during this reporting period </w:t>
      </w:r>
      <w:r w:rsidR="00800631">
        <w:rPr>
          <w:rFonts w:cs="Arial"/>
        </w:rPr>
        <w:t xml:space="preserve">and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2E6C024A"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Pr>
          <w:rFonts w:cs="Arial"/>
        </w:rPr>
        <w:t xml:space="preserve">. </w:t>
      </w:r>
      <w:r w:rsidR="0030673F">
        <w:rPr>
          <w:rFonts w:cs="Arial"/>
        </w:rPr>
        <w:t>The Commission is still seeing a number</w:t>
      </w:r>
      <w:r w:rsidR="00237AB1">
        <w:rPr>
          <w:rFonts w:cs="Arial"/>
        </w:rPr>
        <w:t xml:space="preserve"> of </w:t>
      </w:r>
      <w:r w:rsidR="00B23523">
        <w:rPr>
          <w:rFonts w:cs="Arial"/>
        </w:rPr>
        <w:t>i</w:t>
      </w:r>
      <w:r w:rsidR="00237AB1">
        <w:rPr>
          <w:rFonts w:cs="Arial"/>
        </w:rPr>
        <w:t>nteractions by client</w:t>
      </w:r>
      <w:r w:rsidR="0030673F">
        <w:rPr>
          <w:rFonts w:cs="Arial"/>
        </w:rPr>
        <w:t>s</w:t>
      </w:r>
      <w:r w:rsidR="00237AB1">
        <w:rPr>
          <w:rFonts w:cs="Arial"/>
        </w:rPr>
        <w:t xml:space="preserve"> on a less intrusive and more proactive basis</w:t>
      </w:r>
      <w:r w:rsidR="00701EFB">
        <w:rPr>
          <w:rFonts w:cs="Arial"/>
        </w:rPr>
        <w:t>,</w:t>
      </w:r>
      <w:r w:rsidR="00B23523">
        <w:rPr>
          <w:rFonts w:cs="Arial"/>
        </w:rPr>
        <w:t xml:space="preserve"> </w:t>
      </w:r>
      <w:r w:rsidR="00237AB1">
        <w:rPr>
          <w:rFonts w:cs="Arial"/>
        </w:rPr>
        <w:t xml:space="preserve">i.e. where engagement is on a voluntary basis (Table </w:t>
      </w:r>
      <w:r w:rsidR="000F3A97">
        <w:rPr>
          <w:rFonts w:cs="Arial"/>
        </w:rPr>
        <w:t>4</w:t>
      </w:r>
      <w:r w:rsidR="00237AB1">
        <w:rPr>
          <w:rFonts w:cs="Arial"/>
        </w:rPr>
        <w:t>)</w:t>
      </w:r>
      <w:r w:rsidR="00AE549C">
        <w:rPr>
          <w:rFonts w:cs="Arial"/>
        </w:rPr>
        <w:t>,</w:t>
      </w:r>
      <w:r w:rsidR="00237AB1">
        <w:rPr>
          <w:rFonts w:cs="Arial"/>
        </w:rPr>
        <w:t xml:space="preserve"> or where acceptance of the Commission’s decision for a referral to </w:t>
      </w:r>
      <w:r w:rsidR="009D568A">
        <w:rPr>
          <w:rFonts w:cs="Arial"/>
        </w:rPr>
        <w:t xml:space="preserve">a </w:t>
      </w:r>
      <w:r w:rsidR="00237AB1">
        <w:rPr>
          <w:rFonts w:cs="Arial"/>
        </w:rPr>
        <w:t>support service or income management is by agreement with the client (</w:t>
      </w:r>
      <w:r w:rsidR="00237AB1" w:rsidRPr="001227EE">
        <w:rPr>
          <w:rFonts w:cs="Arial"/>
        </w:rPr>
        <w:t xml:space="preserve">Table </w:t>
      </w:r>
      <w:r w:rsidR="000F3A97">
        <w:rPr>
          <w:rFonts w:cs="Arial"/>
        </w:rPr>
        <w:t>5</w:t>
      </w:r>
      <w:r w:rsidR="00237AB1">
        <w:rPr>
          <w:rFonts w:cs="Arial"/>
        </w:rPr>
        <w:t>). The</w:t>
      </w:r>
      <w:r w:rsidR="00B23523">
        <w:rPr>
          <w:rFonts w:cs="Arial"/>
        </w:rPr>
        <w:t xml:space="preserve">se proactive interactions are </w:t>
      </w:r>
      <w:r w:rsidR="00D505F2">
        <w:rPr>
          <w:rFonts w:cs="Arial"/>
        </w:rPr>
        <w:t>c</w:t>
      </w:r>
      <w:r w:rsidR="00237AB1">
        <w:rPr>
          <w:rFonts w:cs="Arial"/>
        </w:rPr>
        <w:t>onsider</w:t>
      </w:r>
      <w:r w:rsidR="00B23523">
        <w:rPr>
          <w:rFonts w:cs="Arial"/>
        </w:rPr>
        <w:t>ed</w:t>
      </w:r>
      <w:r w:rsidR="00237AB1">
        <w:rPr>
          <w:rFonts w:cs="Arial"/>
        </w:rPr>
        <w:t xml:space="preserve"> to be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19233629" w14:textId="2E499250" w:rsidR="00237AB1" w:rsidRPr="0092015D" w:rsidRDefault="00237AB1" w:rsidP="00237AB1">
      <w:pPr>
        <w:spacing w:after="120" w:line="240" w:lineRule="auto"/>
        <w:ind w:left="794" w:hanging="794"/>
      </w:pPr>
      <w:r w:rsidRPr="006C6A65">
        <w:rPr>
          <w:b/>
          <w:sz w:val="16"/>
          <w:szCs w:val="16"/>
        </w:rPr>
        <w:lastRenderedPageBreak/>
        <w:t xml:space="preserve">Table </w:t>
      </w:r>
      <w:r w:rsidR="000F3A97">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7"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7"/>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0A118E">
        <w:rPr>
          <w:sz w:val="16"/>
          <w:szCs w:val="16"/>
        </w:rPr>
        <w:t xml:space="preserve">July </w:t>
      </w:r>
      <w:r w:rsidR="00415BC8">
        <w:rPr>
          <w:sz w:val="16"/>
          <w:szCs w:val="16"/>
        </w:rPr>
        <w:t>2022</w:t>
      </w:r>
      <w:r>
        <w:rPr>
          <w:sz w:val="16"/>
          <w:szCs w:val="16"/>
        </w:rPr>
        <w:t xml:space="preserve"> to </w:t>
      </w:r>
      <w:bookmarkStart w:id="8" w:name="_Ref74754019"/>
      <w:r w:rsidR="00DA70CA">
        <w:rPr>
          <w:sz w:val="16"/>
          <w:szCs w:val="16"/>
        </w:rPr>
        <w:t xml:space="preserve">30 </w:t>
      </w:r>
      <w:r w:rsidR="000A118E">
        <w:rPr>
          <w:sz w:val="16"/>
          <w:szCs w:val="16"/>
        </w:rPr>
        <w:t xml:space="preserve">September </w:t>
      </w:r>
      <w:r w:rsidR="001A5C4C">
        <w:rPr>
          <w:sz w:val="16"/>
          <w:szCs w:val="16"/>
        </w:rPr>
        <w:t>2022</w:t>
      </w:r>
      <w:r w:rsidR="00604429" w:rsidRPr="008F6888">
        <w:rPr>
          <w:rStyle w:val="FootnoteReference"/>
          <w:sz w:val="16"/>
          <w:szCs w:val="16"/>
        </w:rPr>
        <w:footnoteReference w:id="6"/>
      </w:r>
      <w:bookmarkEnd w:id="8"/>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34073B" w:rsidRPr="00776C26" w14:paraId="23E8C631" w14:textId="77777777" w:rsidTr="0034073B">
        <w:tc>
          <w:tcPr>
            <w:tcW w:w="1555" w:type="dxa"/>
          </w:tcPr>
          <w:p w14:paraId="08DA178D" w14:textId="77777777" w:rsidR="0034073B" w:rsidRPr="00776C26" w:rsidRDefault="0034073B" w:rsidP="0034073B">
            <w:pPr>
              <w:ind w:right="-425"/>
              <w:jc w:val="both"/>
              <w:rPr>
                <w:rFonts w:cs="Arial"/>
                <w:b/>
                <w:bCs/>
              </w:rPr>
            </w:pPr>
            <w:r w:rsidRPr="00776C26">
              <w:rPr>
                <w:rFonts w:cs="Arial"/>
                <w:b/>
                <w:bCs/>
              </w:rPr>
              <w:t>Total</w:t>
            </w:r>
          </w:p>
        </w:tc>
        <w:tc>
          <w:tcPr>
            <w:tcW w:w="992" w:type="dxa"/>
            <w:vAlign w:val="bottom"/>
          </w:tcPr>
          <w:p w14:paraId="31C63D09" w14:textId="49E66C4F" w:rsidR="0034073B" w:rsidRPr="00776C26" w:rsidRDefault="00A40423" w:rsidP="0034073B">
            <w:pPr>
              <w:jc w:val="right"/>
              <w:rPr>
                <w:b/>
                <w:bCs/>
              </w:rPr>
            </w:pPr>
            <w:r>
              <w:rPr>
                <w:b/>
                <w:bCs/>
              </w:rPr>
              <w:t>10</w:t>
            </w:r>
          </w:p>
        </w:tc>
        <w:tc>
          <w:tcPr>
            <w:tcW w:w="1134" w:type="dxa"/>
            <w:vAlign w:val="bottom"/>
          </w:tcPr>
          <w:p w14:paraId="1D2060AE" w14:textId="56EE4423" w:rsidR="0034073B" w:rsidRPr="00776C26" w:rsidRDefault="00A40423" w:rsidP="0034073B">
            <w:pPr>
              <w:jc w:val="right"/>
              <w:rPr>
                <w:b/>
                <w:bCs/>
              </w:rPr>
            </w:pPr>
            <w:r>
              <w:rPr>
                <w:b/>
                <w:bCs/>
              </w:rPr>
              <w:t>30</w:t>
            </w:r>
          </w:p>
        </w:tc>
        <w:tc>
          <w:tcPr>
            <w:tcW w:w="992" w:type="dxa"/>
            <w:vAlign w:val="bottom"/>
          </w:tcPr>
          <w:p w14:paraId="7E29C7F4" w14:textId="0771FF68" w:rsidR="0034073B" w:rsidRPr="00776C26" w:rsidRDefault="00A40423" w:rsidP="0034073B">
            <w:pPr>
              <w:jc w:val="right"/>
              <w:rPr>
                <w:b/>
                <w:bCs/>
              </w:rPr>
            </w:pPr>
            <w:r>
              <w:rPr>
                <w:b/>
                <w:bCs/>
              </w:rPr>
              <w:t>40</w:t>
            </w:r>
          </w:p>
        </w:tc>
      </w:tr>
    </w:tbl>
    <w:p w14:paraId="340804AB" w14:textId="2011C4C9" w:rsidR="00C64787" w:rsidRDefault="00C64787" w:rsidP="00237AB1">
      <w:pPr>
        <w:ind w:left="-142" w:right="-425"/>
        <w:jc w:val="both"/>
        <w:rPr>
          <w:rFonts w:cs="Arial"/>
        </w:rPr>
      </w:pPr>
    </w:p>
    <w:p w14:paraId="32A7D6CF" w14:textId="07D22C98" w:rsidR="00237AB1" w:rsidRPr="0092015D" w:rsidRDefault="00237AB1" w:rsidP="00237AB1">
      <w:pPr>
        <w:spacing w:after="120" w:line="240" w:lineRule="auto"/>
        <w:ind w:left="794" w:hanging="794"/>
      </w:pPr>
      <w:r w:rsidRPr="006C6A65">
        <w:rPr>
          <w:b/>
          <w:sz w:val="16"/>
          <w:szCs w:val="16"/>
        </w:rPr>
        <w:t xml:space="preserve">Table </w:t>
      </w:r>
      <w:r w:rsidR="000F3A97">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0"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0"/>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0F408B">
        <w:rPr>
          <w:sz w:val="16"/>
          <w:szCs w:val="16"/>
        </w:rPr>
        <w:t>July</w:t>
      </w:r>
      <w:r w:rsidR="00415BC8">
        <w:rPr>
          <w:sz w:val="16"/>
          <w:szCs w:val="16"/>
        </w:rPr>
        <w:t xml:space="preserve"> 2022</w:t>
      </w:r>
      <w:r>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5B0C2D">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A40423" w14:paraId="604BDE97" w14:textId="77777777" w:rsidTr="00237AB1">
        <w:tc>
          <w:tcPr>
            <w:tcW w:w="1555" w:type="dxa"/>
          </w:tcPr>
          <w:p w14:paraId="16D39C9C" w14:textId="77777777" w:rsidR="00A40423" w:rsidRPr="00490B40" w:rsidRDefault="00A40423" w:rsidP="00A40423">
            <w:pPr>
              <w:ind w:right="-425"/>
              <w:jc w:val="both"/>
              <w:rPr>
                <w:rFonts w:cs="Arial"/>
              </w:rPr>
            </w:pPr>
            <w:r w:rsidRPr="00490B40">
              <w:rPr>
                <w:rFonts w:cs="Arial"/>
              </w:rPr>
              <w:t>AU</w:t>
            </w:r>
          </w:p>
        </w:tc>
        <w:tc>
          <w:tcPr>
            <w:tcW w:w="992" w:type="dxa"/>
            <w:vAlign w:val="bottom"/>
          </w:tcPr>
          <w:p w14:paraId="4F2BC6E4" w14:textId="49264BD3" w:rsidR="00A40423" w:rsidRPr="00900EA0" w:rsidRDefault="00A40423" w:rsidP="00A40423">
            <w:pPr>
              <w:jc w:val="right"/>
            </w:pPr>
            <w:r>
              <w:rPr>
                <w:rFonts w:cs="Arial"/>
              </w:rPr>
              <w:t>30</w:t>
            </w:r>
          </w:p>
        </w:tc>
        <w:tc>
          <w:tcPr>
            <w:tcW w:w="1134" w:type="dxa"/>
            <w:vAlign w:val="bottom"/>
          </w:tcPr>
          <w:p w14:paraId="5D79F7D6" w14:textId="3CAA9026" w:rsidR="00A40423" w:rsidRPr="00900EA0" w:rsidRDefault="00A40423" w:rsidP="00A40423">
            <w:pPr>
              <w:jc w:val="right"/>
            </w:pPr>
            <w:r>
              <w:rPr>
                <w:rFonts w:cs="Arial"/>
              </w:rPr>
              <w:t>0</w:t>
            </w:r>
          </w:p>
        </w:tc>
        <w:tc>
          <w:tcPr>
            <w:tcW w:w="992" w:type="dxa"/>
            <w:vAlign w:val="bottom"/>
          </w:tcPr>
          <w:p w14:paraId="2B25B2DF" w14:textId="4B88C89B" w:rsidR="00A40423" w:rsidRPr="00900EA0" w:rsidRDefault="00A40423" w:rsidP="00A40423">
            <w:pPr>
              <w:jc w:val="right"/>
              <w:rPr>
                <w:b/>
                <w:bCs/>
              </w:rPr>
            </w:pPr>
            <w:r>
              <w:rPr>
                <w:rFonts w:cs="Arial"/>
                <w:b/>
                <w:bCs/>
              </w:rPr>
              <w:t>30</w:t>
            </w:r>
          </w:p>
        </w:tc>
      </w:tr>
      <w:tr w:rsidR="00A40423" w14:paraId="1A905600" w14:textId="77777777" w:rsidTr="00237AB1">
        <w:tc>
          <w:tcPr>
            <w:tcW w:w="1555" w:type="dxa"/>
          </w:tcPr>
          <w:p w14:paraId="59A72EEE" w14:textId="77777777" w:rsidR="00A40423" w:rsidRPr="00490B40" w:rsidRDefault="00A40423" w:rsidP="00A40423">
            <w:pPr>
              <w:ind w:right="-425"/>
              <w:jc w:val="both"/>
              <w:rPr>
                <w:rFonts w:cs="Arial"/>
              </w:rPr>
            </w:pPr>
            <w:r w:rsidRPr="00490B40">
              <w:rPr>
                <w:rFonts w:cs="Arial"/>
              </w:rPr>
              <w:t>CO</w:t>
            </w:r>
          </w:p>
        </w:tc>
        <w:tc>
          <w:tcPr>
            <w:tcW w:w="992" w:type="dxa"/>
            <w:vAlign w:val="bottom"/>
          </w:tcPr>
          <w:p w14:paraId="7DC045C3" w14:textId="5D37C653" w:rsidR="00A40423" w:rsidRPr="00900EA0" w:rsidRDefault="00A40423" w:rsidP="00A40423">
            <w:pPr>
              <w:jc w:val="right"/>
            </w:pPr>
            <w:r>
              <w:rPr>
                <w:rFonts w:cs="Arial"/>
              </w:rPr>
              <w:t>0</w:t>
            </w:r>
          </w:p>
        </w:tc>
        <w:tc>
          <w:tcPr>
            <w:tcW w:w="1134" w:type="dxa"/>
            <w:vAlign w:val="bottom"/>
          </w:tcPr>
          <w:p w14:paraId="544139DB" w14:textId="77051D11" w:rsidR="00A40423" w:rsidRPr="00900EA0" w:rsidRDefault="00A40423" w:rsidP="00A40423">
            <w:pPr>
              <w:jc w:val="right"/>
            </w:pPr>
            <w:r>
              <w:rPr>
                <w:rFonts w:cs="Arial"/>
              </w:rPr>
              <w:t>0</w:t>
            </w:r>
          </w:p>
        </w:tc>
        <w:tc>
          <w:tcPr>
            <w:tcW w:w="992" w:type="dxa"/>
            <w:vAlign w:val="bottom"/>
          </w:tcPr>
          <w:p w14:paraId="655575AD" w14:textId="5984B04F" w:rsidR="00A40423" w:rsidRPr="00900EA0" w:rsidRDefault="00A40423" w:rsidP="00A40423">
            <w:pPr>
              <w:jc w:val="right"/>
              <w:rPr>
                <w:b/>
                <w:bCs/>
              </w:rPr>
            </w:pPr>
            <w:r>
              <w:rPr>
                <w:rFonts w:cs="Arial"/>
                <w:b/>
                <w:bCs/>
              </w:rPr>
              <w:t>0</w:t>
            </w:r>
          </w:p>
        </w:tc>
      </w:tr>
      <w:tr w:rsidR="00A40423" w14:paraId="577F7E12" w14:textId="77777777" w:rsidTr="00237AB1">
        <w:tc>
          <w:tcPr>
            <w:tcW w:w="1555" w:type="dxa"/>
          </w:tcPr>
          <w:p w14:paraId="2E4003E9" w14:textId="77777777" w:rsidR="00A40423" w:rsidRPr="00490B40" w:rsidRDefault="00A40423" w:rsidP="00A40423">
            <w:pPr>
              <w:ind w:right="-425"/>
              <w:jc w:val="both"/>
              <w:rPr>
                <w:rFonts w:cs="Arial"/>
              </w:rPr>
            </w:pPr>
            <w:r w:rsidRPr="00490B40">
              <w:rPr>
                <w:rFonts w:cs="Arial"/>
              </w:rPr>
              <w:t>DM</w:t>
            </w:r>
          </w:p>
        </w:tc>
        <w:tc>
          <w:tcPr>
            <w:tcW w:w="992" w:type="dxa"/>
            <w:vAlign w:val="bottom"/>
          </w:tcPr>
          <w:p w14:paraId="68E2C72D" w14:textId="3FC054D7" w:rsidR="00A40423" w:rsidRPr="00900EA0" w:rsidRDefault="00A40423" w:rsidP="00A40423">
            <w:pPr>
              <w:jc w:val="right"/>
            </w:pPr>
            <w:r>
              <w:rPr>
                <w:rFonts w:cs="Arial"/>
              </w:rPr>
              <w:t>17</w:t>
            </w:r>
          </w:p>
        </w:tc>
        <w:tc>
          <w:tcPr>
            <w:tcW w:w="1134" w:type="dxa"/>
            <w:vAlign w:val="bottom"/>
          </w:tcPr>
          <w:p w14:paraId="5EFFF8C4" w14:textId="0D27C1E4" w:rsidR="00A40423" w:rsidRPr="00900EA0" w:rsidRDefault="00A40423" w:rsidP="00A40423">
            <w:pPr>
              <w:jc w:val="right"/>
            </w:pPr>
            <w:r>
              <w:rPr>
                <w:rFonts w:cs="Arial"/>
              </w:rPr>
              <w:t>0</w:t>
            </w:r>
          </w:p>
        </w:tc>
        <w:tc>
          <w:tcPr>
            <w:tcW w:w="992" w:type="dxa"/>
            <w:vAlign w:val="bottom"/>
          </w:tcPr>
          <w:p w14:paraId="1CF754DE" w14:textId="526CA3E9" w:rsidR="00A40423" w:rsidRPr="00900EA0" w:rsidRDefault="00A40423" w:rsidP="00A40423">
            <w:pPr>
              <w:jc w:val="right"/>
              <w:rPr>
                <w:b/>
                <w:bCs/>
              </w:rPr>
            </w:pPr>
            <w:r>
              <w:rPr>
                <w:rFonts w:cs="Arial"/>
                <w:b/>
                <w:bCs/>
              </w:rPr>
              <w:t>17</w:t>
            </w:r>
          </w:p>
        </w:tc>
      </w:tr>
      <w:tr w:rsidR="00A40423" w14:paraId="55AC2A32" w14:textId="77777777" w:rsidTr="00237AB1">
        <w:tc>
          <w:tcPr>
            <w:tcW w:w="1555" w:type="dxa"/>
          </w:tcPr>
          <w:p w14:paraId="511465EF" w14:textId="77777777" w:rsidR="00A40423" w:rsidRPr="00490B40" w:rsidRDefault="00A40423" w:rsidP="00A40423">
            <w:pPr>
              <w:ind w:right="-425"/>
              <w:jc w:val="both"/>
              <w:rPr>
                <w:rFonts w:cs="Arial"/>
              </w:rPr>
            </w:pPr>
            <w:r w:rsidRPr="00490B40">
              <w:rPr>
                <w:rFonts w:cs="Arial"/>
              </w:rPr>
              <w:t>HV</w:t>
            </w:r>
          </w:p>
        </w:tc>
        <w:tc>
          <w:tcPr>
            <w:tcW w:w="992" w:type="dxa"/>
            <w:vAlign w:val="bottom"/>
          </w:tcPr>
          <w:p w14:paraId="16976329" w14:textId="50838B27" w:rsidR="00A40423" w:rsidRPr="00900EA0" w:rsidRDefault="00A40423" w:rsidP="00A40423">
            <w:pPr>
              <w:jc w:val="right"/>
            </w:pPr>
            <w:r>
              <w:rPr>
                <w:rFonts w:cs="Arial"/>
              </w:rPr>
              <w:t>15</w:t>
            </w:r>
          </w:p>
        </w:tc>
        <w:tc>
          <w:tcPr>
            <w:tcW w:w="1134" w:type="dxa"/>
            <w:vAlign w:val="bottom"/>
          </w:tcPr>
          <w:p w14:paraId="48C3CD7F" w14:textId="042E853A" w:rsidR="00A40423" w:rsidRPr="00900EA0" w:rsidRDefault="00A40423" w:rsidP="00A40423">
            <w:pPr>
              <w:jc w:val="right"/>
            </w:pPr>
            <w:r>
              <w:t>0</w:t>
            </w:r>
          </w:p>
        </w:tc>
        <w:tc>
          <w:tcPr>
            <w:tcW w:w="992" w:type="dxa"/>
            <w:vAlign w:val="bottom"/>
          </w:tcPr>
          <w:p w14:paraId="1AAF646B" w14:textId="2CD8F9FD" w:rsidR="00A40423" w:rsidRPr="00900EA0" w:rsidRDefault="00A40423" w:rsidP="00A40423">
            <w:pPr>
              <w:jc w:val="right"/>
              <w:rPr>
                <w:b/>
                <w:bCs/>
              </w:rPr>
            </w:pPr>
            <w:r>
              <w:rPr>
                <w:rFonts w:cs="Arial"/>
                <w:b/>
                <w:bCs/>
              </w:rPr>
              <w:t>15</w:t>
            </w:r>
          </w:p>
        </w:tc>
      </w:tr>
      <w:tr w:rsidR="00A40423" w14:paraId="50F69E1F" w14:textId="77777777" w:rsidTr="00237AB1">
        <w:tc>
          <w:tcPr>
            <w:tcW w:w="1555" w:type="dxa"/>
          </w:tcPr>
          <w:p w14:paraId="48DBAB63" w14:textId="77777777" w:rsidR="00A40423" w:rsidRPr="00490B40" w:rsidRDefault="00A40423" w:rsidP="00A40423">
            <w:pPr>
              <w:ind w:right="-425"/>
              <w:jc w:val="both"/>
              <w:rPr>
                <w:rFonts w:cs="Arial"/>
              </w:rPr>
            </w:pPr>
            <w:r w:rsidRPr="00490B40">
              <w:rPr>
                <w:rFonts w:cs="Arial"/>
              </w:rPr>
              <w:t>MG</w:t>
            </w:r>
          </w:p>
        </w:tc>
        <w:tc>
          <w:tcPr>
            <w:tcW w:w="992" w:type="dxa"/>
            <w:vAlign w:val="bottom"/>
          </w:tcPr>
          <w:p w14:paraId="2E4ACC08" w14:textId="617E4935" w:rsidR="00A40423" w:rsidRPr="00900EA0" w:rsidRDefault="00A40423" w:rsidP="00A40423">
            <w:pPr>
              <w:jc w:val="right"/>
            </w:pPr>
            <w:r>
              <w:rPr>
                <w:rFonts w:cs="Arial"/>
              </w:rPr>
              <w:t>10</w:t>
            </w:r>
          </w:p>
        </w:tc>
        <w:tc>
          <w:tcPr>
            <w:tcW w:w="1134" w:type="dxa"/>
            <w:vAlign w:val="bottom"/>
          </w:tcPr>
          <w:p w14:paraId="06822B4C" w14:textId="58AFF589" w:rsidR="00A40423" w:rsidRPr="00900EA0" w:rsidRDefault="00A40423" w:rsidP="00A40423">
            <w:pPr>
              <w:jc w:val="right"/>
            </w:pPr>
            <w:r>
              <w:rPr>
                <w:rFonts w:cs="Arial"/>
              </w:rPr>
              <w:t>0</w:t>
            </w:r>
          </w:p>
        </w:tc>
        <w:tc>
          <w:tcPr>
            <w:tcW w:w="992" w:type="dxa"/>
            <w:vAlign w:val="bottom"/>
          </w:tcPr>
          <w:p w14:paraId="4AC3B4A9" w14:textId="1AFB184F" w:rsidR="00A40423" w:rsidRPr="00900EA0" w:rsidRDefault="00A40423" w:rsidP="00A40423">
            <w:pPr>
              <w:jc w:val="right"/>
              <w:rPr>
                <w:b/>
                <w:bCs/>
              </w:rPr>
            </w:pPr>
            <w:r>
              <w:rPr>
                <w:rFonts w:cs="Arial"/>
                <w:b/>
                <w:bCs/>
              </w:rPr>
              <w:t>10</w:t>
            </w:r>
          </w:p>
        </w:tc>
      </w:tr>
      <w:tr w:rsidR="00A40423" w14:paraId="7BC56D75" w14:textId="77777777" w:rsidTr="00237AB1">
        <w:tc>
          <w:tcPr>
            <w:tcW w:w="1555" w:type="dxa"/>
          </w:tcPr>
          <w:p w14:paraId="201CE63A" w14:textId="77777777" w:rsidR="00A40423" w:rsidRPr="00776C26" w:rsidRDefault="00A40423" w:rsidP="00A40423">
            <w:pPr>
              <w:ind w:right="-425"/>
              <w:jc w:val="both"/>
              <w:rPr>
                <w:rFonts w:cs="Arial"/>
                <w:b/>
                <w:bCs/>
              </w:rPr>
            </w:pPr>
            <w:r w:rsidRPr="00776C26">
              <w:rPr>
                <w:rFonts w:cs="Arial"/>
                <w:b/>
                <w:bCs/>
              </w:rPr>
              <w:t>Total</w:t>
            </w:r>
          </w:p>
        </w:tc>
        <w:tc>
          <w:tcPr>
            <w:tcW w:w="992" w:type="dxa"/>
            <w:vAlign w:val="bottom"/>
          </w:tcPr>
          <w:p w14:paraId="0FB9062E" w14:textId="44CB61A0" w:rsidR="00A40423" w:rsidRPr="00900EA0" w:rsidRDefault="00A40423" w:rsidP="00A40423">
            <w:pPr>
              <w:jc w:val="right"/>
              <w:rPr>
                <w:b/>
                <w:bCs/>
              </w:rPr>
            </w:pPr>
            <w:r>
              <w:rPr>
                <w:rFonts w:cs="Arial"/>
                <w:b/>
                <w:bCs/>
              </w:rPr>
              <w:t>72</w:t>
            </w:r>
          </w:p>
        </w:tc>
        <w:tc>
          <w:tcPr>
            <w:tcW w:w="1134" w:type="dxa"/>
            <w:vAlign w:val="bottom"/>
          </w:tcPr>
          <w:p w14:paraId="482ED4A6" w14:textId="786B6511" w:rsidR="00A40423" w:rsidRPr="00900EA0" w:rsidRDefault="00A40423" w:rsidP="00A40423">
            <w:pPr>
              <w:jc w:val="right"/>
              <w:rPr>
                <w:b/>
                <w:bCs/>
              </w:rPr>
            </w:pPr>
            <w:r>
              <w:rPr>
                <w:b/>
                <w:bCs/>
              </w:rPr>
              <w:t>0</w:t>
            </w:r>
          </w:p>
        </w:tc>
        <w:tc>
          <w:tcPr>
            <w:tcW w:w="992" w:type="dxa"/>
            <w:vAlign w:val="bottom"/>
          </w:tcPr>
          <w:p w14:paraId="47A0B826" w14:textId="2DE0476C" w:rsidR="00A40423" w:rsidRPr="00900EA0" w:rsidRDefault="00A40423" w:rsidP="00A40423">
            <w:pPr>
              <w:jc w:val="right"/>
              <w:rPr>
                <w:b/>
                <w:bCs/>
              </w:rPr>
            </w:pPr>
            <w:r>
              <w:rPr>
                <w:rFonts w:cs="Arial"/>
                <w:b/>
                <w:bCs/>
              </w:rPr>
              <w:t>72</w:t>
            </w:r>
          </w:p>
        </w:tc>
      </w:tr>
    </w:tbl>
    <w:p w14:paraId="600511AC" w14:textId="77777777" w:rsidR="00237AB1" w:rsidRDefault="00237AB1" w:rsidP="00237AB1">
      <w:pPr>
        <w:ind w:left="-142" w:right="-425"/>
        <w:jc w:val="both"/>
        <w:rPr>
          <w:rFonts w:cs="Arial"/>
        </w:rPr>
      </w:pPr>
    </w:p>
    <w:p w14:paraId="07242880" w14:textId="5FC0E426"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0F3A97">
        <w:rPr>
          <w:b/>
          <w:sz w:val="16"/>
          <w:szCs w:val="16"/>
        </w:rPr>
        <w:t>6</w:t>
      </w:r>
      <w:r w:rsidRPr="004B6F52">
        <w:rPr>
          <w:b/>
          <w:sz w:val="16"/>
          <w:szCs w:val="16"/>
        </w:rPr>
        <w:t>:</w:t>
      </w:r>
      <w:r w:rsidRPr="0002195A">
        <w:rPr>
          <w:bCs/>
          <w:sz w:val="16"/>
          <w:szCs w:val="16"/>
        </w:rPr>
        <w:t xml:space="preserve"> Number of decisions by order</w:t>
      </w:r>
      <w:bookmarkStart w:id="11"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1"/>
      <w:r w:rsidRPr="0002195A">
        <w:rPr>
          <w:bCs/>
          <w:sz w:val="16"/>
          <w:szCs w:val="16"/>
        </w:rPr>
        <w:t xml:space="preserve">from </w:t>
      </w:r>
      <w:r w:rsidR="00F83C14">
        <w:rPr>
          <w:bCs/>
          <w:sz w:val="16"/>
          <w:szCs w:val="16"/>
        </w:rPr>
        <w:t xml:space="preserve">1 </w:t>
      </w:r>
      <w:r w:rsidR="000F408B">
        <w:rPr>
          <w:bCs/>
          <w:sz w:val="16"/>
          <w:szCs w:val="16"/>
        </w:rPr>
        <w:t>July</w:t>
      </w:r>
      <w:r w:rsidR="00415BC8">
        <w:rPr>
          <w:bCs/>
          <w:sz w:val="16"/>
          <w:szCs w:val="16"/>
        </w:rPr>
        <w:t xml:space="preserve"> 2022</w:t>
      </w:r>
      <w:r w:rsidRPr="0002195A">
        <w:rPr>
          <w:bCs/>
          <w:sz w:val="16"/>
          <w:szCs w:val="16"/>
        </w:rPr>
        <w:t xml:space="preserve"> to </w:t>
      </w:r>
      <w:r w:rsidR="00DA70CA">
        <w:rPr>
          <w:bCs/>
          <w:sz w:val="16"/>
          <w:szCs w:val="16"/>
        </w:rPr>
        <w:t xml:space="preserve">30 </w:t>
      </w:r>
      <w:r w:rsidR="000F408B">
        <w:rPr>
          <w:bCs/>
          <w:sz w:val="16"/>
          <w:szCs w:val="16"/>
        </w:rPr>
        <w:t>September</w:t>
      </w:r>
      <w:r w:rsidR="001A5C4C">
        <w:rPr>
          <w:bCs/>
          <w:sz w:val="16"/>
          <w:szCs w:val="16"/>
        </w:rPr>
        <w:t xml:space="preserve"> 2022</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5B0C2D">
        <w:rPr>
          <w:sz w:val="16"/>
          <w:szCs w:val="16"/>
          <w:vertAlign w:val="superscript"/>
        </w:rPr>
        <w:t>5</w:t>
      </w:r>
      <w:r w:rsidR="0002195A" w:rsidRPr="00152D32">
        <w:rPr>
          <w:sz w:val="16"/>
          <w:szCs w:val="16"/>
          <w:vertAlign w:val="superscript"/>
        </w:rPr>
        <w:fldChar w:fldCharType="end"/>
      </w:r>
    </w:p>
    <w:tbl>
      <w:tblPr>
        <w:tblStyle w:val="TableGrid"/>
        <w:tblW w:w="9526" w:type="dxa"/>
        <w:tblInd w:w="108" w:type="dxa"/>
        <w:tblLook w:val="04A0" w:firstRow="1" w:lastRow="0" w:firstColumn="1" w:lastColumn="0" w:noHBand="0" w:noVBand="1"/>
      </w:tblPr>
      <w:tblGrid>
        <w:gridCol w:w="1249"/>
        <w:gridCol w:w="884"/>
        <w:gridCol w:w="1481"/>
        <w:gridCol w:w="993"/>
        <w:gridCol w:w="1169"/>
        <w:gridCol w:w="1323"/>
        <w:gridCol w:w="1262"/>
        <w:gridCol w:w="1165"/>
      </w:tblGrid>
      <w:tr w:rsidR="00E65E47" w:rsidRPr="004B6F52" w14:paraId="53F08652" w14:textId="77777777" w:rsidTr="00E65E47">
        <w:tc>
          <w:tcPr>
            <w:tcW w:w="9526" w:type="dxa"/>
            <w:gridSpan w:val="8"/>
          </w:tcPr>
          <w:p w14:paraId="11325B98" w14:textId="39464D78" w:rsidR="00E65E47" w:rsidRPr="004B6F52" w:rsidRDefault="00E65E47" w:rsidP="00237AB1">
            <w:pPr>
              <w:ind w:right="-425"/>
              <w:jc w:val="center"/>
              <w:rPr>
                <w:rFonts w:cs="Arial"/>
                <w:b/>
                <w:bCs/>
              </w:rPr>
            </w:pPr>
            <w:r w:rsidRPr="004B6F52">
              <w:rPr>
                <w:rFonts w:cs="Arial"/>
                <w:b/>
                <w:bCs/>
              </w:rPr>
              <w:t>Decisions by Order</w:t>
            </w:r>
          </w:p>
        </w:tc>
      </w:tr>
      <w:tr w:rsidR="00A40423" w14:paraId="00D64F33" w14:textId="77777777" w:rsidTr="00A40423">
        <w:tc>
          <w:tcPr>
            <w:tcW w:w="1251" w:type="dxa"/>
          </w:tcPr>
          <w:p w14:paraId="4D5DE928" w14:textId="77777777" w:rsidR="00A40423" w:rsidRPr="00AE6690" w:rsidRDefault="00A40423" w:rsidP="00127D11">
            <w:pPr>
              <w:ind w:right="-425"/>
              <w:jc w:val="both"/>
              <w:rPr>
                <w:rFonts w:cs="Arial"/>
                <w:b/>
                <w:bCs/>
                <w:sz w:val="16"/>
                <w:szCs w:val="16"/>
              </w:rPr>
            </w:pPr>
            <w:r w:rsidRPr="00AE6690">
              <w:rPr>
                <w:rFonts w:cs="Arial"/>
                <w:b/>
                <w:bCs/>
                <w:sz w:val="16"/>
                <w:szCs w:val="16"/>
              </w:rPr>
              <w:t>Community</w:t>
            </w:r>
          </w:p>
        </w:tc>
        <w:tc>
          <w:tcPr>
            <w:tcW w:w="904" w:type="dxa"/>
          </w:tcPr>
          <w:p w14:paraId="26C6768E" w14:textId="2E14333C" w:rsidR="00A40423" w:rsidRPr="00AE6690" w:rsidRDefault="00A40423" w:rsidP="00127D11">
            <w:pPr>
              <w:jc w:val="center"/>
              <w:rPr>
                <w:rFonts w:cs="Arial"/>
                <w:b/>
                <w:bCs/>
                <w:sz w:val="16"/>
                <w:szCs w:val="16"/>
              </w:rPr>
            </w:pPr>
            <w:r w:rsidRPr="00AE6690">
              <w:rPr>
                <w:rFonts w:cs="Arial"/>
                <w:b/>
                <w:bCs/>
                <w:sz w:val="16"/>
                <w:szCs w:val="16"/>
              </w:rPr>
              <w:t>CP</w:t>
            </w:r>
          </w:p>
        </w:tc>
        <w:tc>
          <w:tcPr>
            <w:tcW w:w="1487" w:type="dxa"/>
          </w:tcPr>
          <w:p w14:paraId="26BEE2F4" w14:textId="3559A601" w:rsidR="00A40423" w:rsidRPr="00AE6690" w:rsidRDefault="00A40423" w:rsidP="00127D11">
            <w:pPr>
              <w:jc w:val="center"/>
              <w:rPr>
                <w:rFonts w:cs="Arial"/>
                <w:b/>
                <w:bCs/>
                <w:sz w:val="16"/>
                <w:szCs w:val="16"/>
              </w:rPr>
            </w:pPr>
            <w:r w:rsidRPr="00AE6690">
              <w:rPr>
                <w:rFonts w:cs="Arial"/>
                <w:b/>
                <w:bCs/>
                <w:sz w:val="16"/>
                <w:szCs w:val="16"/>
              </w:rPr>
              <w:t xml:space="preserve">CP &amp; CIM Concurrently </w:t>
            </w:r>
          </w:p>
        </w:tc>
        <w:tc>
          <w:tcPr>
            <w:tcW w:w="1015" w:type="dxa"/>
          </w:tcPr>
          <w:p w14:paraId="04157B6B" w14:textId="5B3F46E4" w:rsidR="00A40423" w:rsidRPr="00AE6690" w:rsidRDefault="00A40423" w:rsidP="00127D11">
            <w:pPr>
              <w:jc w:val="center"/>
              <w:rPr>
                <w:rFonts w:cs="Arial"/>
                <w:b/>
                <w:bCs/>
                <w:sz w:val="16"/>
                <w:szCs w:val="16"/>
              </w:rPr>
            </w:pPr>
            <w:r w:rsidRPr="00AE6690">
              <w:rPr>
                <w:rFonts w:cs="Arial"/>
                <w:b/>
                <w:bCs/>
                <w:sz w:val="16"/>
                <w:szCs w:val="16"/>
              </w:rPr>
              <w:t>CIM</w:t>
            </w:r>
          </w:p>
        </w:tc>
        <w:tc>
          <w:tcPr>
            <w:tcW w:w="1184" w:type="dxa"/>
          </w:tcPr>
          <w:p w14:paraId="02F458D5" w14:textId="37EC28F9" w:rsidR="00A40423" w:rsidRPr="00AE6690" w:rsidRDefault="00A40423" w:rsidP="00127D11">
            <w:pPr>
              <w:jc w:val="center"/>
              <w:rPr>
                <w:rFonts w:cs="Arial"/>
                <w:b/>
                <w:bCs/>
                <w:sz w:val="16"/>
                <w:szCs w:val="16"/>
              </w:rPr>
            </w:pPr>
            <w:r w:rsidRPr="00AE6690">
              <w:rPr>
                <w:rFonts w:cs="Arial"/>
                <w:b/>
                <w:bCs/>
                <w:sz w:val="16"/>
                <w:szCs w:val="16"/>
              </w:rPr>
              <w:t>No Further Action</w:t>
            </w:r>
          </w:p>
        </w:tc>
        <w:tc>
          <w:tcPr>
            <w:tcW w:w="1229" w:type="dxa"/>
          </w:tcPr>
          <w:p w14:paraId="0D0553AE" w14:textId="0DFB7641" w:rsidR="00A40423" w:rsidRPr="00AE6690" w:rsidRDefault="00A40423" w:rsidP="00127D11">
            <w:pPr>
              <w:jc w:val="center"/>
              <w:rPr>
                <w:rFonts w:cs="Arial"/>
                <w:b/>
                <w:bCs/>
                <w:sz w:val="16"/>
                <w:szCs w:val="16"/>
              </w:rPr>
            </w:pPr>
            <w:r w:rsidRPr="00AE6690">
              <w:rPr>
                <w:rFonts w:cs="Arial"/>
                <w:b/>
                <w:bCs/>
                <w:sz w:val="16"/>
                <w:szCs w:val="16"/>
              </w:rPr>
              <w:t>Recommend Support Service</w:t>
            </w:r>
          </w:p>
        </w:tc>
        <w:tc>
          <w:tcPr>
            <w:tcW w:w="1265" w:type="dxa"/>
          </w:tcPr>
          <w:p w14:paraId="20680178" w14:textId="77777777" w:rsidR="00A40423" w:rsidRPr="00AE6690" w:rsidRDefault="00A40423" w:rsidP="00127D11">
            <w:pPr>
              <w:jc w:val="center"/>
              <w:rPr>
                <w:rFonts w:cs="Arial"/>
                <w:b/>
                <w:bCs/>
                <w:sz w:val="16"/>
                <w:szCs w:val="16"/>
              </w:rPr>
            </w:pPr>
            <w:r w:rsidRPr="00AE6690">
              <w:rPr>
                <w:rFonts w:cs="Arial"/>
                <w:b/>
                <w:bCs/>
                <w:sz w:val="16"/>
                <w:szCs w:val="16"/>
              </w:rPr>
              <w:t>Reprimand</w:t>
            </w:r>
          </w:p>
        </w:tc>
        <w:tc>
          <w:tcPr>
            <w:tcW w:w="1191" w:type="dxa"/>
          </w:tcPr>
          <w:p w14:paraId="510D2877" w14:textId="77777777" w:rsidR="00A40423" w:rsidRPr="00AE6690" w:rsidRDefault="00A40423" w:rsidP="00127D11">
            <w:pPr>
              <w:jc w:val="right"/>
              <w:rPr>
                <w:rFonts w:cs="Arial"/>
                <w:b/>
                <w:bCs/>
                <w:sz w:val="16"/>
                <w:szCs w:val="16"/>
              </w:rPr>
            </w:pPr>
            <w:r w:rsidRPr="00AE6690">
              <w:rPr>
                <w:rFonts w:cs="Arial"/>
                <w:b/>
                <w:bCs/>
                <w:sz w:val="16"/>
                <w:szCs w:val="16"/>
              </w:rPr>
              <w:t>Total</w:t>
            </w:r>
          </w:p>
        </w:tc>
      </w:tr>
      <w:tr w:rsidR="00A40423" w14:paraId="1020AB47" w14:textId="77777777" w:rsidTr="00A40423">
        <w:tc>
          <w:tcPr>
            <w:tcW w:w="1251" w:type="dxa"/>
          </w:tcPr>
          <w:p w14:paraId="38A91592" w14:textId="77777777" w:rsidR="00A40423" w:rsidRPr="00AE6690" w:rsidRDefault="00A40423" w:rsidP="00A40423">
            <w:pPr>
              <w:ind w:right="-425"/>
              <w:jc w:val="both"/>
              <w:rPr>
                <w:rFonts w:cs="Arial"/>
              </w:rPr>
            </w:pPr>
            <w:r w:rsidRPr="00AE6690">
              <w:rPr>
                <w:rFonts w:cs="Arial"/>
              </w:rPr>
              <w:t>AU</w:t>
            </w:r>
          </w:p>
        </w:tc>
        <w:tc>
          <w:tcPr>
            <w:tcW w:w="904" w:type="dxa"/>
          </w:tcPr>
          <w:p w14:paraId="49AD44CD" w14:textId="724374D5" w:rsidR="00A40423" w:rsidRPr="00AE6690" w:rsidRDefault="00A40423" w:rsidP="00A40423">
            <w:pPr>
              <w:jc w:val="right"/>
            </w:pPr>
            <w:r>
              <w:rPr>
                <w:rFonts w:cs="Arial"/>
                <w:color w:val="000000"/>
              </w:rPr>
              <w:t>0</w:t>
            </w:r>
          </w:p>
        </w:tc>
        <w:tc>
          <w:tcPr>
            <w:tcW w:w="1487" w:type="dxa"/>
          </w:tcPr>
          <w:p w14:paraId="17354BB6" w14:textId="20E5F343" w:rsidR="00A40423" w:rsidRPr="00AE6690" w:rsidRDefault="00A40423" w:rsidP="00A40423">
            <w:pPr>
              <w:jc w:val="right"/>
            </w:pPr>
            <w:r>
              <w:rPr>
                <w:rFonts w:cs="Arial"/>
                <w:color w:val="000000"/>
              </w:rPr>
              <w:t>1</w:t>
            </w:r>
          </w:p>
        </w:tc>
        <w:tc>
          <w:tcPr>
            <w:tcW w:w="1015" w:type="dxa"/>
          </w:tcPr>
          <w:p w14:paraId="72A6336C" w14:textId="04F15D3E" w:rsidR="00A40423" w:rsidRPr="00AE6690" w:rsidRDefault="00A40423" w:rsidP="00A40423">
            <w:pPr>
              <w:jc w:val="right"/>
            </w:pPr>
            <w:r>
              <w:rPr>
                <w:rFonts w:cs="Arial"/>
                <w:color w:val="000000"/>
              </w:rPr>
              <w:t>8</w:t>
            </w:r>
          </w:p>
        </w:tc>
        <w:tc>
          <w:tcPr>
            <w:tcW w:w="1184" w:type="dxa"/>
          </w:tcPr>
          <w:p w14:paraId="7AF566B8" w14:textId="3A92D23D" w:rsidR="00A40423" w:rsidRPr="00AE6690" w:rsidRDefault="00A40423" w:rsidP="00A40423">
            <w:pPr>
              <w:jc w:val="right"/>
            </w:pPr>
            <w:r>
              <w:rPr>
                <w:rFonts w:cs="Arial"/>
                <w:color w:val="000000"/>
              </w:rPr>
              <w:t>4</w:t>
            </w:r>
          </w:p>
        </w:tc>
        <w:tc>
          <w:tcPr>
            <w:tcW w:w="1229" w:type="dxa"/>
          </w:tcPr>
          <w:p w14:paraId="0A8CA9D7" w14:textId="2D984946" w:rsidR="00A40423" w:rsidRPr="00AE6690" w:rsidRDefault="00A40423" w:rsidP="00A40423">
            <w:pPr>
              <w:jc w:val="right"/>
            </w:pPr>
            <w:r>
              <w:rPr>
                <w:rFonts w:cs="Arial"/>
                <w:color w:val="000000"/>
              </w:rPr>
              <w:t>0</w:t>
            </w:r>
          </w:p>
        </w:tc>
        <w:tc>
          <w:tcPr>
            <w:tcW w:w="1265" w:type="dxa"/>
          </w:tcPr>
          <w:p w14:paraId="515C5886" w14:textId="463FD779" w:rsidR="00A40423" w:rsidRPr="00AE6690" w:rsidRDefault="00A40423" w:rsidP="00A40423">
            <w:pPr>
              <w:jc w:val="right"/>
            </w:pPr>
            <w:r>
              <w:rPr>
                <w:rFonts w:cs="Arial"/>
                <w:color w:val="000000"/>
              </w:rPr>
              <w:t>12</w:t>
            </w:r>
          </w:p>
        </w:tc>
        <w:tc>
          <w:tcPr>
            <w:tcW w:w="1191" w:type="dxa"/>
            <w:vAlign w:val="bottom"/>
          </w:tcPr>
          <w:p w14:paraId="5EBCE817" w14:textId="1A3A1D05" w:rsidR="00A40423" w:rsidRPr="00AE6690" w:rsidRDefault="00A40423" w:rsidP="00A40423">
            <w:pPr>
              <w:jc w:val="right"/>
              <w:rPr>
                <w:b/>
                <w:bCs/>
              </w:rPr>
            </w:pPr>
            <w:r>
              <w:rPr>
                <w:rFonts w:cs="Arial"/>
                <w:b/>
                <w:bCs/>
              </w:rPr>
              <w:t>25</w:t>
            </w:r>
          </w:p>
        </w:tc>
      </w:tr>
      <w:tr w:rsidR="00A40423" w14:paraId="301C6385" w14:textId="77777777" w:rsidTr="00A40423">
        <w:tc>
          <w:tcPr>
            <w:tcW w:w="1251" w:type="dxa"/>
          </w:tcPr>
          <w:p w14:paraId="50576C01" w14:textId="77777777" w:rsidR="00A40423" w:rsidRPr="00AE6690" w:rsidRDefault="00A40423" w:rsidP="00A40423">
            <w:pPr>
              <w:ind w:right="-425"/>
              <w:jc w:val="both"/>
              <w:rPr>
                <w:rFonts w:cs="Arial"/>
              </w:rPr>
            </w:pPr>
            <w:r w:rsidRPr="00AE6690">
              <w:rPr>
                <w:rFonts w:cs="Arial"/>
              </w:rPr>
              <w:t>CO</w:t>
            </w:r>
          </w:p>
        </w:tc>
        <w:tc>
          <w:tcPr>
            <w:tcW w:w="904" w:type="dxa"/>
          </w:tcPr>
          <w:p w14:paraId="44D73875" w14:textId="30B209C3" w:rsidR="00A40423" w:rsidRPr="00AE6690" w:rsidRDefault="00A40423" w:rsidP="00A40423">
            <w:pPr>
              <w:jc w:val="right"/>
            </w:pPr>
            <w:r>
              <w:rPr>
                <w:rFonts w:cs="Arial"/>
                <w:color w:val="000000"/>
              </w:rPr>
              <w:t>0</w:t>
            </w:r>
          </w:p>
        </w:tc>
        <w:tc>
          <w:tcPr>
            <w:tcW w:w="1487" w:type="dxa"/>
          </w:tcPr>
          <w:p w14:paraId="0F9DAF08" w14:textId="392D4F10" w:rsidR="00A40423" w:rsidRPr="00AE6690" w:rsidRDefault="00A40423" w:rsidP="00A40423">
            <w:pPr>
              <w:jc w:val="right"/>
            </w:pPr>
            <w:r>
              <w:rPr>
                <w:rFonts w:cs="Arial"/>
                <w:color w:val="000000"/>
              </w:rPr>
              <w:t>0</w:t>
            </w:r>
          </w:p>
        </w:tc>
        <w:tc>
          <w:tcPr>
            <w:tcW w:w="1015" w:type="dxa"/>
          </w:tcPr>
          <w:p w14:paraId="2F50872C" w14:textId="4277F70C" w:rsidR="00A40423" w:rsidRPr="00AE6690" w:rsidRDefault="00A40423" w:rsidP="00A40423">
            <w:pPr>
              <w:jc w:val="right"/>
            </w:pPr>
            <w:r>
              <w:rPr>
                <w:rFonts w:cs="Arial"/>
                <w:color w:val="000000"/>
              </w:rPr>
              <w:t>0</w:t>
            </w:r>
          </w:p>
        </w:tc>
        <w:tc>
          <w:tcPr>
            <w:tcW w:w="1184" w:type="dxa"/>
          </w:tcPr>
          <w:p w14:paraId="4D1AF7D1" w14:textId="0F4D63F9" w:rsidR="00A40423" w:rsidRPr="00AE6690" w:rsidRDefault="00A40423" w:rsidP="00A40423">
            <w:pPr>
              <w:jc w:val="right"/>
            </w:pPr>
            <w:r>
              <w:rPr>
                <w:rFonts w:cs="Arial"/>
                <w:color w:val="000000"/>
              </w:rPr>
              <w:t>0</w:t>
            </w:r>
          </w:p>
        </w:tc>
        <w:tc>
          <w:tcPr>
            <w:tcW w:w="1229" w:type="dxa"/>
          </w:tcPr>
          <w:p w14:paraId="225B50B4" w14:textId="27010E6A" w:rsidR="00A40423" w:rsidRPr="00AE6690" w:rsidRDefault="00A40423" w:rsidP="00A40423">
            <w:pPr>
              <w:jc w:val="right"/>
            </w:pPr>
            <w:r>
              <w:rPr>
                <w:rFonts w:cs="Arial"/>
                <w:color w:val="000000"/>
              </w:rPr>
              <w:t>0</w:t>
            </w:r>
          </w:p>
        </w:tc>
        <w:tc>
          <w:tcPr>
            <w:tcW w:w="1265" w:type="dxa"/>
          </w:tcPr>
          <w:p w14:paraId="2433CFD3" w14:textId="6E92D2DE" w:rsidR="00A40423" w:rsidRPr="00AE6690" w:rsidRDefault="00A40423" w:rsidP="00A40423">
            <w:pPr>
              <w:jc w:val="right"/>
            </w:pPr>
            <w:r>
              <w:rPr>
                <w:rFonts w:cs="Arial"/>
                <w:color w:val="000000"/>
              </w:rPr>
              <w:t>0</w:t>
            </w:r>
          </w:p>
        </w:tc>
        <w:tc>
          <w:tcPr>
            <w:tcW w:w="1191" w:type="dxa"/>
            <w:vAlign w:val="bottom"/>
          </w:tcPr>
          <w:p w14:paraId="72B8A199" w14:textId="11B0911A" w:rsidR="00A40423" w:rsidRPr="00AE6690" w:rsidRDefault="00A40423" w:rsidP="00A40423">
            <w:pPr>
              <w:jc w:val="right"/>
              <w:rPr>
                <w:b/>
                <w:bCs/>
              </w:rPr>
            </w:pPr>
            <w:r>
              <w:rPr>
                <w:rFonts w:cs="Arial"/>
                <w:b/>
                <w:bCs/>
              </w:rPr>
              <w:t>0</w:t>
            </w:r>
          </w:p>
        </w:tc>
      </w:tr>
      <w:tr w:rsidR="00A40423" w14:paraId="1AF88ED4" w14:textId="77777777" w:rsidTr="00A40423">
        <w:tc>
          <w:tcPr>
            <w:tcW w:w="1251" w:type="dxa"/>
          </w:tcPr>
          <w:p w14:paraId="4C229F63" w14:textId="77777777" w:rsidR="00A40423" w:rsidRPr="00AE6690" w:rsidRDefault="00A40423" w:rsidP="00A40423">
            <w:pPr>
              <w:ind w:right="-425"/>
              <w:jc w:val="both"/>
              <w:rPr>
                <w:rFonts w:cs="Arial"/>
              </w:rPr>
            </w:pPr>
            <w:r w:rsidRPr="00AE6690">
              <w:rPr>
                <w:rFonts w:cs="Arial"/>
              </w:rPr>
              <w:t>DM</w:t>
            </w:r>
          </w:p>
        </w:tc>
        <w:tc>
          <w:tcPr>
            <w:tcW w:w="904" w:type="dxa"/>
          </w:tcPr>
          <w:p w14:paraId="67496A09" w14:textId="1A3EEEC2" w:rsidR="00A40423" w:rsidRPr="00AE6690" w:rsidRDefault="00A40423" w:rsidP="00A40423">
            <w:pPr>
              <w:jc w:val="right"/>
            </w:pPr>
            <w:r>
              <w:rPr>
                <w:rFonts w:cs="Arial"/>
                <w:color w:val="000000"/>
              </w:rPr>
              <w:t>9</w:t>
            </w:r>
          </w:p>
        </w:tc>
        <w:tc>
          <w:tcPr>
            <w:tcW w:w="1487" w:type="dxa"/>
          </w:tcPr>
          <w:p w14:paraId="0675C9A5" w14:textId="7B5A4910" w:rsidR="00A40423" w:rsidRPr="00AE6690" w:rsidRDefault="00A40423" w:rsidP="00A40423">
            <w:pPr>
              <w:jc w:val="right"/>
            </w:pPr>
            <w:r>
              <w:rPr>
                <w:rFonts w:cs="Arial"/>
                <w:color w:val="000000"/>
              </w:rPr>
              <w:t>1</w:t>
            </w:r>
          </w:p>
        </w:tc>
        <w:tc>
          <w:tcPr>
            <w:tcW w:w="1015" w:type="dxa"/>
          </w:tcPr>
          <w:p w14:paraId="6FC56168" w14:textId="3DBB4F10" w:rsidR="00A40423" w:rsidRPr="00AE6690" w:rsidRDefault="00A40423" w:rsidP="00A40423">
            <w:pPr>
              <w:jc w:val="right"/>
            </w:pPr>
            <w:r>
              <w:rPr>
                <w:rFonts w:cs="Arial"/>
                <w:color w:val="000000"/>
              </w:rPr>
              <w:t>1</w:t>
            </w:r>
          </w:p>
        </w:tc>
        <w:tc>
          <w:tcPr>
            <w:tcW w:w="1184" w:type="dxa"/>
          </w:tcPr>
          <w:p w14:paraId="44389DB6" w14:textId="55D4F0A1" w:rsidR="00A40423" w:rsidRPr="00AE6690" w:rsidRDefault="00A40423" w:rsidP="00A40423">
            <w:pPr>
              <w:jc w:val="right"/>
            </w:pPr>
            <w:r>
              <w:rPr>
                <w:rFonts w:cs="Arial"/>
                <w:color w:val="000000"/>
              </w:rPr>
              <w:t>19</w:t>
            </w:r>
          </w:p>
        </w:tc>
        <w:tc>
          <w:tcPr>
            <w:tcW w:w="1229" w:type="dxa"/>
          </w:tcPr>
          <w:p w14:paraId="09B97CC9" w14:textId="652025D4" w:rsidR="00A40423" w:rsidRPr="00AE6690" w:rsidRDefault="00A40423" w:rsidP="00A40423">
            <w:pPr>
              <w:jc w:val="right"/>
            </w:pPr>
            <w:r>
              <w:rPr>
                <w:rFonts w:cs="Arial"/>
                <w:color w:val="000000"/>
              </w:rPr>
              <w:t>1</w:t>
            </w:r>
          </w:p>
        </w:tc>
        <w:tc>
          <w:tcPr>
            <w:tcW w:w="1265" w:type="dxa"/>
          </w:tcPr>
          <w:p w14:paraId="2BF4D189" w14:textId="1D5831F3" w:rsidR="00A40423" w:rsidRPr="00AE6690" w:rsidRDefault="00A40423" w:rsidP="00A40423">
            <w:pPr>
              <w:jc w:val="right"/>
            </w:pPr>
            <w:r>
              <w:rPr>
                <w:rFonts w:cs="Arial"/>
                <w:color w:val="000000"/>
              </w:rPr>
              <w:t>0</w:t>
            </w:r>
          </w:p>
        </w:tc>
        <w:tc>
          <w:tcPr>
            <w:tcW w:w="1191" w:type="dxa"/>
            <w:vAlign w:val="bottom"/>
          </w:tcPr>
          <w:p w14:paraId="6A174D2C" w14:textId="5B80FB63" w:rsidR="00A40423" w:rsidRPr="00AE6690" w:rsidRDefault="00A40423" w:rsidP="00A40423">
            <w:pPr>
              <w:jc w:val="right"/>
              <w:rPr>
                <w:b/>
                <w:bCs/>
              </w:rPr>
            </w:pPr>
            <w:r>
              <w:rPr>
                <w:rFonts w:cs="Arial"/>
                <w:b/>
                <w:bCs/>
              </w:rPr>
              <w:t>31</w:t>
            </w:r>
          </w:p>
        </w:tc>
      </w:tr>
      <w:tr w:rsidR="00A40423" w14:paraId="0B079D3E" w14:textId="77777777" w:rsidTr="00A40423">
        <w:tc>
          <w:tcPr>
            <w:tcW w:w="1251" w:type="dxa"/>
          </w:tcPr>
          <w:p w14:paraId="4C8C2425" w14:textId="77777777" w:rsidR="00A40423" w:rsidRPr="00AE6690" w:rsidRDefault="00A40423" w:rsidP="00A40423">
            <w:pPr>
              <w:ind w:right="-425"/>
              <w:jc w:val="both"/>
              <w:rPr>
                <w:rFonts w:cs="Arial"/>
              </w:rPr>
            </w:pPr>
            <w:r w:rsidRPr="00AE6690">
              <w:rPr>
                <w:rFonts w:cs="Arial"/>
              </w:rPr>
              <w:t>HV</w:t>
            </w:r>
          </w:p>
        </w:tc>
        <w:tc>
          <w:tcPr>
            <w:tcW w:w="904" w:type="dxa"/>
          </w:tcPr>
          <w:p w14:paraId="37538412" w14:textId="51B1DAAE" w:rsidR="00A40423" w:rsidRPr="00AE6690" w:rsidRDefault="00A40423" w:rsidP="00A40423">
            <w:pPr>
              <w:jc w:val="right"/>
            </w:pPr>
            <w:r>
              <w:rPr>
                <w:rFonts w:cs="Arial"/>
                <w:color w:val="000000"/>
              </w:rPr>
              <w:t>6</w:t>
            </w:r>
          </w:p>
        </w:tc>
        <w:tc>
          <w:tcPr>
            <w:tcW w:w="1487" w:type="dxa"/>
          </w:tcPr>
          <w:p w14:paraId="19FE7E35" w14:textId="2F1F2665" w:rsidR="00A40423" w:rsidRPr="00AE6690" w:rsidRDefault="00A40423" w:rsidP="00A40423">
            <w:pPr>
              <w:jc w:val="right"/>
            </w:pPr>
            <w:r>
              <w:rPr>
                <w:rFonts w:cs="Arial"/>
                <w:color w:val="000000"/>
              </w:rPr>
              <w:t>2</w:t>
            </w:r>
          </w:p>
        </w:tc>
        <w:tc>
          <w:tcPr>
            <w:tcW w:w="1015" w:type="dxa"/>
          </w:tcPr>
          <w:p w14:paraId="533C7EA9" w14:textId="7E38E312" w:rsidR="00A40423" w:rsidRPr="00AE6690" w:rsidRDefault="00A40423" w:rsidP="00A40423">
            <w:pPr>
              <w:jc w:val="right"/>
            </w:pPr>
            <w:r>
              <w:rPr>
                <w:rFonts w:cs="Arial"/>
                <w:color w:val="000000"/>
              </w:rPr>
              <w:t>0</w:t>
            </w:r>
          </w:p>
        </w:tc>
        <w:tc>
          <w:tcPr>
            <w:tcW w:w="1184" w:type="dxa"/>
          </w:tcPr>
          <w:p w14:paraId="6CDAAF40" w14:textId="676C2F22" w:rsidR="00A40423" w:rsidRPr="00AE6690" w:rsidRDefault="00A40423" w:rsidP="00A40423">
            <w:pPr>
              <w:jc w:val="right"/>
            </w:pPr>
            <w:r>
              <w:rPr>
                <w:rFonts w:cs="Arial"/>
                <w:color w:val="000000"/>
              </w:rPr>
              <w:t>31</w:t>
            </w:r>
          </w:p>
        </w:tc>
        <w:tc>
          <w:tcPr>
            <w:tcW w:w="1229" w:type="dxa"/>
          </w:tcPr>
          <w:p w14:paraId="28BF6F9E" w14:textId="3C592676" w:rsidR="00A40423" w:rsidRPr="00AE6690" w:rsidRDefault="00A40423" w:rsidP="00A40423">
            <w:pPr>
              <w:jc w:val="right"/>
            </w:pPr>
            <w:r>
              <w:rPr>
                <w:rFonts w:cs="Arial"/>
                <w:color w:val="000000"/>
              </w:rPr>
              <w:t>0</w:t>
            </w:r>
          </w:p>
        </w:tc>
        <w:tc>
          <w:tcPr>
            <w:tcW w:w="1265" w:type="dxa"/>
          </w:tcPr>
          <w:p w14:paraId="5329BF30" w14:textId="4325410D" w:rsidR="00A40423" w:rsidRPr="00AE6690" w:rsidRDefault="00A40423" w:rsidP="00A40423">
            <w:pPr>
              <w:jc w:val="right"/>
            </w:pPr>
            <w:r>
              <w:rPr>
                <w:rFonts w:cs="Arial"/>
                <w:color w:val="000000"/>
              </w:rPr>
              <w:t>5</w:t>
            </w:r>
          </w:p>
        </w:tc>
        <w:tc>
          <w:tcPr>
            <w:tcW w:w="1191" w:type="dxa"/>
            <w:vAlign w:val="bottom"/>
          </w:tcPr>
          <w:p w14:paraId="03987686" w14:textId="073D74CE" w:rsidR="00A40423" w:rsidRPr="00AE6690" w:rsidRDefault="00A40423" w:rsidP="00A40423">
            <w:pPr>
              <w:jc w:val="right"/>
              <w:rPr>
                <w:b/>
                <w:bCs/>
              </w:rPr>
            </w:pPr>
            <w:r>
              <w:rPr>
                <w:rFonts w:cs="Arial"/>
                <w:b/>
                <w:bCs/>
              </w:rPr>
              <w:t>44</w:t>
            </w:r>
          </w:p>
        </w:tc>
      </w:tr>
      <w:tr w:rsidR="00A40423" w14:paraId="1A110982" w14:textId="77777777" w:rsidTr="00A40423">
        <w:tc>
          <w:tcPr>
            <w:tcW w:w="1251" w:type="dxa"/>
          </w:tcPr>
          <w:p w14:paraId="3E280D98" w14:textId="77777777" w:rsidR="00A40423" w:rsidRPr="00AE6690" w:rsidRDefault="00A40423" w:rsidP="00A40423">
            <w:pPr>
              <w:ind w:right="-425"/>
              <w:jc w:val="both"/>
              <w:rPr>
                <w:rFonts w:cs="Arial"/>
              </w:rPr>
            </w:pPr>
            <w:r w:rsidRPr="00AE6690">
              <w:rPr>
                <w:rFonts w:cs="Arial"/>
              </w:rPr>
              <w:t>MG</w:t>
            </w:r>
          </w:p>
        </w:tc>
        <w:tc>
          <w:tcPr>
            <w:tcW w:w="904" w:type="dxa"/>
          </w:tcPr>
          <w:p w14:paraId="219E514B" w14:textId="5910BAB8" w:rsidR="00A40423" w:rsidRPr="00AE6690" w:rsidRDefault="00A40423" w:rsidP="00A40423">
            <w:pPr>
              <w:jc w:val="right"/>
            </w:pPr>
            <w:r>
              <w:rPr>
                <w:rFonts w:cs="Arial"/>
                <w:color w:val="000000"/>
              </w:rPr>
              <w:t>4</w:t>
            </w:r>
          </w:p>
        </w:tc>
        <w:tc>
          <w:tcPr>
            <w:tcW w:w="1487" w:type="dxa"/>
          </w:tcPr>
          <w:p w14:paraId="51A17240" w14:textId="71D8105D" w:rsidR="00A40423" w:rsidRPr="00AE6690" w:rsidRDefault="00A40423" w:rsidP="00A40423">
            <w:pPr>
              <w:jc w:val="right"/>
            </w:pPr>
            <w:r>
              <w:rPr>
                <w:rFonts w:cs="Arial"/>
                <w:color w:val="000000"/>
              </w:rPr>
              <w:t>0</w:t>
            </w:r>
          </w:p>
        </w:tc>
        <w:tc>
          <w:tcPr>
            <w:tcW w:w="1015" w:type="dxa"/>
          </w:tcPr>
          <w:p w14:paraId="39A8F072" w14:textId="5BB6B796" w:rsidR="00A40423" w:rsidRPr="00AE6690" w:rsidRDefault="00A40423" w:rsidP="00A40423">
            <w:pPr>
              <w:jc w:val="right"/>
            </w:pPr>
            <w:r>
              <w:rPr>
                <w:rFonts w:cs="Arial"/>
                <w:color w:val="000000"/>
              </w:rPr>
              <w:t>0</w:t>
            </w:r>
          </w:p>
        </w:tc>
        <w:tc>
          <w:tcPr>
            <w:tcW w:w="1184" w:type="dxa"/>
          </w:tcPr>
          <w:p w14:paraId="4786E29E" w14:textId="0BADCA8A" w:rsidR="00A40423" w:rsidRPr="00AE6690" w:rsidRDefault="00A40423" w:rsidP="00A40423">
            <w:pPr>
              <w:jc w:val="right"/>
            </w:pPr>
            <w:r>
              <w:rPr>
                <w:rFonts w:cs="Arial"/>
                <w:color w:val="000000"/>
              </w:rPr>
              <w:t>2</w:t>
            </w:r>
          </w:p>
        </w:tc>
        <w:tc>
          <w:tcPr>
            <w:tcW w:w="1229" w:type="dxa"/>
          </w:tcPr>
          <w:p w14:paraId="72B56FC5" w14:textId="253FC9D4" w:rsidR="00A40423" w:rsidRPr="00AE6690" w:rsidRDefault="00A40423" w:rsidP="00A40423">
            <w:pPr>
              <w:jc w:val="right"/>
            </w:pPr>
            <w:r>
              <w:rPr>
                <w:rFonts w:cs="Arial"/>
                <w:color w:val="000000"/>
              </w:rPr>
              <w:t>0</w:t>
            </w:r>
          </w:p>
        </w:tc>
        <w:tc>
          <w:tcPr>
            <w:tcW w:w="1265" w:type="dxa"/>
          </w:tcPr>
          <w:p w14:paraId="358DC4D7" w14:textId="1B2E9E9D" w:rsidR="00A40423" w:rsidRPr="00AE6690" w:rsidRDefault="00A40423" w:rsidP="00A40423">
            <w:pPr>
              <w:jc w:val="right"/>
            </w:pPr>
            <w:r>
              <w:rPr>
                <w:rFonts w:cs="Arial"/>
                <w:color w:val="000000"/>
              </w:rPr>
              <w:t>2</w:t>
            </w:r>
          </w:p>
        </w:tc>
        <w:tc>
          <w:tcPr>
            <w:tcW w:w="1191" w:type="dxa"/>
            <w:vAlign w:val="bottom"/>
          </w:tcPr>
          <w:p w14:paraId="1AC531B7" w14:textId="6687A348" w:rsidR="00A40423" w:rsidRPr="00AE6690" w:rsidRDefault="00A40423" w:rsidP="00A40423">
            <w:pPr>
              <w:jc w:val="right"/>
              <w:rPr>
                <w:b/>
                <w:bCs/>
              </w:rPr>
            </w:pPr>
            <w:r>
              <w:rPr>
                <w:rFonts w:cs="Arial"/>
                <w:b/>
                <w:bCs/>
              </w:rPr>
              <w:t>8</w:t>
            </w:r>
          </w:p>
        </w:tc>
      </w:tr>
      <w:tr w:rsidR="00A40423" w14:paraId="7D295E1A" w14:textId="77777777" w:rsidTr="00A40423">
        <w:tc>
          <w:tcPr>
            <w:tcW w:w="1251" w:type="dxa"/>
          </w:tcPr>
          <w:p w14:paraId="1AA67368" w14:textId="77777777" w:rsidR="00A40423" w:rsidRPr="00AE6690" w:rsidRDefault="00A40423" w:rsidP="00A40423">
            <w:pPr>
              <w:ind w:right="-425"/>
              <w:jc w:val="both"/>
              <w:rPr>
                <w:rFonts w:cs="Arial"/>
                <w:b/>
                <w:bCs/>
              </w:rPr>
            </w:pPr>
            <w:r w:rsidRPr="00AE6690">
              <w:rPr>
                <w:rFonts w:cs="Arial"/>
                <w:b/>
                <w:bCs/>
              </w:rPr>
              <w:t>Total</w:t>
            </w:r>
          </w:p>
        </w:tc>
        <w:tc>
          <w:tcPr>
            <w:tcW w:w="904" w:type="dxa"/>
            <w:vAlign w:val="bottom"/>
          </w:tcPr>
          <w:p w14:paraId="7EA61294" w14:textId="08F8B2BB" w:rsidR="00A40423" w:rsidRPr="00AE6690" w:rsidRDefault="00A40423" w:rsidP="00A40423">
            <w:pPr>
              <w:jc w:val="right"/>
              <w:rPr>
                <w:b/>
                <w:bCs/>
              </w:rPr>
            </w:pPr>
            <w:r>
              <w:rPr>
                <w:rFonts w:cs="Arial"/>
                <w:b/>
                <w:bCs/>
              </w:rPr>
              <w:t>19</w:t>
            </w:r>
          </w:p>
        </w:tc>
        <w:tc>
          <w:tcPr>
            <w:tcW w:w="1487" w:type="dxa"/>
            <w:vAlign w:val="bottom"/>
          </w:tcPr>
          <w:p w14:paraId="4423A1A4" w14:textId="47ED559F" w:rsidR="00A40423" w:rsidRPr="00AE6690" w:rsidRDefault="00A40423" w:rsidP="00A40423">
            <w:pPr>
              <w:jc w:val="right"/>
              <w:rPr>
                <w:b/>
                <w:bCs/>
              </w:rPr>
            </w:pPr>
            <w:r>
              <w:rPr>
                <w:rFonts w:cs="Arial"/>
                <w:b/>
                <w:bCs/>
              </w:rPr>
              <w:t>4</w:t>
            </w:r>
          </w:p>
        </w:tc>
        <w:tc>
          <w:tcPr>
            <w:tcW w:w="1015" w:type="dxa"/>
            <w:vAlign w:val="bottom"/>
          </w:tcPr>
          <w:p w14:paraId="25FCDD62" w14:textId="7C8FEE79" w:rsidR="00A40423" w:rsidRPr="00AE6690" w:rsidRDefault="00A40423" w:rsidP="00A40423">
            <w:pPr>
              <w:jc w:val="right"/>
              <w:rPr>
                <w:b/>
                <w:bCs/>
              </w:rPr>
            </w:pPr>
            <w:r>
              <w:rPr>
                <w:rFonts w:cs="Arial"/>
                <w:b/>
                <w:bCs/>
              </w:rPr>
              <w:t>9</w:t>
            </w:r>
          </w:p>
        </w:tc>
        <w:tc>
          <w:tcPr>
            <w:tcW w:w="1184" w:type="dxa"/>
            <w:vAlign w:val="bottom"/>
          </w:tcPr>
          <w:p w14:paraId="3CFBABCB" w14:textId="38BC98AF" w:rsidR="00A40423" w:rsidRPr="00AE6690" w:rsidRDefault="00A40423" w:rsidP="00A40423">
            <w:pPr>
              <w:jc w:val="right"/>
              <w:rPr>
                <w:b/>
                <w:bCs/>
              </w:rPr>
            </w:pPr>
            <w:r>
              <w:rPr>
                <w:rFonts w:cs="Arial"/>
                <w:b/>
                <w:bCs/>
              </w:rPr>
              <w:t>56</w:t>
            </w:r>
          </w:p>
        </w:tc>
        <w:tc>
          <w:tcPr>
            <w:tcW w:w="1229" w:type="dxa"/>
            <w:vAlign w:val="bottom"/>
          </w:tcPr>
          <w:p w14:paraId="6B72A0E8" w14:textId="363A4DD0" w:rsidR="00A40423" w:rsidRPr="00AE6690" w:rsidRDefault="00A40423" w:rsidP="00A40423">
            <w:pPr>
              <w:jc w:val="right"/>
              <w:rPr>
                <w:b/>
                <w:bCs/>
              </w:rPr>
            </w:pPr>
            <w:r>
              <w:rPr>
                <w:rFonts w:cs="Arial"/>
                <w:b/>
                <w:bCs/>
              </w:rPr>
              <w:t>1</w:t>
            </w:r>
          </w:p>
        </w:tc>
        <w:tc>
          <w:tcPr>
            <w:tcW w:w="1265" w:type="dxa"/>
            <w:vAlign w:val="bottom"/>
          </w:tcPr>
          <w:p w14:paraId="2793E47C" w14:textId="75C7EF0A" w:rsidR="00A40423" w:rsidRPr="00AE6690" w:rsidRDefault="00A40423" w:rsidP="00A40423">
            <w:pPr>
              <w:jc w:val="right"/>
              <w:rPr>
                <w:b/>
                <w:bCs/>
              </w:rPr>
            </w:pPr>
            <w:r>
              <w:rPr>
                <w:rFonts w:cs="Arial"/>
                <w:b/>
                <w:bCs/>
              </w:rPr>
              <w:t>19</w:t>
            </w:r>
          </w:p>
        </w:tc>
        <w:tc>
          <w:tcPr>
            <w:tcW w:w="1191" w:type="dxa"/>
            <w:vAlign w:val="bottom"/>
          </w:tcPr>
          <w:p w14:paraId="6FB13ACB" w14:textId="122A419B" w:rsidR="00A40423" w:rsidRPr="00AE6690" w:rsidRDefault="00A40423" w:rsidP="00A40423">
            <w:pPr>
              <w:jc w:val="right"/>
              <w:rPr>
                <w:b/>
                <w:bCs/>
              </w:rPr>
            </w:pPr>
            <w:r>
              <w:rPr>
                <w:rFonts w:cs="Arial"/>
                <w:b/>
                <w:bCs/>
              </w:rPr>
              <w:t>108</w:t>
            </w:r>
          </w:p>
        </w:tc>
      </w:tr>
    </w:tbl>
    <w:p w14:paraId="370BFC10" w14:textId="6394BA5A" w:rsidR="00D505F2" w:rsidRDefault="00D505F2" w:rsidP="00237AB1">
      <w:pPr>
        <w:ind w:left="-142" w:right="-425"/>
        <w:jc w:val="both"/>
        <w:rPr>
          <w:rFonts w:cs="Arial"/>
        </w:rPr>
      </w:pPr>
    </w:p>
    <w:p w14:paraId="1C006F71" w14:textId="697832FE" w:rsidR="00270A6D" w:rsidRPr="004B6F52" w:rsidRDefault="00270A6D" w:rsidP="00270A6D">
      <w:pPr>
        <w:spacing w:after="120" w:line="240" w:lineRule="auto"/>
        <w:ind w:left="794" w:hanging="794"/>
      </w:pPr>
      <w:r w:rsidRPr="004B6F52">
        <w:rPr>
          <w:b/>
          <w:sz w:val="16"/>
          <w:szCs w:val="16"/>
        </w:rPr>
        <w:t xml:space="preserve">Table </w:t>
      </w:r>
      <w:r w:rsidR="000F3A97">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2"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2"/>
      <w:r w:rsidRPr="004B6F52">
        <w:rPr>
          <w:sz w:val="16"/>
          <w:szCs w:val="16"/>
        </w:rPr>
        <w:t xml:space="preserve">from </w:t>
      </w:r>
      <w:r w:rsidR="00F83C14">
        <w:rPr>
          <w:sz w:val="16"/>
          <w:szCs w:val="16"/>
        </w:rPr>
        <w:t xml:space="preserve">1 </w:t>
      </w:r>
      <w:r w:rsidR="000F408B">
        <w:rPr>
          <w:sz w:val="16"/>
          <w:szCs w:val="16"/>
        </w:rPr>
        <w:t>July</w:t>
      </w:r>
      <w:r w:rsidR="00415BC8">
        <w:rPr>
          <w:sz w:val="16"/>
          <w:szCs w:val="16"/>
        </w:rPr>
        <w:t xml:space="preserve"> 2022</w:t>
      </w:r>
      <w:r w:rsidRPr="004B6F52">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5B0C2D">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992"/>
        <w:gridCol w:w="992"/>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14:paraId="3B7805EC" w14:textId="77777777" w:rsidTr="0094728C">
        <w:trPr>
          <w:trHeight w:val="458"/>
        </w:trPr>
        <w:tc>
          <w:tcPr>
            <w:tcW w:w="1588" w:type="dxa"/>
          </w:tcPr>
          <w:p w14:paraId="2C3BEFA7" w14:textId="77777777" w:rsidR="002D2253" w:rsidRPr="004B6F52" w:rsidRDefault="002D2253" w:rsidP="00F961A8">
            <w:pPr>
              <w:ind w:right="-425"/>
              <w:jc w:val="both"/>
              <w:rPr>
                <w:rFonts w:cs="Arial"/>
                <w:b/>
                <w:bCs/>
              </w:rPr>
            </w:pPr>
            <w:r w:rsidRPr="004B6F52">
              <w:rPr>
                <w:rFonts w:cs="Arial"/>
                <w:b/>
                <w:bCs/>
              </w:rPr>
              <w:t>Community</w:t>
            </w:r>
          </w:p>
        </w:tc>
        <w:tc>
          <w:tcPr>
            <w:tcW w:w="992" w:type="dxa"/>
            <w:vAlign w:val="bottom"/>
          </w:tcPr>
          <w:p w14:paraId="0EC72F94" w14:textId="5CE669EE" w:rsidR="002D2253" w:rsidRPr="004B6F52" w:rsidRDefault="002D2253" w:rsidP="00F961A8">
            <w:pPr>
              <w:jc w:val="center"/>
              <w:rPr>
                <w:rFonts w:cs="Arial"/>
                <w:b/>
                <w:bCs/>
              </w:rPr>
            </w:pPr>
            <w:r>
              <w:rPr>
                <w:rFonts w:ascii="Arial" w:hAnsi="Arial" w:cs="Arial"/>
                <w:b/>
                <w:bCs/>
              </w:rPr>
              <w:t>CCP End</w:t>
            </w:r>
          </w:p>
        </w:tc>
        <w:tc>
          <w:tcPr>
            <w:tcW w:w="1418" w:type="dxa"/>
            <w:vAlign w:val="bottom"/>
          </w:tcPr>
          <w:p w14:paraId="12659BD5" w14:textId="13C9149F" w:rsidR="002D2253" w:rsidRPr="004B6F52" w:rsidRDefault="002D2253" w:rsidP="00F961A8">
            <w:pPr>
              <w:jc w:val="center"/>
              <w:rPr>
                <w:rFonts w:cs="Arial"/>
                <w:b/>
                <w:bCs/>
              </w:rPr>
            </w:pPr>
            <w:r>
              <w:rPr>
                <w:rFonts w:ascii="Arial" w:hAnsi="Arial" w:cs="Arial"/>
                <w:b/>
                <w:bCs/>
              </w:rPr>
              <w:t>CCP End &amp; CIM End</w:t>
            </w:r>
          </w:p>
        </w:tc>
        <w:tc>
          <w:tcPr>
            <w:tcW w:w="992" w:type="dxa"/>
            <w:vAlign w:val="bottom"/>
          </w:tcPr>
          <w:p w14:paraId="5F17FCC4" w14:textId="4C06D4F6" w:rsidR="002D2253" w:rsidRPr="004B6F52" w:rsidRDefault="002D2253" w:rsidP="00F961A8">
            <w:pPr>
              <w:jc w:val="center"/>
              <w:rPr>
                <w:rFonts w:cs="Arial"/>
                <w:b/>
                <w:bCs/>
              </w:rPr>
            </w:pPr>
            <w:r>
              <w:rPr>
                <w:rFonts w:ascii="Arial" w:hAnsi="Arial" w:cs="Arial"/>
                <w:b/>
                <w:bCs/>
              </w:rPr>
              <w:t>CIM Amend</w:t>
            </w:r>
          </w:p>
        </w:tc>
        <w:tc>
          <w:tcPr>
            <w:tcW w:w="992" w:type="dxa"/>
            <w:vAlign w:val="bottom"/>
          </w:tcPr>
          <w:p w14:paraId="3648C27F" w14:textId="45BB8B97" w:rsidR="002D2253" w:rsidRPr="004B6F52" w:rsidRDefault="002D2253" w:rsidP="00F961A8">
            <w:pPr>
              <w:jc w:val="center"/>
              <w:rPr>
                <w:rFonts w:cs="Arial"/>
                <w:b/>
                <w:bCs/>
              </w:rPr>
            </w:pPr>
            <w:r>
              <w:rPr>
                <w:rFonts w:ascii="Arial" w:hAnsi="Arial" w:cs="Arial"/>
                <w:b/>
                <w:bCs/>
              </w:rPr>
              <w:t>CIM End</w:t>
            </w:r>
          </w:p>
        </w:tc>
        <w:tc>
          <w:tcPr>
            <w:tcW w:w="1276" w:type="dxa"/>
            <w:vAlign w:val="bottom"/>
          </w:tcPr>
          <w:p w14:paraId="7D3258B0" w14:textId="46E6EF21" w:rsidR="002D2253" w:rsidRPr="004B6F52" w:rsidRDefault="002D2253" w:rsidP="00F961A8">
            <w:pPr>
              <w:jc w:val="right"/>
              <w:rPr>
                <w:rFonts w:cs="Arial"/>
                <w:b/>
                <w:bCs/>
              </w:rPr>
            </w:pPr>
            <w:r>
              <w:rPr>
                <w:rFonts w:ascii="Arial" w:hAnsi="Arial" w:cs="Arial"/>
                <w:b/>
                <w:bCs/>
              </w:rPr>
              <w:t>No Further Action</w:t>
            </w:r>
          </w:p>
        </w:tc>
        <w:tc>
          <w:tcPr>
            <w:tcW w:w="851" w:type="dxa"/>
          </w:tcPr>
          <w:p w14:paraId="434B513A" w14:textId="5D54118E" w:rsidR="002D2253" w:rsidRPr="00294D17" w:rsidRDefault="002D2253" w:rsidP="00F961A8">
            <w:pPr>
              <w:jc w:val="right"/>
              <w:rPr>
                <w:rFonts w:cs="Arial"/>
                <w:b/>
                <w:bCs/>
              </w:rPr>
            </w:pPr>
            <w:r w:rsidRPr="004B6F52">
              <w:rPr>
                <w:rFonts w:cs="Arial"/>
                <w:b/>
                <w:bCs/>
              </w:rPr>
              <w:t>Total</w:t>
            </w:r>
          </w:p>
        </w:tc>
      </w:tr>
      <w:tr w:rsidR="00E30AA7" w14:paraId="5A3BBB23" w14:textId="77777777" w:rsidTr="0094728C">
        <w:trPr>
          <w:trHeight w:val="222"/>
        </w:trPr>
        <w:tc>
          <w:tcPr>
            <w:tcW w:w="1588" w:type="dxa"/>
          </w:tcPr>
          <w:p w14:paraId="0687FF23" w14:textId="77777777" w:rsidR="00E30AA7" w:rsidRPr="00294D17" w:rsidRDefault="00E30AA7" w:rsidP="00E30AA7">
            <w:pPr>
              <w:ind w:right="-425"/>
              <w:jc w:val="both"/>
              <w:rPr>
                <w:rFonts w:cs="Arial"/>
                <w:b/>
                <w:bCs/>
              </w:rPr>
            </w:pPr>
            <w:r w:rsidRPr="00294D17">
              <w:rPr>
                <w:rFonts w:cs="Arial"/>
                <w:b/>
                <w:bCs/>
              </w:rPr>
              <w:t>Total</w:t>
            </w:r>
          </w:p>
        </w:tc>
        <w:tc>
          <w:tcPr>
            <w:tcW w:w="992" w:type="dxa"/>
            <w:vAlign w:val="bottom"/>
          </w:tcPr>
          <w:p w14:paraId="5B6FF504" w14:textId="7D892FDE" w:rsidR="00E30AA7" w:rsidRPr="008742B2" w:rsidRDefault="00E30AA7" w:rsidP="00E30AA7">
            <w:pPr>
              <w:jc w:val="right"/>
              <w:rPr>
                <w:b/>
                <w:bCs/>
              </w:rPr>
            </w:pPr>
            <w:r>
              <w:rPr>
                <w:rFonts w:cs="Arial"/>
                <w:b/>
                <w:bCs/>
              </w:rPr>
              <w:t>0</w:t>
            </w:r>
          </w:p>
        </w:tc>
        <w:tc>
          <w:tcPr>
            <w:tcW w:w="1418" w:type="dxa"/>
            <w:vAlign w:val="bottom"/>
          </w:tcPr>
          <w:p w14:paraId="2A53915F" w14:textId="12FE4A4B" w:rsidR="00E30AA7" w:rsidRPr="008742B2" w:rsidRDefault="00E30AA7" w:rsidP="00E30AA7">
            <w:pPr>
              <w:jc w:val="right"/>
              <w:rPr>
                <w:b/>
                <w:bCs/>
              </w:rPr>
            </w:pPr>
            <w:r>
              <w:rPr>
                <w:rFonts w:cs="Arial"/>
                <w:b/>
                <w:bCs/>
              </w:rPr>
              <w:t>0</w:t>
            </w:r>
          </w:p>
        </w:tc>
        <w:tc>
          <w:tcPr>
            <w:tcW w:w="992" w:type="dxa"/>
            <w:vAlign w:val="bottom"/>
          </w:tcPr>
          <w:p w14:paraId="62FCB111" w14:textId="4074CF6D" w:rsidR="00E30AA7" w:rsidRPr="008742B2" w:rsidRDefault="00E30AA7" w:rsidP="00E30AA7">
            <w:pPr>
              <w:jc w:val="right"/>
              <w:rPr>
                <w:b/>
                <w:bCs/>
              </w:rPr>
            </w:pPr>
            <w:r>
              <w:rPr>
                <w:rFonts w:cs="Arial"/>
                <w:b/>
                <w:bCs/>
              </w:rPr>
              <w:t>0</w:t>
            </w:r>
          </w:p>
        </w:tc>
        <w:tc>
          <w:tcPr>
            <w:tcW w:w="992" w:type="dxa"/>
            <w:vAlign w:val="bottom"/>
          </w:tcPr>
          <w:p w14:paraId="1321C4ED" w14:textId="5C465A91" w:rsidR="00E30AA7" w:rsidRPr="008742B2" w:rsidRDefault="00E30AA7" w:rsidP="00E30AA7">
            <w:pPr>
              <w:jc w:val="right"/>
              <w:rPr>
                <w:b/>
                <w:bCs/>
              </w:rPr>
            </w:pPr>
            <w:r>
              <w:rPr>
                <w:rFonts w:cs="Arial"/>
                <w:b/>
                <w:bCs/>
              </w:rPr>
              <w:t>1</w:t>
            </w:r>
          </w:p>
        </w:tc>
        <w:tc>
          <w:tcPr>
            <w:tcW w:w="1276" w:type="dxa"/>
            <w:vAlign w:val="bottom"/>
          </w:tcPr>
          <w:p w14:paraId="70642BB8" w14:textId="120D61F1" w:rsidR="00E30AA7" w:rsidRPr="008742B2" w:rsidRDefault="00E30AA7" w:rsidP="00E30AA7">
            <w:pPr>
              <w:jc w:val="right"/>
              <w:rPr>
                <w:b/>
                <w:bCs/>
              </w:rPr>
            </w:pPr>
            <w:r>
              <w:rPr>
                <w:rFonts w:cs="Arial"/>
                <w:b/>
                <w:bCs/>
              </w:rPr>
              <w:t>0</w:t>
            </w:r>
          </w:p>
        </w:tc>
        <w:tc>
          <w:tcPr>
            <w:tcW w:w="851" w:type="dxa"/>
            <w:vAlign w:val="bottom"/>
          </w:tcPr>
          <w:p w14:paraId="542CEAE2" w14:textId="2673184B" w:rsidR="00E30AA7" w:rsidRPr="008742B2" w:rsidRDefault="00E30AA7" w:rsidP="00E30AA7">
            <w:pPr>
              <w:jc w:val="right"/>
              <w:rPr>
                <w:b/>
                <w:bCs/>
              </w:rPr>
            </w:pPr>
            <w:r>
              <w:rPr>
                <w:rFonts w:cs="Arial"/>
                <w:b/>
                <w:bCs/>
              </w:rPr>
              <w:t>1</w:t>
            </w:r>
          </w:p>
        </w:tc>
      </w:tr>
    </w:tbl>
    <w:p w14:paraId="5681D27B" w14:textId="77777777" w:rsidR="00B23CEA" w:rsidRDefault="00B23CEA" w:rsidP="00CA7C48">
      <w:pPr>
        <w:spacing w:after="120" w:line="240" w:lineRule="auto"/>
        <w:ind w:left="794" w:hanging="794"/>
        <w:rPr>
          <w:b/>
          <w:sz w:val="16"/>
          <w:szCs w:val="16"/>
        </w:rPr>
      </w:pPr>
      <w:bookmarkStart w:id="13" w:name="_Hlk69483860"/>
    </w:p>
    <w:p w14:paraId="1B8999AA" w14:textId="3A51134C" w:rsidR="00CA7C48" w:rsidRPr="004B6F52" w:rsidRDefault="00CA7C48" w:rsidP="00CA7C48">
      <w:pPr>
        <w:spacing w:after="120" w:line="240" w:lineRule="auto"/>
        <w:ind w:left="794" w:hanging="794"/>
      </w:pPr>
      <w:r w:rsidRPr="004B6F52">
        <w:rPr>
          <w:b/>
          <w:sz w:val="16"/>
          <w:szCs w:val="16"/>
        </w:rPr>
        <w:t xml:space="preserve">Table </w:t>
      </w:r>
      <w:r w:rsidR="000F3A97">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F83C14">
        <w:rPr>
          <w:sz w:val="16"/>
          <w:szCs w:val="16"/>
        </w:rPr>
        <w:t xml:space="preserve">1 </w:t>
      </w:r>
      <w:r w:rsidR="000F408B">
        <w:rPr>
          <w:sz w:val="16"/>
          <w:szCs w:val="16"/>
        </w:rPr>
        <w:t>July</w:t>
      </w:r>
      <w:r w:rsidR="00415BC8">
        <w:rPr>
          <w:sz w:val="16"/>
          <w:szCs w:val="16"/>
        </w:rPr>
        <w:t xml:space="preserve"> 2022</w:t>
      </w:r>
      <w:r w:rsidRPr="004B6F52">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E30AA7" w14:paraId="16A64130" w14:textId="77777777" w:rsidTr="00E65E47">
        <w:tc>
          <w:tcPr>
            <w:tcW w:w="1496" w:type="dxa"/>
          </w:tcPr>
          <w:p w14:paraId="11A0DFEF" w14:textId="77777777" w:rsidR="00E30AA7" w:rsidRPr="00294D17" w:rsidRDefault="00E30AA7" w:rsidP="00E30AA7">
            <w:pPr>
              <w:ind w:right="-425"/>
              <w:jc w:val="both"/>
              <w:rPr>
                <w:rFonts w:cs="Arial"/>
                <w:b/>
                <w:bCs/>
              </w:rPr>
            </w:pPr>
            <w:r w:rsidRPr="00294D17">
              <w:rPr>
                <w:rFonts w:cs="Arial"/>
                <w:b/>
                <w:bCs/>
              </w:rPr>
              <w:t>Total</w:t>
            </w:r>
          </w:p>
        </w:tc>
        <w:tc>
          <w:tcPr>
            <w:tcW w:w="1793" w:type="dxa"/>
            <w:vAlign w:val="bottom"/>
          </w:tcPr>
          <w:p w14:paraId="171714C6" w14:textId="6CEC0718" w:rsidR="00E30AA7" w:rsidRPr="00900EA0" w:rsidRDefault="00E30AA7" w:rsidP="00E30AA7">
            <w:pPr>
              <w:jc w:val="right"/>
              <w:rPr>
                <w:b/>
                <w:bCs/>
              </w:rPr>
            </w:pPr>
            <w:r>
              <w:rPr>
                <w:rFonts w:cs="Arial"/>
                <w:b/>
                <w:bCs/>
              </w:rPr>
              <w:t>1</w:t>
            </w:r>
          </w:p>
        </w:tc>
        <w:tc>
          <w:tcPr>
            <w:tcW w:w="1227" w:type="dxa"/>
            <w:vAlign w:val="bottom"/>
          </w:tcPr>
          <w:p w14:paraId="3DCD9CB4" w14:textId="35D91C94" w:rsidR="00E30AA7" w:rsidRPr="00900EA0" w:rsidRDefault="00E30AA7" w:rsidP="00E30AA7">
            <w:pPr>
              <w:jc w:val="right"/>
              <w:rPr>
                <w:b/>
                <w:bCs/>
              </w:rPr>
            </w:pPr>
            <w:r>
              <w:rPr>
                <w:rFonts w:cs="Arial"/>
                <w:b/>
                <w:bCs/>
              </w:rPr>
              <w:t>8</w:t>
            </w:r>
          </w:p>
        </w:tc>
        <w:tc>
          <w:tcPr>
            <w:tcW w:w="2742" w:type="dxa"/>
            <w:vAlign w:val="bottom"/>
          </w:tcPr>
          <w:p w14:paraId="1EDA8F9D" w14:textId="652A3327" w:rsidR="00E30AA7" w:rsidRPr="00900EA0" w:rsidRDefault="00E30AA7" w:rsidP="00E30AA7">
            <w:pPr>
              <w:jc w:val="right"/>
              <w:rPr>
                <w:b/>
                <w:bCs/>
              </w:rPr>
            </w:pPr>
            <w:r>
              <w:rPr>
                <w:rFonts w:cs="Arial"/>
                <w:b/>
                <w:bCs/>
              </w:rPr>
              <w:t>0</w:t>
            </w:r>
          </w:p>
        </w:tc>
        <w:tc>
          <w:tcPr>
            <w:tcW w:w="851" w:type="dxa"/>
            <w:vAlign w:val="bottom"/>
          </w:tcPr>
          <w:p w14:paraId="14017305" w14:textId="1EF953C2" w:rsidR="00E30AA7" w:rsidRPr="00900EA0" w:rsidRDefault="00E30AA7" w:rsidP="00E30AA7">
            <w:pPr>
              <w:jc w:val="right"/>
              <w:rPr>
                <w:b/>
                <w:bCs/>
              </w:rPr>
            </w:pPr>
            <w:r>
              <w:rPr>
                <w:rFonts w:cs="Arial"/>
                <w:b/>
                <w:bCs/>
              </w:rPr>
              <w:t>9</w:t>
            </w:r>
          </w:p>
        </w:tc>
      </w:tr>
    </w:tbl>
    <w:p w14:paraId="24FB8F05" w14:textId="77777777" w:rsidR="001E1BF3" w:rsidRDefault="001E1BF3" w:rsidP="00A42818">
      <w:pPr>
        <w:ind w:left="-142" w:right="-425"/>
        <w:jc w:val="both"/>
        <w:rPr>
          <w:rFonts w:cs="Arial"/>
        </w:rPr>
      </w:pPr>
    </w:p>
    <w:p w14:paraId="46F679A7" w14:textId="77777777" w:rsidR="00A67922" w:rsidRDefault="00A67922">
      <w:pPr>
        <w:spacing w:line="240" w:lineRule="auto"/>
        <w:rPr>
          <w:rFonts w:cs="Arial"/>
        </w:rPr>
      </w:pPr>
      <w:r>
        <w:rPr>
          <w:rFonts w:cs="Arial"/>
        </w:rPr>
        <w:br w:type="page"/>
      </w:r>
    </w:p>
    <w:p w14:paraId="27F37C5D" w14:textId="625D79B9" w:rsidR="00152C1E" w:rsidRDefault="00237AB1" w:rsidP="00A42818">
      <w:pPr>
        <w:ind w:left="-142" w:right="-425"/>
        <w:jc w:val="both"/>
        <w:rPr>
          <w:rFonts w:cs="Arial"/>
        </w:rPr>
      </w:pPr>
      <w:r w:rsidRPr="00CE1294">
        <w:rPr>
          <w:rFonts w:cs="Arial"/>
        </w:rPr>
        <w:lastRenderedPageBreak/>
        <w:t xml:space="preserve">During quarter </w:t>
      </w:r>
      <w:r w:rsidR="000F408B">
        <w:rPr>
          <w:rFonts w:cs="Arial"/>
        </w:rPr>
        <w:t>57</w:t>
      </w:r>
      <w:r w:rsidRPr="00CE1294">
        <w:rPr>
          <w:rFonts w:cs="Arial"/>
        </w:rPr>
        <w:t xml:space="preserve"> the number of interactions highlighted in tables </w:t>
      </w:r>
      <w:r w:rsidR="00A42818">
        <w:rPr>
          <w:rFonts w:cs="Arial"/>
        </w:rPr>
        <w:t>4</w:t>
      </w:r>
      <w:r w:rsidR="00A242DD" w:rsidRPr="00CE1294">
        <w:rPr>
          <w:rFonts w:cs="Arial"/>
        </w:rPr>
        <w:t xml:space="preserve">, </w:t>
      </w:r>
      <w:r w:rsidR="00A42818">
        <w:rPr>
          <w:rFonts w:cs="Arial"/>
        </w:rPr>
        <w:t>5</w:t>
      </w:r>
      <w:r w:rsidR="0077183E">
        <w:rPr>
          <w:rFonts w:cs="Arial"/>
        </w:rPr>
        <w:t>,</w:t>
      </w:r>
      <w:r w:rsidR="00A242DD" w:rsidRPr="00CE1294">
        <w:rPr>
          <w:rFonts w:cs="Arial"/>
        </w:rPr>
        <w:t xml:space="preserve"> </w:t>
      </w:r>
      <w:r w:rsidR="00A42818">
        <w:rPr>
          <w:rFonts w:cs="Arial"/>
        </w:rPr>
        <w:t>6</w:t>
      </w:r>
      <w:r w:rsidR="00A67922">
        <w:rPr>
          <w:rFonts w:cs="Arial"/>
        </w:rPr>
        <w:t>, 7</w:t>
      </w:r>
      <w:r w:rsidR="00A242DD" w:rsidRPr="00CE1294">
        <w:rPr>
          <w:rFonts w:cs="Arial"/>
        </w:rPr>
        <w:t xml:space="preserve"> </w:t>
      </w:r>
      <w:r w:rsidR="0077183E">
        <w:rPr>
          <w:rFonts w:cs="Arial"/>
        </w:rPr>
        <w:t xml:space="preserve">and </w:t>
      </w:r>
      <w:r w:rsidR="00A6792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EF268C" w:rsidRPr="00EF268C">
        <w:rPr>
          <w:rFonts w:cs="Arial"/>
        </w:rPr>
        <w:t xml:space="preserve">204 </w:t>
      </w:r>
      <w:r w:rsidRPr="00EF268C">
        <w:rPr>
          <w:rFonts w:cs="Arial"/>
        </w:rPr>
        <w:t>clients (</w:t>
      </w:r>
      <w:r w:rsidR="002C1B53" w:rsidRPr="00EF268C">
        <w:rPr>
          <w:rFonts w:cs="Arial"/>
        </w:rPr>
        <w:t>12</w:t>
      </w:r>
      <w:r w:rsidR="00EF268C" w:rsidRPr="00EF268C">
        <w:rPr>
          <w:rFonts w:cs="Arial"/>
        </w:rPr>
        <w:t>1</w:t>
      </w:r>
      <w:r w:rsidR="002C1B53" w:rsidRPr="00EF268C">
        <w:rPr>
          <w:rFonts w:cs="Arial"/>
        </w:rPr>
        <w:t xml:space="preserve"> </w:t>
      </w:r>
      <w:r w:rsidRPr="00EF268C">
        <w:rPr>
          <w:rFonts w:cs="Arial"/>
        </w:rPr>
        <w:t xml:space="preserve">female and </w:t>
      </w:r>
      <w:r w:rsidR="00EF268C" w:rsidRPr="00EF268C">
        <w:rPr>
          <w:rFonts w:cs="Arial"/>
        </w:rPr>
        <w:t xml:space="preserve">83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14077821" w:rsidR="00B9722A" w:rsidRPr="001B0466" w:rsidRDefault="00B9722A" w:rsidP="00C34899">
      <w:pPr>
        <w:tabs>
          <w:tab w:val="left" w:pos="1134"/>
        </w:tabs>
        <w:ind w:left="-142" w:right="-425"/>
        <w:jc w:val="both"/>
      </w:pPr>
      <w:r w:rsidRPr="001B0466">
        <w:t xml:space="preserve">The types of client interactions evident during quarter </w:t>
      </w:r>
      <w:r w:rsidR="000F408B">
        <w:t>57</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F83C14" w:rsidRPr="001B0466">
        <w:t xml:space="preserve">1 </w:t>
      </w:r>
      <w:r w:rsidR="000F408B">
        <w:t>July</w:t>
      </w:r>
      <w:r w:rsidR="00415BC8" w:rsidRPr="001B0466">
        <w:t xml:space="preserve"> 2022</w:t>
      </w:r>
      <w:r w:rsidRPr="001B0466">
        <w:t xml:space="preserve"> to </w:t>
      </w:r>
      <w:r w:rsidR="00DA70CA" w:rsidRPr="001B0466">
        <w:t xml:space="preserve">30 </w:t>
      </w:r>
      <w:r w:rsidR="000F408B">
        <w:t>September</w:t>
      </w:r>
      <w:r w:rsidR="001A5C4C" w:rsidRPr="001B0466">
        <w:t xml:space="preserve"> 2022</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27276CDE" w:rsidR="00B9722A" w:rsidRPr="001B0466" w:rsidRDefault="008E4BB1"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4</w:t>
      </w:r>
      <w:r w:rsidR="00287E70">
        <w:rPr>
          <w:rFonts w:ascii="Verdana" w:hAnsi="Verdana" w:cs="Arial"/>
          <w:sz w:val="20"/>
          <w:szCs w:val="20"/>
        </w:rPr>
        <w:t>5</w:t>
      </w:r>
      <w:r w:rsidRPr="001B0466">
        <w:rPr>
          <w:rFonts w:ascii="Verdana" w:hAnsi="Verdana" w:cs="Arial"/>
          <w:sz w:val="20"/>
          <w:szCs w:val="20"/>
        </w:rPr>
        <w:t xml:space="preserve"> </w:t>
      </w:r>
      <w:r w:rsidR="00B9722A" w:rsidRPr="001B0466">
        <w:rPr>
          <w:rFonts w:ascii="Verdana" w:hAnsi="Verdana" w:cs="Arial"/>
          <w:sz w:val="20"/>
          <w:szCs w:val="20"/>
        </w:rPr>
        <w:t xml:space="preserve">percent of clients </w:t>
      </w:r>
      <w:r w:rsidR="00887699" w:rsidRPr="001B0466">
        <w:t xml:space="preserve">at some point during the quarter </w:t>
      </w:r>
      <w:r w:rsidR="0031338E" w:rsidRPr="001B0466">
        <w:t xml:space="preserve">may have done one or more of the following: </w:t>
      </w:r>
      <w:r w:rsidR="00DE0E94" w:rsidRPr="001B0466">
        <w:rPr>
          <w:rFonts w:ascii="Verdana" w:hAnsi="Verdana" w:cs="Arial"/>
          <w:sz w:val="20"/>
          <w:szCs w:val="20"/>
        </w:rPr>
        <w:t>self-referr</w:t>
      </w:r>
      <w:r w:rsidR="0031338E" w:rsidRPr="001B0466">
        <w:rPr>
          <w:rFonts w:ascii="Verdana" w:hAnsi="Verdana" w:cs="Arial"/>
          <w:sz w:val="20"/>
          <w:szCs w:val="20"/>
        </w:rPr>
        <w:t>ed</w:t>
      </w:r>
      <w:r w:rsidR="00DE0E94" w:rsidRPr="001B0466">
        <w:rPr>
          <w:rFonts w:ascii="Verdana" w:hAnsi="Verdana" w:cs="Arial"/>
          <w:sz w:val="20"/>
          <w:szCs w:val="20"/>
        </w:rPr>
        <w:t xml:space="preserve"> to the FRC</w:t>
      </w:r>
      <w:r w:rsidR="0031338E" w:rsidRPr="001B0466">
        <w:rPr>
          <w:rFonts w:ascii="Verdana" w:hAnsi="Verdana" w:cs="Arial"/>
          <w:sz w:val="20"/>
          <w:szCs w:val="20"/>
        </w:rPr>
        <w:t xml:space="preserve"> </w:t>
      </w:r>
      <w:r w:rsidR="00F76774" w:rsidRPr="001B0466">
        <w:rPr>
          <w:rFonts w:ascii="Verdana" w:hAnsi="Verdana" w:cs="Arial"/>
          <w:sz w:val="20"/>
          <w:szCs w:val="20"/>
        </w:rPr>
        <w:t xml:space="preserve">for a VCP or a </w:t>
      </w:r>
      <w:r w:rsidR="0031338E" w:rsidRPr="001B0466">
        <w:rPr>
          <w:rFonts w:ascii="Verdana" w:hAnsi="Verdana" w:cs="Arial"/>
          <w:sz w:val="20"/>
          <w:szCs w:val="20"/>
        </w:rPr>
        <w:t>VIM</w:t>
      </w:r>
      <w:r w:rsidR="00177928" w:rsidRPr="001B0466">
        <w:rPr>
          <w:rFonts w:ascii="Verdana" w:hAnsi="Verdana" w:cs="Arial"/>
          <w:sz w:val="20"/>
          <w:szCs w:val="20"/>
        </w:rPr>
        <w:t xml:space="preserve">; </w:t>
      </w:r>
      <w:r w:rsidR="00B9722A" w:rsidRPr="001B0466">
        <w:rPr>
          <w:rFonts w:ascii="Verdana" w:hAnsi="Verdana" w:cs="Arial"/>
          <w:sz w:val="20"/>
          <w:szCs w:val="20"/>
        </w:rPr>
        <w:t>enter</w:t>
      </w:r>
      <w:r w:rsidR="0031338E" w:rsidRPr="001B0466">
        <w:rPr>
          <w:rFonts w:ascii="Verdana" w:hAnsi="Verdana" w:cs="Arial"/>
          <w:sz w:val="20"/>
          <w:szCs w:val="20"/>
        </w:rPr>
        <w:t>ed</w:t>
      </w:r>
      <w:r w:rsidR="00B9722A" w:rsidRPr="001B0466">
        <w:rPr>
          <w:rFonts w:ascii="Verdana" w:hAnsi="Verdana" w:cs="Arial"/>
          <w:sz w:val="20"/>
          <w:szCs w:val="20"/>
        </w:rPr>
        <w:t xml:space="preserve"> into a Family Responsibilities Agreement</w:t>
      </w:r>
      <w:r w:rsidR="00177928" w:rsidRPr="001B0466">
        <w:rPr>
          <w:rFonts w:ascii="Verdana" w:hAnsi="Verdana" w:cs="Arial"/>
          <w:sz w:val="20"/>
          <w:szCs w:val="20"/>
        </w:rPr>
        <w:t>;</w:t>
      </w:r>
      <w:r w:rsidR="005B7F9C" w:rsidRPr="001B0466">
        <w:rPr>
          <w:rFonts w:ascii="Verdana" w:hAnsi="Verdana" w:cs="Arial"/>
          <w:sz w:val="20"/>
          <w:szCs w:val="20"/>
        </w:rPr>
        <w:t xml:space="preserve"> </w:t>
      </w:r>
      <w:r w:rsidR="00DE0E94" w:rsidRPr="001B0466">
        <w:rPr>
          <w:rFonts w:ascii="Verdana" w:hAnsi="Verdana" w:cs="Arial"/>
          <w:sz w:val="20"/>
          <w:szCs w:val="20"/>
        </w:rPr>
        <w:t>successfully appl</w:t>
      </w:r>
      <w:r w:rsidR="0031338E" w:rsidRPr="001B0466">
        <w:rPr>
          <w:rFonts w:ascii="Verdana" w:hAnsi="Verdana" w:cs="Arial"/>
          <w:sz w:val="20"/>
          <w:szCs w:val="20"/>
        </w:rPr>
        <w:t>ied</w:t>
      </w:r>
      <w:r w:rsidR="00DE0E94" w:rsidRPr="001B0466">
        <w:rPr>
          <w:rFonts w:ascii="Verdana" w:hAnsi="Verdana" w:cs="Arial"/>
          <w:sz w:val="20"/>
          <w:szCs w:val="20"/>
        </w:rPr>
        <w:t xml:space="preserve"> to end or amend their decision by order or a</w:t>
      </w:r>
      <w:r w:rsidR="002A33C4" w:rsidRPr="001B0466">
        <w:rPr>
          <w:rFonts w:ascii="Verdana" w:hAnsi="Verdana" w:cs="Arial"/>
          <w:sz w:val="20"/>
          <w:szCs w:val="20"/>
        </w:rPr>
        <w:t>greement</w:t>
      </w:r>
      <w:r w:rsidR="00C34899" w:rsidRPr="001B0466">
        <w:rPr>
          <w:rFonts w:ascii="Verdana" w:hAnsi="Verdana" w:cs="Arial"/>
          <w:sz w:val="20"/>
          <w:szCs w:val="20"/>
        </w:rPr>
        <w:t>;</w:t>
      </w:r>
    </w:p>
    <w:p w14:paraId="0B6EF2B3" w14:textId="072D2E3D"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07447B" w:rsidRPr="001B0466">
        <w:rPr>
          <w:rFonts w:ascii="Verdana" w:hAnsi="Verdana" w:cs="Arial"/>
          <w:sz w:val="20"/>
          <w:szCs w:val="20"/>
        </w:rPr>
        <w:t>2</w:t>
      </w:r>
      <w:r w:rsidR="008E4BB1">
        <w:rPr>
          <w:rFonts w:ascii="Verdana" w:hAnsi="Verdana" w:cs="Arial"/>
          <w:sz w:val="20"/>
          <w:szCs w:val="20"/>
        </w:rPr>
        <w:t>0</w:t>
      </w:r>
      <w:r w:rsidR="0007447B" w:rsidRPr="001B0466">
        <w:rPr>
          <w:rFonts w:ascii="Verdana" w:hAnsi="Verdana" w:cs="Arial"/>
          <w:sz w:val="20"/>
          <w:szCs w:val="20"/>
        </w:rPr>
        <w:t xml:space="preserve"> </w:t>
      </w:r>
      <w:r w:rsidR="00B9722A" w:rsidRPr="001B0466">
        <w:rPr>
          <w:rFonts w:ascii="Verdana" w:hAnsi="Verdana" w:cs="Arial"/>
          <w:sz w:val="20"/>
          <w:szCs w:val="20"/>
        </w:rPr>
        <w:t xml:space="preserve">percent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31258E6C" w:rsidR="00B9722A" w:rsidRPr="001B0466" w:rsidRDefault="008E4BB1"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27</w:t>
      </w:r>
      <w:r w:rsidRPr="001B0466">
        <w:rPr>
          <w:rFonts w:ascii="Verdana" w:hAnsi="Verdana" w:cs="Arial"/>
          <w:sz w:val="20"/>
          <w:szCs w:val="20"/>
        </w:rPr>
        <w:t xml:space="preserve"> </w:t>
      </w:r>
      <w:r w:rsidR="00B9722A" w:rsidRPr="001B0466">
        <w:rPr>
          <w:rFonts w:ascii="Verdana" w:hAnsi="Verdana" w:cs="Arial"/>
          <w:sz w:val="20"/>
          <w:szCs w:val="20"/>
        </w:rPr>
        <w:t xml:space="preserve">percent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r w:rsidR="00826269" w:rsidRPr="001B0466">
        <w:rPr>
          <w:rFonts w:ascii="Verdana" w:hAnsi="Verdana" w:cs="Arial"/>
          <w:sz w:val="20"/>
          <w:szCs w:val="20"/>
        </w:rPr>
        <w:t xml:space="preserve"> and</w:t>
      </w:r>
    </w:p>
    <w:p w14:paraId="46767E6D" w14:textId="40157E4E" w:rsidR="00B9722A" w:rsidRPr="001B0466" w:rsidRDefault="008E4BB1"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9</w:t>
      </w:r>
      <w:r w:rsidR="00CD2393" w:rsidRPr="001B0466">
        <w:rPr>
          <w:rFonts w:ascii="Verdana" w:hAnsi="Verdana" w:cs="Arial"/>
          <w:sz w:val="20"/>
          <w:szCs w:val="20"/>
        </w:rPr>
        <w:t xml:space="preserve"> </w:t>
      </w:r>
      <w:r w:rsidR="00B9722A" w:rsidRPr="001B0466">
        <w:rPr>
          <w:rFonts w:ascii="Verdana" w:hAnsi="Verdana" w:cs="Arial"/>
          <w:sz w:val="20"/>
          <w:szCs w:val="20"/>
        </w:rPr>
        <w:t xml:space="preserve">percent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0411DDA1" w14:textId="77777777" w:rsidR="00A67922" w:rsidRDefault="00A67922">
      <w:pPr>
        <w:spacing w:line="240" w:lineRule="auto"/>
        <w:rPr>
          <w:rFonts w:cs="Arial"/>
        </w:rPr>
      </w:pPr>
      <w:bookmarkStart w:id="14" w:name="_Hlk97302962"/>
      <w:r>
        <w:rPr>
          <w:rFonts w:cs="Arial"/>
        </w:rPr>
        <w:br w:type="page"/>
      </w:r>
    </w:p>
    <w:p w14:paraId="78EF6562" w14:textId="37138CEB" w:rsidR="00240AAF" w:rsidRPr="001B0466" w:rsidRDefault="00106839" w:rsidP="00585AE9">
      <w:pPr>
        <w:tabs>
          <w:tab w:val="decimal" w:pos="284"/>
        </w:tabs>
        <w:ind w:left="-142" w:right="-425"/>
        <w:jc w:val="both"/>
      </w:pPr>
      <w:r w:rsidRPr="001B0466">
        <w:rPr>
          <w:rFonts w:cs="Arial"/>
        </w:rPr>
        <w:lastRenderedPageBreak/>
        <w:t xml:space="preserve">There </w:t>
      </w:r>
      <w:r w:rsidR="0032035F" w:rsidRPr="001B0466">
        <w:rPr>
          <w:rFonts w:cs="Arial"/>
        </w:rPr>
        <w:t>remains</w:t>
      </w:r>
      <w:r w:rsidRPr="001B0466">
        <w:rPr>
          <w:rFonts w:cs="Arial"/>
        </w:rPr>
        <w:t xml:space="preserve"> a </w:t>
      </w:r>
      <w:r w:rsidR="005D6EF0" w:rsidRPr="001B0466">
        <w:rPr>
          <w:rFonts w:cs="Arial"/>
        </w:rPr>
        <w:t xml:space="preserve">small </w:t>
      </w:r>
      <w:r w:rsidRPr="001B0466">
        <w:rPr>
          <w:rFonts w:cs="Arial"/>
        </w:rPr>
        <w:t xml:space="preserve">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 xml:space="preserve">if they are responsible for children). </w:t>
      </w:r>
      <w:bookmarkEnd w:id="14"/>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00D6925B" w:rsidR="007B1F5A" w:rsidRPr="001B0466" w:rsidRDefault="00B43DA5" w:rsidP="007B1F5A">
      <w:pPr>
        <w:tabs>
          <w:tab w:val="decimal" w:pos="720"/>
        </w:tabs>
        <w:ind w:left="-142" w:right="-425"/>
        <w:jc w:val="both"/>
        <w:rPr>
          <w:rFonts w:cs="Arial"/>
        </w:rPr>
      </w:pPr>
      <w:r w:rsidRPr="001B0466">
        <w:rPr>
          <w:rFonts w:cs="Arial"/>
        </w:rPr>
        <w:tab/>
      </w:r>
      <w:r w:rsidR="00287E70">
        <w:rPr>
          <w:rFonts w:cs="Arial"/>
        </w:rPr>
        <w:t>9</w:t>
      </w:r>
      <w:r w:rsidR="00992DE1" w:rsidRPr="001B0466">
        <w:rPr>
          <w:rFonts w:cs="Arial"/>
        </w:rPr>
        <w:t xml:space="preserve"> </w:t>
      </w:r>
      <w:r w:rsidR="007B1F5A" w:rsidRPr="001B0466">
        <w:rPr>
          <w:rFonts w:cs="Arial"/>
        </w:rPr>
        <w:t xml:space="preserve">percent of clients </w:t>
      </w:r>
      <w:r w:rsidR="007B1F5A" w:rsidRPr="001B0466">
        <w:rPr>
          <w:lang w:val="en-US"/>
        </w:rPr>
        <w:t>were ordered to attend a support service under a case plan;</w:t>
      </w:r>
    </w:p>
    <w:p w14:paraId="039AEB9E" w14:textId="42F232C8" w:rsidR="00EB52B2" w:rsidRPr="001B0466" w:rsidRDefault="007B1F5A" w:rsidP="00EB52B2">
      <w:pPr>
        <w:tabs>
          <w:tab w:val="decimal" w:pos="720"/>
        </w:tabs>
        <w:ind w:left="-142" w:right="-425"/>
        <w:jc w:val="both"/>
        <w:rPr>
          <w:rFonts w:cs="Arial"/>
        </w:rPr>
      </w:pPr>
      <w:r w:rsidRPr="001B0466">
        <w:rPr>
          <w:rFonts w:cs="Arial"/>
        </w:rPr>
        <w:tab/>
      </w:r>
      <w:r w:rsidR="00287E70">
        <w:rPr>
          <w:rFonts w:cs="Arial"/>
        </w:rPr>
        <w:t>4</w:t>
      </w:r>
      <w:r w:rsidR="00CD2393" w:rsidRPr="001B0466">
        <w:rPr>
          <w:rFonts w:cs="Arial"/>
        </w:rPr>
        <w:t xml:space="preserve"> </w:t>
      </w:r>
      <w:r w:rsidR="00EB52B2" w:rsidRPr="001B0466">
        <w:rPr>
          <w:rFonts w:cs="Arial"/>
        </w:rPr>
        <w:t xml:space="preserve">percent of clients </w:t>
      </w:r>
      <w:r w:rsidR="00EB52B2" w:rsidRPr="001B0466">
        <w:rPr>
          <w:lang w:val="en-US"/>
        </w:rPr>
        <w:t>were placed on a CIM order</w:t>
      </w:r>
      <w:r w:rsidR="00EB52B2" w:rsidRPr="001B0466">
        <w:rPr>
          <w:rFonts w:cs="Arial"/>
        </w:rPr>
        <w:t>;</w:t>
      </w:r>
      <w:r w:rsidRPr="001B0466">
        <w:rPr>
          <w:rFonts w:cs="Arial"/>
        </w:rPr>
        <w:t xml:space="preserve"> and</w:t>
      </w:r>
    </w:p>
    <w:p w14:paraId="19F8E19F" w14:textId="7CE96682" w:rsidR="00334048" w:rsidRPr="005C0A9F" w:rsidRDefault="001B3846" w:rsidP="00334048">
      <w:pPr>
        <w:tabs>
          <w:tab w:val="decimal" w:pos="720"/>
        </w:tabs>
        <w:ind w:left="-142" w:right="-425"/>
        <w:jc w:val="both"/>
        <w:rPr>
          <w:rFonts w:cs="Arial"/>
        </w:rPr>
      </w:pPr>
      <w:r w:rsidRPr="001B0466">
        <w:rPr>
          <w:rFonts w:cs="Arial"/>
        </w:rPr>
        <w:tab/>
      </w:r>
      <w:r w:rsidR="00287E70">
        <w:rPr>
          <w:rFonts w:cs="Arial"/>
        </w:rPr>
        <w:t>2</w:t>
      </w:r>
      <w:r w:rsidR="00334048" w:rsidRPr="001B0466">
        <w:rPr>
          <w:rFonts w:cs="Arial"/>
        </w:rPr>
        <w:t xml:space="preserve"> percent of clients </w:t>
      </w:r>
      <w:r w:rsidR="00334048" w:rsidRPr="001B0466">
        <w:rPr>
          <w:lang w:val="en-US"/>
        </w:rPr>
        <w:t>were placed on a CIM order and ordered to attend a support service</w:t>
      </w:r>
      <w:r w:rsidR="00B43DA5" w:rsidRPr="001B0466">
        <w:rPr>
          <w:lang w:val="en-US"/>
        </w:rPr>
        <w:t>.</w:t>
      </w:r>
    </w:p>
    <w:p w14:paraId="218C2B05" w14:textId="50F7BA61" w:rsidR="00334048" w:rsidRPr="009F26E9" w:rsidRDefault="00334048" w:rsidP="009F26E9">
      <w:pPr>
        <w:tabs>
          <w:tab w:val="decimal" w:pos="284"/>
        </w:tabs>
        <w:ind w:left="-142" w:right="-425"/>
        <w:jc w:val="both"/>
        <w:rPr>
          <w:rFonts w:cs="Arial"/>
        </w:rPr>
      </w:pPr>
    </w:p>
    <w:bookmarkEnd w:id="13"/>
    <w:p w14:paraId="01840B62" w14:textId="0DBCD506" w:rsidR="00986092" w:rsidRPr="00143FBB" w:rsidRDefault="00986092" w:rsidP="00091CFE">
      <w:pPr>
        <w:pStyle w:val="Heading2"/>
      </w:pPr>
      <w:r w:rsidRPr="00143FBB">
        <w:t>Notices</w:t>
      </w:r>
    </w:p>
    <w:p w14:paraId="41B569DF" w14:textId="59875E26"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0F408B">
        <w:rPr>
          <w:rFonts w:cs="Arial"/>
        </w:rPr>
        <w:t>57</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w:t>
      </w:r>
      <w:r w:rsidR="00FB1F5D">
        <w:rPr>
          <w:rFonts w:cs="Arial"/>
        </w:rPr>
        <w:t>13</w:t>
      </w:r>
      <w:r w:rsidR="00B26321">
        <w:rPr>
          <w:rFonts w:cs="Arial"/>
        </w:rPr>
        <w:t>2</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FB1F5D">
        <w:rPr>
          <w:rFonts w:cs="Arial"/>
        </w:rPr>
        <w:t>070</w:t>
      </w:r>
      <w:r w:rsidR="005174DF" w:rsidRPr="006042AF">
        <w:rPr>
          <w:rFonts w:cs="Arial"/>
        </w:rPr>
        <w:t xml:space="preserve"> </w:t>
      </w:r>
      <w:r w:rsidRPr="006042AF">
        <w:rPr>
          <w:rFonts w:cs="Arial"/>
        </w:rPr>
        <w:t>notices (</w:t>
      </w:r>
      <w:r w:rsidR="00BD5C09">
        <w:rPr>
          <w:rFonts w:cs="Arial"/>
        </w:rPr>
        <w:t>5</w:t>
      </w:r>
      <w:r w:rsidR="00FB1F5D">
        <w:rPr>
          <w:rFonts w:cs="Arial"/>
        </w:rPr>
        <w:t>0</w:t>
      </w:r>
      <w:r w:rsidR="00BD5C09">
        <w:rPr>
          <w:rFonts w:cs="Arial"/>
        </w:rPr>
        <w:t xml:space="preserve"> </w:t>
      </w:r>
      <w:r w:rsidRPr="006042AF">
        <w:rPr>
          <w:rFonts w:cs="Arial"/>
        </w:rPr>
        <w:t>percent)</w:t>
      </w:r>
      <w:r w:rsidR="00F257B3" w:rsidRPr="006042AF">
        <w:rPr>
          <w:rFonts w:cs="Arial"/>
        </w:rPr>
        <w:t xml:space="preserve"> relating to </w:t>
      </w:r>
      <w:r w:rsidR="00FB1F5D">
        <w:rPr>
          <w:rFonts w:cs="Arial"/>
        </w:rPr>
        <w:t>543</w:t>
      </w:r>
      <w:r w:rsidR="00FB1F5D"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FB1F5D">
        <w:rPr>
          <w:rFonts w:cs="Arial"/>
        </w:rPr>
        <w:t>106</w:t>
      </w:r>
      <w:r w:rsidR="00B26321">
        <w:rPr>
          <w:rFonts w:cs="Arial"/>
        </w:rPr>
        <w:t>2</w:t>
      </w:r>
      <w:r w:rsidR="00FB1F5D">
        <w:rPr>
          <w:rFonts w:cs="Arial"/>
        </w:rPr>
        <w:t xml:space="preserve"> </w:t>
      </w:r>
      <w:r w:rsidRPr="006042AF">
        <w:rPr>
          <w:rFonts w:cs="Arial"/>
        </w:rPr>
        <w:t>notices (</w:t>
      </w:r>
      <w:r w:rsidR="00FB1F5D">
        <w:rPr>
          <w:rFonts w:cs="Arial"/>
        </w:rPr>
        <w:t>50</w:t>
      </w:r>
      <w:r w:rsidR="00BD5C09">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341CA104" w:rsidR="005A5B78" w:rsidRDefault="00C7128D" w:rsidP="00C7128D">
      <w:pPr>
        <w:spacing w:after="120" w:line="240" w:lineRule="auto"/>
        <w:ind w:right="-425"/>
        <w:rPr>
          <w:rFonts w:cs="Arial"/>
          <w:b/>
        </w:rPr>
      </w:pPr>
      <w:r>
        <w:rPr>
          <w:b/>
          <w:sz w:val="16"/>
          <w:szCs w:val="16"/>
        </w:rPr>
        <w:t xml:space="preserve">Table </w:t>
      </w:r>
      <w:r w:rsidR="00A67922">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F83C14">
        <w:rPr>
          <w:sz w:val="16"/>
          <w:szCs w:val="16"/>
        </w:rPr>
        <w:t xml:space="preserve">1 </w:t>
      </w:r>
      <w:r w:rsidR="000F408B">
        <w:rPr>
          <w:sz w:val="16"/>
          <w:szCs w:val="16"/>
        </w:rPr>
        <w:t>July</w:t>
      </w:r>
      <w:r w:rsidR="00415BC8">
        <w:rPr>
          <w:sz w:val="16"/>
          <w:szCs w:val="16"/>
        </w:rPr>
        <w:t xml:space="preserve"> 2022</w:t>
      </w:r>
      <w:r w:rsidR="00A41820">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FB1F5D"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FB1F5D" w:rsidRPr="005E0531" w:rsidRDefault="00FB1F5D" w:rsidP="00FB1F5D">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7C9EE8F2" w:rsidR="00FB1F5D" w:rsidRPr="003D78AF" w:rsidRDefault="00FB1F5D" w:rsidP="00FB1F5D">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775B8CF0" w:rsidR="00FB1F5D" w:rsidRPr="003D78AF" w:rsidRDefault="00FB1F5D" w:rsidP="00FB1F5D">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0E3ACB4D" w:rsidR="00FB1F5D" w:rsidRPr="003D78AF" w:rsidRDefault="00FB1F5D" w:rsidP="00FB1F5D">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0096030C" w:rsidR="00FB1F5D" w:rsidRPr="003D78AF" w:rsidRDefault="00FB1F5D" w:rsidP="00FB1F5D">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15FF8E12" w:rsidR="00FB1F5D" w:rsidRPr="003D78AF" w:rsidRDefault="00FB1F5D" w:rsidP="00FB1F5D">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07FA108D" w:rsidR="00FB1F5D" w:rsidRPr="003D78AF" w:rsidRDefault="00FB1F5D" w:rsidP="00FB1F5D">
            <w:pPr>
              <w:spacing w:line="240" w:lineRule="auto"/>
              <w:jc w:val="right"/>
              <w:rPr>
                <w:rFonts w:cs="Arial"/>
                <w:b/>
                <w:bCs/>
                <w:lang w:eastAsia="en-AU"/>
              </w:rPr>
            </w:pPr>
            <w:r>
              <w:rPr>
                <w:rFonts w:cs="Arial"/>
                <w:b/>
                <w:bCs/>
              </w:rPr>
              <w:t>0</w:t>
            </w:r>
          </w:p>
        </w:tc>
      </w:tr>
      <w:tr w:rsidR="00FB1F5D"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FB1F5D" w:rsidRPr="0040594D" w:rsidRDefault="00FB1F5D" w:rsidP="00FB1F5D">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1F599F32" w:rsidR="00FB1F5D" w:rsidRPr="003D78AF" w:rsidRDefault="00FB1F5D" w:rsidP="00FB1F5D">
            <w:pPr>
              <w:spacing w:line="240" w:lineRule="auto"/>
              <w:jc w:val="right"/>
              <w:rPr>
                <w:rFonts w:cs="Arial"/>
                <w:lang w:eastAsia="en-AU"/>
              </w:rPr>
            </w:pPr>
            <w:r>
              <w:rPr>
                <w:rFonts w:cs="Arial"/>
              </w:rPr>
              <w:t>7</w:t>
            </w:r>
          </w:p>
        </w:tc>
        <w:tc>
          <w:tcPr>
            <w:tcW w:w="850" w:type="dxa"/>
            <w:tcBorders>
              <w:top w:val="nil"/>
              <w:left w:val="nil"/>
              <w:bottom w:val="single" w:sz="4" w:space="0" w:color="auto"/>
              <w:right w:val="single" w:sz="4" w:space="0" w:color="auto"/>
            </w:tcBorders>
            <w:shd w:val="clear" w:color="auto" w:fill="auto"/>
            <w:vAlign w:val="center"/>
          </w:tcPr>
          <w:p w14:paraId="2545D481" w14:textId="4C3CF234" w:rsidR="00FB1F5D" w:rsidRPr="003D78AF" w:rsidRDefault="00FB1F5D" w:rsidP="00FB1F5D">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59249D74" w:rsidR="00FB1F5D" w:rsidRPr="003D78AF" w:rsidRDefault="00FB1F5D" w:rsidP="00FB1F5D">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6CB94427" w:rsidR="00FB1F5D" w:rsidRPr="003D78AF" w:rsidRDefault="00FB1F5D" w:rsidP="00FB1F5D">
            <w:pPr>
              <w:spacing w:line="240" w:lineRule="auto"/>
              <w:jc w:val="right"/>
              <w:rPr>
                <w:rFonts w:cs="Arial"/>
                <w:lang w:eastAsia="en-AU"/>
              </w:rPr>
            </w:pPr>
            <w:r>
              <w:rPr>
                <w:rFonts w:cs="Arial"/>
              </w:rPr>
              <w:t>3</w:t>
            </w:r>
          </w:p>
        </w:tc>
        <w:tc>
          <w:tcPr>
            <w:tcW w:w="706" w:type="dxa"/>
            <w:tcBorders>
              <w:top w:val="nil"/>
              <w:left w:val="nil"/>
              <w:bottom w:val="single" w:sz="4" w:space="0" w:color="auto"/>
              <w:right w:val="single" w:sz="4" w:space="0" w:color="auto"/>
            </w:tcBorders>
            <w:vAlign w:val="center"/>
          </w:tcPr>
          <w:p w14:paraId="7909412F" w14:textId="1A788448" w:rsidR="00FB1F5D" w:rsidRPr="003D78AF" w:rsidRDefault="00FB1F5D" w:rsidP="00FB1F5D">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1C77783A" w:rsidR="00FB1F5D" w:rsidRPr="003D78AF" w:rsidRDefault="00FB1F5D" w:rsidP="00FB1F5D">
            <w:pPr>
              <w:spacing w:line="240" w:lineRule="auto"/>
              <w:jc w:val="right"/>
              <w:rPr>
                <w:rFonts w:cs="Arial"/>
                <w:b/>
                <w:lang w:eastAsia="en-AU"/>
              </w:rPr>
            </w:pPr>
            <w:r>
              <w:rPr>
                <w:rFonts w:cs="Arial"/>
                <w:b/>
                <w:bCs/>
              </w:rPr>
              <w:t>10</w:t>
            </w:r>
          </w:p>
        </w:tc>
      </w:tr>
      <w:tr w:rsidR="00FB1F5D"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FB1F5D" w:rsidRDefault="00FB1F5D" w:rsidP="00FB1F5D">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2E4C1A25" w:rsidR="00FB1F5D" w:rsidRPr="003D78AF" w:rsidRDefault="00FB1F5D" w:rsidP="00FB1F5D">
            <w:pPr>
              <w:spacing w:line="240" w:lineRule="auto"/>
              <w:jc w:val="right"/>
              <w:rPr>
                <w:rFonts w:cs="Arial"/>
                <w:lang w:eastAsia="en-AU"/>
              </w:rPr>
            </w:pPr>
            <w:r>
              <w:rPr>
                <w:rFonts w:cs="Arial"/>
              </w:rPr>
              <w:t>258</w:t>
            </w:r>
          </w:p>
        </w:tc>
        <w:tc>
          <w:tcPr>
            <w:tcW w:w="850" w:type="dxa"/>
            <w:tcBorders>
              <w:top w:val="nil"/>
              <w:left w:val="nil"/>
              <w:bottom w:val="single" w:sz="4" w:space="0" w:color="auto"/>
              <w:right w:val="single" w:sz="4" w:space="0" w:color="auto"/>
            </w:tcBorders>
            <w:shd w:val="clear" w:color="auto" w:fill="auto"/>
            <w:vAlign w:val="center"/>
          </w:tcPr>
          <w:p w14:paraId="42DE6DE7" w14:textId="3893C573" w:rsidR="00FB1F5D" w:rsidRPr="003D78AF" w:rsidRDefault="00FB1F5D" w:rsidP="00FB1F5D">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6A2B0F8E" w14:textId="180A959C" w:rsidR="00FB1F5D" w:rsidRPr="003D78AF" w:rsidRDefault="00FB1F5D" w:rsidP="00FB1F5D">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691A4A6D" w:rsidR="00FB1F5D" w:rsidRPr="003D78AF" w:rsidRDefault="00FB1F5D" w:rsidP="00FB1F5D">
            <w:pPr>
              <w:spacing w:line="240" w:lineRule="auto"/>
              <w:jc w:val="right"/>
              <w:rPr>
                <w:rFonts w:cs="Arial"/>
                <w:lang w:eastAsia="en-AU"/>
              </w:rPr>
            </w:pPr>
            <w:r>
              <w:rPr>
                <w:rFonts w:cs="Arial"/>
              </w:rPr>
              <w:t>52</w:t>
            </w:r>
          </w:p>
        </w:tc>
        <w:tc>
          <w:tcPr>
            <w:tcW w:w="706" w:type="dxa"/>
            <w:tcBorders>
              <w:top w:val="nil"/>
              <w:left w:val="nil"/>
              <w:bottom w:val="single" w:sz="4" w:space="0" w:color="auto"/>
              <w:right w:val="single" w:sz="4" w:space="0" w:color="auto"/>
            </w:tcBorders>
            <w:vAlign w:val="center"/>
          </w:tcPr>
          <w:p w14:paraId="635B50F1" w14:textId="30A61FC0" w:rsidR="00FB1F5D" w:rsidRPr="003D78AF" w:rsidRDefault="00FB1F5D" w:rsidP="00FB1F5D">
            <w:pPr>
              <w:spacing w:line="240" w:lineRule="auto"/>
              <w:jc w:val="right"/>
              <w:rPr>
                <w:rFonts w:cs="Arial"/>
                <w:lang w:eastAsia="en-AU"/>
              </w:rPr>
            </w:pPr>
            <w:r>
              <w:rPr>
                <w:rFonts w:cs="Arial"/>
              </w:rPr>
              <w:t>22</w:t>
            </w:r>
          </w:p>
        </w:tc>
        <w:tc>
          <w:tcPr>
            <w:tcW w:w="849" w:type="dxa"/>
            <w:tcBorders>
              <w:top w:val="nil"/>
              <w:left w:val="nil"/>
              <w:bottom w:val="single" w:sz="4" w:space="0" w:color="auto"/>
              <w:right w:val="single" w:sz="4" w:space="0" w:color="auto"/>
            </w:tcBorders>
            <w:vAlign w:val="center"/>
          </w:tcPr>
          <w:p w14:paraId="413D1C25" w14:textId="701CCEA8" w:rsidR="00FB1F5D" w:rsidRPr="003D78AF" w:rsidRDefault="00FB1F5D" w:rsidP="00FB1F5D">
            <w:pPr>
              <w:spacing w:line="240" w:lineRule="auto"/>
              <w:jc w:val="right"/>
              <w:rPr>
                <w:rFonts w:cs="Arial"/>
                <w:b/>
                <w:lang w:eastAsia="en-AU"/>
              </w:rPr>
            </w:pPr>
            <w:r>
              <w:rPr>
                <w:rFonts w:cs="Arial"/>
                <w:b/>
                <w:bCs/>
              </w:rPr>
              <w:t>333</w:t>
            </w:r>
          </w:p>
        </w:tc>
      </w:tr>
      <w:tr w:rsidR="00FB1F5D"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FB1F5D" w:rsidRDefault="00FB1F5D" w:rsidP="00FB1F5D">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1C30EEEE" w:rsidR="00FB1F5D" w:rsidRPr="003D78AF" w:rsidRDefault="00FB1F5D" w:rsidP="00FB1F5D">
            <w:pPr>
              <w:spacing w:line="240" w:lineRule="auto"/>
              <w:jc w:val="right"/>
              <w:rPr>
                <w:rFonts w:cs="Arial"/>
                <w:lang w:eastAsia="en-AU"/>
              </w:rPr>
            </w:pPr>
            <w:r>
              <w:rPr>
                <w:rFonts w:cs="Arial"/>
              </w:rPr>
              <w:t>16</w:t>
            </w:r>
          </w:p>
        </w:tc>
        <w:tc>
          <w:tcPr>
            <w:tcW w:w="850" w:type="dxa"/>
            <w:tcBorders>
              <w:top w:val="nil"/>
              <w:left w:val="nil"/>
              <w:bottom w:val="single" w:sz="4" w:space="0" w:color="auto"/>
              <w:right w:val="single" w:sz="4" w:space="0" w:color="auto"/>
            </w:tcBorders>
            <w:shd w:val="clear" w:color="auto" w:fill="auto"/>
            <w:vAlign w:val="center"/>
          </w:tcPr>
          <w:p w14:paraId="1BA99C8E" w14:textId="1C4AE985" w:rsidR="00FB1F5D" w:rsidRPr="003D78AF" w:rsidRDefault="00FB1F5D" w:rsidP="00FB1F5D">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00ED4A9E" w:rsidR="00FB1F5D" w:rsidRPr="003D78AF" w:rsidRDefault="00FB1F5D" w:rsidP="00FB1F5D">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2A5444D3" w:rsidR="00FB1F5D" w:rsidRPr="003D78AF" w:rsidRDefault="00FB1F5D" w:rsidP="00FB1F5D">
            <w:pPr>
              <w:spacing w:line="240" w:lineRule="auto"/>
              <w:jc w:val="right"/>
              <w:rPr>
                <w:rFonts w:cs="Arial"/>
                <w:lang w:eastAsia="en-AU"/>
              </w:rPr>
            </w:pPr>
            <w:r>
              <w:rPr>
                <w:rFonts w:cs="Arial"/>
              </w:rPr>
              <w:t>12</w:t>
            </w:r>
          </w:p>
        </w:tc>
        <w:tc>
          <w:tcPr>
            <w:tcW w:w="706" w:type="dxa"/>
            <w:tcBorders>
              <w:top w:val="nil"/>
              <w:left w:val="nil"/>
              <w:bottom w:val="single" w:sz="4" w:space="0" w:color="auto"/>
              <w:right w:val="single" w:sz="4" w:space="0" w:color="auto"/>
            </w:tcBorders>
            <w:vAlign w:val="center"/>
          </w:tcPr>
          <w:p w14:paraId="772FC04E" w14:textId="7DE119AF" w:rsidR="00FB1F5D" w:rsidRPr="003D78AF" w:rsidRDefault="00FB1F5D" w:rsidP="00FB1F5D">
            <w:pPr>
              <w:spacing w:line="240" w:lineRule="auto"/>
              <w:jc w:val="right"/>
              <w:rPr>
                <w:rFonts w:cs="Arial"/>
                <w:lang w:eastAsia="en-AU"/>
              </w:rPr>
            </w:pPr>
            <w:r>
              <w:rPr>
                <w:rFonts w:cs="Arial"/>
              </w:rPr>
              <w:t>5</w:t>
            </w:r>
          </w:p>
        </w:tc>
        <w:tc>
          <w:tcPr>
            <w:tcW w:w="849" w:type="dxa"/>
            <w:tcBorders>
              <w:top w:val="nil"/>
              <w:left w:val="nil"/>
              <w:bottom w:val="single" w:sz="4" w:space="0" w:color="auto"/>
              <w:right w:val="single" w:sz="4" w:space="0" w:color="auto"/>
            </w:tcBorders>
            <w:vAlign w:val="center"/>
          </w:tcPr>
          <w:p w14:paraId="7DF1704F" w14:textId="3FA33B68" w:rsidR="00FB1F5D" w:rsidRPr="003D78AF" w:rsidRDefault="00FB1F5D" w:rsidP="00FB1F5D">
            <w:pPr>
              <w:spacing w:line="240" w:lineRule="auto"/>
              <w:jc w:val="right"/>
              <w:rPr>
                <w:rFonts w:cs="Arial"/>
                <w:b/>
                <w:lang w:eastAsia="en-AU"/>
              </w:rPr>
            </w:pPr>
            <w:r>
              <w:rPr>
                <w:rFonts w:cs="Arial"/>
                <w:b/>
                <w:bCs/>
              </w:rPr>
              <w:t>34</w:t>
            </w:r>
          </w:p>
        </w:tc>
      </w:tr>
      <w:tr w:rsidR="00FB1F5D"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FB1F5D" w:rsidRDefault="00FB1F5D" w:rsidP="00FB1F5D">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742AEB81" w:rsidR="00FB1F5D" w:rsidRPr="003D78AF" w:rsidRDefault="00FB1F5D" w:rsidP="00FB1F5D">
            <w:pPr>
              <w:spacing w:line="240" w:lineRule="auto"/>
              <w:jc w:val="right"/>
              <w:rPr>
                <w:rFonts w:cs="Arial"/>
                <w:lang w:eastAsia="en-AU"/>
              </w:rPr>
            </w:pPr>
            <w:r>
              <w:rPr>
                <w:rFonts w:cs="Arial"/>
              </w:rPr>
              <w:t>27</w:t>
            </w:r>
          </w:p>
        </w:tc>
        <w:tc>
          <w:tcPr>
            <w:tcW w:w="850" w:type="dxa"/>
            <w:tcBorders>
              <w:top w:val="nil"/>
              <w:left w:val="nil"/>
              <w:bottom w:val="single" w:sz="4" w:space="0" w:color="auto"/>
              <w:right w:val="single" w:sz="4" w:space="0" w:color="auto"/>
            </w:tcBorders>
            <w:shd w:val="clear" w:color="auto" w:fill="auto"/>
            <w:vAlign w:val="center"/>
          </w:tcPr>
          <w:p w14:paraId="375C9925" w14:textId="2D99B531" w:rsidR="00FB1F5D" w:rsidRPr="003D78AF" w:rsidRDefault="00FB1F5D" w:rsidP="00FB1F5D">
            <w:pPr>
              <w:spacing w:line="240" w:lineRule="auto"/>
              <w:jc w:val="right"/>
              <w:rPr>
                <w:rFonts w:cs="Arial"/>
                <w:lang w:eastAsia="en-AU"/>
              </w:rPr>
            </w:pPr>
            <w:r>
              <w:rPr>
                <w:rFonts w:cs="Arial"/>
              </w:rPr>
              <w:t>2</w:t>
            </w:r>
          </w:p>
        </w:tc>
        <w:tc>
          <w:tcPr>
            <w:tcW w:w="779" w:type="dxa"/>
            <w:tcBorders>
              <w:top w:val="nil"/>
              <w:left w:val="nil"/>
              <w:bottom w:val="single" w:sz="4" w:space="0" w:color="auto"/>
              <w:right w:val="single" w:sz="4" w:space="0" w:color="auto"/>
            </w:tcBorders>
            <w:vAlign w:val="center"/>
          </w:tcPr>
          <w:p w14:paraId="766C043E" w14:textId="7CC8E00E" w:rsidR="00FB1F5D" w:rsidRPr="003D78AF" w:rsidRDefault="00FB1F5D" w:rsidP="00FB1F5D">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41486F53" w:rsidR="00FB1F5D" w:rsidRPr="003D78AF" w:rsidRDefault="00FB1F5D" w:rsidP="00FB1F5D">
            <w:pPr>
              <w:spacing w:line="240" w:lineRule="auto"/>
              <w:jc w:val="right"/>
              <w:rPr>
                <w:rFonts w:cs="Arial"/>
                <w:lang w:eastAsia="en-AU"/>
              </w:rPr>
            </w:pPr>
            <w:r>
              <w:rPr>
                <w:rFonts w:cs="Arial"/>
              </w:rPr>
              <w:t>7</w:t>
            </w:r>
          </w:p>
        </w:tc>
        <w:tc>
          <w:tcPr>
            <w:tcW w:w="706" w:type="dxa"/>
            <w:tcBorders>
              <w:top w:val="nil"/>
              <w:left w:val="nil"/>
              <w:bottom w:val="single" w:sz="4" w:space="0" w:color="auto"/>
              <w:right w:val="single" w:sz="4" w:space="0" w:color="auto"/>
            </w:tcBorders>
            <w:vAlign w:val="center"/>
          </w:tcPr>
          <w:p w14:paraId="76B03AEF" w14:textId="12E38EE8" w:rsidR="00FB1F5D" w:rsidRPr="003D78AF" w:rsidRDefault="00FB1F5D" w:rsidP="00FB1F5D">
            <w:pPr>
              <w:spacing w:line="240" w:lineRule="auto"/>
              <w:jc w:val="right"/>
              <w:rPr>
                <w:rFonts w:cs="Arial"/>
                <w:lang w:eastAsia="en-AU"/>
              </w:rPr>
            </w:pPr>
            <w:r>
              <w:rPr>
                <w:rFonts w:cs="Arial"/>
              </w:rPr>
              <w:t>7</w:t>
            </w:r>
          </w:p>
        </w:tc>
        <w:tc>
          <w:tcPr>
            <w:tcW w:w="849" w:type="dxa"/>
            <w:tcBorders>
              <w:top w:val="nil"/>
              <w:left w:val="nil"/>
              <w:bottom w:val="single" w:sz="4" w:space="0" w:color="auto"/>
              <w:right w:val="single" w:sz="4" w:space="0" w:color="auto"/>
            </w:tcBorders>
            <w:vAlign w:val="center"/>
          </w:tcPr>
          <w:p w14:paraId="61D1E9D8" w14:textId="3EEE2642" w:rsidR="00FB1F5D" w:rsidRPr="003D78AF" w:rsidRDefault="00FB1F5D" w:rsidP="00FB1F5D">
            <w:pPr>
              <w:spacing w:line="240" w:lineRule="auto"/>
              <w:jc w:val="right"/>
              <w:rPr>
                <w:rFonts w:cs="Arial"/>
                <w:b/>
                <w:lang w:eastAsia="en-AU"/>
              </w:rPr>
            </w:pPr>
            <w:r>
              <w:rPr>
                <w:rFonts w:cs="Arial"/>
                <w:b/>
                <w:bCs/>
              </w:rPr>
              <w:t>43</w:t>
            </w:r>
          </w:p>
        </w:tc>
      </w:tr>
      <w:tr w:rsidR="00FB1F5D"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FB1F5D" w:rsidRPr="0040594D" w:rsidRDefault="00FB1F5D" w:rsidP="00FB1F5D">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513E92DC" w:rsidR="00FB1F5D" w:rsidRPr="003D78AF" w:rsidRDefault="00FB1F5D" w:rsidP="00FB1F5D">
            <w:pPr>
              <w:spacing w:line="240" w:lineRule="auto"/>
              <w:jc w:val="right"/>
              <w:rPr>
                <w:rFonts w:cs="Arial"/>
                <w:lang w:eastAsia="en-AU"/>
              </w:rPr>
            </w:pPr>
            <w:r>
              <w:rPr>
                <w:rFonts w:cs="Arial"/>
              </w:rPr>
              <w:t>37</w:t>
            </w:r>
          </w:p>
        </w:tc>
        <w:tc>
          <w:tcPr>
            <w:tcW w:w="850" w:type="dxa"/>
            <w:tcBorders>
              <w:top w:val="nil"/>
              <w:left w:val="nil"/>
              <w:bottom w:val="single" w:sz="4" w:space="0" w:color="auto"/>
              <w:right w:val="single" w:sz="4" w:space="0" w:color="auto"/>
            </w:tcBorders>
            <w:shd w:val="clear" w:color="auto" w:fill="auto"/>
            <w:vAlign w:val="center"/>
          </w:tcPr>
          <w:p w14:paraId="5D2BA765" w14:textId="6894D670" w:rsidR="00FB1F5D" w:rsidRPr="003D78AF" w:rsidRDefault="00FB1F5D" w:rsidP="00FB1F5D">
            <w:pPr>
              <w:spacing w:line="240" w:lineRule="auto"/>
              <w:jc w:val="right"/>
              <w:rPr>
                <w:rFonts w:cs="Arial"/>
                <w:lang w:eastAsia="en-AU"/>
              </w:rPr>
            </w:pPr>
            <w:r>
              <w:rPr>
                <w:rFonts w:cs="Arial"/>
              </w:rPr>
              <w:t>16</w:t>
            </w:r>
          </w:p>
        </w:tc>
        <w:tc>
          <w:tcPr>
            <w:tcW w:w="779" w:type="dxa"/>
            <w:tcBorders>
              <w:top w:val="nil"/>
              <w:left w:val="nil"/>
              <w:bottom w:val="single" w:sz="4" w:space="0" w:color="auto"/>
              <w:right w:val="single" w:sz="4" w:space="0" w:color="auto"/>
            </w:tcBorders>
            <w:vAlign w:val="center"/>
          </w:tcPr>
          <w:p w14:paraId="6EC1BDB5" w14:textId="30F382B2" w:rsidR="00FB1F5D" w:rsidRPr="003D78AF" w:rsidRDefault="00FB1F5D" w:rsidP="00FB1F5D">
            <w:pPr>
              <w:spacing w:line="240" w:lineRule="auto"/>
              <w:jc w:val="right"/>
              <w:rPr>
                <w:rFonts w:cs="Arial"/>
                <w:lang w:eastAsia="en-AU"/>
              </w:rPr>
            </w:pPr>
            <w:r>
              <w:rPr>
                <w:rFonts w:cs="Arial"/>
              </w:rPr>
              <w:t>331</w:t>
            </w:r>
          </w:p>
        </w:tc>
        <w:tc>
          <w:tcPr>
            <w:tcW w:w="643" w:type="dxa"/>
            <w:tcBorders>
              <w:top w:val="nil"/>
              <w:left w:val="nil"/>
              <w:bottom w:val="single" w:sz="4" w:space="0" w:color="auto"/>
              <w:right w:val="single" w:sz="4" w:space="0" w:color="auto"/>
            </w:tcBorders>
            <w:vAlign w:val="center"/>
          </w:tcPr>
          <w:p w14:paraId="1997B7CD" w14:textId="08E9B1BF" w:rsidR="00FB1F5D" w:rsidRPr="003D78AF" w:rsidRDefault="00FB1F5D" w:rsidP="00FB1F5D">
            <w:pPr>
              <w:spacing w:line="240" w:lineRule="auto"/>
              <w:jc w:val="right"/>
              <w:rPr>
                <w:rFonts w:cs="Arial"/>
                <w:lang w:eastAsia="en-AU"/>
              </w:rPr>
            </w:pPr>
            <w:r>
              <w:rPr>
                <w:rFonts w:cs="Arial"/>
              </w:rPr>
              <w:t>125</w:t>
            </w:r>
          </w:p>
        </w:tc>
        <w:tc>
          <w:tcPr>
            <w:tcW w:w="706" w:type="dxa"/>
            <w:tcBorders>
              <w:top w:val="nil"/>
              <w:left w:val="nil"/>
              <w:bottom w:val="single" w:sz="4" w:space="0" w:color="auto"/>
              <w:right w:val="single" w:sz="4" w:space="0" w:color="auto"/>
            </w:tcBorders>
            <w:vAlign w:val="center"/>
          </w:tcPr>
          <w:p w14:paraId="6C72EE70" w14:textId="0854A004" w:rsidR="00FB1F5D" w:rsidRPr="003D78AF" w:rsidRDefault="00FB1F5D" w:rsidP="00FB1F5D">
            <w:pPr>
              <w:spacing w:line="240" w:lineRule="auto"/>
              <w:jc w:val="right"/>
              <w:rPr>
                <w:rFonts w:cs="Arial"/>
                <w:lang w:eastAsia="en-AU"/>
              </w:rPr>
            </w:pPr>
            <w:r>
              <w:rPr>
                <w:rFonts w:cs="Arial"/>
              </w:rPr>
              <w:t>30</w:t>
            </w:r>
          </w:p>
        </w:tc>
        <w:tc>
          <w:tcPr>
            <w:tcW w:w="849" w:type="dxa"/>
            <w:tcBorders>
              <w:top w:val="nil"/>
              <w:left w:val="nil"/>
              <w:bottom w:val="single" w:sz="4" w:space="0" w:color="auto"/>
              <w:right w:val="single" w:sz="4" w:space="0" w:color="auto"/>
            </w:tcBorders>
            <w:vAlign w:val="center"/>
          </w:tcPr>
          <w:p w14:paraId="10323D05" w14:textId="318B72B3" w:rsidR="00FB1F5D" w:rsidRPr="003D78AF" w:rsidRDefault="00FB1F5D" w:rsidP="00FB1F5D">
            <w:pPr>
              <w:spacing w:line="240" w:lineRule="auto"/>
              <w:jc w:val="right"/>
              <w:rPr>
                <w:rFonts w:cs="Arial"/>
                <w:b/>
                <w:lang w:eastAsia="en-AU"/>
              </w:rPr>
            </w:pPr>
            <w:r>
              <w:rPr>
                <w:rFonts w:cs="Arial"/>
                <w:b/>
                <w:bCs/>
              </w:rPr>
              <w:t>539</w:t>
            </w:r>
          </w:p>
        </w:tc>
      </w:tr>
      <w:tr w:rsidR="00FB1F5D"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FB1F5D" w:rsidRPr="0040594D" w:rsidRDefault="00FB1F5D" w:rsidP="00FB1F5D">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4DBC0E2D" w:rsidR="00FB1F5D" w:rsidRPr="003D78AF" w:rsidRDefault="00FB1F5D" w:rsidP="00FB1F5D">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4278A352" w:rsidR="00FB1F5D" w:rsidRPr="003D78AF" w:rsidRDefault="00FB1F5D" w:rsidP="00FB1F5D">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3CD99817" w14:textId="291E6BDD" w:rsidR="00FB1F5D" w:rsidRPr="003D78AF" w:rsidRDefault="00FB1F5D" w:rsidP="00FB1F5D">
            <w:pPr>
              <w:spacing w:line="240" w:lineRule="auto"/>
              <w:jc w:val="right"/>
              <w:rPr>
                <w:rFonts w:cs="Arial"/>
                <w:lang w:eastAsia="en-AU"/>
              </w:rPr>
            </w:pPr>
            <w:r>
              <w:rPr>
                <w:rFonts w:cs="Arial"/>
              </w:rPr>
              <w:t>18</w:t>
            </w:r>
          </w:p>
        </w:tc>
        <w:tc>
          <w:tcPr>
            <w:tcW w:w="643" w:type="dxa"/>
            <w:tcBorders>
              <w:top w:val="nil"/>
              <w:left w:val="nil"/>
              <w:bottom w:val="single" w:sz="4" w:space="0" w:color="auto"/>
              <w:right w:val="single" w:sz="4" w:space="0" w:color="auto"/>
            </w:tcBorders>
            <w:vAlign w:val="center"/>
          </w:tcPr>
          <w:p w14:paraId="02AC8E9D" w14:textId="0F1CC66B" w:rsidR="00FB1F5D" w:rsidRPr="003D78AF" w:rsidRDefault="00FB1F5D" w:rsidP="00FB1F5D">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5DF4B523" w:rsidR="00FB1F5D" w:rsidRPr="003D78AF" w:rsidRDefault="00FB1F5D" w:rsidP="00FB1F5D">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0FD5D762" w:rsidR="00FB1F5D" w:rsidRPr="003D78AF" w:rsidRDefault="00FB1F5D" w:rsidP="00FB1F5D">
            <w:pPr>
              <w:spacing w:line="240" w:lineRule="auto"/>
              <w:jc w:val="right"/>
              <w:rPr>
                <w:rFonts w:cs="Arial"/>
                <w:b/>
                <w:lang w:eastAsia="en-AU"/>
              </w:rPr>
            </w:pPr>
            <w:r>
              <w:rPr>
                <w:rFonts w:cs="Arial"/>
                <w:b/>
                <w:bCs/>
              </w:rPr>
              <w:t>19</w:t>
            </w:r>
          </w:p>
        </w:tc>
      </w:tr>
      <w:tr w:rsidR="00FB1F5D"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FB1F5D" w:rsidRPr="00371BE2" w:rsidRDefault="00FB1F5D" w:rsidP="00FB1F5D">
            <w:pPr>
              <w:spacing w:line="240" w:lineRule="auto"/>
              <w:rPr>
                <w:rFonts w:cs="Arial"/>
                <w:lang w:eastAsia="en-AU"/>
              </w:rPr>
            </w:pPr>
            <w:bookmarkStart w:id="15"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19B49203" w:rsidR="00FB1F5D" w:rsidRPr="003D78AF" w:rsidRDefault="00FB1F5D" w:rsidP="00FB1F5D">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3F52348A" w:rsidR="00FB1F5D" w:rsidRPr="003D78AF" w:rsidRDefault="00FB1F5D" w:rsidP="00FB1F5D">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4FB6557E" w:rsidR="00FB1F5D" w:rsidRPr="003D78AF" w:rsidRDefault="00FB1F5D" w:rsidP="00FB1F5D">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20FAA7EE" w:rsidR="00FB1F5D" w:rsidRPr="003D78AF" w:rsidRDefault="00FB1F5D" w:rsidP="00FB1F5D">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4B09112E" w:rsidR="00FB1F5D" w:rsidRPr="003D78AF" w:rsidRDefault="00FB1F5D" w:rsidP="00FB1F5D">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35E4E2A2" w:rsidR="00FB1F5D" w:rsidRPr="003D78AF" w:rsidRDefault="00FB1F5D" w:rsidP="00FB1F5D">
            <w:pPr>
              <w:spacing w:line="240" w:lineRule="auto"/>
              <w:jc w:val="right"/>
              <w:rPr>
                <w:rFonts w:cs="Arial"/>
                <w:b/>
                <w:lang w:eastAsia="en-AU"/>
              </w:rPr>
            </w:pPr>
            <w:r>
              <w:rPr>
                <w:rFonts w:cs="Arial"/>
                <w:b/>
                <w:bCs/>
              </w:rPr>
              <w:t> </w:t>
            </w:r>
          </w:p>
        </w:tc>
      </w:tr>
      <w:bookmarkEnd w:id="15"/>
      <w:tr w:rsidR="00FB1F5D"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FB1F5D" w:rsidRPr="00371BE2" w:rsidRDefault="00FB1F5D" w:rsidP="00FB1F5D">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28D74149" w:rsidR="00FB1F5D" w:rsidRPr="003D78AF" w:rsidRDefault="00FB1F5D" w:rsidP="00FB1F5D">
            <w:pPr>
              <w:spacing w:line="240" w:lineRule="auto"/>
              <w:jc w:val="right"/>
              <w:rPr>
                <w:rFonts w:cs="Arial"/>
              </w:rPr>
            </w:pPr>
            <w:r>
              <w:rPr>
                <w:rFonts w:cs="Arial"/>
              </w:rPr>
              <w:t>26</w:t>
            </w:r>
          </w:p>
        </w:tc>
        <w:tc>
          <w:tcPr>
            <w:tcW w:w="850" w:type="dxa"/>
            <w:tcBorders>
              <w:top w:val="nil"/>
              <w:left w:val="nil"/>
              <w:bottom w:val="single" w:sz="4" w:space="0" w:color="auto"/>
              <w:right w:val="single" w:sz="4" w:space="0" w:color="auto"/>
            </w:tcBorders>
            <w:shd w:val="clear" w:color="auto" w:fill="auto"/>
            <w:vAlign w:val="center"/>
          </w:tcPr>
          <w:p w14:paraId="503CD381" w14:textId="64F05E97" w:rsidR="00FB1F5D" w:rsidRPr="003D78AF" w:rsidRDefault="00FB1F5D" w:rsidP="00FB1F5D">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7469B539" w:rsidR="00FB1F5D" w:rsidRPr="003D78AF" w:rsidRDefault="00FB1F5D" w:rsidP="00FB1F5D">
            <w:pPr>
              <w:spacing w:line="240" w:lineRule="auto"/>
              <w:jc w:val="right"/>
              <w:rPr>
                <w:rFonts w:cs="Arial"/>
              </w:rPr>
            </w:pPr>
            <w:r>
              <w:rPr>
                <w:rFonts w:cs="Arial"/>
              </w:rPr>
              <w:t>32</w:t>
            </w:r>
          </w:p>
        </w:tc>
        <w:tc>
          <w:tcPr>
            <w:tcW w:w="643" w:type="dxa"/>
            <w:tcBorders>
              <w:top w:val="nil"/>
              <w:left w:val="nil"/>
              <w:bottom w:val="single" w:sz="4" w:space="0" w:color="auto"/>
              <w:right w:val="single" w:sz="4" w:space="0" w:color="auto"/>
            </w:tcBorders>
            <w:vAlign w:val="center"/>
          </w:tcPr>
          <w:p w14:paraId="0FE1FB54" w14:textId="165A3AE7" w:rsidR="00FB1F5D" w:rsidRPr="003D78AF" w:rsidRDefault="00FB1F5D" w:rsidP="00FB1F5D">
            <w:pPr>
              <w:spacing w:line="240" w:lineRule="auto"/>
              <w:jc w:val="right"/>
              <w:rPr>
                <w:rFonts w:cs="Arial"/>
              </w:rPr>
            </w:pPr>
            <w:r>
              <w:rPr>
                <w:rFonts w:cs="Arial"/>
              </w:rPr>
              <w:t>6</w:t>
            </w:r>
          </w:p>
        </w:tc>
        <w:tc>
          <w:tcPr>
            <w:tcW w:w="706" w:type="dxa"/>
            <w:tcBorders>
              <w:top w:val="nil"/>
              <w:left w:val="nil"/>
              <w:bottom w:val="single" w:sz="4" w:space="0" w:color="auto"/>
              <w:right w:val="single" w:sz="4" w:space="0" w:color="auto"/>
            </w:tcBorders>
            <w:vAlign w:val="center"/>
          </w:tcPr>
          <w:p w14:paraId="6B736C1A" w14:textId="1E9278AD" w:rsidR="00FB1F5D" w:rsidRPr="003D78AF" w:rsidRDefault="00FB1F5D" w:rsidP="00FB1F5D">
            <w:pPr>
              <w:spacing w:line="240" w:lineRule="auto"/>
              <w:jc w:val="right"/>
              <w:rPr>
                <w:rFonts w:cs="Arial"/>
              </w:rPr>
            </w:pPr>
            <w:r>
              <w:rPr>
                <w:rFonts w:cs="Arial"/>
              </w:rPr>
              <w:t>4</w:t>
            </w:r>
          </w:p>
        </w:tc>
        <w:tc>
          <w:tcPr>
            <w:tcW w:w="849" w:type="dxa"/>
            <w:tcBorders>
              <w:top w:val="nil"/>
              <w:left w:val="nil"/>
              <w:bottom w:val="single" w:sz="4" w:space="0" w:color="auto"/>
              <w:right w:val="single" w:sz="4" w:space="0" w:color="auto"/>
            </w:tcBorders>
            <w:vAlign w:val="center"/>
          </w:tcPr>
          <w:p w14:paraId="46071030" w14:textId="742C46A2" w:rsidR="00FB1F5D" w:rsidRPr="003D78AF" w:rsidRDefault="00FB1F5D" w:rsidP="00FB1F5D">
            <w:pPr>
              <w:spacing w:line="240" w:lineRule="auto"/>
              <w:jc w:val="right"/>
              <w:rPr>
                <w:rFonts w:cs="Arial"/>
                <w:b/>
                <w:bCs/>
              </w:rPr>
            </w:pPr>
            <w:r>
              <w:rPr>
                <w:rFonts w:cs="Arial"/>
                <w:b/>
                <w:bCs/>
              </w:rPr>
              <w:t>68</w:t>
            </w:r>
          </w:p>
        </w:tc>
      </w:tr>
      <w:tr w:rsidR="00FB1F5D"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FB1F5D" w:rsidRPr="00371BE2" w:rsidRDefault="00FB1F5D" w:rsidP="00FB1F5D">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619EA11F" w:rsidR="00FB1F5D" w:rsidRPr="003D78AF" w:rsidRDefault="00FB1F5D" w:rsidP="00FB1F5D">
            <w:pPr>
              <w:spacing w:line="240" w:lineRule="auto"/>
              <w:jc w:val="right"/>
              <w:rPr>
                <w:rFonts w:cs="Arial"/>
              </w:rPr>
            </w:pPr>
            <w:r>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0611116F" w14:textId="1D980E3C" w:rsidR="00FB1F5D" w:rsidRPr="003D78AF" w:rsidRDefault="00FB1F5D" w:rsidP="00FB1F5D">
            <w:pPr>
              <w:spacing w:line="240" w:lineRule="auto"/>
              <w:jc w:val="right"/>
              <w:rPr>
                <w:rFonts w:cs="Arial"/>
              </w:rPr>
            </w:pPr>
            <w:r>
              <w:rPr>
                <w:rFonts w:cs="Arial"/>
              </w:rPr>
              <w:t>1</w:t>
            </w:r>
          </w:p>
        </w:tc>
        <w:tc>
          <w:tcPr>
            <w:tcW w:w="779" w:type="dxa"/>
            <w:tcBorders>
              <w:top w:val="nil"/>
              <w:left w:val="nil"/>
              <w:bottom w:val="single" w:sz="4" w:space="0" w:color="auto"/>
              <w:right w:val="single" w:sz="4" w:space="0" w:color="auto"/>
            </w:tcBorders>
            <w:vAlign w:val="center"/>
          </w:tcPr>
          <w:p w14:paraId="57D695C1" w14:textId="6D66E3D1" w:rsidR="00FB1F5D" w:rsidRPr="003D78AF" w:rsidRDefault="00FB1F5D" w:rsidP="00FB1F5D">
            <w:pPr>
              <w:spacing w:line="240" w:lineRule="auto"/>
              <w:jc w:val="right"/>
              <w:rPr>
                <w:rFonts w:cs="Arial"/>
              </w:rPr>
            </w:pPr>
            <w:r>
              <w:rPr>
                <w:rFonts w:cs="Arial"/>
              </w:rPr>
              <w:t>4</w:t>
            </w:r>
          </w:p>
        </w:tc>
        <w:tc>
          <w:tcPr>
            <w:tcW w:w="643" w:type="dxa"/>
            <w:tcBorders>
              <w:top w:val="nil"/>
              <w:left w:val="nil"/>
              <w:bottom w:val="single" w:sz="4" w:space="0" w:color="auto"/>
              <w:right w:val="single" w:sz="4" w:space="0" w:color="auto"/>
            </w:tcBorders>
            <w:vAlign w:val="center"/>
          </w:tcPr>
          <w:p w14:paraId="5E3C036C" w14:textId="1F3EC8D5" w:rsidR="00FB1F5D" w:rsidRPr="003D78AF" w:rsidRDefault="00FB1F5D" w:rsidP="00FB1F5D">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46AB4941" w:rsidR="00FB1F5D" w:rsidRPr="003D78AF" w:rsidRDefault="00FB1F5D" w:rsidP="00FB1F5D">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34260D18" w:rsidR="00FB1F5D" w:rsidRPr="003D78AF" w:rsidRDefault="00FB1F5D" w:rsidP="00FB1F5D">
            <w:pPr>
              <w:spacing w:line="240" w:lineRule="auto"/>
              <w:jc w:val="right"/>
              <w:rPr>
                <w:rFonts w:cs="Arial"/>
                <w:b/>
                <w:bCs/>
              </w:rPr>
            </w:pPr>
            <w:r>
              <w:rPr>
                <w:rFonts w:cs="Arial"/>
                <w:b/>
                <w:bCs/>
              </w:rPr>
              <w:t>17</w:t>
            </w:r>
          </w:p>
        </w:tc>
      </w:tr>
      <w:tr w:rsidR="00FB1F5D"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FB1F5D" w:rsidRPr="00371BE2" w:rsidRDefault="00FB1F5D" w:rsidP="00FB1F5D">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32D11A53" w:rsidR="00FB1F5D" w:rsidRPr="003D78AF" w:rsidRDefault="00FB1F5D" w:rsidP="00FB1F5D">
            <w:pPr>
              <w:spacing w:line="240" w:lineRule="auto"/>
              <w:jc w:val="right"/>
              <w:rPr>
                <w:rFonts w:cs="Arial"/>
                <w:lang w:eastAsia="en-AU"/>
              </w:rPr>
            </w:pPr>
            <w:r>
              <w:rPr>
                <w:rFonts w:cs="Arial"/>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1AEBBC5E" w:rsidR="00FB1F5D" w:rsidRPr="003D78AF" w:rsidRDefault="00FB1F5D" w:rsidP="00FB1F5D">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60A6304C" w:rsidR="00FB1F5D" w:rsidRPr="003D78AF" w:rsidRDefault="00FB1F5D" w:rsidP="00FB1F5D">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6297BEC1" w:rsidR="00FB1F5D" w:rsidRPr="003D78AF" w:rsidRDefault="00FB1F5D" w:rsidP="00FB1F5D">
            <w:pPr>
              <w:spacing w:line="240" w:lineRule="auto"/>
              <w:jc w:val="right"/>
              <w:rPr>
                <w:rFonts w:cs="Arial"/>
                <w:lang w:eastAsia="en-AU"/>
              </w:rPr>
            </w:pPr>
            <w:r>
              <w:rPr>
                <w:rFonts w:cs="Arial"/>
              </w:rPr>
              <w:t>1</w:t>
            </w:r>
          </w:p>
        </w:tc>
        <w:tc>
          <w:tcPr>
            <w:tcW w:w="706" w:type="dxa"/>
            <w:tcBorders>
              <w:top w:val="single" w:sz="4" w:space="0" w:color="auto"/>
              <w:left w:val="nil"/>
              <w:bottom w:val="single" w:sz="4" w:space="0" w:color="auto"/>
              <w:right w:val="single" w:sz="4" w:space="0" w:color="auto"/>
            </w:tcBorders>
            <w:vAlign w:val="center"/>
          </w:tcPr>
          <w:p w14:paraId="7C287A88" w14:textId="727DE892" w:rsidR="00FB1F5D" w:rsidRPr="003D78AF" w:rsidRDefault="00FB1F5D" w:rsidP="00FB1F5D">
            <w:pPr>
              <w:spacing w:line="240" w:lineRule="auto"/>
              <w:jc w:val="right"/>
              <w:rPr>
                <w:rFonts w:cs="Arial"/>
                <w:lang w:eastAsia="en-AU"/>
              </w:rPr>
            </w:pPr>
            <w:r>
              <w:rPr>
                <w:rFonts w:cs="Arial"/>
              </w:rPr>
              <w:t>2</w:t>
            </w:r>
          </w:p>
        </w:tc>
        <w:tc>
          <w:tcPr>
            <w:tcW w:w="849" w:type="dxa"/>
            <w:tcBorders>
              <w:top w:val="single" w:sz="4" w:space="0" w:color="auto"/>
              <w:left w:val="nil"/>
              <w:bottom w:val="single" w:sz="4" w:space="0" w:color="auto"/>
              <w:right w:val="single" w:sz="4" w:space="0" w:color="auto"/>
            </w:tcBorders>
            <w:vAlign w:val="center"/>
          </w:tcPr>
          <w:p w14:paraId="37F1A4A0" w14:textId="63502FE8" w:rsidR="00FB1F5D" w:rsidRPr="003D78AF" w:rsidRDefault="00FB1F5D" w:rsidP="00FB1F5D">
            <w:pPr>
              <w:spacing w:line="240" w:lineRule="auto"/>
              <w:jc w:val="right"/>
              <w:rPr>
                <w:rFonts w:cs="Arial"/>
                <w:b/>
                <w:lang w:eastAsia="en-AU"/>
              </w:rPr>
            </w:pPr>
            <w:r>
              <w:rPr>
                <w:rFonts w:cs="Arial"/>
                <w:b/>
                <w:bCs/>
              </w:rPr>
              <w:t>7</w:t>
            </w:r>
          </w:p>
        </w:tc>
      </w:tr>
      <w:tr w:rsidR="00FB1F5D"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FB1F5D" w:rsidRPr="00371BE2" w:rsidRDefault="00FB1F5D" w:rsidP="00FB1F5D">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164AD5B0" w:rsidR="00FB1F5D" w:rsidRPr="003D78AF" w:rsidRDefault="00FB1F5D" w:rsidP="00FB1F5D">
            <w:pPr>
              <w:spacing w:line="240" w:lineRule="auto"/>
              <w:jc w:val="right"/>
              <w:rPr>
                <w:rFonts w:cs="Arial"/>
                <w:b/>
                <w:lang w:eastAsia="en-AU"/>
              </w:rPr>
            </w:pPr>
            <w:r>
              <w:rPr>
                <w:rFonts w:cs="Arial"/>
                <w:b/>
                <w:bCs/>
              </w:rPr>
              <w:t>387</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4FF484D2" w:rsidR="00FB1F5D" w:rsidRPr="003D78AF" w:rsidRDefault="00FB1F5D" w:rsidP="00FB1F5D">
            <w:pPr>
              <w:spacing w:line="240" w:lineRule="auto"/>
              <w:jc w:val="right"/>
              <w:rPr>
                <w:rFonts w:cs="Arial"/>
                <w:b/>
                <w:lang w:eastAsia="en-AU"/>
              </w:rPr>
            </w:pPr>
            <w:r>
              <w:rPr>
                <w:rFonts w:cs="Arial"/>
                <w:b/>
                <w:bCs/>
              </w:rPr>
              <w:t>22</w:t>
            </w:r>
          </w:p>
        </w:tc>
        <w:tc>
          <w:tcPr>
            <w:tcW w:w="779" w:type="dxa"/>
            <w:tcBorders>
              <w:top w:val="single" w:sz="4" w:space="0" w:color="auto"/>
              <w:left w:val="nil"/>
              <w:bottom w:val="single" w:sz="4" w:space="0" w:color="auto"/>
              <w:right w:val="single" w:sz="4" w:space="0" w:color="auto"/>
            </w:tcBorders>
            <w:vAlign w:val="center"/>
          </w:tcPr>
          <w:p w14:paraId="4ECA5E82" w14:textId="72985BDB" w:rsidR="00FB1F5D" w:rsidRPr="003D78AF" w:rsidRDefault="00FB1F5D" w:rsidP="00FB1F5D">
            <w:pPr>
              <w:spacing w:line="240" w:lineRule="auto"/>
              <w:jc w:val="right"/>
              <w:rPr>
                <w:rFonts w:cs="Arial"/>
                <w:b/>
                <w:lang w:eastAsia="en-AU"/>
              </w:rPr>
            </w:pPr>
            <w:r>
              <w:rPr>
                <w:rFonts w:cs="Arial"/>
                <w:b/>
                <w:bCs/>
              </w:rPr>
              <w:t>385</w:t>
            </w:r>
          </w:p>
        </w:tc>
        <w:tc>
          <w:tcPr>
            <w:tcW w:w="643" w:type="dxa"/>
            <w:tcBorders>
              <w:top w:val="single" w:sz="4" w:space="0" w:color="auto"/>
              <w:left w:val="nil"/>
              <w:bottom w:val="single" w:sz="4" w:space="0" w:color="auto"/>
              <w:right w:val="single" w:sz="4" w:space="0" w:color="auto"/>
            </w:tcBorders>
            <w:vAlign w:val="center"/>
          </w:tcPr>
          <w:p w14:paraId="4498767F" w14:textId="5A08CC28" w:rsidR="00FB1F5D" w:rsidRPr="003D78AF" w:rsidRDefault="00FB1F5D" w:rsidP="00FB1F5D">
            <w:pPr>
              <w:spacing w:line="240" w:lineRule="auto"/>
              <w:jc w:val="right"/>
              <w:rPr>
                <w:rFonts w:cs="Arial"/>
                <w:b/>
                <w:lang w:eastAsia="en-AU"/>
              </w:rPr>
            </w:pPr>
            <w:r>
              <w:rPr>
                <w:rFonts w:cs="Arial"/>
                <w:b/>
                <w:bCs/>
              </w:rPr>
              <w:t>206</w:t>
            </w:r>
          </w:p>
        </w:tc>
        <w:tc>
          <w:tcPr>
            <w:tcW w:w="706" w:type="dxa"/>
            <w:tcBorders>
              <w:top w:val="single" w:sz="4" w:space="0" w:color="auto"/>
              <w:left w:val="nil"/>
              <w:bottom w:val="single" w:sz="4" w:space="0" w:color="auto"/>
              <w:right w:val="single" w:sz="4" w:space="0" w:color="auto"/>
            </w:tcBorders>
            <w:vAlign w:val="center"/>
          </w:tcPr>
          <w:p w14:paraId="2806B4BD" w14:textId="1E8CEE14" w:rsidR="00FB1F5D" w:rsidRPr="003D78AF" w:rsidRDefault="00FB1F5D" w:rsidP="00FB1F5D">
            <w:pPr>
              <w:spacing w:line="240" w:lineRule="auto"/>
              <w:jc w:val="right"/>
              <w:rPr>
                <w:rFonts w:cs="Arial"/>
                <w:b/>
                <w:lang w:eastAsia="en-AU"/>
              </w:rPr>
            </w:pPr>
            <w:r>
              <w:rPr>
                <w:rFonts w:cs="Arial"/>
                <w:b/>
                <w:bCs/>
              </w:rPr>
              <w:t>70</w:t>
            </w:r>
          </w:p>
        </w:tc>
        <w:tc>
          <w:tcPr>
            <w:tcW w:w="849" w:type="dxa"/>
            <w:tcBorders>
              <w:top w:val="single" w:sz="4" w:space="0" w:color="auto"/>
              <w:left w:val="nil"/>
              <w:bottom w:val="single" w:sz="4" w:space="0" w:color="auto"/>
              <w:right w:val="single" w:sz="4" w:space="0" w:color="auto"/>
            </w:tcBorders>
            <w:vAlign w:val="center"/>
          </w:tcPr>
          <w:p w14:paraId="24507EE5" w14:textId="1F963D0D" w:rsidR="00FB1F5D" w:rsidRPr="003D78AF" w:rsidRDefault="00FB1F5D" w:rsidP="00FB1F5D">
            <w:pPr>
              <w:spacing w:line="240" w:lineRule="auto"/>
              <w:jc w:val="right"/>
              <w:rPr>
                <w:rFonts w:cs="Arial"/>
                <w:b/>
                <w:lang w:eastAsia="en-AU"/>
              </w:rPr>
            </w:pPr>
            <w:r>
              <w:rPr>
                <w:rFonts w:cs="Arial"/>
                <w:b/>
                <w:bCs/>
              </w:rPr>
              <w:t>1070</w:t>
            </w:r>
          </w:p>
        </w:tc>
      </w:tr>
    </w:tbl>
    <w:p w14:paraId="68A14D11" w14:textId="77777777" w:rsidR="00557E24" w:rsidRDefault="00557E24" w:rsidP="008D3D27">
      <w:pPr>
        <w:spacing w:line="240" w:lineRule="auto"/>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1D4F9A34"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FB1F5D">
        <w:rPr>
          <w:rFonts w:ascii="Verdana" w:hAnsi="Verdana" w:cs="Arial"/>
          <w:sz w:val="20"/>
          <w:szCs w:val="20"/>
        </w:rPr>
        <w:t>387</w:t>
      </w:r>
      <w:r w:rsidR="00FB1F5D"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8E6726">
        <w:rPr>
          <w:rFonts w:ascii="Verdana" w:hAnsi="Verdana" w:cs="Arial"/>
          <w:sz w:val="20"/>
          <w:szCs w:val="20"/>
        </w:rPr>
        <w:t>159</w:t>
      </w:r>
      <w:r w:rsidR="008E6726"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8E6726">
        <w:rPr>
          <w:rFonts w:ascii="Verdana" w:hAnsi="Verdana" w:cs="Arial"/>
          <w:sz w:val="20"/>
          <w:szCs w:val="20"/>
        </w:rPr>
        <w:t>84</w:t>
      </w:r>
      <w:r w:rsidR="008E6726"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8E6726">
        <w:rPr>
          <w:rFonts w:ascii="Verdana" w:hAnsi="Verdana" w:cs="Arial"/>
          <w:sz w:val="20"/>
          <w:szCs w:val="20"/>
        </w:rPr>
        <w:t>75</w:t>
      </w:r>
      <w:r w:rsidR="008E6726"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2A9AD603"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D563C8">
        <w:rPr>
          <w:rFonts w:ascii="Verdana" w:hAnsi="Verdana" w:cs="Arial"/>
          <w:sz w:val="20"/>
          <w:szCs w:val="20"/>
        </w:rPr>
        <w:t>2</w:t>
      </w:r>
      <w:r w:rsidR="00FB1F5D">
        <w:rPr>
          <w:rFonts w:ascii="Verdana" w:hAnsi="Verdana" w:cs="Arial"/>
          <w:sz w:val="20"/>
          <w:szCs w:val="20"/>
        </w:rPr>
        <w:t>2</w:t>
      </w:r>
      <w:r w:rsidR="00D563C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8E6726">
        <w:rPr>
          <w:rFonts w:ascii="Verdana" w:hAnsi="Verdana" w:cs="Arial"/>
          <w:sz w:val="20"/>
          <w:szCs w:val="20"/>
        </w:rPr>
        <w:t>21</w:t>
      </w:r>
      <w:r w:rsidR="008E6726"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w:t>
      </w:r>
      <w:r w:rsidR="008E6726">
        <w:rPr>
          <w:rFonts w:ascii="Verdana" w:hAnsi="Verdana" w:cs="Arial"/>
          <w:sz w:val="20"/>
          <w:szCs w:val="20"/>
        </w:rPr>
        <w:t>2</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8E6726">
        <w:rPr>
          <w:rFonts w:ascii="Verdana" w:hAnsi="Verdana" w:cs="Arial"/>
          <w:sz w:val="20"/>
          <w:szCs w:val="20"/>
        </w:rPr>
        <w:t>9</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52E64046"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FB1F5D">
        <w:rPr>
          <w:rFonts w:ascii="Verdana" w:hAnsi="Verdana" w:cs="Arial"/>
          <w:sz w:val="20"/>
          <w:szCs w:val="20"/>
        </w:rPr>
        <w:t>385</w:t>
      </w:r>
      <w:r w:rsidR="00FB1F5D"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8E6726">
        <w:rPr>
          <w:rFonts w:ascii="Verdana" w:hAnsi="Verdana" w:cs="Arial"/>
          <w:sz w:val="20"/>
          <w:szCs w:val="20"/>
        </w:rPr>
        <w:t>212</w:t>
      </w:r>
      <w:r w:rsidR="008E6726"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563C8">
        <w:rPr>
          <w:rFonts w:ascii="Verdana" w:hAnsi="Verdana" w:cs="Arial"/>
          <w:sz w:val="20"/>
          <w:szCs w:val="20"/>
        </w:rPr>
        <w:t>15</w:t>
      </w:r>
      <w:r w:rsidR="008E6726">
        <w:rPr>
          <w:rFonts w:ascii="Verdana" w:hAnsi="Verdana" w:cs="Arial"/>
          <w:sz w:val="20"/>
          <w:szCs w:val="20"/>
        </w:rPr>
        <w:t>8</w:t>
      </w:r>
      <w:r w:rsidR="00D563C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5</w:t>
      </w:r>
      <w:r w:rsidR="008E6726">
        <w:rPr>
          <w:rFonts w:ascii="Verdana" w:hAnsi="Verdana" w:cs="Arial"/>
          <w:sz w:val="20"/>
          <w:szCs w:val="20"/>
        </w:rPr>
        <w:t>4</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3F83ACB8"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FB1F5D">
        <w:rPr>
          <w:rFonts w:ascii="Verdana" w:hAnsi="Verdana" w:cs="Arial"/>
          <w:sz w:val="20"/>
          <w:szCs w:val="20"/>
        </w:rPr>
        <w:t>206</w:t>
      </w:r>
      <w:r w:rsidR="00FB1F5D"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8E6726">
        <w:rPr>
          <w:rFonts w:ascii="Verdana" w:hAnsi="Verdana" w:cs="Arial"/>
          <w:sz w:val="20"/>
          <w:szCs w:val="20"/>
        </w:rPr>
        <w:t>117</w:t>
      </w:r>
      <w:r w:rsidR="008E6726"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CD3FDC">
        <w:rPr>
          <w:rFonts w:ascii="Verdana" w:hAnsi="Verdana" w:cs="Arial"/>
          <w:sz w:val="20"/>
          <w:szCs w:val="20"/>
        </w:rPr>
        <w:t>7</w:t>
      </w:r>
      <w:r w:rsidR="008E6726">
        <w:rPr>
          <w:rFonts w:ascii="Verdana" w:hAnsi="Verdana" w:cs="Arial"/>
          <w:sz w:val="20"/>
          <w:szCs w:val="20"/>
        </w:rPr>
        <w:t>3</w:t>
      </w:r>
      <w:r w:rsidR="00CD3FDC"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CD3FDC">
        <w:rPr>
          <w:rFonts w:ascii="Verdana" w:hAnsi="Verdana" w:cs="Arial"/>
          <w:sz w:val="20"/>
          <w:szCs w:val="20"/>
        </w:rPr>
        <w:t>4</w:t>
      </w:r>
      <w:r w:rsidR="008E6726">
        <w:rPr>
          <w:rFonts w:ascii="Verdana" w:hAnsi="Verdana" w:cs="Arial"/>
          <w:sz w:val="20"/>
          <w:szCs w:val="20"/>
        </w:rPr>
        <w:t>4</w:t>
      </w:r>
      <w:r w:rsidR="00CD3FDC"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2F8B313B"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FB1F5D">
        <w:rPr>
          <w:rFonts w:ascii="Verdana" w:hAnsi="Verdana" w:cs="Arial"/>
          <w:sz w:val="20"/>
          <w:szCs w:val="20"/>
        </w:rPr>
        <w:t>70</w:t>
      </w:r>
      <w:r w:rsidR="00FB1F5D"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8E6726">
        <w:rPr>
          <w:rFonts w:ascii="Verdana" w:hAnsi="Verdana" w:cs="Arial"/>
          <w:sz w:val="20"/>
          <w:szCs w:val="20"/>
        </w:rPr>
        <w:t>34</w:t>
      </w:r>
      <w:r w:rsidR="008E6726"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8E6726">
        <w:rPr>
          <w:rFonts w:ascii="Verdana" w:hAnsi="Verdana" w:cs="Arial"/>
          <w:sz w:val="20"/>
          <w:szCs w:val="20"/>
        </w:rPr>
        <w:t>21</w:t>
      </w:r>
      <w:r w:rsidR="008E6726"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1</w:t>
      </w:r>
      <w:r w:rsidR="008E6726">
        <w:rPr>
          <w:rFonts w:ascii="Verdana" w:hAnsi="Verdana" w:cs="Arial"/>
          <w:sz w:val="20"/>
          <w:szCs w:val="20"/>
        </w:rPr>
        <w:t>3</w:t>
      </w:r>
      <w:r w:rsidR="00D022E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3A16D92" w:rsidR="00322A26" w:rsidRDefault="00322A26" w:rsidP="005A5B78">
      <w:pPr>
        <w:ind w:left="-142" w:right="-425"/>
        <w:jc w:val="both"/>
        <w:rPr>
          <w:rFonts w:cs="Arial"/>
        </w:rPr>
      </w:pPr>
    </w:p>
    <w:p w14:paraId="12F566D7" w14:textId="52321225" w:rsidR="00A67922" w:rsidRDefault="00A67922">
      <w:pPr>
        <w:spacing w:line="240" w:lineRule="auto"/>
        <w:rPr>
          <w:rFonts w:cs="Arial"/>
        </w:rPr>
      </w:pPr>
      <w:r>
        <w:rPr>
          <w:rFonts w:cs="Arial"/>
        </w:rPr>
        <w:br w:type="page"/>
      </w:r>
    </w:p>
    <w:p w14:paraId="028C6B46" w14:textId="199DC1E9" w:rsidR="00A67922" w:rsidRPr="00D925BE" w:rsidRDefault="00A67922" w:rsidP="00A67922">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July 2021 to 30 September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A67922" w:rsidRPr="0093030B" w14:paraId="1F23CF37" w14:textId="77777777" w:rsidTr="006A327F">
        <w:trPr>
          <w:trHeight w:val="480"/>
        </w:trPr>
        <w:tc>
          <w:tcPr>
            <w:tcW w:w="3460" w:type="dxa"/>
            <w:tcBorders>
              <w:top w:val="single" w:sz="4" w:space="0" w:color="auto"/>
              <w:left w:val="single" w:sz="4" w:space="0" w:color="auto"/>
              <w:bottom w:val="single" w:sz="4" w:space="0" w:color="auto"/>
              <w:right w:val="single" w:sz="4" w:space="0" w:color="auto"/>
            </w:tcBorders>
            <w:hideMark/>
          </w:tcPr>
          <w:p w14:paraId="5FFC1AEB" w14:textId="77777777" w:rsidR="00A67922" w:rsidRPr="0093030B" w:rsidRDefault="00A67922" w:rsidP="00A67922">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65A195F1" w14:textId="18123462" w:rsidR="00A67922" w:rsidRDefault="00A67922" w:rsidP="00A67922">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030236F7" w14:textId="29A28213" w:rsidR="00A67922" w:rsidRDefault="00A67922" w:rsidP="00A67922">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0703513D" w14:textId="6A00E78B" w:rsidR="00A67922" w:rsidRDefault="00A67922" w:rsidP="00A67922">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25504AC9" w14:textId="35FCB7CF" w:rsidR="00A67922" w:rsidRDefault="00A67922" w:rsidP="00A67922">
            <w:pPr>
              <w:pStyle w:val="TableText"/>
              <w:jc w:val="right"/>
              <w:rPr>
                <w:b/>
                <w:lang w:eastAsia="en-AU"/>
              </w:rPr>
            </w:pPr>
            <w:r>
              <w:rPr>
                <w:b/>
                <w:lang w:eastAsia="en-AU"/>
              </w:rPr>
              <w:t>Qtr 56</w:t>
            </w:r>
          </w:p>
        </w:tc>
        <w:tc>
          <w:tcPr>
            <w:tcW w:w="1012" w:type="dxa"/>
            <w:tcBorders>
              <w:top w:val="single" w:sz="4" w:space="0" w:color="auto"/>
              <w:left w:val="nil"/>
              <w:bottom w:val="single" w:sz="4" w:space="0" w:color="auto"/>
              <w:right w:val="single" w:sz="4" w:space="0" w:color="auto"/>
            </w:tcBorders>
          </w:tcPr>
          <w:p w14:paraId="1451BF47" w14:textId="0A4C6BEF" w:rsidR="00A67922" w:rsidRDefault="00A67922" w:rsidP="00A67922">
            <w:pPr>
              <w:pStyle w:val="TableText"/>
              <w:jc w:val="right"/>
              <w:rPr>
                <w:b/>
                <w:lang w:eastAsia="en-AU"/>
              </w:rPr>
            </w:pPr>
            <w:r>
              <w:rPr>
                <w:b/>
                <w:lang w:eastAsia="en-AU"/>
              </w:rPr>
              <w:t>Qtr 57</w:t>
            </w:r>
          </w:p>
        </w:tc>
      </w:tr>
      <w:tr w:rsidR="00A67922" w:rsidRPr="0093030B" w14:paraId="430DE1A6" w14:textId="77777777" w:rsidTr="006A327F">
        <w:trPr>
          <w:trHeight w:val="255"/>
        </w:trPr>
        <w:tc>
          <w:tcPr>
            <w:tcW w:w="3460" w:type="dxa"/>
            <w:tcBorders>
              <w:top w:val="nil"/>
              <w:left w:val="single" w:sz="4" w:space="0" w:color="auto"/>
              <w:bottom w:val="single" w:sz="4" w:space="0" w:color="auto"/>
              <w:right w:val="single" w:sz="4" w:space="0" w:color="auto"/>
            </w:tcBorders>
            <w:noWrap/>
            <w:vAlign w:val="bottom"/>
          </w:tcPr>
          <w:p w14:paraId="3BD12698" w14:textId="77777777" w:rsidR="00A67922" w:rsidRDefault="00A67922" w:rsidP="00A67922">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61C25A7D" w14:textId="7C5446AA" w:rsidR="00A67922" w:rsidRDefault="00A67922" w:rsidP="00A6792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81657A8" w14:textId="3CB8A899" w:rsidR="00A67922" w:rsidRDefault="00A67922" w:rsidP="00A6792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0C2DB79A" w14:textId="20D24696" w:rsidR="00A67922" w:rsidRDefault="00A67922" w:rsidP="00A6792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0E95441" w14:textId="71BDED97" w:rsidR="00A67922" w:rsidRDefault="00A67922" w:rsidP="00A6792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2521C21" w14:textId="77777777" w:rsidR="00A67922" w:rsidRDefault="00A67922" w:rsidP="00A67922">
            <w:pPr>
              <w:jc w:val="right"/>
              <w:rPr>
                <w:rFonts w:cs="Arial"/>
              </w:rPr>
            </w:pPr>
            <w:r>
              <w:rPr>
                <w:rFonts w:cs="Arial"/>
              </w:rPr>
              <w:t>0</w:t>
            </w:r>
          </w:p>
        </w:tc>
      </w:tr>
      <w:tr w:rsidR="00A67922" w:rsidRPr="0093030B" w14:paraId="2BB66673" w14:textId="77777777" w:rsidTr="006A327F">
        <w:trPr>
          <w:trHeight w:val="255"/>
        </w:trPr>
        <w:tc>
          <w:tcPr>
            <w:tcW w:w="3460" w:type="dxa"/>
            <w:tcBorders>
              <w:top w:val="nil"/>
              <w:left w:val="single" w:sz="4" w:space="0" w:color="auto"/>
              <w:bottom w:val="single" w:sz="4" w:space="0" w:color="auto"/>
              <w:right w:val="single" w:sz="4" w:space="0" w:color="auto"/>
            </w:tcBorders>
            <w:noWrap/>
            <w:vAlign w:val="bottom"/>
          </w:tcPr>
          <w:p w14:paraId="069677F9" w14:textId="77777777" w:rsidR="00A67922" w:rsidRPr="0093030B" w:rsidRDefault="00A67922" w:rsidP="00A67922">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558536B1" w14:textId="1B043781" w:rsidR="00A67922" w:rsidRDefault="00A67922" w:rsidP="00A67922">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728FF6B8" w14:textId="1626EC21" w:rsidR="00A67922" w:rsidRDefault="00A67922" w:rsidP="00A67922">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17F8E98E" w14:textId="4588B01E" w:rsidR="00A67922" w:rsidRDefault="00A67922" w:rsidP="00A67922">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324B80A" w14:textId="5338E9D1" w:rsidR="00A67922" w:rsidRDefault="00A67922" w:rsidP="00A67922">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72B52E19" w14:textId="054E1119" w:rsidR="00A67922" w:rsidRDefault="00A67922" w:rsidP="00A67922">
            <w:pPr>
              <w:jc w:val="right"/>
              <w:rPr>
                <w:rFonts w:cs="Arial"/>
              </w:rPr>
            </w:pPr>
            <w:r>
              <w:rPr>
                <w:rFonts w:cs="Arial"/>
              </w:rPr>
              <w:t>10</w:t>
            </w:r>
          </w:p>
        </w:tc>
      </w:tr>
      <w:tr w:rsidR="00A67922" w:rsidRPr="0093030B" w14:paraId="1FC842EE"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0F851CE0" w14:textId="77777777" w:rsidR="00A67922" w:rsidRPr="0093030B" w:rsidRDefault="00A67922" w:rsidP="00A67922">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00B181B7" w14:textId="3E0EE110" w:rsidR="00A67922" w:rsidRDefault="00A67922" w:rsidP="00A67922">
            <w:pPr>
              <w:jc w:val="right"/>
              <w:rPr>
                <w:rFonts w:cs="Arial"/>
              </w:rPr>
            </w:pPr>
            <w:r>
              <w:rPr>
                <w:rFonts w:cs="Arial"/>
              </w:rPr>
              <w:t>276</w:t>
            </w:r>
          </w:p>
        </w:tc>
        <w:tc>
          <w:tcPr>
            <w:tcW w:w="1012" w:type="dxa"/>
            <w:tcBorders>
              <w:top w:val="nil"/>
              <w:left w:val="nil"/>
              <w:bottom w:val="single" w:sz="4" w:space="0" w:color="auto"/>
              <w:right w:val="single" w:sz="4" w:space="0" w:color="auto"/>
            </w:tcBorders>
          </w:tcPr>
          <w:p w14:paraId="34C9EFC5" w14:textId="4551814F" w:rsidR="00A67922" w:rsidRDefault="00A67922" w:rsidP="00A67922">
            <w:pPr>
              <w:jc w:val="right"/>
              <w:rPr>
                <w:rFonts w:cs="Arial"/>
              </w:rPr>
            </w:pPr>
            <w:r>
              <w:rPr>
                <w:rFonts w:cs="Arial"/>
              </w:rPr>
              <w:t>326</w:t>
            </w:r>
          </w:p>
        </w:tc>
        <w:tc>
          <w:tcPr>
            <w:tcW w:w="1012" w:type="dxa"/>
            <w:tcBorders>
              <w:top w:val="nil"/>
              <w:left w:val="nil"/>
              <w:bottom w:val="single" w:sz="4" w:space="0" w:color="auto"/>
              <w:right w:val="single" w:sz="4" w:space="0" w:color="auto"/>
            </w:tcBorders>
          </w:tcPr>
          <w:p w14:paraId="42002B70" w14:textId="75BF7570" w:rsidR="00A67922" w:rsidRPr="001F4FDB" w:rsidRDefault="00A67922" w:rsidP="00A67922">
            <w:pPr>
              <w:jc w:val="right"/>
              <w:rPr>
                <w:rFonts w:cs="Arial"/>
              </w:rPr>
            </w:pPr>
            <w:r>
              <w:rPr>
                <w:rFonts w:cs="Arial"/>
              </w:rPr>
              <w:t>388</w:t>
            </w:r>
          </w:p>
        </w:tc>
        <w:tc>
          <w:tcPr>
            <w:tcW w:w="1012" w:type="dxa"/>
            <w:tcBorders>
              <w:top w:val="nil"/>
              <w:left w:val="nil"/>
              <w:bottom w:val="single" w:sz="4" w:space="0" w:color="auto"/>
              <w:right w:val="single" w:sz="4" w:space="0" w:color="auto"/>
            </w:tcBorders>
          </w:tcPr>
          <w:p w14:paraId="1B8F48FC" w14:textId="7983F4A4" w:rsidR="00A67922" w:rsidRDefault="00A67922" w:rsidP="00A67922">
            <w:pPr>
              <w:jc w:val="right"/>
              <w:rPr>
                <w:rFonts w:cs="Arial"/>
              </w:rPr>
            </w:pPr>
            <w:r>
              <w:rPr>
                <w:rFonts w:cs="Arial"/>
              </w:rPr>
              <w:t>273</w:t>
            </w:r>
          </w:p>
        </w:tc>
        <w:tc>
          <w:tcPr>
            <w:tcW w:w="1012" w:type="dxa"/>
            <w:tcBorders>
              <w:top w:val="nil"/>
              <w:left w:val="nil"/>
              <w:bottom w:val="single" w:sz="4" w:space="0" w:color="auto"/>
              <w:right w:val="single" w:sz="4" w:space="0" w:color="auto"/>
            </w:tcBorders>
          </w:tcPr>
          <w:p w14:paraId="62EFACE2" w14:textId="60EDC735" w:rsidR="00A67922" w:rsidRDefault="00A67922" w:rsidP="00A67922">
            <w:pPr>
              <w:jc w:val="right"/>
              <w:rPr>
                <w:rFonts w:cs="Arial"/>
              </w:rPr>
            </w:pPr>
            <w:r>
              <w:rPr>
                <w:rFonts w:cs="Arial"/>
              </w:rPr>
              <w:t>333</w:t>
            </w:r>
          </w:p>
        </w:tc>
      </w:tr>
      <w:tr w:rsidR="00A67922" w:rsidRPr="0093030B" w14:paraId="7322E7CB"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tcPr>
          <w:p w14:paraId="60BC5C5B" w14:textId="77777777" w:rsidR="00A67922" w:rsidRPr="0093030B" w:rsidRDefault="00A67922" w:rsidP="00A67922">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352FFC3B" w14:textId="68178B5E" w:rsidR="00A67922" w:rsidRDefault="00A67922" w:rsidP="00A67922">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0CEC2FDD" w14:textId="49509AE0" w:rsidR="00A67922" w:rsidRDefault="00A67922" w:rsidP="00A67922">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5BF4EF40" w14:textId="59F6944F" w:rsidR="00A67922" w:rsidRPr="001F4FDB" w:rsidRDefault="00A67922" w:rsidP="00A67922">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5E8B4C68" w14:textId="3BB50EA7" w:rsidR="00A67922" w:rsidRDefault="00A67922" w:rsidP="00A67922">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20FF09AD" w14:textId="250DC67F" w:rsidR="00A67922" w:rsidRDefault="00A67922" w:rsidP="00A67922">
            <w:pPr>
              <w:jc w:val="right"/>
              <w:rPr>
                <w:rFonts w:cs="Arial"/>
              </w:rPr>
            </w:pPr>
            <w:r>
              <w:rPr>
                <w:rFonts w:cs="Arial"/>
              </w:rPr>
              <w:t>34</w:t>
            </w:r>
          </w:p>
        </w:tc>
      </w:tr>
      <w:tr w:rsidR="00A67922" w:rsidRPr="0093030B" w14:paraId="0115C7FE"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tcPr>
          <w:p w14:paraId="1D234E8F" w14:textId="77777777" w:rsidR="00A67922" w:rsidRPr="0093030B" w:rsidRDefault="00A67922" w:rsidP="00A67922">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6E898882" w14:textId="14B215A3" w:rsidR="00A67922" w:rsidRDefault="00A67922" w:rsidP="00A67922">
            <w:pPr>
              <w:jc w:val="right"/>
              <w:rPr>
                <w:rFonts w:cs="Arial"/>
              </w:rPr>
            </w:pPr>
            <w:r>
              <w:rPr>
                <w:rFonts w:cs="Arial"/>
              </w:rPr>
              <w:t>56</w:t>
            </w:r>
          </w:p>
        </w:tc>
        <w:tc>
          <w:tcPr>
            <w:tcW w:w="1012" w:type="dxa"/>
            <w:tcBorders>
              <w:top w:val="nil"/>
              <w:left w:val="nil"/>
              <w:bottom w:val="single" w:sz="4" w:space="0" w:color="auto"/>
              <w:right w:val="single" w:sz="4" w:space="0" w:color="auto"/>
            </w:tcBorders>
          </w:tcPr>
          <w:p w14:paraId="2D46C4C9" w14:textId="5E2A9B4F" w:rsidR="00A67922" w:rsidRDefault="00A67922" w:rsidP="00A67922">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0EF819AE" w14:textId="278EF220" w:rsidR="00A67922" w:rsidRPr="001F4FDB" w:rsidRDefault="00A67922" w:rsidP="00A67922">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5EFDE6B3" w14:textId="2FEC7374" w:rsidR="00A67922" w:rsidRDefault="00A67922" w:rsidP="00A67922">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4D884D99" w14:textId="2A09AB16" w:rsidR="00A67922" w:rsidRDefault="00A67922" w:rsidP="00A67922">
            <w:pPr>
              <w:jc w:val="right"/>
              <w:rPr>
                <w:rFonts w:cs="Arial"/>
              </w:rPr>
            </w:pPr>
            <w:r>
              <w:rPr>
                <w:rFonts w:cs="Arial"/>
              </w:rPr>
              <w:t>43</w:t>
            </w:r>
          </w:p>
        </w:tc>
      </w:tr>
      <w:tr w:rsidR="00A67922" w:rsidRPr="0093030B" w14:paraId="4302DB5C"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3BA613D8" w14:textId="77777777" w:rsidR="00A67922" w:rsidRPr="0093030B" w:rsidRDefault="00A67922" w:rsidP="00A67922">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6D5424A0" w14:textId="6F4996B1" w:rsidR="00A67922" w:rsidRDefault="00A67922" w:rsidP="00A67922">
            <w:pPr>
              <w:jc w:val="right"/>
              <w:rPr>
                <w:rFonts w:cs="Arial"/>
              </w:rPr>
            </w:pPr>
            <w:r>
              <w:rPr>
                <w:rFonts w:cs="Arial"/>
              </w:rPr>
              <w:t>637</w:t>
            </w:r>
          </w:p>
        </w:tc>
        <w:tc>
          <w:tcPr>
            <w:tcW w:w="1012" w:type="dxa"/>
            <w:tcBorders>
              <w:top w:val="nil"/>
              <w:left w:val="nil"/>
              <w:bottom w:val="single" w:sz="4" w:space="0" w:color="auto"/>
              <w:right w:val="single" w:sz="4" w:space="0" w:color="auto"/>
            </w:tcBorders>
          </w:tcPr>
          <w:p w14:paraId="500E0DA7" w14:textId="71EADCF4" w:rsidR="00A67922" w:rsidRDefault="00A67922" w:rsidP="00A67922">
            <w:pPr>
              <w:jc w:val="right"/>
              <w:rPr>
                <w:rFonts w:cs="Arial"/>
              </w:rPr>
            </w:pPr>
            <w:r>
              <w:rPr>
                <w:rFonts w:cs="Arial"/>
              </w:rPr>
              <w:t>604</w:t>
            </w:r>
          </w:p>
        </w:tc>
        <w:tc>
          <w:tcPr>
            <w:tcW w:w="1012" w:type="dxa"/>
            <w:tcBorders>
              <w:top w:val="nil"/>
              <w:left w:val="nil"/>
              <w:bottom w:val="single" w:sz="4" w:space="0" w:color="auto"/>
              <w:right w:val="single" w:sz="4" w:space="0" w:color="auto"/>
            </w:tcBorders>
          </w:tcPr>
          <w:p w14:paraId="462E9F80" w14:textId="5058C81D" w:rsidR="00A67922" w:rsidRPr="001F4FDB" w:rsidRDefault="00A67922" w:rsidP="00A67922">
            <w:pPr>
              <w:jc w:val="right"/>
              <w:rPr>
                <w:rFonts w:cs="Arial"/>
              </w:rPr>
            </w:pPr>
            <w:r>
              <w:rPr>
                <w:rFonts w:cs="Arial"/>
              </w:rPr>
              <w:t>612</w:t>
            </w:r>
          </w:p>
        </w:tc>
        <w:tc>
          <w:tcPr>
            <w:tcW w:w="1012" w:type="dxa"/>
            <w:tcBorders>
              <w:top w:val="nil"/>
              <w:left w:val="nil"/>
              <w:bottom w:val="single" w:sz="4" w:space="0" w:color="auto"/>
              <w:right w:val="single" w:sz="4" w:space="0" w:color="auto"/>
            </w:tcBorders>
          </w:tcPr>
          <w:p w14:paraId="05A9D78E" w14:textId="5771030E" w:rsidR="00A67922" w:rsidRDefault="00A67922" w:rsidP="00A67922">
            <w:pPr>
              <w:jc w:val="right"/>
              <w:rPr>
                <w:rFonts w:cs="Arial"/>
              </w:rPr>
            </w:pPr>
            <w:r>
              <w:rPr>
                <w:rFonts w:cs="Arial"/>
              </w:rPr>
              <w:t>690</w:t>
            </w:r>
          </w:p>
        </w:tc>
        <w:tc>
          <w:tcPr>
            <w:tcW w:w="1012" w:type="dxa"/>
            <w:tcBorders>
              <w:top w:val="nil"/>
              <w:left w:val="nil"/>
              <w:bottom w:val="single" w:sz="4" w:space="0" w:color="auto"/>
              <w:right w:val="single" w:sz="4" w:space="0" w:color="auto"/>
            </w:tcBorders>
          </w:tcPr>
          <w:p w14:paraId="5FBF2532" w14:textId="0FF7E9E2" w:rsidR="00A67922" w:rsidRDefault="00A67922" w:rsidP="00A67922">
            <w:pPr>
              <w:jc w:val="right"/>
              <w:rPr>
                <w:rFonts w:cs="Arial"/>
              </w:rPr>
            </w:pPr>
            <w:r>
              <w:rPr>
                <w:rFonts w:cs="Arial"/>
              </w:rPr>
              <w:t>539</w:t>
            </w:r>
          </w:p>
        </w:tc>
      </w:tr>
      <w:tr w:rsidR="00A67922" w:rsidRPr="0093030B" w14:paraId="34B277A6"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tcPr>
          <w:p w14:paraId="5FA63D59" w14:textId="77777777" w:rsidR="00A67922" w:rsidRPr="0093030B" w:rsidRDefault="00A67922" w:rsidP="00A67922">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078C72E0" w14:textId="7C00D4D1" w:rsidR="00A67922" w:rsidRDefault="00A67922" w:rsidP="00A6792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21FB24C" w14:textId="33C6FEA2" w:rsidR="00A67922" w:rsidRDefault="00A67922" w:rsidP="00A67922">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0507ECEC" w14:textId="0ACEA101" w:rsidR="00A67922" w:rsidRPr="001F4FDB" w:rsidRDefault="00A67922" w:rsidP="00A67922">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1C18CF03" w14:textId="01B0EA8E" w:rsidR="00A67922" w:rsidRDefault="00A67922" w:rsidP="00A67922">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7ECA5F2F" w14:textId="7926F443" w:rsidR="00A67922" w:rsidRDefault="00A67922" w:rsidP="00A67922">
            <w:pPr>
              <w:jc w:val="right"/>
              <w:rPr>
                <w:rFonts w:cs="Arial"/>
              </w:rPr>
            </w:pPr>
            <w:r>
              <w:rPr>
                <w:rFonts w:cs="Arial"/>
              </w:rPr>
              <w:t>19</w:t>
            </w:r>
          </w:p>
        </w:tc>
      </w:tr>
      <w:tr w:rsidR="00A67922" w:rsidRPr="0093030B" w14:paraId="29273DB4"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3DA4F299" w14:textId="77777777" w:rsidR="00A67922" w:rsidRPr="0093030B" w:rsidRDefault="00A67922" w:rsidP="00A67922">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7BFBA282" w14:textId="06A9B3A1" w:rsidR="00A67922" w:rsidRDefault="00A67922" w:rsidP="00A67922">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7F9647A3" w14:textId="0317A713" w:rsidR="00A67922" w:rsidRDefault="00A67922" w:rsidP="00A67922">
            <w:pPr>
              <w:jc w:val="right"/>
              <w:rPr>
                <w:rFonts w:cs="Arial"/>
              </w:rPr>
            </w:pPr>
            <w:r>
              <w:rPr>
                <w:rFonts w:cs="Arial"/>
              </w:rPr>
              <w:t>73</w:t>
            </w:r>
          </w:p>
        </w:tc>
        <w:tc>
          <w:tcPr>
            <w:tcW w:w="1012" w:type="dxa"/>
            <w:tcBorders>
              <w:top w:val="nil"/>
              <w:left w:val="nil"/>
              <w:bottom w:val="single" w:sz="4" w:space="0" w:color="auto"/>
              <w:right w:val="single" w:sz="4" w:space="0" w:color="auto"/>
            </w:tcBorders>
          </w:tcPr>
          <w:p w14:paraId="43474681" w14:textId="3C29CD1E" w:rsidR="00A67922" w:rsidRPr="001F4FDB" w:rsidRDefault="00A67922" w:rsidP="00A67922">
            <w:pPr>
              <w:jc w:val="right"/>
              <w:rPr>
                <w:rFonts w:cs="Arial"/>
              </w:rPr>
            </w:pPr>
            <w:r>
              <w:rPr>
                <w:rFonts w:cs="Arial"/>
              </w:rPr>
              <w:t>74</w:t>
            </w:r>
          </w:p>
        </w:tc>
        <w:tc>
          <w:tcPr>
            <w:tcW w:w="1012" w:type="dxa"/>
            <w:tcBorders>
              <w:top w:val="nil"/>
              <w:left w:val="nil"/>
              <w:bottom w:val="single" w:sz="4" w:space="0" w:color="auto"/>
              <w:right w:val="single" w:sz="4" w:space="0" w:color="auto"/>
            </w:tcBorders>
          </w:tcPr>
          <w:p w14:paraId="20689A4F" w14:textId="1151DE95" w:rsidR="00A67922" w:rsidRDefault="00A67922" w:rsidP="00A67922">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67F47B33" w14:textId="5FCE8B41" w:rsidR="00A67922" w:rsidRDefault="00A67922" w:rsidP="00A67922">
            <w:pPr>
              <w:jc w:val="right"/>
              <w:rPr>
                <w:rFonts w:cs="Arial"/>
              </w:rPr>
            </w:pPr>
            <w:r>
              <w:rPr>
                <w:rFonts w:cs="Arial"/>
              </w:rPr>
              <w:t>85</w:t>
            </w:r>
          </w:p>
        </w:tc>
      </w:tr>
      <w:tr w:rsidR="00A67922" w:rsidRPr="0093030B" w14:paraId="7980295A" w14:textId="77777777" w:rsidTr="004441B5">
        <w:trPr>
          <w:trHeight w:val="255"/>
        </w:trPr>
        <w:tc>
          <w:tcPr>
            <w:tcW w:w="3460" w:type="dxa"/>
            <w:tcBorders>
              <w:top w:val="nil"/>
              <w:left w:val="single" w:sz="4" w:space="0" w:color="auto"/>
              <w:bottom w:val="single" w:sz="4" w:space="0" w:color="auto"/>
              <w:right w:val="single" w:sz="4" w:space="0" w:color="auto"/>
            </w:tcBorders>
            <w:noWrap/>
            <w:vAlign w:val="bottom"/>
            <w:hideMark/>
          </w:tcPr>
          <w:p w14:paraId="6176E4A0" w14:textId="77777777" w:rsidR="00A67922" w:rsidRPr="0093030B" w:rsidRDefault="00A67922" w:rsidP="00A67922">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292DBDD8" w14:textId="587369B1" w:rsidR="00A67922" w:rsidRDefault="00A67922" w:rsidP="00A67922">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5AD8DAA3" w14:textId="509CD269" w:rsidR="00A67922" w:rsidRDefault="00A67922" w:rsidP="00A67922">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C4890E1" w14:textId="7461A6C2" w:rsidR="00A67922" w:rsidRPr="001F4FDB" w:rsidRDefault="00A67922" w:rsidP="00A67922">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6EAF6A3" w14:textId="0760C6E6" w:rsidR="00A67922" w:rsidRDefault="00A67922" w:rsidP="00A67922">
            <w:pPr>
              <w:jc w:val="right"/>
              <w:rPr>
                <w:rFonts w:cs="Arial"/>
              </w:rPr>
            </w:pPr>
            <w:r>
              <w:rPr>
                <w:rFonts w:cs="Arial"/>
              </w:rPr>
              <w:t>19</w:t>
            </w:r>
          </w:p>
        </w:tc>
        <w:tc>
          <w:tcPr>
            <w:tcW w:w="1012" w:type="dxa"/>
            <w:tcBorders>
              <w:top w:val="nil"/>
              <w:left w:val="nil"/>
              <w:bottom w:val="single" w:sz="4" w:space="0" w:color="auto"/>
              <w:right w:val="single" w:sz="4" w:space="0" w:color="auto"/>
            </w:tcBorders>
          </w:tcPr>
          <w:p w14:paraId="4F047819" w14:textId="38AC649F" w:rsidR="00A67922" w:rsidRDefault="00A67922" w:rsidP="00A67922">
            <w:pPr>
              <w:jc w:val="right"/>
              <w:rPr>
                <w:rFonts w:cs="Arial"/>
              </w:rPr>
            </w:pPr>
            <w:r>
              <w:rPr>
                <w:rFonts w:cs="Arial"/>
              </w:rPr>
              <w:t>7</w:t>
            </w:r>
          </w:p>
        </w:tc>
      </w:tr>
      <w:tr w:rsidR="00A67922" w:rsidRPr="0093030B" w14:paraId="3C0A7854" w14:textId="77777777" w:rsidTr="006A327F">
        <w:trPr>
          <w:trHeight w:val="255"/>
        </w:trPr>
        <w:tc>
          <w:tcPr>
            <w:tcW w:w="3460" w:type="dxa"/>
            <w:tcBorders>
              <w:top w:val="nil"/>
              <w:left w:val="single" w:sz="4" w:space="0" w:color="auto"/>
              <w:bottom w:val="single" w:sz="4" w:space="0" w:color="auto"/>
              <w:right w:val="single" w:sz="4" w:space="0" w:color="auto"/>
            </w:tcBorders>
            <w:noWrap/>
            <w:hideMark/>
          </w:tcPr>
          <w:p w14:paraId="44BF4C78" w14:textId="77777777" w:rsidR="00A67922" w:rsidRPr="0093030B" w:rsidRDefault="00A67922" w:rsidP="00A6792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79E56B49" w14:textId="741DA9AB" w:rsidR="00A67922" w:rsidRDefault="00A67922" w:rsidP="00A67922">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7151CB99" w14:textId="5AA581B2" w:rsidR="00A67922" w:rsidRDefault="00A67922" w:rsidP="00A67922">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69FCA4FD" w14:textId="738626E6" w:rsidR="00A67922" w:rsidRDefault="00A67922" w:rsidP="00A67922">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1C527A38" w14:textId="208AC89B" w:rsidR="00A67922" w:rsidRDefault="00A67922" w:rsidP="00A67922">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232776EF" w14:textId="3649B40E" w:rsidR="00A67922" w:rsidRDefault="005B0C2D" w:rsidP="00A67922">
            <w:pPr>
              <w:jc w:val="right"/>
              <w:rPr>
                <w:rFonts w:cs="Arial"/>
                <w:b/>
                <w:bCs/>
              </w:rPr>
            </w:pPr>
            <w:r>
              <w:rPr>
                <w:rFonts w:cs="Arial"/>
                <w:b/>
                <w:bCs/>
              </w:rPr>
              <w:t>1070</w:t>
            </w:r>
          </w:p>
        </w:tc>
      </w:tr>
    </w:tbl>
    <w:p w14:paraId="78B70F9F" w14:textId="77777777" w:rsidR="00A67922" w:rsidRDefault="00A67922" w:rsidP="00A67922">
      <w:pPr>
        <w:spacing w:line="240" w:lineRule="auto"/>
        <w:ind w:left="-142" w:right="-425"/>
        <w:jc w:val="both"/>
        <w:rPr>
          <w:rFonts w:cs="Arial"/>
        </w:rPr>
      </w:pPr>
    </w:p>
    <w:p w14:paraId="21DF3030" w14:textId="735A0AA7" w:rsidR="00A67922" w:rsidRDefault="00A67922" w:rsidP="00A67922">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Pr>
          <w:sz w:val="16"/>
          <w:szCs w:val="16"/>
        </w:rPr>
        <w:t>July 2021 to 30 September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A67922" w:rsidRPr="0093030B" w14:paraId="6B1EA032" w14:textId="77777777" w:rsidTr="006A327F">
        <w:trPr>
          <w:trHeight w:val="480"/>
        </w:trPr>
        <w:tc>
          <w:tcPr>
            <w:tcW w:w="3460" w:type="dxa"/>
            <w:tcBorders>
              <w:top w:val="single" w:sz="4" w:space="0" w:color="auto"/>
              <w:left w:val="single" w:sz="4" w:space="0" w:color="auto"/>
              <w:bottom w:val="single" w:sz="4" w:space="0" w:color="auto"/>
              <w:right w:val="single" w:sz="4" w:space="0" w:color="auto"/>
            </w:tcBorders>
            <w:hideMark/>
          </w:tcPr>
          <w:p w14:paraId="0A486ACC" w14:textId="77777777" w:rsidR="00A67922" w:rsidRPr="0093030B" w:rsidRDefault="00A67922" w:rsidP="00A67922">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1735C0EB" w14:textId="265C8307" w:rsidR="00A67922" w:rsidRDefault="00A67922" w:rsidP="00A67922">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0436C2AE" w14:textId="26CB741B" w:rsidR="00A67922" w:rsidRDefault="00A67922" w:rsidP="00A67922">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43D72F61" w14:textId="23C96F1B" w:rsidR="00A67922" w:rsidRDefault="00A67922" w:rsidP="00A67922">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31416F7C" w14:textId="112323D8" w:rsidR="00A67922" w:rsidRDefault="00A67922" w:rsidP="00A67922">
            <w:pPr>
              <w:pStyle w:val="TableText"/>
              <w:jc w:val="right"/>
              <w:rPr>
                <w:b/>
                <w:lang w:eastAsia="en-AU"/>
              </w:rPr>
            </w:pPr>
            <w:r>
              <w:rPr>
                <w:b/>
                <w:lang w:eastAsia="en-AU"/>
              </w:rPr>
              <w:t>Qtr 56</w:t>
            </w:r>
          </w:p>
        </w:tc>
        <w:tc>
          <w:tcPr>
            <w:tcW w:w="1012" w:type="dxa"/>
            <w:tcBorders>
              <w:top w:val="single" w:sz="4" w:space="0" w:color="auto"/>
              <w:left w:val="nil"/>
              <w:bottom w:val="single" w:sz="4" w:space="0" w:color="auto"/>
              <w:right w:val="single" w:sz="4" w:space="0" w:color="auto"/>
            </w:tcBorders>
          </w:tcPr>
          <w:p w14:paraId="365EBA52" w14:textId="6CEE8C35" w:rsidR="00A67922" w:rsidRDefault="00A67922" w:rsidP="00A67922">
            <w:pPr>
              <w:pStyle w:val="TableText"/>
              <w:jc w:val="right"/>
              <w:rPr>
                <w:b/>
                <w:lang w:eastAsia="en-AU"/>
              </w:rPr>
            </w:pPr>
            <w:r>
              <w:rPr>
                <w:b/>
                <w:lang w:eastAsia="en-AU"/>
              </w:rPr>
              <w:t>Qtr 57</w:t>
            </w:r>
          </w:p>
        </w:tc>
      </w:tr>
      <w:tr w:rsidR="00A67922" w:rsidRPr="0093030B" w14:paraId="49C4FC7F" w14:textId="77777777" w:rsidTr="00663EDD">
        <w:trPr>
          <w:trHeight w:val="255"/>
        </w:trPr>
        <w:tc>
          <w:tcPr>
            <w:tcW w:w="3460" w:type="dxa"/>
            <w:tcBorders>
              <w:top w:val="nil"/>
              <w:left w:val="single" w:sz="4" w:space="0" w:color="auto"/>
              <w:bottom w:val="single" w:sz="4" w:space="0" w:color="auto"/>
              <w:right w:val="single" w:sz="4" w:space="0" w:color="auto"/>
            </w:tcBorders>
            <w:noWrap/>
            <w:vAlign w:val="bottom"/>
          </w:tcPr>
          <w:p w14:paraId="10F49827" w14:textId="77777777" w:rsidR="00A67922" w:rsidRPr="0093030B" w:rsidRDefault="00A67922" w:rsidP="00A67922">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127DB88F" w14:textId="303B754B" w:rsidR="00A67922" w:rsidRDefault="00A67922" w:rsidP="00A67922">
            <w:pPr>
              <w:jc w:val="right"/>
              <w:rPr>
                <w:rFonts w:cs="Arial"/>
              </w:rPr>
            </w:pPr>
            <w:r>
              <w:rPr>
                <w:rFonts w:cs="Arial"/>
              </w:rPr>
              <w:t>439</w:t>
            </w:r>
          </w:p>
        </w:tc>
        <w:tc>
          <w:tcPr>
            <w:tcW w:w="1012" w:type="dxa"/>
            <w:tcBorders>
              <w:top w:val="nil"/>
              <w:left w:val="nil"/>
              <w:bottom w:val="single" w:sz="4" w:space="0" w:color="auto"/>
              <w:right w:val="single" w:sz="4" w:space="0" w:color="auto"/>
            </w:tcBorders>
          </w:tcPr>
          <w:p w14:paraId="7C1DF5C0" w14:textId="13E305D5" w:rsidR="00A67922" w:rsidRDefault="00A67922" w:rsidP="00A67922">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2469C29C" w14:textId="0F2E1A8F" w:rsidR="00A67922" w:rsidRPr="001F4FDB" w:rsidRDefault="00A67922" w:rsidP="00A67922">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085B97E4" w14:textId="61CD8E45" w:rsidR="00A67922" w:rsidRDefault="00A67922" w:rsidP="00A67922">
            <w:pPr>
              <w:jc w:val="right"/>
              <w:rPr>
                <w:rFonts w:cs="Arial"/>
              </w:rPr>
            </w:pPr>
            <w:r>
              <w:rPr>
                <w:rFonts w:cs="Arial"/>
              </w:rPr>
              <w:t>498</w:t>
            </w:r>
          </w:p>
        </w:tc>
        <w:tc>
          <w:tcPr>
            <w:tcW w:w="1012" w:type="dxa"/>
            <w:tcBorders>
              <w:top w:val="nil"/>
              <w:left w:val="nil"/>
              <w:bottom w:val="single" w:sz="4" w:space="0" w:color="auto"/>
              <w:right w:val="single" w:sz="4" w:space="0" w:color="auto"/>
            </w:tcBorders>
          </w:tcPr>
          <w:p w14:paraId="3CDEC8AA" w14:textId="38ED6EB1" w:rsidR="00A67922" w:rsidRDefault="005B0C2D" w:rsidP="00A67922">
            <w:pPr>
              <w:jc w:val="right"/>
              <w:rPr>
                <w:rFonts w:cs="Arial"/>
              </w:rPr>
            </w:pPr>
            <w:r>
              <w:rPr>
                <w:rFonts w:cs="Arial"/>
              </w:rPr>
              <w:t>387</w:t>
            </w:r>
          </w:p>
        </w:tc>
      </w:tr>
      <w:tr w:rsidR="00A67922" w:rsidRPr="0093030B" w14:paraId="02F93A0A" w14:textId="77777777" w:rsidTr="00663EDD">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176CB4" w14:textId="77777777" w:rsidR="00A67922" w:rsidRPr="0093030B" w:rsidRDefault="00A67922" w:rsidP="00A67922">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0EB203B2" w14:textId="61EB0478" w:rsidR="00A67922" w:rsidRDefault="00A67922" w:rsidP="00A67922">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5E447005" w14:textId="6AD01D51" w:rsidR="00A67922" w:rsidRDefault="00A67922" w:rsidP="00A67922">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028A5E0A" w14:textId="54486E3C" w:rsidR="00A67922" w:rsidRPr="001F4FDB" w:rsidRDefault="00A67922" w:rsidP="00A67922">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11466088" w14:textId="690CCCA2" w:rsidR="00A67922" w:rsidRDefault="00A67922" w:rsidP="00A67922">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53F1EC0B" w14:textId="5C1C98F6" w:rsidR="00A67922" w:rsidRDefault="005B0C2D" w:rsidP="00A67922">
            <w:pPr>
              <w:jc w:val="right"/>
              <w:rPr>
                <w:rFonts w:cs="Arial"/>
              </w:rPr>
            </w:pPr>
            <w:r>
              <w:rPr>
                <w:rFonts w:cs="Arial"/>
              </w:rPr>
              <w:t>22</w:t>
            </w:r>
          </w:p>
        </w:tc>
      </w:tr>
      <w:tr w:rsidR="00A67922" w:rsidRPr="0093030B" w14:paraId="1C433017" w14:textId="77777777" w:rsidTr="00663EDD">
        <w:trPr>
          <w:trHeight w:val="255"/>
        </w:trPr>
        <w:tc>
          <w:tcPr>
            <w:tcW w:w="3460" w:type="dxa"/>
            <w:tcBorders>
              <w:top w:val="nil"/>
              <w:left w:val="single" w:sz="4" w:space="0" w:color="auto"/>
              <w:bottom w:val="single" w:sz="4" w:space="0" w:color="auto"/>
              <w:right w:val="single" w:sz="4" w:space="0" w:color="auto"/>
            </w:tcBorders>
            <w:noWrap/>
            <w:vAlign w:val="bottom"/>
          </w:tcPr>
          <w:p w14:paraId="2E345585" w14:textId="77777777" w:rsidR="00A67922" w:rsidRPr="0093030B" w:rsidRDefault="00A67922" w:rsidP="00A67922">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28C19887" w14:textId="1FC0B94C" w:rsidR="00A67922" w:rsidRDefault="00A67922" w:rsidP="00A67922">
            <w:pPr>
              <w:jc w:val="right"/>
              <w:rPr>
                <w:rFonts w:cs="Arial"/>
              </w:rPr>
            </w:pPr>
            <w:r>
              <w:rPr>
                <w:rFonts w:cs="Arial"/>
              </w:rPr>
              <w:t>307</w:t>
            </w:r>
          </w:p>
        </w:tc>
        <w:tc>
          <w:tcPr>
            <w:tcW w:w="1012" w:type="dxa"/>
            <w:tcBorders>
              <w:top w:val="nil"/>
              <w:left w:val="nil"/>
              <w:bottom w:val="single" w:sz="4" w:space="0" w:color="auto"/>
              <w:right w:val="single" w:sz="4" w:space="0" w:color="auto"/>
            </w:tcBorders>
          </w:tcPr>
          <w:p w14:paraId="260528EB" w14:textId="473A15F8" w:rsidR="00A67922" w:rsidRDefault="00A67922" w:rsidP="00A67922">
            <w:pPr>
              <w:jc w:val="right"/>
              <w:rPr>
                <w:rFonts w:cs="Arial"/>
              </w:rPr>
            </w:pPr>
            <w:r>
              <w:rPr>
                <w:rFonts w:cs="Arial"/>
              </w:rPr>
              <w:t>297</w:t>
            </w:r>
          </w:p>
        </w:tc>
        <w:tc>
          <w:tcPr>
            <w:tcW w:w="1012" w:type="dxa"/>
            <w:tcBorders>
              <w:top w:val="nil"/>
              <w:left w:val="nil"/>
              <w:bottom w:val="single" w:sz="4" w:space="0" w:color="auto"/>
              <w:right w:val="single" w:sz="4" w:space="0" w:color="auto"/>
            </w:tcBorders>
          </w:tcPr>
          <w:p w14:paraId="2EFF89DA" w14:textId="63DD5FFE" w:rsidR="00A67922" w:rsidRPr="001F4FDB" w:rsidRDefault="00A67922" w:rsidP="00A67922">
            <w:pPr>
              <w:jc w:val="right"/>
              <w:rPr>
                <w:rFonts w:cs="Arial"/>
              </w:rPr>
            </w:pPr>
            <w:r>
              <w:rPr>
                <w:rFonts w:cs="Arial"/>
              </w:rPr>
              <w:t>349</w:t>
            </w:r>
          </w:p>
        </w:tc>
        <w:tc>
          <w:tcPr>
            <w:tcW w:w="1012" w:type="dxa"/>
            <w:tcBorders>
              <w:top w:val="nil"/>
              <w:left w:val="nil"/>
              <w:bottom w:val="single" w:sz="4" w:space="0" w:color="auto"/>
              <w:right w:val="single" w:sz="4" w:space="0" w:color="auto"/>
            </w:tcBorders>
          </w:tcPr>
          <w:p w14:paraId="1C5838CE" w14:textId="45F3AF8D" w:rsidR="00A67922" w:rsidRDefault="00A67922" w:rsidP="00A67922">
            <w:pPr>
              <w:jc w:val="right"/>
              <w:rPr>
                <w:rFonts w:cs="Arial"/>
              </w:rPr>
            </w:pPr>
            <w:r>
              <w:rPr>
                <w:rFonts w:cs="Arial"/>
              </w:rPr>
              <w:t>364</w:t>
            </w:r>
          </w:p>
        </w:tc>
        <w:tc>
          <w:tcPr>
            <w:tcW w:w="1012" w:type="dxa"/>
            <w:tcBorders>
              <w:top w:val="nil"/>
              <w:left w:val="nil"/>
              <w:bottom w:val="single" w:sz="4" w:space="0" w:color="auto"/>
              <w:right w:val="single" w:sz="4" w:space="0" w:color="auto"/>
            </w:tcBorders>
          </w:tcPr>
          <w:p w14:paraId="7F87EAAF" w14:textId="2E538EC5" w:rsidR="00A67922" w:rsidRDefault="005B0C2D" w:rsidP="00A67922">
            <w:pPr>
              <w:jc w:val="right"/>
              <w:rPr>
                <w:rFonts w:cs="Arial"/>
              </w:rPr>
            </w:pPr>
            <w:r>
              <w:rPr>
                <w:rFonts w:cs="Arial"/>
              </w:rPr>
              <w:t>385</w:t>
            </w:r>
          </w:p>
        </w:tc>
      </w:tr>
      <w:tr w:rsidR="00A67922" w:rsidRPr="0093030B" w14:paraId="5C8097F9" w14:textId="77777777" w:rsidTr="00663EDD">
        <w:trPr>
          <w:trHeight w:val="255"/>
        </w:trPr>
        <w:tc>
          <w:tcPr>
            <w:tcW w:w="3460" w:type="dxa"/>
            <w:tcBorders>
              <w:top w:val="nil"/>
              <w:left w:val="single" w:sz="4" w:space="0" w:color="auto"/>
              <w:bottom w:val="single" w:sz="4" w:space="0" w:color="auto"/>
              <w:right w:val="single" w:sz="4" w:space="0" w:color="auto"/>
            </w:tcBorders>
            <w:noWrap/>
            <w:vAlign w:val="bottom"/>
          </w:tcPr>
          <w:p w14:paraId="5898A737" w14:textId="77777777" w:rsidR="00A67922" w:rsidRPr="0093030B" w:rsidRDefault="00A67922" w:rsidP="00A67922">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7353C00B" w14:textId="653CA3FC" w:rsidR="00A67922" w:rsidRDefault="00A67922" w:rsidP="00A67922">
            <w:pPr>
              <w:jc w:val="right"/>
              <w:rPr>
                <w:rFonts w:cs="Arial"/>
              </w:rPr>
            </w:pPr>
            <w:r>
              <w:rPr>
                <w:rFonts w:cs="Arial"/>
              </w:rPr>
              <w:t>260</w:t>
            </w:r>
          </w:p>
        </w:tc>
        <w:tc>
          <w:tcPr>
            <w:tcW w:w="1012" w:type="dxa"/>
            <w:tcBorders>
              <w:top w:val="nil"/>
              <w:left w:val="nil"/>
              <w:bottom w:val="single" w:sz="4" w:space="0" w:color="auto"/>
              <w:right w:val="single" w:sz="4" w:space="0" w:color="auto"/>
            </w:tcBorders>
          </w:tcPr>
          <w:p w14:paraId="6EFB68BE" w14:textId="61A7FEA1" w:rsidR="00A67922" w:rsidRDefault="00A67922" w:rsidP="00A67922">
            <w:pPr>
              <w:jc w:val="right"/>
              <w:rPr>
                <w:rFonts w:cs="Arial"/>
              </w:rPr>
            </w:pPr>
            <w:r>
              <w:rPr>
                <w:rFonts w:cs="Arial"/>
              </w:rPr>
              <w:t>207</w:t>
            </w:r>
          </w:p>
        </w:tc>
        <w:tc>
          <w:tcPr>
            <w:tcW w:w="1012" w:type="dxa"/>
            <w:tcBorders>
              <w:top w:val="nil"/>
              <w:left w:val="nil"/>
              <w:bottom w:val="single" w:sz="4" w:space="0" w:color="auto"/>
              <w:right w:val="single" w:sz="4" w:space="0" w:color="auto"/>
            </w:tcBorders>
          </w:tcPr>
          <w:p w14:paraId="3DEE3FE1" w14:textId="2D8BC019" w:rsidR="00A67922" w:rsidRPr="001F4FDB" w:rsidRDefault="00A67922" w:rsidP="00A67922">
            <w:pPr>
              <w:jc w:val="right"/>
              <w:rPr>
                <w:rFonts w:cs="Arial"/>
              </w:rPr>
            </w:pPr>
            <w:r>
              <w:rPr>
                <w:rFonts w:cs="Arial"/>
              </w:rPr>
              <w:t>144</w:t>
            </w:r>
          </w:p>
        </w:tc>
        <w:tc>
          <w:tcPr>
            <w:tcW w:w="1012" w:type="dxa"/>
            <w:tcBorders>
              <w:top w:val="nil"/>
              <w:left w:val="nil"/>
              <w:bottom w:val="single" w:sz="4" w:space="0" w:color="auto"/>
              <w:right w:val="single" w:sz="4" w:space="0" w:color="auto"/>
            </w:tcBorders>
          </w:tcPr>
          <w:p w14:paraId="78156224" w14:textId="14753C1A" w:rsidR="00A67922" w:rsidRDefault="00A67922" w:rsidP="00A67922">
            <w:pPr>
              <w:jc w:val="right"/>
              <w:rPr>
                <w:rFonts w:cs="Arial"/>
              </w:rPr>
            </w:pPr>
            <w:r>
              <w:rPr>
                <w:rFonts w:cs="Arial"/>
              </w:rPr>
              <w:t>211</w:t>
            </w:r>
          </w:p>
        </w:tc>
        <w:tc>
          <w:tcPr>
            <w:tcW w:w="1012" w:type="dxa"/>
            <w:tcBorders>
              <w:top w:val="nil"/>
              <w:left w:val="nil"/>
              <w:bottom w:val="single" w:sz="4" w:space="0" w:color="auto"/>
              <w:right w:val="single" w:sz="4" w:space="0" w:color="auto"/>
            </w:tcBorders>
          </w:tcPr>
          <w:p w14:paraId="67630340" w14:textId="57D337E4" w:rsidR="00A67922" w:rsidRDefault="005B0C2D" w:rsidP="00A67922">
            <w:pPr>
              <w:jc w:val="right"/>
              <w:rPr>
                <w:rFonts w:cs="Arial"/>
              </w:rPr>
            </w:pPr>
            <w:r>
              <w:rPr>
                <w:rFonts w:cs="Arial"/>
              </w:rPr>
              <w:t>206</w:t>
            </w:r>
          </w:p>
        </w:tc>
      </w:tr>
      <w:tr w:rsidR="00A67922" w:rsidRPr="0093030B" w14:paraId="7DF5A3FD" w14:textId="77777777" w:rsidTr="00663EDD">
        <w:trPr>
          <w:trHeight w:val="255"/>
        </w:trPr>
        <w:tc>
          <w:tcPr>
            <w:tcW w:w="3460" w:type="dxa"/>
            <w:tcBorders>
              <w:top w:val="nil"/>
              <w:left w:val="single" w:sz="4" w:space="0" w:color="auto"/>
              <w:bottom w:val="single" w:sz="4" w:space="0" w:color="auto"/>
              <w:right w:val="single" w:sz="4" w:space="0" w:color="auto"/>
            </w:tcBorders>
            <w:noWrap/>
            <w:vAlign w:val="bottom"/>
            <w:hideMark/>
          </w:tcPr>
          <w:p w14:paraId="4C53109C" w14:textId="77777777" w:rsidR="00A67922" w:rsidRPr="0093030B" w:rsidRDefault="00A67922" w:rsidP="00A67922">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29B112C1" w14:textId="492237C4" w:rsidR="00A67922" w:rsidRDefault="00A67922" w:rsidP="00A67922">
            <w:pPr>
              <w:jc w:val="right"/>
              <w:rPr>
                <w:rFonts w:cs="Arial"/>
              </w:rPr>
            </w:pPr>
            <w:r>
              <w:rPr>
                <w:rFonts w:cs="Arial"/>
              </w:rPr>
              <w:t>30</w:t>
            </w:r>
          </w:p>
        </w:tc>
        <w:tc>
          <w:tcPr>
            <w:tcW w:w="1012" w:type="dxa"/>
            <w:tcBorders>
              <w:top w:val="nil"/>
              <w:left w:val="nil"/>
              <w:bottom w:val="single" w:sz="4" w:space="0" w:color="auto"/>
              <w:right w:val="single" w:sz="4" w:space="0" w:color="auto"/>
            </w:tcBorders>
          </w:tcPr>
          <w:p w14:paraId="0929470A" w14:textId="772AC675" w:rsidR="00A67922" w:rsidRDefault="00A67922" w:rsidP="00A67922">
            <w:pPr>
              <w:jc w:val="right"/>
              <w:rPr>
                <w:rFonts w:cs="Arial"/>
              </w:rPr>
            </w:pPr>
            <w:r>
              <w:rPr>
                <w:rFonts w:cs="Arial"/>
              </w:rPr>
              <w:t>52</w:t>
            </w:r>
          </w:p>
        </w:tc>
        <w:tc>
          <w:tcPr>
            <w:tcW w:w="1012" w:type="dxa"/>
            <w:tcBorders>
              <w:top w:val="nil"/>
              <w:left w:val="nil"/>
              <w:bottom w:val="single" w:sz="4" w:space="0" w:color="auto"/>
              <w:right w:val="single" w:sz="4" w:space="0" w:color="auto"/>
            </w:tcBorders>
          </w:tcPr>
          <w:p w14:paraId="0F9704B5" w14:textId="58953924" w:rsidR="00A67922" w:rsidRPr="001F4FDB" w:rsidRDefault="00A67922" w:rsidP="00A67922">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2F9C3E77" w14:textId="69A17DBC" w:rsidR="00A67922" w:rsidRDefault="00A67922" w:rsidP="00A67922">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1815233D" w14:textId="625E1F23" w:rsidR="00A67922" w:rsidRDefault="005B0C2D" w:rsidP="00A67922">
            <w:pPr>
              <w:jc w:val="right"/>
              <w:rPr>
                <w:rFonts w:cs="Arial"/>
              </w:rPr>
            </w:pPr>
            <w:r>
              <w:rPr>
                <w:rFonts w:cs="Arial"/>
              </w:rPr>
              <w:t>70</w:t>
            </w:r>
          </w:p>
        </w:tc>
      </w:tr>
      <w:tr w:rsidR="00A67922" w:rsidRPr="0093030B" w14:paraId="3B72F3C5" w14:textId="77777777" w:rsidTr="00663EDD">
        <w:trPr>
          <w:trHeight w:val="255"/>
        </w:trPr>
        <w:tc>
          <w:tcPr>
            <w:tcW w:w="3460" w:type="dxa"/>
            <w:tcBorders>
              <w:top w:val="nil"/>
              <w:left w:val="single" w:sz="4" w:space="0" w:color="auto"/>
              <w:bottom w:val="single" w:sz="4" w:space="0" w:color="auto"/>
              <w:right w:val="single" w:sz="4" w:space="0" w:color="auto"/>
            </w:tcBorders>
            <w:noWrap/>
            <w:hideMark/>
          </w:tcPr>
          <w:p w14:paraId="53A11007" w14:textId="77777777" w:rsidR="00A67922" w:rsidRPr="0093030B" w:rsidRDefault="00A67922" w:rsidP="00A6792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64F0C4C4" w14:textId="7D1C55EF" w:rsidR="00A67922" w:rsidRDefault="00A67922" w:rsidP="00A67922">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03B98672" w14:textId="4AC71430" w:rsidR="00A67922" w:rsidRDefault="00A67922" w:rsidP="00A67922">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7F6784D3" w14:textId="0761C4FA" w:rsidR="00A67922" w:rsidRPr="001F4FDB" w:rsidRDefault="00A67922" w:rsidP="00A67922">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415F8272" w14:textId="2485B577" w:rsidR="00A67922" w:rsidRDefault="00A67922" w:rsidP="00A67922">
            <w:pPr>
              <w:jc w:val="right"/>
              <w:rPr>
                <w:rFonts w:cs="Arial"/>
                <w:b/>
                <w:bCs/>
              </w:rPr>
            </w:pPr>
            <w:r>
              <w:rPr>
                <w:rFonts w:cs="Arial"/>
                <w:b/>
                <w:bCs/>
              </w:rPr>
              <w:t>1142</w:t>
            </w:r>
          </w:p>
        </w:tc>
        <w:tc>
          <w:tcPr>
            <w:tcW w:w="1012" w:type="dxa"/>
            <w:tcBorders>
              <w:top w:val="nil"/>
              <w:left w:val="nil"/>
              <w:bottom w:val="single" w:sz="4" w:space="0" w:color="auto"/>
              <w:right w:val="single" w:sz="4" w:space="0" w:color="auto"/>
            </w:tcBorders>
          </w:tcPr>
          <w:p w14:paraId="081C298E" w14:textId="49E651DF" w:rsidR="00A67922" w:rsidRDefault="005B0C2D" w:rsidP="00A67922">
            <w:pPr>
              <w:jc w:val="right"/>
              <w:rPr>
                <w:rFonts w:cs="Arial"/>
                <w:b/>
                <w:bCs/>
              </w:rPr>
            </w:pPr>
            <w:r>
              <w:rPr>
                <w:rFonts w:cs="Arial"/>
                <w:b/>
                <w:bCs/>
              </w:rPr>
              <w:t>1070</w:t>
            </w:r>
          </w:p>
        </w:tc>
      </w:tr>
    </w:tbl>
    <w:p w14:paraId="6BA31C39" w14:textId="1F669103" w:rsidR="005A5B78" w:rsidRDefault="005A5B78" w:rsidP="005A5B78">
      <w:pPr>
        <w:ind w:left="-142" w:right="-425"/>
        <w:jc w:val="both"/>
        <w:rPr>
          <w:rFonts w:cs="Arial"/>
        </w:rPr>
      </w:pPr>
    </w:p>
    <w:p w14:paraId="6B7E9BDC" w14:textId="2C40B545" w:rsidR="005A5B78" w:rsidRDefault="007E65A1" w:rsidP="005A5B78">
      <w:pPr>
        <w:ind w:left="-142" w:right="-425"/>
        <w:jc w:val="both"/>
        <w:rPr>
          <w:rFonts w:cs="Arial"/>
        </w:rPr>
      </w:pPr>
      <w:r>
        <w:rPr>
          <w:rFonts w:cs="Arial"/>
        </w:rPr>
        <w:t xml:space="preserve">For quarter </w:t>
      </w:r>
      <w:r w:rsidR="000F408B">
        <w:rPr>
          <w:rFonts w:cs="Arial"/>
        </w:rPr>
        <w:t>57</w:t>
      </w:r>
      <w:r w:rsidR="00D4333F">
        <w:rPr>
          <w:rFonts w:cs="Arial"/>
        </w:rPr>
        <w:t>,</w:t>
      </w:r>
      <w:r>
        <w:rPr>
          <w:rFonts w:cs="Arial"/>
        </w:rPr>
        <w:t xml:space="preserve"> </w:t>
      </w:r>
      <w:r w:rsidR="006307D1">
        <w:rPr>
          <w:rFonts w:cs="Arial"/>
        </w:rPr>
        <w:t>46</w:t>
      </w:r>
      <w:r w:rsidR="006307D1" w:rsidRPr="004A208F">
        <w:rPr>
          <w:rFonts w:cs="Arial"/>
        </w:rPr>
        <w:t xml:space="preserve"> </w:t>
      </w:r>
      <w:r w:rsidR="005A5B78" w:rsidRPr="004A208F">
        <w:rPr>
          <w:rFonts w:cs="Arial"/>
        </w:rPr>
        <w:t>percent</w:t>
      </w:r>
      <w:r w:rsidR="00AF4062">
        <w:rPr>
          <w:rFonts w:cs="Arial"/>
        </w:rPr>
        <w:t xml:space="preserve"> </w:t>
      </w:r>
      <w:r w:rsidR="005A5B78" w:rsidRPr="004A208F">
        <w:rPr>
          <w:rFonts w:cs="Arial"/>
        </w:rPr>
        <w:t>of clients received more than one notice</w:t>
      </w:r>
      <w:r w:rsidR="008D6624" w:rsidRPr="004A208F">
        <w:rPr>
          <w:rFonts w:cs="Arial"/>
        </w:rPr>
        <w:t xml:space="preserve">.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D04D5B">
        <w:rPr>
          <w:rFonts w:cs="Arial"/>
        </w:rPr>
        <w:t>5</w:t>
      </w:r>
      <w:r w:rsidR="002D0433">
        <w:rPr>
          <w:rFonts w:cs="Arial"/>
        </w:rPr>
        <w:t>4</w:t>
      </w:r>
      <w:r w:rsidR="00D04D5B"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w:t>
      </w:r>
      <w:r w:rsidR="002D0433">
        <w:rPr>
          <w:rFonts w:cs="Arial"/>
        </w:rPr>
        <w:t>Thirty</w:t>
      </w:r>
      <w:r w:rsidR="00D04D5B">
        <w:rPr>
          <w:rFonts w:cs="Arial"/>
        </w:rPr>
        <w:t xml:space="preserve"> </w:t>
      </w:r>
      <w:r w:rsidR="00CA73A5" w:rsidRPr="00626560">
        <w:rPr>
          <w:rFonts w:cs="Arial"/>
        </w:rPr>
        <w:t>new</w:t>
      </w:r>
      <w:r w:rsidR="00CA73A5">
        <w:rPr>
          <w:rFonts w:cs="Arial"/>
        </w:rPr>
        <w:t xml:space="preserve"> clients were added to the Commission’s database during the quarter.</w:t>
      </w:r>
    </w:p>
    <w:p w14:paraId="4A179C19" w14:textId="1D02EC32" w:rsidR="00E66A2E" w:rsidRDefault="00E66A2E" w:rsidP="005A5B78">
      <w:pPr>
        <w:ind w:left="-142" w:right="-425"/>
        <w:jc w:val="both"/>
        <w:rPr>
          <w:rFonts w:cs="Arial"/>
        </w:rPr>
      </w:pPr>
    </w:p>
    <w:p w14:paraId="3B49264E" w14:textId="6DE8C047" w:rsidR="00DF557D" w:rsidRPr="00D925BE" w:rsidRDefault="00DF557D" w:rsidP="00DF557D">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er of notices 1 July 2022 to 30 September 2022</w:t>
      </w:r>
    </w:p>
    <w:tbl>
      <w:tblPr>
        <w:tblW w:w="4693" w:type="dxa"/>
        <w:tblInd w:w="93" w:type="dxa"/>
        <w:tblLook w:val="04A0" w:firstRow="1" w:lastRow="0" w:firstColumn="1" w:lastColumn="0" w:noHBand="0" w:noVBand="1"/>
      </w:tblPr>
      <w:tblGrid>
        <w:gridCol w:w="3220"/>
        <w:gridCol w:w="1473"/>
      </w:tblGrid>
      <w:tr w:rsidR="00DF557D" w:rsidRPr="006E764C" w14:paraId="7E966C52" w14:textId="77777777" w:rsidTr="006A327F">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004F4599" w14:textId="77777777" w:rsidR="00DF557D" w:rsidRPr="0093030B" w:rsidRDefault="00DF557D" w:rsidP="006A327F">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7C2DA817" w14:textId="77777777" w:rsidR="00DF557D" w:rsidRPr="0093030B" w:rsidRDefault="00DF557D" w:rsidP="006A327F">
            <w:pPr>
              <w:pStyle w:val="TableText"/>
              <w:rPr>
                <w:b/>
                <w:lang w:eastAsia="en-AU"/>
              </w:rPr>
            </w:pPr>
            <w:r w:rsidRPr="0093030B">
              <w:rPr>
                <w:b/>
                <w:lang w:eastAsia="en-AU"/>
              </w:rPr>
              <w:t>Number of Clients</w:t>
            </w:r>
          </w:p>
        </w:tc>
      </w:tr>
      <w:tr w:rsidR="00DF557D" w:rsidRPr="006E764C" w14:paraId="472F86B6"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6BC678A7" w14:textId="77777777" w:rsidR="00DF557D" w:rsidRPr="006E764C" w:rsidRDefault="00DF557D" w:rsidP="006A327F">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tcPr>
          <w:p w14:paraId="380F8A0B" w14:textId="2E708071" w:rsidR="00DF557D" w:rsidRPr="00D83DB8" w:rsidRDefault="00DF557D" w:rsidP="006A327F">
            <w:pPr>
              <w:jc w:val="right"/>
              <w:rPr>
                <w:rFonts w:cs="Arial"/>
              </w:rPr>
            </w:pPr>
            <w:r>
              <w:rPr>
                <w:rFonts w:cs="Arial"/>
              </w:rPr>
              <w:t>295</w:t>
            </w:r>
          </w:p>
        </w:tc>
      </w:tr>
      <w:tr w:rsidR="00DF557D" w:rsidRPr="006E764C" w14:paraId="32032B61"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054FCF3C" w14:textId="77777777" w:rsidR="00DF557D" w:rsidRPr="006E764C" w:rsidRDefault="00DF557D" w:rsidP="006A327F">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tcPr>
          <w:p w14:paraId="61CDDF7A" w14:textId="53996524" w:rsidR="00DF557D" w:rsidRPr="00D83DB8" w:rsidRDefault="00DF557D" w:rsidP="006A327F">
            <w:pPr>
              <w:jc w:val="right"/>
              <w:rPr>
                <w:rFonts w:cs="Arial"/>
              </w:rPr>
            </w:pPr>
            <w:r>
              <w:rPr>
                <w:rFonts w:cs="Arial"/>
              </w:rPr>
              <w:t>128</w:t>
            </w:r>
          </w:p>
        </w:tc>
      </w:tr>
      <w:tr w:rsidR="00DF557D" w:rsidRPr="006E764C" w14:paraId="63CDFE3B"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3EA3FCD5" w14:textId="77777777" w:rsidR="00DF557D" w:rsidRPr="006E764C" w:rsidRDefault="00DF557D" w:rsidP="006A327F">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tcPr>
          <w:p w14:paraId="342753FE" w14:textId="7163B38A" w:rsidR="00DF557D" w:rsidRPr="00D83DB8" w:rsidRDefault="00DF557D" w:rsidP="006A327F">
            <w:pPr>
              <w:jc w:val="right"/>
              <w:rPr>
                <w:rFonts w:cs="Arial"/>
              </w:rPr>
            </w:pPr>
            <w:r>
              <w:rPr>
                <w:rFonts w:cs="Arial"/>
              </w:rPr>
              <w:t>63</w:t>
            </w:r>
          </w:p>
        </w:tc>
      </w:tr>
      <w:tr w:rsidR="00DF557D" w:rsidRPr="006E764C" w14:paraId="7E5A4624"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709EF7CB" w14:textId="77777777" w:rsidR="00DF557D" w:rsidRPr="006E764C" w:rsidRDefault="00DF557D" w:rsidP="006A327F">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tcPr>
          <w:p w14:paraId="1D952933" w14:textId="481176DC" w:rsidR="00DF557D" w:rsidRPr="00D83DB8" w:rsidRDefault="00DF557D" w:rsidP="006A327F">
            <w:pPr>
              <w:jc w:val="right"/>
              <w:rPr>
                <w:rFonts w:cs="Arial"/>
              </w:rPr>
            </w:pPr>
            <w:r>
              <w:rPr>
                <w:rFonts w:cs="Arial"/>
              </w:rPr>
              <w:t>27</w:t>
            </w:r>
          </w:p>
        </w:tc>
      </w:tr>
      <w:tr w:rsidR="00DF557D" w:rsidRPr="006E764C" w14:paraId="33CA6D5C"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6841D141" w14:textId="77777777" w:rsidR="00DF557D" w:rsidRPr="006E764C" w:rsidRDefault="00DF557D" w:rsidP="006A327F">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tcPr>
          <w:p w14:paraId="4005A652" w14:textId="4C4F5603" w:rsidR="00DF557D" w:rsidRPr="00D83DB8" w:rsidRDefault="00DF557D" w:rsidP="006A327F">
            <w:pPr>
              <w:jc w:val="right"/>
              <w:rPr>
                <w:rFonts w:cs="Arial"/>
              </w:rPr>
            </w:pPr>
            <w:r>
              <w:rPr>
                <w:rFonts w:cs="Arial"/>
              </w:rPr>
              <w:t>9</w:t>
            </w:r>
          </w:p>
        </w:tc>
      </w:tr>
      <w:tr w:rsidR="00DF557D" w:rsidRPr="006E764C" w14:paraId="799C602F"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77D22687" w14:textId="77777777" w:rsidR="00DF557D" w:rsidRPr="006E764C" w:rsidRDefault="00DF557D" w:rsidP="006A327F">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tcPr>
          <w:p w14:paraId="541D0D84" w14:textId="61450D4C" w:rsidR="00DF557D" w:rsidRPr="00D83DB8" w:rsidRDefault="00DF557D" w:rsidP="006A327F">
            <w:pPr>
              <w:jc w:val="right"/>
              <w:rPr>
                <w:rFonts w:cs="Arial"/>
              </w:rPr>
            </w:pPr>
            <w:r>
              <w:rPr>
                <w:rFonts w:cs="Arial"/>
              </w:rPr>
              <w:t>21</w:t>
            </w:r>
          </w:p>
        </w:tc>
      </w:tr>
      <w:tr w:rsidR="00DF557D" w:rsidRPr="006E764C" w14:paraId="23F6E7FC" w14:textId="77777777" w:rsidTr="006A327F">
        <w:trPr>
          <w:trHeight w:val="255"/>
        </w:trPr>
        <w:tc>
          <w:tcPr>
            <w:tcW w:w="3220" w:type="dxa"/>
            <w:tcBorders>
              <w:top w:val="nil"/>
              <w:left w:val="single" w:sz="4" w:space="0" w:color="auto"/>
              <w:bottom w:val="single" w:sz="4" w:space="0" w:color="auto"/>
              <w:right w:val="single" w:sz="4" w:space="0" w:color="auto"/>
            </w:tcBorders>
            <w:noWrap/>
            <w:hideMark/>
          </w:tcPr>
          <w:p w14:paraId="7F22E61A" w14:textId="77777777" w:rsidR="00DF557D" w:rsidRPr="00645916" w:rsidRDefault="00DF557D" w:rsidP="006A327F">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tcPr>
          <w:p w14:paraId="78E27D89" w14:textId="550E5758" w:rsidR="00DF557D" w:rsidRPr="00D83DB8" w:rsidRDefault="005B0C2D" w:rsidP="006A327F">
            <w:pPr>
              <w:jc w:val="right"/>
              <w:rPr>
                <w:rFonts w:cs="Arial"/>
                <w:b/>
                <w:bCs/>
              </w:rPr>
            </w:pPr>
            <w:r>
              <w:rPr>
                <w:rFonts w:cs="Arial"/>
                <w:b/>
                <w:bCs/>
              </w:rPr>
              <w:t>543</w:t>
            </w:r>
          </w:p>
        </w:tc>
      </w:tr>
    </w:tbl>
    <w:p w14:paraId="142BFB94" w14:textId="77777777" w:rsidR="00DF557D" w:rsidRDefault="00DF557D" w:rsidP="005A5B78">
      <w:pPr>
        <w:ind w:left="-142" w:right="-425"/>
        <w:jc w:val="both"/>
        <w:rPr>
          <w:rFonts w:cs="Arial"/>
        </w:rPr>
      </w:pPr>
    </w:p>
    <w:p w14:paraId="5D53EAA0" w14:textId="77777777" w:rsidR="005A5B78" w:rsidRPr="00143FBB" w:rsidRDefault="005A5B78" w:rsidP="00091CFE">
      <w:pPr>
        <w:pStyle w:val="Heading2"/>
      </w:pPr>
      <w:r w:rsidRPr="00143FBB">
        <w:t>Conferences</w:t>
      </w:r>
    </w:p>
    <w:p w14:paraId="3E20F69A" w14:textId="699C011C" w:rsidR="00F81024" w:rsidRDefault="00477E0E" w:rsidP="00233EAC">
      <w:pPr>
        <w:ind w:left="-142" w:right="-425"/>
        <w:jc w:val="both"/>
        <w:rPr>
          <w:rFonts w:cs="Arial"/>
        </w:rPr>
      </w:pPr>
      <w:r>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w:t>
      </w:r>
      <w:r w:rsidR="000F408B">
        <w:rPr>
          <w:rFonts w:cs="Arial"/>
        </w:rPr>
        <w:t>57</w:t>
      </w:r>
      <w:r w:rsidR="00A46793">
        <w:rPr>
          <w:rFonts w:cs="Arial"/>
        </w:rPr>
        <w:t xml:space="preserve"> </w:t>
      </w:r>
      <w:r w:rsidR="00205371">
        <w:rPr>
          <w:rFonts w:cs="Arial"/>
        </w:rPr>
        <w:t xml:space="preserve">increased </w:t>
      </w:r>
      <w:r w:rsidR="00562176">
        <w:rPr>
          <w:rFonts w:cs="Arial"/>
        </w:rPr>
        <w:t xml:space="preserve">from </w:t>
      </w:r>
      <w:r w:rsidR="00475A72">
        <w:rPr>
          <w:rFonts w:cs="Arial"/>
        </w:rPr>
        <w:t xml:space="preserve">229 </w:t>
      </w:r>
      <w:r w:rsidR="00562176">
        <w:rPr>
          <w:rFonts w:cs="Arial"/>
        </w:rPr>
        <w:t xml:space="preserve">in quarter </w:t>
      </w:r>
      <w:r w:rsidR="000F408B">
        <w:rPr>
          <w:rFonts w:cs="Arial"/>
        </w:rPr>
        <w:t>56</w:t>
      </w:r>
      <w:r w:rsidR="00562176">
        <w:rPr>
          <w:rFonts w:cs="Arial"/>
        </w:rPr>
        <w:t xml:space="preserve"> to</w:t>
      </w:r>
      <w:r w:rsidR="00AE1804">
        <w:rPr>
          <w:rFonts w:cs="Arial"/>
        </w:rPr>
        <w:t xml:space="preserve"> </w:t>
      </w:r>
      <w:r w:rsidR="00475A72">
        <w:rPr>
          <w:rFonts w:cs="Arial"/>
        </w:rPr>
        <w:t xml:space="preserve">296 </w:t>
      </w:r>
      <w:r w:rsidR="005A5B78" w:rsidRPr="00213E4C">
        <w:rPr>
          <w:rFonts w:cs="Arial"/>
        </w:rPr>
        <w:t>conferences</w:t>
      </w:r>
      <w:r w:rsidR="005A5B78" w:rsidRPr="0081647B">
        <w:rPr>
          <w:rStyle w:val="FootnoteReference"/>
        </w:rPr>
        <w:footnoteReference w:id="10"/>
      </w:r>
      <w:r w:rsidR="0051235F">
        <w:rPr>
          <w:rFonts w:cs="Arial"/>
        </w:rPr>
        <w:t xml:space="preserve"> </w:t>
      </w:r>
      <w:r w:rsidR="00E44EBF">
        <w:rPr>
          <w:rFonts w:cs="Arial"/>
        </w:rPr>
        <w:t>(</w:t>
      </w:r>
      <w:r w:rsidR="0051235F">
        <w:rPr>
          <w:rFonts w:cs="Arial"/>
        </w:rPr>
        <w:t xml:space="preserve">relating to </w:t>
      </w:r>
      <w:r w:rsidR="00475A72">
        <w:rPr>
          <w:rFonts w:cs="Arial"/>
        </w:rPr>
        <w:t xml:space="preserve">243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475A72">
        <w:rPr>
          <w:rFonts w:cs="Arial"/>
        </w:rPr>
        <w:t>72</w:t>
      </w:r>
      <w:r w:rsidR="00475A72"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347D3E">
        <w:rPr>
          <w:rFonts w:cs="Arial"/>
        </w:rPr>
        <w:t xml:space="preserve">, </w:t>
      </w:r>
      <w:r w:rsidR="00475A72">
        <w:rPr>
          <w:rFonts w:cs="Arial"/>
        </w:rPr>
        <w:t>23</w:t>
      </w:r>
      <w:r w:rsidR="00475A72" w:rsidRPr="006220E1">
        <w:rPr>
          <w:rFonts w:cs="Arial"/>
        </w:rPr>
        <w:t xml:space="preserve"> </w:t>
      </w:r>
      <w:r w:rsidR="005A5B78" w:rsidRPr="006220E1">
        <w:rPr>
          <w:rFonts w:cs="Arial"/>
        </w:rPr>
        <w:t>orders to attend community support services</w:t>
      </w:r>
      <w:r w:rsidR="00CC41F3">
        <w:rPr>
          <w:rFonts w:cs="Arial"/>
        </w:rPr>
        <w:t xml:space="preserve"> </w:t>
      </w:r>
      <w:r w:rsidR="005A5B78" w:rsidRPr="006220E1">
        <w:rPr>
          <w:rFonts w:cs="Arial"/>
        </w:rPr>
        <w:t xml:space="preserve">and </w:t>
      </w:r>
      <w:r w:rsidR="00475A72">
        <w:rPr>
          <w:rFonts w:cs="Arial"/>
        </w:rPr>
        <w:t>13</w:t>
      </w:r>
      <w:r w:rsidR="00475A72"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w:t>
      </w:r>
      <w:r w:rsidR="00143FBB">
        <w:rPr>
          <w:rFonts w:cs="Arial"/>
        </w:rPr>
        <w:t xml:space="preserve"> </w:t>
      </w:r>
      <w:r w:rsidR="009E2936" w:rsidRPr="006220E1">
        <w:rPr>
          <w:rFonts w:cs="Arial"/>
        </w:rPr>
        <w:t>When compared to last quarter</w:t>
      </w:r>
      <w:r w:rsidR="000806FF" w:rsidRPr="006220E1">
        <w:rPr>
          <w:rFonts w:cs="Arial"/>
        </w:rPr>
        <w:t xml:space="preserve"> there was</w:t>
      </w:r>
      <w:r w:rsidR="00475A72">
        <w:rPr>
          <w:rFonts w:cs="Arial"/>
        </w:rPr>
        <w:t xml:space="preserve"> the same number of </w:t>
      </w:r>
      <w:r w:rsidR="007727B0" w:rsidRPr="006220E1">
        <w:rPr>
          <w:rFonts w:cs="Arial"/>
        </w:rPr>
        <w:t>agreements to attend community support services</w:t>
      </w:r>
      <w:r w:rsidR="00F172D6">
        <w:rPr>
          <w:rFonts w:cs="Arial"/>
        </w:rPr>
        <w:t xml:space="preserve">, </w:t>
      </w:r>
      <w:r w:rsidR="00CC41F3">
        <w:rPr>
          <w:rFonts w:cs="Arial"/>
        </w:rPr>
        <w:t>a</w:t>
      </w:r>
      <w:r w:rsidR="00347D3E">
        <w:rPr>
          <w:rFonts w:cs="Arial"/>
        </w:rPr>
        <w:t xml:space="preserve"> </w:t>
      </w:r>
      <w:r w:rsidR="00475A72">
        <w:rPr>
          <w:rFonts w:cs="Arial"/>
        </w:rPr>
        <w:t xml:space="preserve">decrease </w:t>
      </w:r>
      <w:r w:rsidR="00CC41F3">
        <w:rPr>
          <w:rFonts w:cs="Arial"/>
        </w:rPr>
        <w:t xml:space="preserve">of 1 agreement for CIM, </w:t>
      </w:r>
      <w:r w:rsidR="00F172D6">
        <w:rPr>
          <w:rFonts w:cs="Arial"/>
        </w:rPr>
        <w:t>a</w:t>
      </w:r>
      <w:r w:rsidR="00475A72">
        <w:rPr>
          <w:rFonts w:cs="Arial"/>
        </w:rPr>
        <w:t xml:space="preserve"> decrease </w:t>
      </w:r>
      <w:r w:rsidR="006D359E" w:rsidRPr="006220E1">
        <w:rPr>
          <w:rFonts w:cs="Arial"/>
        </w:rPr>
        <w:t xml:space="preserve">of </w:t>
      </w:r>
      <w:r w:rsidR="00475A72">
        <w:rPr>
          <w:rFonts w:cs="Arial"/>
        </w:rPr>
        <w:lastRenderedPageBreak/>
        <w:t>17</w:t>
      </w:r>
      <w:r w:rsidR="00475A72"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347D3E">
        <w:rPr>
          <w:rFonts w:cs="Arial"/>
        </w:rPr>
        <w:t xml:space="preserve"> </w:t>
      </w:r>
      <w:r w:rsidR="00475A72">
        <w:rPr>
          <w:rFonts w:cs="Arial"/>
        </w:rPr>
        <w:t xml:space="preserve">decrease </w:t>
      </w:r>
      <w:r w:rsidR="006D359E" w:rsidRPr="006220E1">
        <w:rPr>
          <w:rFonts w:cs="Arial"/>
        </w:rPr>
        <w:t xml:space="preserve">of </w:t>
      </w:r>
      <w:r w:rsidR="00475A72">
        <w:rPr>
          <w:rFonts w:cs="Arial"/>
        </w:rPr>
        <w:t>6</w:t>
      </w:r>
      <w:r w:rsidR="00475A72"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a number of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60370B44" w:rsidR="00DD1B0A" w:rsidRDefault="005645FD" w:rsidP="00233EAC">
      <w:pPr>
        <w:ind w:left="-142" w:right="-425"/>
        <w:jc w:val="both"/>
        <w:rPr>
          <w:rFonts w:cs="Arial"/>
        </w:rPr>
      </w:pPr>
      <w:r>
        <w:rPr>
          <w:rFonts w:cs="Arial"/>
        </w:rPr>
        <w:t xml:space="preserve">Other outcomes as a result of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for the purpose of determining if any parties of the adjourned conference have addressed the matter/s in question during the adjourn</w:t>
      </w:r>
      <w:r w:rsidR="00FB1406">
        <w:rPr>
          <w:rFonts w:cs="Arial"/>
        </w:rPr>
        <w:t>ed</w:t>
      </w:r>
      <w:r w:rsidR="00AE0E8E">
        <w:rPr>
          <w:rFonts w:cs="Arial"/>
        </w:rPr>
        <w:t xml:space="preserve"> period. </w:t>
      </w:r>
      <w:r w:rsidR="00803D0A">
        <w:t xml:space="preserve">Attendance at conference </w:t>
      </w:r>
      <w:r w:rsidR="00347D3E">
        <w:t xml:space="preserve">decreased </w:t>
      </w:r>
      <w:r w:rsidR="00803D0A">
        <w:t xml:space="preserve">from </w:t>
      </w:r>
      <w:r w:rsidR="000130C1">
        <w:t>69.0</w:t>
      </w:r>
      <w:r w:rsidR="00E720CE">
        <w:t xml:space="preserve"> </w:t>
      </w:r>
      <w:r w:rsidR="00FC7C1D">
        <w:rPr>
          <w:rFonts w:cs="Arial"/>
        </w:rPr>
        <w:t xml:space="preserve">percent </w:t>
      </w:r>
      <w:r w:rsidR="00803D0A">
        <w:t xml:space="preserve">in quarter </w:t>
      </w:r>
      <w:r w:rsidR="000F408B">
        <w:t>56</w:t>
      </w:r>
      <w:r w:rsidR="00803D0A">
        <w:t xml:space="preserve"> to </w:t>
      </w:r>
      <w:r w:rsidR="00347D3E">
        <w:t>6</w:t>
      </w:r>
      <w:r w:rsidR="000130C1">
        <w:t>4.2</w:t>
      </w:r>
      <w:r w:rsidR="00E720CE">
        <w:t xml:space="preserve"> </w:t>
      </w:r>
      <w:r w:rsidR="00FC7C1D">
        <w:rPr>
          <w:rFonts w:cs="Arial"/>
        </w:rPr>
        <w:t xml:space="preserve">percent </w:t>
      </w:r>
      <w:r w:rsidR="00803D0A">
        <w:t xml:space="preserve">in quarter </w:t>
      </w:r>
      <w:r w:rsidR="000F408B">
        <w:t>57</w:t>
      </w:r>
      <w:r w:rsidR="00803D0A">
        <w:t xml:space="preserve">, and non-attendance with what the Commissioners considered a reasonable justification </w:t>
      </w:r>
      <w:r w:rsidR="000130C1">
        <w:t xml:space="preserve">increased </w:t>
      </w:r>
      <w:r w:rsidR="00803D0A">
        <w:t xml:space="preserve">from </w:t>
      </w:r>
      <w:r w:rsidR="000130C1">
        <w:t>29.6</w:t>
      </w:r>
      <w:r w:rsidR="00E720CE">
        <w:t xml:space="preserve"> </w:t>
      </w:r>
      <w:r w:rsidR="00FC7C1D">
        <w:rPr>
          <w:rFonts w:cs="Arial"/>
        </w:rPr>
        <w:t xml:space="preserve">percent </w:t>
      </w:r>
      <w:r w:rsidR="00803D0A">
        <w:t xml:space="preserve">in the previous quarter to </w:t>
      </w:r>
      <w:r w:rsidR="000130C1">
        <w:t>32.1</w:t>
      </w:r>
      <w:r w:rsidR="00E720CE">
        <w:t xml:space="preserve"> </w:t>
      </w:r>
      <w:r w:rsidR="00FC7C1D">
        <w:rPr>
          <w:rFonts w:cs="Arial"/>
        </w:rPr>
        <w:t xml:space="preserve">percent </w:t>
      </w:r>
      <w:r w:rsidR="00803D0A">
        <w:t>during this reporting period.</w:t>
      </w:r>
      <w:r w:rsidR="002534A2">
        <w:t xml:space="preserve"> </w:t>
      </w:r>
      <w:r w:rsidR="002534A2" w:rsidRPr="001F0A2E">
        <w:t xml:space="preserve">Reasons for </w:t>
      </w:r>
      <w:r w:rsidR="007D4490">
        <w:t xml:space="preserve">non-attendance </w:t>
      </w:r>
      <w:r w:rsidR="002534A2" w:rsidRPr="001F0A2E">
        <w:t xml:space="preserve">at conference </w:t>
      </w:r>
      <w:r w:rsidR="007D4490">
        <w:t xml:space="preserve">generally </w:t>
      </w:r>
      <w:r w:rsidR="002534A2" w:rsidRPr="001F0A2E">
        <w:t xml:space="preserve">include </w:t>
      </w:r>
      <w:r w:rsidR="007D4490">
        <w:t xml:space="preserve">the effects of </w:t>
      </w:r>
      <w:r w:rsidR="002534A2" w:rsidRPr="001F0A2E">
        <w:t>community unrest</w:t>
      </w:r>
      <w:r w:rsidR="007D4490">
        <w:t xml:space="preserve">, the occurrence of </w:t>
      </w:r>
      <w:r w:rsidR="002534A2" w:rsidRPr="001F0A2E">
        <w:t>funerals</w:t>
      </w:r>
      <w:r w:rsidR="00D85A77" w:rsidRPr="001F0A2E">
        <w:t xml:space="preserve"> and associated Sorry Business</w:t>
      </w:r>
      <w:r w:rsidR="007978B1">
        <w:t xml:space="preserve">, illness, </w:t>
      </w:r>
      <w:r w:rsidR="00FB4B1F">
        <w:t>carer</w:t>
      </w:r>
      <w:r w:rsidR="007978B1">
        <w:t xml:space="preserve"> responsibilities and absence from community.</w:t>
      </w:r>
      <w:r w:rsidR="00114AA4">
        <w:rPr>
          <w:rFonts w:cs="Arial"/>
        </w:rPr>
        <w:t xml:space="preserve"> Refer to the application outcomes section of this report for matters heard under an amend/end application hearing process.</w:t>
      </w:r>
    </w:p>
    <w:p w14:paraId="6C2986ED" w14:textId="22B2DF7D" w:rsidR="0051235F" w:rsidRDefault="0051235F" w:rsidP="00233EAC">
      <w:pPr>
        <w:ind w:left="-142" w:right="-425"/>
        <w:jc w:val="both"/>
        <w:rPr>
          <w:rFonts w:cs="Arial"/>
        </w:rPr>
      </w:pPr>
    </w:p>
    <w:p w14:paraId="0F91080E" w14:textId="3B89C14E" w:rsidR="0001464E" w:rsidRPr="00D925BE" w:rsidRDefault="0001464E" w:rsidP="0001464E">
      <w:pPr>
        <w:spacing w:after="120" w:line="240" w:lineRule="auto"/>
        <w:ind w:right="-425"/>
        <w:jc w:val="both"/>
        <w:rPr>
          <w:b/>
          <w:sz w:val="16"/>
          <w:szCs w:val="16"/>
        </w:rPr>
      </w:pPr>
      <w:r w:rsidRPr="00D93672">
        <w:rPr>
          <w:b/>
          <w:sz w:val="16"/>
          <w:szCs w:val="16"/>
        </w:rPr>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Pr>
          <w:sz w:val="16"/>
          <w:szCs w:val="16"/>
        </w:rPr>
        <w:t>July 2021 to 30 September 2022</w:t>
      </w:r>
    </w:p>
    <w:tbl>
      <w:tblPr>
        <w:tblW w:w="6880" w:type="dxa"/>
        <w:tblInd w:w="93" w:type="dxa"/>
        <w:tblLook w:val="04A0" w:firstRow="1" w:lastRow="0" w:firstColumn="1" w:lastColumn="0" w:noHBand="0" w:noVBand="1"/>
      </w:tblPr>
      <w:tblGrid>
        <w:gridCol w:w="2080"/>
        <w:gridCol w:w="960"/>
        <w:gridCol w:w="960"/>
        <w:gridCol w:w="960"/>
        <w:gridCol w:w="960"/>
        <w:gridCol w:w="960"/>
      </w:tblGrid>
      <w:tr w:rsidR="0001464E" w:rsidRPr="00C5395B" w14:paraId="3279D94B" w14:textId="77777777" w:rsidTr="006A327F">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49EEC69E" w14:textId="77777777" w:rsidR="0001464E" w:rsidRPr="00C5395B" w:rsidRDefault="0001464E" w:rsidP="0001464E">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8468AD1" w14:textId="67F71D0A" w:rsidR="0001464E" w:rsidRDefault="0001464E" w:rsidP="0001464E">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75485195" w14:textId="4A0D532C" w:rsidR="0001464E" w:rsidRDefault="0001464E" w:rsidP="0001464E">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726EC347" w14:textId="3E3DCB9D" w:rsidR="0001464E" w:rsidRDefault="0001464E" w:rsidP="0001464E">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1E466844" w14:textId="50D79CBC" w:rsidR="0001464E" w:rsidRDefault="0001464E" w:rsidP="0001464E">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0E1ABAB8" w14:textId="0F217CE5" w:rsidR="0001464E" w:rsidRDefault="0001464E" w:rsidP="0001464E">
            <w:pPr>
              <w:pStyle w:val="TableText"/>
              <w:jc w:val="right"/>
              <w:rPr>
                <w:b/>
                <w:lang w:eastAsia="en-AU"/>
              </w:rPr>
            </w:pPr>
            <w:r>
              <w:rPr>
                <w:b/>
                <w:lang w:eastAsia="en-AU"/>
              </w:rPr>
              <w:t>Qtr 57</w:t>
            </w:r>
          </w:p>
        </w:tc>
      </w:tr>
      <w:tr w:rsidR="0001464E" w:rsidRPr="00C5395B" w14:paraId="327C0222" w14:textId="77777777" w:rsidTr="006A327F">
        <w:trPr>
          <w:trHeight w:val="255"/>
        </w:trPr>
        <w:tc>
          <w:tcPr>
            <w:tcW w:w="2080" w:type="dxa"/>
            <w:tcBorders>
              <w:top w:val="nil"/>
              <w:left w:val="single" w:sz="4" w:space="0" w:color="auto"/>
              <w:bottom w:val="single" w:sz="4" w:space="0" w:color="auto"/>
              <w:right w:val="single" w:sz="4" w:space="0" w:color="auto"/>
            </w:tcBorders>
            <w:noWrap/>
            <w:hideMark/>
          </w:tcPr>
          <w:p w14:paraId="0791F1C9" w14:textId="77777777" w:rsidR="0001464E" w:rsidRPr="00C5395B" w:rsidRDefault="0001464E" w:rsidP="0001464E">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4F54FD7" w14:textId="1CC86994" w:rsidR="0001464E" w:rsidRDefault="0001464E" w:rsidP="0001464E">
            <w:pPr>
              <w:jc w:val="right"/>
              <w:rPr>
                <w:rFonts w:cs="Arial"/>
              </w:rPr>
            </w:pPr>
            <w:r w:rsidRPr="003A524F">
              <w:rPr>
                <w:rFonts w:cs="Arial"/>
              </w:rPr>
              <w:t>162</w:t>
            </w:r>
          </w:p>
        </w:tc>
        <w:tc>
          <w:tcPr>
            <w:tcW w:w="960" w:type="dxa"/>
            <w:tcBorders>
              <w:top w:val="nil"/>
              <w:left w:val="nil"/>
              <w:bottom w:val="single" w:sz="4" w:space="0" w:color="auto"/>
              <w:right w:val="single" w:sz="4" w:space="0" w:color="auto"/>
            </w:tcBorders>
          </w:tcPr>
          <w:p w14:paraId="520497D6" w14:textId="0A29C8A6" w:rsidR="0001464E" w:rsidRPr="00B8398E" w:rsidRDefault="0001464E" w:rsidP="0001464E">
            <w:pPr>
              <w:jc w:val="right"/>
              <w:rPr>
                <w:rFonts w:cs="Arial"/>
              </w:rPr>
            </w:pPr>
            <w:r>
              <w:rPr>
                <w:rFonts w:cs="Arial"/>
              </w:rPr>
              <w:t>128</w:t>
            </w:r>
          </w:p>
        </w:tc>
        <w:tc>
          <w:tcPr>
            <w:tcW w:w="960" w:type="dxa"/>
            <w:tcBorders>
              <w:top w:val="nil"/>
              <w:left w:val="nil"/>
              <w:bottom w:val="single" w:sz="4" w:space="0" w:color="auto"/>
              <w:right w:val="single" w:sz="4" w:space="0" w:color="auto"/>
            </w:tcBorders>
          </w:tcPr>
          <w:p w14:paraId="1541D771" w14:textId="155E8D3F" w:rsidR="0001464E" w:rsidRPr="0078302F" w:rsidRDefault="0001464E" w:rsidP="0001464E">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19F2D6B4" w14:textId="06E1751C" w:rsidR="0001464E" w:rsidRPr="003A524F" w:rsidRDefault="0001464E" w:rsidP="0001464E">
            <w:pPr>
              <w:jc w:val="right"/>
              <w:rPr>
                <w:rFonts w:cs="Arial"/>
              </w:rPr>
            </w:pPr>
            <w:r>
              <w:rPr>
                <w:rFonts w:cs="Arial"/>
              </w:rPr>
              <w:t>109</w:t>
            </w:r>
          </w:p>
        </w:tc>
        <w:tc>
          <w:tcPr>
            <w:tcW w:w="960" w:type="dxa"/>
            <w:tcBorders>
              <w:top w:val="nil"/>
              <w:left w:val="nil"/>
              <w:bottom w:val="single" w:sz="4" w:space="0" w:color="auto"/>
              <w:right w:val="single" w:sz="4" w:space="0" w:color="auto"/>
            </w:tcBorders>
          </w:tcPr>
          <w:p w14:paraId="14238A44" w14:textId="591CC184" w:rsidR="0001464E" w:rsidRDefault="0001464E" w:rsidP="0001464E">
            <w:pPr>
              <w:jc w:val="right"/>
              <w:rPr>
                <w:rFonts w:cs="Arial"/>
              </w:rPr>
            </w:pPr>
            <w:r>
              <w:rPr>
                <w:rFonts w:cs="Arial"/>
              </w:rPr>
              <w:t>94</w:t>
            </w:r>
          </w:p>
        </w:tc>
      </w:tr>
      <w:tr w:rsidR="0001464E" w:rsidRPr="00C5395B" w14:paraId="63B66754" w14:textId="77777777" w:rsidTr="006A327F">
        <w:trPr>
          <w:trHeight w:val="255"/>
        </w:trPr>
        <w:tc>
          <w:tcPr>
            <w:tcW w:w="2080" w:type="dxa"/>
            <w:tcBorders>
              <w:top w:val="nil"/>
              <w:left w:val="single" w:sz="4" w:space="0" w:color="auto"/>
              <w:bottom w:val="single" w:sz="4" w:space="0" w:color="auto"/>
              <w:right w:val="single" w:sz="4" w:space="0" w:color="auto"/>
            </w:tcBorders>
            <w:noWrap/>
            <w:hideMark/>
          </w:tcPr>
          <w:p w14:paraId="5A6AAB5D" w14:textId="77777777" w:rsidR="0001464E" w:rsidRPr="00C5395B" w:rsidRDefault="0001464E" w:rsidP="0001464E">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93D06E5" w14:textId="166DAE56" w:rsidR="0001464E" w:rsidRDefault="0001464E" w:rsidP="0001464E">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453E5F8D" w14:textId="26CA2656" w:rsidR="0001464E" w:rsidRPr="00B8398E" w:rsidRDefault="0001464E" w:rsidP="0001464E">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04E46E55" w14:textId="5137E212" w:rsidR="0001464E" w:rsidRPr="0078302F" w:rsidRDefault="0001464E" w:rsidP="0001464E">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4A6958A4" w14:textId="61E7D88F" w:rsidR="0001464E" w:rsidRPr="003A524F" w:rsidRDefault="0001464E" w:rsidP="0001464E">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467A7A66" w14:textId="00079765" w:rsidR="0001464E" w:rsidRDefault="0001464E" w:rsidP="0001464E">
            <w:pPr>
              <w:jc w:val="right"/>
              <w:rPr>
                <w:rFonts w:cs="Arial"/>
              </w:rPr>
            </w:pPr>
            <w:r>
              <w:rPr>
                <w:rFonts w:cs="Arial"/>
              </w:rPr>
              <w:t>0</w:t>
            </w:r>
          </w:p>
        </w:tc>
      </w:tr>
      <w:tr w:rsidR="0001464E" w:rsidRPr="00C5395B" w14:paraId="63652C1C" w14:textId="77777777" w:rsidTr="006A327F">
        <w:trPr>
          <w:trHeight w:val="255"/>
        </w:trPr>
        <w:tc>
          <w:tcPr>
            <w:tcW w:w="2080" w:type="dxa"/>
            <w:tcBorders>
              <w:top w:val="nil"/>
              <w:left w:val="single" w:sz="4" w:space="0" w:color="auto"/>
              <w:bottom w:val="single" w:sz="4" w:space="0" w:color="auto"/>
              <w:right w:val="single" w:sz="4" w:space="0" w:color="auto"/>
            </w:tcBorders>
            <w:noWrap/>
          </w:tcPr>
          <w:p w14:paraId="67A6FE45" w14:textId="77777777" w:rsidR="0001464E" w:rsidRPr="00C5395B" w:rsidRDefault="0001464E" w:rsidP="0001464E">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C758778" w14:textId="3E955AF6" w:rsidR="0001464E" w:rsidRDefault="0001464E" w:rsidP="0001464E">
            <w:pPr>
              <w:jc w:val="right"/>
              <w:rPr>
                <w:rFonts w:cs="Arial"/>
              </w:rPr>
            </w:pPr>
            <w:r w:rsidRPr="003A524F">
              <w:rPr>
                <w:rFonts w:cs="Arial"/>
              </w:rPr>
              <w:t>140</w:t>
            </w:r>
          </w:p>
        </w:tc>
        <w:tc>
          <w:tcPr>
            <w:tcW w:w="960" w:type="dxa"/>
            <w:tcBorders>
              <w:top w:val="nil"/>
              <w:left w:val="nil"/>
              <w:bottom w:val="single" w:sz="4" w:space="0" w:color="auto"/>
              <w:right w:val="single" w:sz="4" w:space="0" w:color="auto"/>
            </w:tcBorders>
          </w:tcPr>
          <w:p w14:paraId="13DAB760" w14:textId="68859920" w:rsidR="0001464E" w:rsidRPr="00B8398E" w:rsidRDefault="0001464E" w:rsidP="0001464E">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48B99ADE" w14:textId="6A751DAB" w:rsidR="0001464E" w:rsidRPr="0078302F" w:rsidRDefault="0001464E" w:rsidP="0001464E">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13770AF2" w14:textId="60F980F2" w:rsidR="0001464E" w:rsidRPr="003A524F" w:rsidRDefault="0001464E" w:rsidP="0001464E">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58EBA6A7" w14:textId="41BA0A62" w:rsidR="0001464E" w:rsidRDefault="0001464E" w:rsidP="0001464E">
            <w:pPr>
              <w:jc w:val="right"/>
              <w:rPr>
                <w:rFonts w:cs="Arial"/>
              </w:rPr>
            </w:pPr>
            <w:r>
              <w:rPr>
                <w:rFonts w:cs="Arial"/>
              </w:rPr>
              <w:t>94</w:t>
            </w:r>
          </w:p>
        </w:tc>
      </w:tr>
      <w:tr w:rsidR="0001464E" w:rsidRPr="00C5395B" w14:paraId="6BA17E87" w14:textId="77777777" w:rsidTr="006A327F">
        <w:trPr>
          <w:trHeight w:val="255"/>
        </w:trPr>
        <w:tc>
          <w:tcPr>
            <w:tcW w:w="2080" w:type="dxa"/>
            <w:tcBorders>
              <w:top w:val="nil"/>
              <w:left w:val="single" w:sz="4" w:space="0" w:color="auto"/>
              <w:bottom w:val="single" w:sz="4" w:space="0" w:color="auto"/>
              <w:right w:val="single" w:sz="4" w:space="0" w:color="auto"/>
            </w:tcBorders>
            <w:noWrap/>
            <w:hideMark/>
          </w:tcPr>
          <w:p w14:paraId="3B5A070A" w14:textId="77777777" w:rsidR="0001464E" w:rsidRPr="00C5395B" w:rsidRDefault="0001464E" w:rsidP="0001464E">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7CCCE72" w14:textId="21A89944" w:rsidR="0001464E" w:rsidRDefault="0001464E" w:rsidP="0001464E">
            <w:pPr>
              <w:jc w:val="right"/>
              <w:rPr>
                <w:rFonts w:cs="Arial"/>
              </w:rPr>
            </w:pPr>
            <w:r w:rsidRPr="003A524F">
              <w:rPr>
                <w:rFonts w:cs="Arial"/>
              </w:rPr>
              <w:t>50</w:t>
            </w:r>
          </w:p>
        </w:tc>
        <w:tc>
          <w:tcPr>
            <w:tcW w:w="960" w:type="dxa"/>
            <w:tcBorders>
              <w:top w:val="nil"/>
              <w:left w:val="nil"/>
              <w:bottom w:val="single" w:sz="4" w:space="0" w:color="auto"/>
              <w:right w:val="single" w:sz="4" w:space="0" w:color="auto"/>
            </w:tcBorders>
          </w:tcPr>
          <w:p w14:paraId="5718ADA6" w14:textId="66945FBE" w:rsidR="0001464E" w:rsidRPr="00B8398E" w:rsidRDefault="0001464E" w:rsidP="0001464E">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68CAA905" w14:textId="12D5BBC0" w:rsidR="0001464E" w:rsidRPr="0078302F" w:rsidRDefault="0001464E" w:rsidP="0001464E">
            <w:pPr>
              <w:jc w:val="right"/>
              <w:rPr>
                <w:rFonts w:cs="Arial"/>
              </w:rPr>
            </w:pPr>
            <w:r>
              <w:rPr>
                <w:rFonts w:cs="Arial"/>
              </w:rPr>
              <w:t>21</w:t>
            </w:r>
          </w:p>
        </w:tc>
        <w:tc>
          <w:tcPr>
            <w:tcW w:w="960" w:type="dxa"/>
            <w:tcBorders>
              <w:top w:val="nil"/>
              <w:left w:val="nil"/>
              <w:bottom w:val="single" w:sz="4" w:space="0" w:color="auto"/>
              <w:right w:val="single" w:sz="4" w:space="0" w:color="auto"/>
            </w:tcBorders>
          </w:tcPr>
          <w:p w14:paraId="41C31E5A" w14:textId="3D1D722C" w:rsidR="0001464E" w:rsidRPr="003A524F" w:rsidRDefault="0001464E" w:rsidP="0001464E">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75702DFF" w14:textId="11EB4FD0" w:rsidR="0001464E" w:rsidRDefault="0001464E" w:rsidP="0001464E">
            <w:pPr>
              <w:jc w:val="right"/>
              <w:rPr>
                <w:rFonts w:cs="Arial"/>
              </w:rPr>
            </w:pPr>
            <w:r>
              <w:rPr>
                <w:rFonts w:cs="Arial"/>
              </w:rPr>
              <w:t>80</w:t>
            </w:r>
          </w:p>
        </w:tc>
      </w:tr>
      <w:tr w:rsidR="0001464E" w:rsidRPr="00C5395B" w14:paraId="71559836" w14:textId="77777777" w:rsidTr="006A327F">
        <w:trPr>
          <w:trHeight w:val="255"/>
        </w:trPr>
        <w:tc>
          <w:tcPr>
            <w:tcW w:w="2080" w:type="dxa"/>
            <w:tcBorders>
              <w:top w:val="nil"/>
              <w:left w:val="single" w:sz="4" w:space="0" w:color="auto"/>
              <w:bottom w:val="single" w:sz="4" w:space="0" w:color="auto"/>
              <w:right w:val="single" w:sz="4" w:space="0" w:color="auto"/>
            </w:tcBorders>
            <w:noWrap/>
            <w:hideMark/>
          </w:tcPr>
          <w:p w14:paraId="2D7FFAA7" w14:textId="77777777" w:rsidR="0001464E" w:rsidRPr="00C5395B" w:rsidRDefault="0001464E" w:rsidP="0001464E">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1BFAB04" w14:textId="18DE1B43" w:rsidR="0001464E" w:rsidRDefault="0001464E" w:rsidP="0001464E">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511083D5" w14:textId="78E8B2EC" w:rsidR="0001464E" w:rsidRPr="00B8398E" w:rsidRDefault="0001464E" w:rsidP="0001464E">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019E51E2" w14:textId="2E94F7A1" w:rsidR="0001464E" w:rsidRPr="0078302F" w:rsidRDefault="0001464E" w:rsidP="0001464E">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31B7F3DD" w14:textId="49E9D537" w:rsidR="0001464E" w:rsidRPr="003A524F" w:rsidRDefault="0001464E" w:rsidP="0001464E">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791337EE" w14:textId="3A3A98AC" w:rsidR="0001464E" w:rsidRDefault="0001464E" w:rsidP="0001464E">
            <w:pPr>
              <w:jc w:val="right"/>
              <w:rPr>
                <w:rFonts w:cs="Arial"/>
              </w:rPr>
            </w:pPr>
            <w:r>
              <w:rPr>
                <w:rFonts w:cs="Arial"/>
              </w:rPr>
              <w:t>28</w:t>
            </w:r>
          </w:p>
        </w:tc>
      </w:tr>
      <w:tr w:rsidR="0001464E" w:rsidRPr="00C5395B" w14:paraId="4E29F502" w14:textId="77777777" w:rsidTr="006A327F">
        <w:trPr>
          <w:trHeight w:val="255"/>
        </w:trPr>
        <w:tc>
          <w:tcPr>
            <w:tcW w:w="2080" w:type="dxa"/>
            <w:tcBorders>
              <w:top w:val="nil"/>
              <w:left w:val="single" w:sz="4" w:space="0" w:color="auto"/>
              <w:bottom w:val="single" w:sz="4" w:space="0" w:color="auto"/>
              <w:right w:val="single" w:sz="4" w:space="0" w:color="auto"/>
            </w:tcBorders>
            <w:noWrap/>
            <w:hideMark/>
          </w:tcPr>
          <w:p w14:paraId="7BBD43AE" w14:textId="77777777" w:rsidR="0001464E" w:rsidRPr="00C5395B" w:rsidRDefault="0001464E" w:rsidP="0001464E">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6DA51FD" w14:textId="28F94363" w:rsidR="0001464E" w:rsidRDefault="0001464E" w:rsidP="0001464E">
            <w:pPr>
              <w:jc w:val="right"/>
              <w:rPr>
                <w:rFonts w:cs="Arial"/>
                <w:b/>
                <w:bCs/>
              </w:rPr>
            </w:pPr>
            <w:r w:rsidRPr="003A524F">
              <w:rPr>
                <w:rFonts w:cs="Arial"/>
                <w:b/>
                <w:bCs/>
              </w:rPr>
              <w:t>396</w:t>
            </w:r>
          </w:p>
        </w:tc>
        <w:tc>
          <w:tcPr>
            <w:tcW w:w="960" w:type="dxa"/>
            <w:tcBorders>
              <w:top w:val="nil"/>
              <w:left w:val="nil"/>
              <w:bottom w:val="single" w:sz="4" w:space="0" w:color="auto"/>
              <w:right w:val="single" w:sz="4" w:space="0" w:color="auto"/>
            </w:tcBorders>
          </w:tcPr>
          <w:p w14:paraId="2088206B" w14:textId="3A9B3579" w:rsidR="0001464E" w:rsidRPr="00B8398E" w:rsidRDefault="0001464E" w:rsidP="0001464E">
            <w:pPr>
              <w:jc w:val="right"/>
              <w:rPr>
                <w:rFonts w:cs="Arial"/>
                <w:b/>
                <w:bCs/>
              </w:rPr>
            </w:pPr>
            <w:r>
              <w:rPr>
                <w:rFonts w:cs="Arial"/>
                <w:b/>
                <w:bCs/>
              </w:rPr>
              <w:t>335</w:t>
            </w:r>
          </w:p>
        </w:tc>
        <w:tc>
          <w:tcPr>
            <w:tcW w:w="960" w:type="dxa"/>
            <w:tcBorders>
              <w:top w:val="nil"/>
              <w:left w:val="nil"/>
              <w:bottom w:val="single" w:sz="4" w:space="0" w:color="auto"/>
              <w:right w:val="single" w:sz="4" w:space="0" w:color="auto"/>
            </w:tcBorders>
          </w:tcPr>
          <w:p w14:paraId="2150639E" w14:textId="31A10752" w:rsidR="0001464E" w:rsidRPr="003A524F" w:rsidRDefault="0001464E" w:rsidP="0001464E">
            <w:pPr>
              <w:jc w:val="right"/>
              <w:rPr>
                <w:rFonts w:cs="Arial"/>
                <w:b/>
                <w:bCs/>
              </w:rPr>
            </w:pPr>
            <w:r>
              <w:rPr>
                <w:rFonts w:cs="Arial"/>
                <w:b/>
                <w:bCs/>
              </w:rPr>
              <w:t>118</w:t>
            </w:r>
          </w:p>
        </w:tc>
        <w:tc>
          <w:tcPr>
            <w:tcW w:w="960" w:type="dxa"/>
            <w:tcBorders>
              <w:top w:val="nil"/>
              <w:left w:val="nil"/>
              <w:bottom w:val="single" w:sz="4" w:space="0" w:color="auto"/>
              <w:right w:val="single" w:sz="4" w:space="0" w:color="auto"/>
            </w:tcBorders>
          </w:tcPr>
          <w:p w14:paraId="240A6776" w14:textId="3E6BC6AE" w:rsidR="0001464E" w:rsidRPr="003A524F" w:rsidRDefault="0001464E" w:rsidP="0001464E">
            <w:pPr>
              <w:jc w:val="right"/>
              <w:rPr>
                <w:rFonts w:cs="Arial"/>
                <w:b/>
                <w:bCs/>
              </w:rPr>
            </w:pPr>
            <w:r>
              <w:rPr>
                <w:rFonts w:cs="Arial"/>
                <w:b/>
                <w:bCs/>
              </w:rPr>
              <w:t>229</w:t>
            </w:r>
          </w:p>
        </w:tc>
        <w:tc>
          <w:tcPr>
            <w:tcW w:w="960" w:type="dxa"/>
            <w:tcBorders>
              <w:top w:val="nil"/>
              <w:left w:val="nil"/>
              <w:bottom w:val="single" w:sz="4" w:space="0" w:color="auto"/>
              <w:right w:val="single" w:sz="4" w:space="0" w:color="auto"/>
            </w:tcBorders>
          </w:tcPr>
          <w:p w14:paraId="3E2FE326" w14:textId="2114257E" w:rsidR="0001464E" w:rsidRDefault="008A254A" w:rsidP="0001464E">
            <w:pPr>
              <w:jc w:val="right"/>
              <w:rPr>
                <w:rFonts w:cs="Arial"/>
                <w:b/>
                <w:bCs/>
              </w:rPr>
            </w:pPr>
            <w:r>
              <w:rPr>
                <w:rFonts w:cs="Arial"/>
                <w:b/>
                <w:bCs/>
              </w:rPr>
              <w:t>296</w:t>
            </w:r>
          </w:p>
        </w:tc>
      </w:tr>
    </w:tbl>
    <w:p w14:paraId="3AA91D27" w14:textId="77777777" w:rsidR="0001464E" w:rsidRDefault="0001464E" w:rsidP="0001464E">
      <w:pPr>
        <w:ind w:left="-142" w:right="-425"/>
        <w:jc w:val="both"/>
        <w:rPr>
          <w:rFonts w:cs="Arial"/>
        </w:rPr>
      </w:pPr>
    </w:p>
    <w:p w14:paraId="1BB531F5" w14:textId="77777777" w:rsidR="00DD1B0A" w:rsidRPr="006524B7" w:rsidRDefault="00DD1B0A" w:rsidP="00091CFE">
      <w:pPr>
        <w:pStyle w:val="Heading2"/>
      </w:pPr>
      <w:r w:rsidRPr="006524B7">
        <w:t>Conferences for Domestic Violence</w:t>
      </w:r>
      <w:r w:rsidR="00970A79" w:rsidRPr="006524B7">
        <w:t xml:space="preserve"> related matters</w:t>
      </w:r>
    </w:p>
    <w:p w14:paraId="114A4DF6" w14:textId="6BF5D1C9" w:rsidR="00DD1B0A" w:rsidRDefault="00AE1804" w:rsidP="006524B7">
      <w:pPr>
        <w:ind w:left="-142" w:right="-425"/>
        <w:jc w:val="both"/>
        <w:rPr>
          <w:rFonts w:cs="Arial"/>
        </w:rPr>
      </w:pPr>
      <w:r>
        <w:rPr>
          <w:rFonts w:cs="Arial"/>
        </w:rPr>
        <w:t xml:space="preserve">As a subset of the total number of conferences conducted for the quarter, </w:t>
      </w:r>
      <w:r w:rsidR="007A7259">
        <w:rPr>
          <w:rFonts w:cs="Arial"/>
        </w:rPr>
        <w:t>71</w:t>
      </w:r>
      <w:r w:rsidR="007A7259"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CB0681">
        <w:rPr>
          <w:rFonts w:cs="Arial"/>
        </w:rPr>
        <w:t xml:space="preserve">n increase </w:t>
      </w:r>
      <w:r w:rsidR="007A156D" w:rsidRPr="006524B7">
        <w:rPr>
          <w:rFonts w:cs="Arial"/>
        </w:rPr>
        <w:t xml:space="preserve">of </w:t>
      </w:r>
      <w:r w:rsidR="0087228F">
        <w:rPr>
          <w:rFonts w:cs="Arial"/>
        </w:rPr>
        <w:t>2</w:t>
      </w:r>
      <w:r w:rsidR="00923FEE">
        <w:rPr>
          <w:rFonts w:cs="Arial"/>
        </w:rPr>
        <w:t>1</w:t>
      </w:r>
      <w:r w:rsidR="0087228F"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923FEE">
        <w:rPr>
          <w:rFonts w:cs="Arial"/>
        </w:rPr>
        <w:t>remained the same with 42 DV conferences</w:t>
      </w:r>
      <w:r w:rsidR="00AA43DD" w:rsidRPr="006524B7">
        <w:rPr>
          <w:rFonts w:cs="Arial"/>
        </w:rPr>
        <w:t xml:space="preserve">, Coen </w:t>
      </w:r>
      <w:r w:rsidR="00923FEE">
        <w:rPr>
          <w:rFonts w:cs="Arial"/>
        </w:rPr>
        <w:t>decreased</w:t>
      </w:r>
      <w:r w:rsidR="00923FEE" w:rsidRPr="006524B7">
        <w:rPr>
          <w:rFonts w:cs="Arial"/>
        </w:rPr>
        <w:t xml:space="preserve"> </w:t>
      </w:r>
      <w:r w:rsidR="00AA43DD" w:rsidRPr="006524B7">
        <w:rPr>
          <w:rFonts w:cs="Arial"/>
        </w:rPr>
        <w:t xml:space="preserve">by </w:t>
      </w:r>
      <w:r w:rsidR="00923FEE">
        <w:rPr>
          <w:rFonts w:cs="Arial"/>
        </w:rPr>
        <w:t>5</w:t>
      </w:r>
      <w:r w:rsidR="001E2D68">
        <w:rPr>
          <w:rFonts w:cs="Arial"/>
        </w:rPr>
        <w:t>,</w:t>
      </w:r>
      <w:r w:rsidR="00F7181C">
        <w:rPr>
          <w:rFonts w:cs="Arial"/>
        </w:rPr>
        <w:t xml:space="preserve"> </w:t>
      </w:r>
      <w:r w:rsidR="00A524DA">
        <w:rPr>
          <w:rFonts w:cs="Arial"/>
        </w:rPr>
        <w:t>Hope Vale</w:t>
      </w:r>
      <w:r w:rsidR="001E2D68">
        <w:rPr>
          <w:rFonts w:cs="Arial"/>
        </w:rPr>
        <w:t xml:space="preserve"> </w:t>
      </w:r>
      <w:r w:rsidR="00923FEE">
        <w:rPr>
          <w:rFonts w:cs="Arial"/>
        </w:rPr>
        <w:t xml:space="preserve">increased </w:t>
      </w:r>
      <w:r w:rsidR="0021306E">
        <w:rPr>
          <w:rFonts w:cs="Arial"/>
        </w:rPr>
        <w:t xml:space="preserve">by </w:t>
      </w:r>
      <w:r w:rsidR="00923FEE">
        <w:rPr>
          <w:rFonts w:cs="Arial"/>
        </w:rPr>
        <w:t>19</w:t>
      </w:r>
      <w:r w:rsidR="0021306E">
        <w:rPr>
          <w:rFonts w:cs="Arial"/>
        </w:rPr>
        <w:t xml:space="preserve"> </w:t>
      </w:r>
      <w:r w:rsidR="0043313C">
        <w:rPr>
          <w:rFonts w:cs="Arial"/>
        </w:rPr>
        <w:t xml:space="preserve">and Mossman Gorge </w:t>
      </w:r>
      <w:r w:rsidR="00923FEE">
        <w:rPr>
          <w:rFonts w:cs="Arial"/>
        </w:rPr>
        <w:t xml:space="preserve">increased </w:t>
      </w:r>
      <w:r w:rsidR="001E2D68">
        <w:rPr>
          <w:rFonts w:cs="Arial"/>
        </w:rPr>
        <w:t xml:space="preserve">by </w:t>
      </w:r>
      <w:r w:rsidR="00923FEE">
        <w:rPr>
          <w:rFonts w:cs="Arial"/>
        </w:rPr>
        <w:t>7</w:t>
      </w:r>
      <w:r w:rsidR="0043313C">
        <w:rPr>
          <w:rFonts w:cs="Arial"/>
        </w:rPr>
        <w:t xml:space="preserve"> </w:t>
      </w:r>
      <w:r w:rsidR="00995105">
        <w:rPr>
          <w:rFonts w:cs="Arial"/>
        </w:rPr>
        <w:t>conferences for DV related matters</w:t>
      </w:r>
      <w:r w:rsidR="007A156D" w:rsidRPr="006524B7">
        <w:rPr>
          <w:rFonts w:cs="Arial"/>
        </w:rPr>
        <w:t>.</w:t>
      </w:r>
    </w:p>
    <w:p w14:paraId="507E0CD2" w14:textId="0EBEB76C" w:rsidR="0075537F" w:rsidRDefault="0075537F" w:rsidP="006524B7">
      <w:pPr>
        <w:ind w:left="-142" w:right="-425"/>
        <w:jc w:val="both"/>
        <w:rPr>
          <w:rFonts w:cs="Arial"/>
        </w:rPr>
      </w:pPr>
    </w:p>
    <w:p w14:paraId="29D3EC3A" w14:textId="291EED67" w:rsidR="0075537F" w:rsidRPr="00D925BE" w:rsidRDefault="0075537F" w:rsidP="0075537F">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Pr>
          <w:i w:val="0"/>
          <w:sz w:val="16"/>
        </w:rPr>
        <w:t>July 2021 to 30 September 2022</w:t>
      </w:r>
    </w:p>
    <w:tbl>
      <w:tblPr>
        <w:tblW w:w="6992" w:type="dxa"/>
        <w:tblInd w:w="93" w:type="dxa"/>
        <w:tblLook w:val="04A0" w:firstRow="1" w:lastRow="0" w:firstColumn="1" w:lastColumn="0" w:noHBand="0" w:noVBand="1"/>
      </w:tblPr>
      <w:tblGrid>
        <w:gridCol w:w="2029"/>
        <w:gridCol w:w="992"/>
        <w:gridCol w:w="992"/>
        <w:gridCol w:w="993"/>
        <w:gridCol w:w="993"/>
        <w:gridCol w:w="993"/>
      </w:tblGrid>
      <w:tr w:rsidR="0075537F" w:rsidRPr="00C5395B" w14:paraId="643EFDBD" w14:textId="77777777" w:rsidTr="006A327F">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21A4363" w14:textId="77777777" w:rsidR="0075537F" w:rsidRPr="00C5395B" w:rsidRDefault="0075537F" w:rsidP="0075537F">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04981066" w14:textId="02EDFEC9" w:rsidR="0075537F" w:rsidRDefault="0075537F" w:rsidP="0075537F">
            <w:pPr>
              <w:pStyle w:val="TableText"/>
              <w:jc w:val="right"/>
              <w:rPr>
                <w:b/>
                <w:lang w:eastAsia="en-AU"/>
              </w:rPr>
            </w:pPr>
            <w:r>
              <w:rPr>
                <w:b/>
                <w:lang w:eastAsia="en-AU"/>
              </w:rPr>
              <w:t>Qtr 53</w:t>
            </w:r>
          </w:p>
        </w:tc>
        <w:tc>
          <w:tcPr>
            <w:tcW w:w="992" w:type="dxa"/>
            <w:tcBorders>
              <w:top w:val="single" w:sz="4" w:space="0" w:color="auto"/>
              <w:left w:val="nil"/>
              <w:bottom w:val="single" w:sz="4" w:space="0" w:color="auto"/>
              <w:right w:val="single" w:sz="4" w:space="0" w:color="auto"/>
            </w:tcBorders>
          </w:tcPr>
          <w:p w14:paraId="58B9CDF4" w14:textId="5A16DC79" w:rsidR="0075537F" w:rsidRDefault="0075537F" w:rsidP="0075537F">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6B1EEC9E" w14:textId="4E4417D5" w:rsidR="0075537F" w:rsidRDefault="0075537F" w:rsidP="0075537F">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1C686795" w14:textId="03F33465" w:rsidR="0075537F" w:rsidRDefault="0075537F" w:rsidP="0075537F">
            <w:pPr>
              <w:pStyle w:val="TableText"/>
              <w:jc w:val="right"/>
              <w:rPr>
                <w:b/>
                <w:lang w:eastAsia="en-AU"/>
              </w:rPr>
            </w:pPr>
            <w:r>
              <w:rPr>
                <w:b/>
                <w:lang w:eastAsia="en-AU"/>
              </w:rPr>
              <w:t>Qtr 56</w:t>
            </w:r>
          </w:p>
        </w:tc>
        <w:tc>
          <w:tcPr>
            <w:tcW w:w="993" w:type="dxa"/>
            <w:tcBorders>
              <w:top w:val="single" w:sz="4" w:space="0" w:color="auto"/>
              <w:left w:val="nil"/>
              <w:bottom w:val="single" w:sz="4" w:space="0" w:color="auto"/>
              <w:right w:val="single" w:sz="4" w:space="0" w:color="auto"/>
            </w:tcBorders>
          </w:tcPr>
          <w:p w14:paraId="6C5A6E1B" w14:textId="2B9D1ECE" w:rsidR="0075537F" w:rsidRDefault="0075537F" w:rsidP="0075537F">
            <w:pPr>
              <w:pStyle w:val="TableText"/>
              <w:jc w:val="right"/>
              <w:rPr>
                <w:b/>
                <w:lang w:eastAsia="en-AU"/>
              </w:rPr>
            </w:pPr>
            <w:r>
              <w:rPr>
                <w:b/>
                <w:lang w:eastAsia="en-AU"/>
              </w:rPr>
              <w:t>Qtr 57</w:t>
            </w:r>
          </w:p>
        </w:tc>
      </w:tr>
      <w:tr w:rsidR="0075537F" w:rsidRPr="00C5395B" w14:paraId="40E64458" w14:textId="77777777" w:rsidTr="00D42C09">
        <w:trPr>
          <w:trHeight w:val="255"/>
        </w:trPr>
        <w:tc>
          <w:tcPr>
            <w:tcW w:w="2029" w:type="dxa"/>
            <w:tcBorders>
              <w:top w:val="nil"/>
              <w:left w:val="single" w:sz="4" w:space="0" w:color="auto"/>
              <w:bottom w:val="single" w:sz="4" w:space="0" w:color="auto"/>
              <w:right w:val="single" w:sz="4" w:space="0" w:color="auto"/>
            </w:tcBorders>
            <w:noWrap/>
            <w:hideMark/>
          </w:tcPr>
          <w:p w14:paraId="5F992648" w14:textId="77777777" w:rsidR="0075537F" w:rsidRPr="00C5395B" w:rsidRDefault="0075537F" w:rsidP="0075537F">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115E8435" w14:textId="09A2116B" w:rsidR="0075537F" w:rsidRDefault="0075537F" w:rsidP="0075537F">
            <w:pPr>
              <w:jc w:val="right"/>
              <w:rPr>
                <w:rFonts w:cs="Arial"/>
              </w:rPr>
            </w:pPr>
            <w:r>
              <w:rPr>
                <w:rFonts w:cs="Arial"/>
              </w:rPr>
              <w:t>39</w:t>
            </w:r>
          </w:p>
        </w:tc>
        <w:tc>
          <w:tcPr>
            <w:tcW w:w="992" w:type="dxa"/>
            <w:tcBorders>
              <w:top w:val="nil"/>
              <w:left w:val="nil"/>
              <w:bottom w:val="single" w:sz="4" w:space="0" w:color="auto"/>
              <w:right w:val="single" w:sz="4" w:space="0" w:color="auto"/>
            </w:tcBorders>
          </w:tcPr>
          <w:p w14:paraId="720295E1" w14:textId="1CE5DC87" w:rsidR="0075537F" w:rsidRPr="00B8398E" w:rsidRDefault="0075537F" w:rsidP="0075537F">
            <w:pPr>
              <w:jc w:val="right"/>
              <w:rPr>
                <w:rFonts w:cs="Arial"/>
              </w:rPr>
            </w:pPr>
            <w:r>
              <w:rPr>
                <w:rFonts w:cs="Arial"/>
              </w:rPr>
              <w:t>30</w:t>
            </w:r>
          </w:p>
        </w:tc>
        <w:tc>
          <w:tcPr>
            <w:tcW w:w="993" w:type="dxa"/>
            <w:tcBorders>
              <w:top w:val="nil"/>
              <w:left w:val="nil"/>
              <w:bottom w:val="single" w:sz="4" w:space="0" w:color="auto"/>
              <w:right w:val="single" w:sz="4" w:space="0" w:color="auto"/>
            </w:tcBorders>
          </w:tcPr>
          <w:p w14:paraId="683CD485" w14:textId="609EBA01" w:rsidR="0075537F" w:rsidRPr="0078302F" w:rsidRDefault="0075537F" w:rsidP="0075537F">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00B1CEDB" w14:textId="3279FBA1" w:rsidR="0075537F" w:rsidRDefault="0075537F" w:rsidP="0075537F">
            <w:pPr>
              <w:jc w:val="right"/>
              <w:rPr>
                <w:rFonts w:cs="Arial"/>
              </w:rPr>
            </w:pPr>
            <w:r>
              <w:rPr>
                <w:rFonts w:cs="Arial"/>
              </w:rPr>
              <w:t>42</w:t>
            </w:r>
          </w:p>
        </w:tc>
        <w:tc>
          <w:tcPr>
            <w:tcW w:w="993" w:type="dxa"/>
            <w:tcBorders>
              <w:top w:val="nil"/>
              <w:left w:val="nil"/>
              <w:bottom w:val="single" w:sz="4" w:space="0" w:color="auto"/>
              <w:right w:val="single" w:sz="4" w:space="0" w:color="auto"/>
            </w:tcBorders>
          </w:tcPr>
          <w:p w14:paraId="4059678C" w14:textId="77777777" w:rsidR="0075537F" w:rsidRDefault="0075537F" w:rsidP="0075537F">
            <w:pPr>
              <w:jc w:val="right"/>
              <w:rPr>
                <w:rFonts w:cs="Arial"/>
              </w:rPr>
            </w:pPr>
            <w:r>
              <w:rPr>
                <w:rFonts w:cs="Arial"/>
              </w:rPr>
              <w:t>42</w:t>
            </w:r>
          </w:p>
        </w:tc>
      </w:tr>
      <w:tr w:rsidR="0075537F" w:rsidRPr="00C5395B" w14:paraId="7C313CD2" w14:textId="77777777" w:rsidTr="00D42C09">
        <w:trPr>
          <w:trHeight w:val="255"/>
        </w:trPr>
        <w:tc>
          <w:tcPr>
            <w:tcW w:w="2029" w:type="dxa"/>
            <w:tcBorders>
              <w:top w:val="nil"/>
              <w:left w:val="single" w:sz="4" w:space="0" w:color="auto"/>
              <w:bottom w:val="single" w:sz="4" w:space="0" w:color="auto"/>
              <w:right w:val="single" w:sz="4" w:space="0" w:color="auto"/>
            </w:tcBorders>
            <w:noWrap/>
            <w:hideMark/>
          </w:tcPr>
          <w:p w14:paraId="5CD8CB25" w14:textId="77777777" w:rsidR="0075537F" w:rsidRPr="00C5395B" w:rsidRDefault="0075537F" w:rsidP="0075537F">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03F628DB" w14:textId="65D6B9EF" w:rsidR="0075537F" w:rsidRDefault="0075537F" w:rsidP="0075537F">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158A07F1" w14:textId="39224416" w:rsidR="0075537F" w:rsidRPr="00B8398E" w:rsidRDefault="0075537F" w:rsidP="0075537F">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6B5F6CBC" w14:textId="362E39E2" w:rsidR="0075537F" w:rsidRPr="0078302F" w:rsidRDefault="0075537F" w:rsidP="0075537F">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46DB4D60" w14:textId="1C26260D" w:rsidR="0075537F" w:rsidRDefault="0075537F" w:rsidP="0075537F">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66343710" w14:textId="127FD6B3" w:rsidR="0075537F" w:rsidRDefault="0075537F" w:rsidP="0075537F">
            <w:pPr>
              <w:jc w:val="right"/>
              <w:rPr>
                <w:rFonts w:cs="Arial"/>
              </w:rPr>
            </w:pPr>
            <w:r>
              <w:rPr>
                <w:rFonts w:cs="Arial"/>
              </w:rPr>
              <w:t>0</w:t>
            </w:r>
          </w:p>
        </w:tc>
      </w:tr>
      <w:tr w:rsidR="0075537F" w:rsidRPr="00C5395B" w14:paraId="16C05FDC" w14:textId="77777777" w:rsidTr="00D42C09">
        <w:trPr>
          <w:trHeight w:val="255"/>
        </w:trPr>
        <w:tc>
          <w:tcPr>
            <w:tcW w:w="2029" w:type="dxa"/>
            <w:tcBorders>
              <w:top w:val="nil"/>
              <w:left w:val="single" w:sz="4" w:space="0" w:color="auto"/>
              <w:bottom w:val="single" w:sz="4" w:space="0" w:color="auto"/>
              <w:right w:val="single" w:sz="4" w:space="0" w:color="auto"/>
            </w:tcBorders>
            <w:noWrap/>
          </w:tcPr>
          <w:p w14:paraId="07F74698" w14:textId="77777777" w:rsidR="0075537F" w:rsidRPr="00C5395B" w:rsidRDefault="0075537F" w:rsidP="0075537F">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345BE3E6" w14:textId="3E062C6B" w:rsidR="0075537F" w:rsidRDefault="0075537F" w:rsidP="0075537F">
            <w:pPr>
              <w:jc w:val="right"/>
              <w:rPr>
                <w:rFonts w:cs="Arial"/>
              </w:rPr>
            </w:pPr>
            <w:r>
              <w:rPr>
                <w:rFonts w:cs="Arial"/>
              </w:rPr>
              <w:t>17</w:t>
            </w:r>
          </w:p>
        </w:tc>
        <w:tc>
          <w:tcPr>
            <w:tcW w:w="992" w:type="dxa"/>
            <w:tcBorders>
              <w:top w:val="nil"/>
              <w:left w:val="nil"/>
              <w:bottom w:val="single" w:sz="4" w:space="0" w:color="auto"/>
              <w:right w:val="single" w:sz="4" w:space="0" w:color="auto"/>
            </w:tcBorders>
          </w:tcPr>
          <w:p w14:paraId="4442CE9D" w14:textId="534D4060" w:rsidR="0075537F" w:rsidRPr="00B8398E" w:rsidRDefault="0075537F" w:rsidP="0075537F">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51FD31A1" w14:textId="2FA5811A" w:rsidR="0075537F" w:rsidRPr="0078302F" w:rsidRDefault="0075537F" w:rsidP="0075537F">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7965CA19" w14:textId="41A8915E" w:rsidR="0075537F" w:rsidRDefault="0075537F" w:rsidP="0075537F">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51070E67" w14:textId="252A09C5" w:rsidR="0075537F" w:rsidRDefault="0075537F" w:rsidP="0075537F">
            <w:pPr>
              <w:jc w:val="right"/>
              <w:rPr>
                <w:rFonts w:cs="Arial"/>
              </w:rPr>
            </w:pPr>
            <w:r>
              <w:rPr>
                <w:rFonts w:cs="Arial"/>
              </w:rPr>
              <w:t>19</w:t>
            </w:r>
          </w:p>
        </w:tc>
      </w:tr>
      <w:tr w:rsidR="0075537F" w:rsidRPr="00C5395B" w14:paraId="273B9A93" w14:textId="77777777" w:rsidTr="00D42C09">
        <w:trPr>
          <w:trHeight w:val="255"/>
        </w:trPr>
        <w:tc>
          <w:tcPr>
            <w:tcW w:w="2029" w:type="dxa"/>
            <w:tcBorders>
              <w:top w:val="nil"/>
              <w:left w:val="single" w:sz="4" w:space="0" w:color="auto"/>
              <w:bottom w:val="single" w:sz="4" w:space="0" w:color="auto"/>
              <w:right w:val="single" w:sz="4" w:space="0" w:color="auto"/>
            </w:tcBorders>
            <w:noWrap/>
            <w:hideMark/>
          </w:tcPr>
          <w:p w14:paraId="6D2A379D" w14:textId="77777777" w:rsidR="0075537F" w:rsidRPr="00C5395B" w:rsidRDefault="0075537F" w:rsidP="0075537F">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07A460D3" w14:textId="2412D99E" w:rsidR="0075537F" w:rsidRDefault="0075537F" w:rsidP="0075537F">
            <w:pPr>
              <w:jc w:val="right"/>
              <w:rPr>
                <w:rFonts w:cs="Arial"/>
              </w:rPr>
            </w:pPr>
            <w:r w:rsidRPr="0078302F">
              <w:rPr>
                <w:rFonts w:cs="Arial"/>
              </w:rPr>
              <w:t>9</w:t>
            </w:r>
          </w:p>
        </w:tc>
        <w:tc>
          <w:tcPr>
            <w:tcW w:w="992" w:type="dxa"/>
            <w:tcBorders>
              <w:top w:val="nil"/>
              <w:left w:val="nil"/>
              <w:bottom w:val="single" w:sz="4" w:space="0" w:color="auto"/>
              <w:right w:val="single" w:sz="4" w:space="0" w:color="auto"/>
            </w:tcBorders>
          </w:tcPr>
          <w:p w14:paraId="48232996" w14:textId="03E58A30" w:rsidR="0075537F" w:rsidRPr="00B8398E" w:rsidRDefault="0075537F" w:rsidP="0075537F">
            <w:pPr>
              <w:jc w:val="right"/>
              <w:rPr>
                <w:rFonts w:cs="Arial"/>
              </w:rPr>
            </w:pPr>
            <w:r>
              <w:rPr>
                <w:rFonts w:cs="Arial"/>
              </w:rPr>
              <w:t>1</w:t>
            </w:r>
          </w:p>
        </w:tc>
        <w:tc>
          <w:tcPr>
            <w:tcW w:w="993" w:type="dxa"/>
            <w:tcBorders>
              <w:top w:val="nil"/>
              <w:left w:val="nil"/>
              <w:bottom w:val="single" w:sz="4" w:space="0" w:color="auto"/>
              <w:right w:val="single" w:sz="4" w:space="0" w:color="auto"/>
            </w:tcBorders>
          </w:tcPr>
          <w:p w14:paraId="07FF3C68" w14:textId="5E830885" w:rsidR="0075537F" w:rsidRPr="0078302F" w:rsidRDefault="0075537F" w:rsidP="0075537F">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65BD1E3F" w14:textId="412225E3" w:rsidR="0075537F" w:rsidRPr="0078302F" w:rsidRDefault="0075537F" w:rsidP="0075537F">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233E4722" w14:textId="35A7E853" w:rsidR="0075537F" w:rsidRDefault="0075537F" w:rsidP="0075537F">
            <w:pPr>
              <w:jc w:val="right"/>
              <w:rPr>
                <w:rFonts w:cs="Arial"/>
              </w:rPr>
            </w:pPr>
            <w:r>
              <w:rPr>
                <w:rFonts w:cs="Arial"/>
              </w:rPr>
              <w:t>10</w:t>
            </w:r>
          </w:p>
        </w:tc>
      </w:tr>
      <w:tr w:rsidR="0075537F" w:rsidRPr="00C5395B" w14:paraId="7C6EBF06" w14:textId="77777777" w:rsidTr="00D42C09">
        <w:trPr>
          <w:trHeight w:val="255"/>
        </w:trPr>
        <w:tc>
          <w:tcPr>
            <w:tcW w:w="2029" w:type="dxa"/>
            <w:tcBorders>
              <w:top w:val="nil"/>
              <w:left w:val="single" w:sz="4" w:space="0" w:color="auto"/>
              <w:bottom w:val="single" w:sz="4" w:space="0" w:color="auto"/>
              <w:right w:val="single" w:sz="4" w:space="0" w:color="auto"/>
            </w:tcBorders>
            <w:noWrap/>
            <w:hideMark/>
          </w:tcPr>
          <w:p w14:paraId="34A5CE39" w14:textId="77777777" w:rsidR="0075537F" w:rsidRPr="00C5395B" w:rsidRDefault="0075537F" w:rsidP="0075537F">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57E52BDC" w14:textId="639DBBBB" w:rsidR="0075537F" w:rsidRDefault="0075537F" w:rsidP="0075537F">
            <w:pPr>
              <w:pStyle w:val="TableText"/>
              <w:jc w:val="right"/>
              <w:rPr>
                <w:b/>
                <w:lang w:eastAsia="en-AU"/>
              </w:rPr>
            </w:pPr>
            <w:r>
              <w:rPr>
                <w:rFonts w:cs="Arial"/>
                <w:b/>
                <w:bCs/>
              </w:rPr>
              <w:t>72</w:t>
            </w:r>
          </w:p>
        </w:tc>
        <w:tc>
          <w:tcPr>
            <w:tcW w:w="992" w:type="dxa"/>
            <w:tcBorders>
              <w:top w:val="nil"/>
              <w:left w:val="nil"/>
              <w:bottom w:val="single" w:sz="4" w:space="0" w:color="auto"/>
              <w:right w:val="single" w:sz="4" w:space="0" w:color="auto"/>
            </w:tcBorders>
          </w:tcPr>
          <w:p w14:paraId="0DD077E2" w14:textId="3C516D95" w:rsidR="0075537F" w:rsidRPr="00B8398E" w:rsidRDefault="0075537F" w:rsidP="0075537F">
            <w:pPr>
              <w:pStyle w:val="TableText"/>
              <w:jc w:val="right"/>
              <w:rPr>
                <w:rFonts w:cs="Arial"/>
                <w:b/>
                <w:bCs/>
              </w:rPr>
            </w:pPr>
            <w:r>
              <w:rPr>
                <w:rFonts w:cs="Arial"/>
                <w:b/>
                <w:bCs/>
              </w:rPr>
              <w:t>52</w:t>
            </w:r>
          </w:p>
        </w:tc>
        <w:tc>
          <w:tcPr>
            <w:tcW w:w="993" w:type="dxa"/>
            <w:tcBorders>
              <w:top w:val="nil"/>
              <w:left w:val="nil"/>
              <w:bottom w:val="single" w:sz="4" w:space="0" w:color="auto"/>
              <w:right w:val="single" w:sz="4" w:space="0" w:color="auto"/>
            </w:tcBorders>
          </w:tcPr>
          <w:p w14:paraId="1193CE3B" w14:textId="78A51114" w:rsidR="0075537F" w:rsidRPr="0078302F" w:rsidRDefault="0075537F" w:rsidP="0075537F">
            <w:pPr>
              <w:pStyle w:val="TableText"/>
              <w:jc w:val="right"/>
              <w:rPr>
                <w:rFonts w:cs="Arial"/>
                <w:b/>
                <w:bCs/>
              </w:rPr>
            </w:pPr>
            <w:r>
              <w:rPr>
                <w:rFonts w:cs="Arial"/>
                <w:b/>
                <w:bCs/>
              </w:rPr>
              <w:t>26</w:t>
            </w:r>
          </w:p>
        </w:tc>
        <w:tc>
          <w:tcPr>
            <w:tcW w:w="993" w:type="dxa"/>
            <w:tcBorders>
              <w:top w:val="nil"/>
              <w:left w:val="nil"/>
              <w:bottom w:val="single" w:sz="4" w:space="0" w:color="auto"/>
              <w:right w:val="single" w:sz="4" w:space="0" w:color="auto"/>
            </w:tcBorders>
          </w:tcPr>
          <w:p w14:paraId="6E5B5897" w14:textId="13E4A0E1" w:rsidR="0075537F" w:rsidRDefault="0075537F" w:rsidP="0075537F">
            <w:pPr>
              <w:pStyle w:val="TableText"/>
              <w:jc w:val="right"/>
              <w:rPr>
                <w:rFonts w:cs="Arial"/>
                <w:b/>
                <w:bCs/>
              </w:rPr>
            </w:pPr>
            <w:r>
              <w:rPr>
                <w:rFonts w:cs="Arial"/>
                <w:b/>
                <w:bCs/>
              </w:rPr>
              <w:t>50</w:t>
            </w:r>
          </w:p>
        </w:tc>
        <w:tc>
          <w:tcPr>
            <w:tcW w:w="993" w:type="dxa"/>
            <w:tcBorders>
              <w:top w:val="nil"/>
              <w:left w:val="nil"/>
              <w:bottom w:val="single" w:sz="4" w:space="0" w:color="auto"/>
              <w:right w:val="single" w:sz="4" w:space="0" w:color="auto"/>
            </w:tcBorders>
          </w:tcPr>
          <w:p w14:paraId="41628AAC" w14:textId="1C61ADCC" w:rsidR="0075537F" w:rsidRDefault="008A254A" w:rsidP="0075537F">
            <w:pPr>
              <w:pStyle w:val="TableText"/>
              <w:jc w:val="right"/>
              <w:rPr>
                <w:rFonts w:cs="Arial"/>
                <w:b/>
                <w:bCs/>
              </w:rPr>
            </w:pPr>
            <w:r>
              <w:rPr>
                <w:rFonts w:cs="Arial"/>
                <w:b/>
                <w:bCs/>
              </w:rPr>
              <w:t>71</w:t>
            </w:r>
          </w:p>
        </w:tc>
      </w:tr>
    </w:tbl>
    <w:p w14:paraId="3FA34184" w14:textId="77777777" w:rsidR="0075537F" w:rsidRDefault="0075537F" w:rsidP="0075537F">
      <w:pPr>
        <w:spacing w:after="120" w:line="240" w:lineRule="auto"/>
        <w:ind w:left="794" w:hanging="794"/>
        <w:rPr>
          <w:b/>
          <w:sz w:val="16"/>
          <w:szCs w:val="16"/>
        </w:rPr>
      </w:pPr>
    </w:p>
    <w:p w14:paraId="3A5902A6" w14:textId="2ADB4A69" w:rsidR="001748A5" w:rsidRDefault="001748A5" w:rsidP="001748A5">
      <w:pPr>
        <w:spacing w:after="120" w:line="240" w:lineRule="auto"/>
        <w:ind w:left="794" w:hanging="794"/>
        <w:rPr>
          <w:sz w:val="16"/>
          <w:szCs w:val="16"/>
        </w:rPr>
      </w:pPr>
      <w:r w:rsidRPr="006C6A65">
        <w:rPr>
          <w:b/>
          <w:sz w:val="16"/>
          <w:szCs w:val="16"/>
        </w:rPr>
        <w:t xml:space="preserve">Table </w:t>
      </w:r>
      <w:r w:rsidR="0075537F">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00F83C14">
        <w:rPr>
          <w:sz w:val="16"/>
          <w:szCs w:val="16"/>
        </w:rPr>
        <w:t xml:space="preserve">1 </w:t>
      </w:r>
      <w:r w:rsidR="000F408B">
        <w:rPr>
          <w:sz w:val="16"/>
          <w:szCs w:val="16"/>
        </w:rPr>
        <w:t>July</w:t>
      </w:r>
      <w:r w:rsidR="00415BC8">
        <w:rPr>
          <w:sz w:val="16"/>
          <w:szCs w:val="16"/>
        </w:rPr>
        <w:t xml:space="preserve"> 2022</w:t>
      </w:r>
      <w:r w:rsidR="00A41820">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923FEE" w:rsidRPr="0094558B" w14:paraId="2A713E69" w14:textId="77777777" w:rsidTr="00F526E1">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923FEE" w:rsidRPr="00640E37" w:rsidRDefault="00923FEE" w:rsidP="00923FEE">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0324A969" w:rsidR="00923FEE" w:rsidRPr="0094558B" w:rsidRDefault="00923FEE" w:rsidP="00923FEE">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3083CF9A" w:rsidR="00923FEE" w:rsidRPr="0094558B" w:rsidRDefault="00923FEE" w:rsidP="00923FEE">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6659A4D6" w14:textId="4BC0121A" w:rsidR="00923FEE" w:rsidRPr="0094558B" w:rsidRDefault="00923FEE" w:rsidP="00923FEE">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1815A01A" w14:textId="2283410B" w:rsidR="00923FEE" w:rsidRPr="0094558B" w:rsidRDefault="00923FEE" w:rsidP="00923FEE">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vAlign w:val="center"/>
          </w:tcPr>
          <w:p w14:paraId="10ABD0AD" w14:textId="2063156B" w:rsidR="00923FEE" w:rsidRPr="0094558B" w:rsidRDefault="00923FEE" w:rsidP="00923FEE">
            <w:pPr>
              <w:spacing w:line="240" w:lineRule="auto"/>
              <w:jc w:val="right"/>
              <w:rPr>
                <w:rFonts w:cs="Arial"/>
                <w:b/>
                <w:bCs/>
                <w:lang w:eastAsia="en-AU"/>
              </w:rPr>
            </w:pPr>
            <w:r>
              <w:rPr>
                <w:rFonts w:cs="Arial"/>
                <w:b/>
                <w:bCs/>
              </w:rPr>
              <w:t>4</w:t>
            </w:r>
          </w:p>
        </w:tc>
      </w:tr>
      <w:tr w:rsidR="00923FEE" w:rsidRPr="00650B45" w14:paraId="5725BEC2" w14:textId="77777777" w:rsidTr="00F526E1">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923FEE" w:rsidRPr="00640E37" w:rsidRDefault="00923FEE" w:rsidP="00923FEE">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14397C38" w:rsidR="00923FEE" w:rsidRPr="0040594D" w:rsidRDefault="00923FEE" w:rsidP="00923FEE">
            <w:pPr>
              <w:spacing w:line="240" w:lineRule="auto"/>
              <w:jc w:val="right"/>
              <w:rPr>
                <w:rFonts w:cs="Arial"/>
                <w:lang w:eastAsia="en-AU"/>
              </w:rPr>
            </w:pPr>
            <w:r>
              <w:rPr>
                <w:rFonts w:cs="Arial"/>
              </w:rPr>
              <w:t>5</w:t>
            </w:r>
          </w:p>
        </w:tc>
        <w:tc>
          <w:tcPr>
            <w:tcW w:w="784" w:type="dxa"/>
            <w:tcBorders>
              <w:top w:val="nil"/>
              <w:left w:val="nil"/>
              <w:bottom w:val="single" w:sz="4" w:space="0" w:color="auto"/>
              <w:right w:val="single" w:sz="4" w:space="0" w:color="auto"/>
            </w:tcBorders>
            <w:shd w:val="clear" w:color="auto" w:fill="auto"/>
            <w:vAlign w:val="center"/>
          </w:tcPr>
          <w:p w14:paraId="3C97EB58" w14:textId="7C5F3BB8" w:rsidR="00923FEE" w:rsidRPr="0040594D" w:rsidRDefault="00923FEE" w:rsidP="00923FEE">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2B2C50D5" w14:textId="6C82F7B4" w:rsidR="00923FEE" w:rsidRDefault="00923FEE" w:rsidP="00923FEE">
            <w:pPr>
              <w:spacing w:line="240" w:lineRule="auto"/>
              <w:jc w:val="right"/>
              <w:rPr>
                <w:rFonts w:cs="Arial"/>
                <w:lang w:eastAsia="en-AU"/>
              </w:rPr>
            </w:pPr>
            <w:r>
              <w:rPr>
                <w:rFonts w:cs="Arial"/>
              </w:rPr>
              <w:t>6</w:t>
            </w:r>
          </w:p>
        </w:tc>
        <w:tc>
          <w:tcPr>
            <w:tcW w:w="784" w:type="dxa"/>
            <w:tcBorders>
              <w:top w:val="nil"/>
              <w:left w:val="nil"/>
              <w:bottom w:val="single" w:sz="4" w:space="0" w:color="auto"/>
              <w:right w:val="single" w:sz="4" w:space="0" w:color="auto"/>
            </w:tcBorders>
            <w:vAlign w:val="center"/>
          </w:tcPr>
          <w:p w14:paraId="5E25C841" w14:textId="7765A9F3" w:rsidR="00923FEE" w:rsidRDefault="00923FEE" w:rsidP="00923FEE">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6A804D63" w14:textId="1235CF55" w:rsidR="00923FEE" w:rsidRPr="0094558B" w:rsidRDefault="00923FEE" w:rsidP="00923FEE">
            <w:pPr>
              <w:spacing w:line="240" w:lineRule="auto"/>
              <w:jc w:val="right"/>
              <w:rPr>
                <w:rFonts w:cs="Arial"/>
                <w:b/>
                <w:lang w:eastAsia="en-AU"/>
              </w:rPr>
            </w:pPr>
            <w:r>
              <w:rPr>
                <w:rFonts w:cs="Arial"/>
                <w:b/>
                <w:bCs/>
              </w:rPr>
              <w:t>12</w:t>
            </w:r>
          </w:p>
        </w:tc>
      </w:tr>
      <w:tr w:rsidR="00923FEE" w:rsidRPr="00650B45" w14:paraId="6D0F82C5" w14:textId="77777777" w:rsidTr="00F526E1">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923FEE" w:rsidRPr="00640E37" w:rsidRDefault="00923FEE" w:rsidP="00923FEE">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355FB3B1" w:rsidR="00923FEE" w:rsidRPr="0040594D" w:rsidRDefault="00923FEE" w:rsidP="00923FEE">
            <w:pPr>
              <w:spacing w:line="240" w:lineRule="auto"/>
              <w:jc w:val="right"/>
              <w:rPr>
                <w:rFonts w:cs="Arial"/>
                <w:lang w:eastAsia="en-AU"/>
              </w:rPr>
            </w:pPr>
            <w:r>
              <w:rPr>
                <w:rFonts w:cs="Arial"/>
              </w:rPr>
              <w:t>36</w:t>
            </w:r>
          </w:p>
        </w:tc>
        <w:tc>
          <w:tcPr>
            <w:tcW w:w="784" w:type="dxa"/>
            <w:tcBorders>
              <w:top w:val="nil"/>
              <w:left w:val="nil"/>
              <w:bottom w:val="single" w:sz="4" w:space="0" w:color="auto"/>
              <w:right w:val="single" w:sz="4" w:space="0" w:color="auto"/>
            </w:tcBorders>
            <w:shd w:val="clear" w:color="auto" w:fill="auto"/>
            <w:vAlign w:val="center"/>
          </w:tcPr>
          <w:p w14:paraId="05EC430A" w14:textId="337D4F8A" w:rsidR="00923FEE" w:rsidRDefault="00923FEE" w:rsidP="00923FEE">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53D47FFE" w14:textId="69612A7C" w:rsidR="00923FEE" w:rsidRDefault="00923FEE" w:rsidP="00923FEE">
            <w:pPr>
              <w:spacing w:line="240" w:lineRule="auto"/>
              <w:jc w:val="right"/>
              <w:rPr>
                <w:rFonts w:cs="Arial"/>
                <w:lang w:eastAsia="en-AU"/>
              </w:rPr>
            </w:pPr>
            <w:r>
              <w:rPr>
                <w:rFonts w:cs="Arial"/>
              </w:rPr>
              <w:t>12</w:t>
            </w:r>
          </w:p>
        </w:tc>
        <w:tc>
          <w:tcPr>
            <w:tcW w:w="784" w:type="dxa"/>
            <w:tcBorders>
              <w:top w:val="nil"/>
              <w:left w:val="nil"/>
              <w:bottom w:val="single" w:sz="4" w:space="0" w:color="auto"/>
              <w:right w:val="single" w:sz="4" w:space="0" w:color="auto"/>
            </w:tcBorders>
            <w:vAlign w:val="center"/>
          </w:tcPr>
          <w:p w14:paraId="1A3F174E" w14:textId="4FA7D094" w:rsidR="00923FEE" w:rsidRDefault="00923FEE" w:rsidP="00923FEE">
            <w:pPr>
              <w:spacing w:line="240" w:lineRule="auto"/>
              <w:jc w:val="right"/>
              <w:rPr>
                <w:rFonts w:cs="Arial"/>
                <w:lang w:eastAsia="en-AU"/>
              </w:rPr>
            </w:pPr>
            <w:r>
              <w:rPr>
                <w:rFonts w:cs="Arial"/>
              </w:rPr>
              <w:t>7</w:t>
            </w:r>
          </w:p>
        </w:tc>
        <w:tc>
          <w:tcPr>
            <w:tcW w:w="784" w:type="dxa"/>
            <w:tcBorders>
              <w:top w:val="nil"/>
              <w:left w:val="nil"/>
              <w:bottom w:val="single" w:sz="4" w:space="0" w:color="auto"/>
              <w:right w:val="single" w:sz="4" w:space="0" w:color="auto"/>
            </w:tcBorders>
            <w:vAlign w:val="center"/>
          </w:tcPr>
          <w:p w14:paraId="016DD19F" w14:textId="73F9AF6E" w:rsidR="00923FEE" w:rsidRPr="0094558B" w:rsidRDefault="00923FEE" w:rsidP="00923FEE">
            <w:pPr>
              <w:spacing w:line="240" w:lineRule="auto"/>
              <w:jc w:val="right"/>
              <w:rPr>
                <w:rFonts w:cs="Arial"/>
                <w:b/>
                <w:lang w:eastAsia="en-AU"/>
              </w:rPr>
            </w:pPr>
            <w:r>
              <w:rPr>
                <w:rFonts w:cs="Arial"/>
                <w:b/>
                <w:bCs/>
              </w:rPr>
              <w:t>55</w:t>
            </w:r>
          </w:p>
        </w:tc>
      </w:tr>
      <w:tr w:rsidR="00923FEE" w:rsidRPr="00557E24" w14:paraId="63F8D415" w14:textId="77777777" w:rsidTr="00F526E1">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923FEE" w:rsidRPr="00557E24" w:rsidRDefault="00923FEE" w:rsidP="00923FEE">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4CCBFDDB" w:rsidR="00923FEE" w:rsidRPr="00557E24" w:rsidRDefault="00923FEE" w:rsidP="00923FEE">
            <w:pPr>
              <w:spacing w:line="240" w:lineRule="auto"/>
              <w:jc w:val="right"/>
              <w:rPr>
                <w:rFonts w:cs="Arial"/>
                <w:b/>
                <w:lang w:eastAsia="en-AU"/>
              </w:rPr>
            </w:pPr>
            <w:r>
              <w:rPr>
                <w:rFonts w:cs="Arial"/>
                <w:b/>
                <w:bCs/>
              </w:rPr>
              <w:t>42</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48D68DCE" w:rsidR="00923FEE" w:rsidRPr="00557E24" w:rsidRDefault="00923FEE" w:rsidP="00923FEE">
            <w:pPr>
              <w:spacing w:line="240" w:lineRule="auto"/>
              <w:jc w:val="right"/>
              <w:rPr>
                <w:rFonts w:cs="Arial"/>
                <w:b/>
                <w:lang w:eastAsia="en-AU"/>
              </w:rPr>
            </w:pPr>
            <w:r>
              <w:rPr>
                <w:rFonts w:cs="Arial"/>
                <w:b/>
                <w:bCs/>
              </w:rPr>
              <w:t>0</w:t>
            </w:r>
          </w:p>
        </w:tc>
        <w:tc>
          <w:tcPr>
            <w:tcW w:w="784" w:type="dxa"/>
            <w:tcBorders>
              <w:top w:val="single" w:sz="4" w:space="0" w:color="auto"/>
              <w:left w:val="nil"/>
              <w:bottom w:val="single" w:sz="4" w:space="0" w:color="auto"/>
              <w:right w:val="single" w:sz="4" w:space="0" w:color="auto"/>
            </w:tcBorders>
            <w:vAlign w:val="center"/>
          </w:tcPr>
          <w:p w14:paraId="1C15A840" w14:textId="6A0AEA1B" w:rsidR="00923FEE" w:rsidRPr="00557E24" w:rsidRDefault="00923FEE" w:rsidP="00923FEE">
            <w:pPr>
              <w:spacing w:line="240" w:lineRule="auto"/>
              <w:jc w:val="right"/>
              <w:rPr>
                <w:rFonts w:cs="Arial"/>
                <w:b/>
                <w:lang w:eastAsia="en-AU"/>
              </w:rPr>
            </w:pPr>
            <w:r>
              <w:rPr>
                <w:rFonts w:cs="Arial"/>
                <w:b/>
                <w:bCs/>
              </w:rPr>
              <w:t>19</w:t>
            </w:r>
          </w:p>
        </w:tc>
        <w:tc>
          <w:tcPr>
            <w:tcW w:w="784" w:type="dxa"/>
            <w:tcBorders>
              <w:top w:val="single" w:sz="4" w:space="0" w:color="auto"/>
              <w:left w:val="nil"/>
              <w:bottom w:val="single" w:sz="4" w:space="0" w:color="auto"/>
              <w:right w:val="single" w:sz="4" w:space="0" w:color="auto"/>
            </w:tcBorders>
            <w:vAlign w:val="center"/>
          </w:tcPr>
          <w:p w14:paraId="05E4508F" w14:textId="3FC3F895" w:rsidR="00923FEE" w:rsidRPr="00557E24" w:rsidRDefault="00923FEE" w:rsidP="00923FEE">
            <w:pPr>
              <w:spacing w:line="240" w:lineRule="auto"/>
              <w:jc w:val="right"/>
              <w:rPr>
                <w:rFonts w:cs="Arial"/>
                <w:b/>
                <w:lang w:eastAsia="en-AU"/>
              </w:rPr>
            </w:pPr>
            <w:r>
              <w:rPr>
                <w:rFonts w:cs="Arial"/>
                <w:b/>
                <w:bCs/>
              </w:rPr>
              <w:t>10</w:t>
            </w:r>
          </w:p>
        </w:tc>
        <w:tc>
          <w:tcPr>
            <w:tcW w:w="784" w:type="dxa"/>
            <w:tcBorders>
              <w:top w:val="single" w:sz="4" w:space="0" w:color="auto"/>
              <w:left w:val="nil"/>
              <w:bottom w:val="single" w:sz="4" w:space="0" w:color="auto"/>
              <w:right w:val="single" w:sz="4" w:space="0" w:color="auto"/>
            </w:tcBorders>
            <w:vAlign w:val="center"/>
          </w:tcPr>
          <w:p w14:paraId="22F31EFF" w14:textId="5C243FBF" w:rsidR="00923FEE" w:rsidRPr="0094558B" w:rsidRDefault="00923FEE" w:rsidP="00923FEE">
            <w:pPr>
              <w:spacing w:line="240" w:lineRule="auto"/>
              <w:jc w:val="right"/>
              <w:rPr>
                <w:rFonts w:cs="Arial"/>
                <w:b/>
                <w:lang w:eastAsia="en-AU"/>
              </w:rPr>
            </w:pPr>
            <w:r>
              <w:rPr>
                <w:rFonts w:cs="Arial"/>
                <w:b/>
                <w:bCs/>
              </w:rPr>
              <w:t>71</w:t>
            </w:r>
          </w:p>
        </w:tc>
      </w:tr>
    </w:tbl>
    <w:p w14:paraId="5BED135A" w14:textId="0E7B4F66" w:rsidR="001748A5" w:rsidRDefault="001748A5" w:rsidP="001748A5">
      <w:pPr>
        <w:ind w:left="-142" w:right="-425"/>
        <w:jc w:val="both"/>
        <w:rPr>
          <w:rFonts w:cs="Arial"/>
          <w:noProof/>
          <w:lang w:eastAsia="en-AU"/>
        </w:rPr>
      </w:pPr>
    </w:p>
    <w:p w14:paraId="449FFBD2" w14:textId="77777777" w:rsidR="00CE7E48" w:rsidRDefault="00CE7E48">
      <w:pPr>
        <w:spacing w:line="240" w:lineRule="auto"/>
        <w:rPr>
          <w:b/>
          <w:sz w:val="16"/>
          <w:szCs w:val="16"/>
        </w:rPr>
      </w:pPr>
      <w:r>
        <w:rPr>
          <w:b/>
          <w:sz w:val="16"/>
          <w:szCs w:val="16"/>
        </w:rPr>
        <w:br w:type="page"/>
      </w:r>
    </w:p>
    <w:p w14:paraId="17CBBA45" w14:textId="511A6278" w:rsidR="00BA361D" w:rsidRPr="00BA361D" w:rsidRDefault="00BA361D" w:rsidP="00BA361D">
      <w:pPr>
        <w:spacing w:after="120" w:line="240" w:lineRule="auto"/>
        <w:ind w:left="794" w:hanging="794"/>
        <w:rPr>
          <w:sz w:val="16"/>
          <w:szCs w:val="16"/>
        </w:rPr>
      </w:pPr>
      <w:r w:rsidRPr="006C6A65">
        <w:rPr>
          <w:b/>
          <w:sz w:val="16"/>
          <w:szCs w:val="16"/>
        </w:rPr>
        <w:lastRenderedPageBreak/>
        <w:t xml:space="preserve">Table </w:t>
      </w:r>
      <w:r w:rsidR="00B03744">
        <w:rPr>
          <w:b/>
          <w:sz w:val="16"/>
          <w:szCs w:val="16"/>
        </w:rPr>
        <w:t>1</w:t>
      </w:r>
      <w:r w:rsidR="00CE7E48">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sidR="00F83C14">
        <w:rPr>
          <w:rFonts w:cs="Arial"/>
          <w:sz w:val="16"/>
          <w:szCs w:val="16"/>
        </w:rPr>
        <w:t xml:space="preserve">1 </w:t>
      </w:r>
      <w:r w:rsidR="000F408B">
        <w:rPr>
          <w:rFonts w:cs="Arial"/>
          <w:sz w:val="16"/>
          <w:szCs w:val="16"/>
        </w:rPr>
        <w:t>July</w:t>
      </w:r>
      <w:r w:rsidR="00DF103B">
        <w:rPr>
          <w:rFonts w:cs="Arial"/>
          <w:sz w:val="16"/>
          <w:szCs w:val="16"/>
        </w:rPr>
        <w:t xml:space="preserve"> 2021</w:t>
      </w:r>
      <w:r>
        <w:rPr>
          <w:rFonts w:cs="Arial"/>
          <w:sz w:val="16"/>
          <w:szCs w:val="16"/>
        </w:rPr>
        <w:t xml:space="preserve"> to </w:t>
      </w:r>
      <w:r w:rsidR="00DA70CA">
        <w:rPr>
          <w:rFonts w:cs="Arial"/>
          <w:sz w:val="16"/>
          <w:szCs w:val="16"/>
        </w:rPr>
        <w:t xml:space="preserve">30 </w:t>
      </w:r>
      <w:r w:rsidR="000F408B">
        <w:rPr>
          <w:rFonts w:cs="Arial"/>
          <w:sz w:val="16"/>
          <w:szCs w:val="16"/>
        </w:rPr>
        <w:t>September</w:t>
      </w:r>
      <w:r w:rsidR="001A5C4C">
        <w:rPr>
          <w:rFonts w:cs="Arial"/>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923FEE"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923FEE" w:rsidRPr="0040594D" w:rsidRDefault="00923FEE" w:rsidP="00923FE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424C91B7" w:rsidR="00923FEE" w:rsidRPr="0040594D" w:rsidRDefault="00923FEE" w:rsidP="00923FEE">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357D7727" w:rsidR="00923FEE" w:rsidRPr="0040594D" w:rsidRDefault="00923FEE" w:rsidP="00923FEE">
            <w:pPr>
              <w:spacing w:line="240" w:lineRule="auto"/>
              <w:jc w:val="right"/>
              <w:rPr>
                <w:rFonts w:cs="Arial"/>
                <w:b/>
                <w:bCs/>
                <w:lang w:eastAsia="en-AU"/>
              </w:rPr>
            </w:pPr>
            <w:r>
              <w:rPr>
                <w:b/>
                <w:lang w:eastAsia="en-AU"/>
              </w:rPr>
              <w:t>Qtr 54</w:t>
            </w:r>
          </w:p>
        </w:tc>
        <w:tc>
          <w:tcPr>
            <w:tcW w:w="784" w:type="dxa"/>
            <w:tcBorders>
              <w:top w:val="single" w:sz="4" w:space="0" w:color="auto"/>
              <w:left w:val="nil"/>
              <w:bottom w:val="single" w:sz="4" w:space="0" w:color="auto"/>
              <w:right w:val="single" w:sz="4" w:space="0" w:color="auto"/>
            </w:tcBorders>
          </w:tcPr>
          <w:p w14:paraId="1054C6DC" w14:textId="21A3EBC3" w:rsidR="00923FEE" w:rsidRPr="0040594D" w:rsidRDefault="00923FEE" w:rsidP="00923FEE">
            <w:pPr>
              <w:spacing w:line="240" w:lineRule="auto"/>
              <w:jc w:val="right"/>
              <w:rPr>
                <w:rFonts w:cs="Arial"/>
                <w:b/>
                <w:bCs/>
                <w:lang w:eastAsia="en-AU"/>
              </w:rPr>
            </w:pPr>
            <w:r>
              <w:rPr>
                <w:b/>
                <w:lang w:eastAsia="en-AU"/>
              </w:rPr>
              <w:t>Qtr 55</w:t>
            </w:r>
          </w:p>
        </w:tc>
        <w:tc>
          <w:tcPr>
            <w:tcW w:w="784" w:type="dxa"/>
            <w:tcBorders>
              <w:top w:val="single" w:sz="4" w:space="0" w:color="auto"/>
              <w:left w:val="nil"/>
              <w:bottom w:val="single" w:sz="4" w:space="0" w:color="auto"/>
              <w:right w:val="single" w:sz="4" w:space="0" w:color="auto"/>
            </w:tcBorders>
          </w:tcPr>
          <w:p w14:paraId="1F5DA131" w14:textId="77659EE3" w:rsidR="00923FEE" w:rsidRPr="0040594D" w:rsidRDefault="00923FEE" w:rsidP="00923FEE">
            <w:pPr>
              <w:spacing w:line="240" w:lineRule="auto"/>
              <w:jc w:val="right"/>
              <w:rPr>
                <w:rFonts w:cs="Arial"/>
                <w:b/>
                <w:bCs/>
                <w:lang w:eastAsia="en-AU"/>
              </w:rPr>
            </w:pPr>
            <w:r>
              <w:rPr>
                <w:b/>
                <w:lang w:eastAsia="en-AU"/>
              </w:rPr>
              <w:t>Qtr 56</w:t>
            </w:r>
          </w:p>
        </w:tc>
        <w:tc>
          <w:tcPr>
            <w:tcW w:w="784" w:type="dxa"/>
            <w:tcBorders>
              <w:top w:val="single" w:sz="4" w:space="0" w:color="auto"/>
              <w:left w:val="nil"/>
              <w:bottom w:val="single" w:sz="4" w:space="0" w:color="auto"/>
              <w:right w:val="single" w:sz="4" w:space="0" w:color="auto"/>
            </w:tcBorders>
          </w:tcPr>
          <w:p w14:paraId="65FDA246" w14:textId="39357FC7" w:rsidR="00923FEE" w:rsidRPr="0040594D" w:rsidRDefault="00923FEE" w:rsidP="00923FEE">
            <w:pPr>
              <w:spacing w:line="240" w:lineRule="auto"/>
              <w:jc w:val="right"/>
              <w:rPr>
                <w:rFonts w:cs="Arial"/>
                <w:b/>
                <w:bCs/>
                <w:lang w:eastAsia="en-AU"/>
              </w:rPr>
            </w:pPr>
            <w:r>
              <w:rPr>
                <w:b/>
                <w:lang w:eastAsia="en-AU"/>
              </w:rPr>
              <w:t>Qtr 57</w:t>
            </w:r>
          </w:p>
        </w:tc>
      </w:tr>
      <w:tr w:rsidR="00923FEE" w:rsidRPr="0094558B" w14:paraId="7D13DCEB"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923FEE" w:rsidRPr="00640E37" w:rsidRDefault="00923FEE" w:rsidP="00923FEE">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18A45D83" w:rsidR="00923FEE" w:rsidRPr="00BF08AE" w:rsidRDefault="00923FEE" w:rsidP="00923FEE">
            <w:pPr>
              <w:spacing w:line="240" w:lineRule="auto"/>
              <w:jc w:val="right"/>
              <w:rPr>
                <w:rFonts w:cs="Arial"/>
                <w:bCs/>
                <w:lang w:eastAsia="en-AU"/>
              </w:rPr>
            </w:pPr>
            <w:r>
              <w:rPr>
                <w:rFonts w:cs="Arial"/>
              </w:rPr>
              <w:t>9</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5B80718A" w:rsidR="00923FEE" w:rsidRPr="00BF08AE" w:rsidRDefault="00923FEE" w:rsidP="00923FEE">
            <w:pPr>
              <w:spacing w:line="240" w:lineRule="auto"/>
              <w:jc w:val="right"/>
              <w:rPr>
                <w:rFonts w:cs="Arial"/>
                <w:bCs/>
                <w:lang w:eastAsia="en-AU"/>
              </w:rPr>
            </w:pPr>
            <w:r>
              <w:rPr>
                <w:rFonts w:cs="Arial"/>
              </w:rPr>
              <w:t>3</w:t>
            </w:r>
          </w:p>
        </w:tc>
        <w:tc>
          <w:tcPr>
            <w:tcW w:w="784" w:type="dxa"/>
            <w:tcBorders>
              <w:top w:val="single" w:sz="4" w:space="0" w:color="auto"/>
              <w:left w:val="nil"/>
              <w:bottom w:val="single" w:sz="4" w:space="0" w:color="auto"/>
              <w:right w:val="single" w:sz="4" w:space="0" w:color="auto"/>
            </w:tcBorders>
            <w:vAlign w:val="bottom"/>
          </w:tcPr>
          <w:p w14:paraId="4305F345" w14:textId="6BDAD8AD" w:rsidR="00923FEE" w:rsidRPr="00BF08AE" w:rsidRDefault="00923FEE" w:rsidP="00923FEE">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vAlign w:val="bottom"/>
          </w:tcPr>
          <w:p w14:paraId="56527CC6" w14:textId="269E41A1" w:rsidR="00923FEE" w:rsidRPr="00BF08AE" w:rsidRDefault="00923FEE" w:rsidP="00923FEE">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vAlign w:val="bottom"/>
          </w:tcPr>
          <w:p w14:paraId="3589A88C" w14:textId="5473C2FE" w:rsidR="00923FEE" w:rsidRPr="00C02800" w:rsidRDefault="00923FEE" w:rsidP="00923FEE">
            <w:pPr>
              <w:spacing w:line="240" w:lineRule="auto"/>
              <w:jc w:val="right"/>
              <w:rPr>
                <w:rFonts w:cs="Arial"/>
              </w:rPr>
            </w:pPr>
            <w:r>
              <w:rPr>
                <w:rFonts w:cs="Arial"/>
              </w:rPr>
              <w:t>4</w:t>
            </w:r>
          </w:p>
        </w:tc>
      </w:tr>
      <w:tr w:rsidR="00923FEE" w:rsidRPr="00650B45" w14:paraId="72658614"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923FEE" w:rsidRPr="00640E37" w:rsidRDefault="00923FEE" w:rsidP="00923FEE">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17AC53B0" w:rsidR="00923FEE" w:rsidRPr="00BF08AE" w:rsidRDefault="00923FEE" w:rsidP="00923FEE">
            <w:pPr>
              <w:spacing w:line="240" w:lineRule="auto"/>
              <w:jc w:val="right"/>
              <w:rPr>
                <w:rFonts w:cs="Arial"/>
                <w:lang w:eastAsia="en-AU"/>
              </w:rPr>
            </w:pPr>
            <w:r>
              <w:rPr>
                <w:rFonts w:cs="Arial"/>
              </w:rPr>
              <w:t>21</w:t>
            </w:r>
          </w:p>
        </w:tc>
        <w:tc>
          <w:tcPr>
            <w:tcW w:w="784" w:type="dxa"/>
            <w:tcBorders>
              <w:top w:val="nil"/>
              <w:left w:val="nil"/>
              <w:bottom w:val="single" w:sz="4" w:space="0" w:color="auto"/>
              <w:right w:val="single" w:sz="4" w:space="0" w:color="auto"/>
            </w:tcBorders>
            <w:shd w:val="clear" w:color="auto" w:fill="auto"/>
            <w:vAlign w:val="bottom"/>
          </w:tcPr>
          <w:p w14:paraId="216D33A7" w14:textId="03445435" w:rsidR="00923FEE" w:rsidRPr="00BF08AE" w:rsidRDefault="00923FEE" w:rsidP="00923FEE">
            <w:pPr>
              <w:spacing w:line="240" w:lineRule="auto"/>
              <w:jc w:val="right"/>
              <w:rPr>
                <w:rFonts w:cs="Arial"/>
                <w:lang w:eastAsia="en-AU"/>
              </w:rPr>
            </w:pPr>
            <w:r>
              <w:rPr>
                <w:rFonts w:cs="Arial"/>
              </w:rPr>
              <w:t>19</w:t>
            </w:r>
          </w:p>
        </w:tc>
        <w:tc>
          <w:tcPr>
            <w:tcW w:w="784" w:type="dxa"/>
            <w:tcBorders>
              <w:top w:val="nil"/>
              <w:left w:val="nil"/>
              <w:bottom w:val="single" w:sz="4" w:space="0" w:color="auto"/>
              <w:right w:val="single" w:sz="4" w:space="0" w:color="auto"/>
            </w:tcBorders>
            <w:vAlign w:val="bottom"/>
          </w:tcPr>
          <w:p w14:paraId="756351B3" w14:textId="30FDBBDC" w:rsidR="00923FEE" w:rsidRPr="00BF08AE" w:rsidRDefault="00923FEE" w:rsidP="00923FEE">
            <w:pPr>
              <w:spacing w:line="240" w:lineRule="auto"/>
              <w:jc w:val="right"/>
              <w:rPr>
                <w:rFonts w:cs="Arial"/>
                <w:lang w:eastAsia="en-AU"/>
              </w:rPr>
            </w:pPr>
            <w:r>
              <w:rPr>
                <w:rFonts w:cs="Arial"/>
              </w:rPr>
              <w:t>7</w:t>
            </w:r>
          </w:p>
        </w:tc>
        <w:tc>
          <w:tcPr>
            <w:tcW w:w="784" w:type="dxa"/>
            <w:tcBorders>
              <w:top w:val="nil"/>
              <w:left w:val="nil"/>
              <w:bottom w:val="single" w:sz="4" w:space="0" w:color="auto"/>
              <w:right w:val="single" w:sz="4" w:space="0" w:color="auto"/>
            </w:tcBorders>
            <w:vAlign w:val="bottom"/>
          </w:tcPr>
          <w:p w14:paraId="7E423D87" w14:textId="1413AD6F" w:rsidR="00923FEE" w:rsidRPr="00BF08AE" w:rsidRDefault="00923FEE" w:rsidP="00923FEE">
            <w:pPr>
              <w:spacing w:line="240" w:lineRule="auto"/>
              <w:jc w:val="right"/>
              <w:rPr>
                <w:rFonts w:cs="Arial"/>
                <w:lang w:eastAsia="en-AU"/>
              </w:rPr>
            </w:pPr>
            <w:r>
              <w:rPr>
                <w:rFonts w:cs="Arial"/>
              </w:rPr>
              <w:t>21</w:t>
            </w:r>
          </w:p>
        </w:tc>
        <w:tc>
          <w:tcPr>
            <w:tcW w:w="784" w:type="dxa"/>
            <w:tcBorders>
              <w:top w:val="nil"/>
              <w:left w:val="nil"/>
              <w:bottom w:val="single" w:sz="4" w:space="0" w:color="auto"/>
              <w:right w:val="single" w:sz="4" w:space="0" w:color="auto"/>
            </w:tcBorders>
            <w:vAlign w:val="bottom"/>
          </w:tcPr>
          <w:p w14:paraId="4E3F6DD6" w14:textId="107D4649" w:rsidR="00923FEE" w:rsidRPr="00C02800" w:rsidRDefault="00923FEE" w:rsidP="00923FEE">
            <w:pPr>
              <w:spacing w:line="240" w:lineRule="auto"/>
              <w:jc w:val="right"/>
              <w:rPr>
                <w:rFonts w:cs="Arial"/>
              </w:rPr>
            </w:pPr>
            <w:r>
              <w:rPr>
                <w:rFonts w:cs="Arial"/>
              </w:rPr>
              <w:t>12</w:t>
            </w:r>
          </w:p>
        </w:tc>
      </w:tr>
      <w:tr w:rsidR="00923FEE" w:rsidRPr="00650B45" w14:paraId="25B410FB"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923FEE" w:rsidRPr="00640E37" w:rsidRDefault="00923FEE" w:rsidP="00923FEE">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2C91C0AA" w:rsidR="00923FEE" w:rsidRPr="00BF08AE" w:rsidRDefault="00923FEE" w:rsidP="00923FEE">
            <w:pPr>
              <w:spacing w:line="240" w:lineRule="auto"/>
              <w:jc w:val="right"/>
              <w:rPr>
                <w:rFonts w:cs="Arial"/>
                <w:lang w:eastAsia="en-AU"/>
              </w:rPr>
            </w:pPr>
            <w:r>
              <w:rPr>
                <w:rFonts w:cs="Arial"/>
              </w:rPr>
              <w:t>42</w:t>
            </w:r>
          </w:p>
        </w:tc>
        <w:tc>
          <w:tcPr>
            <w:tcW w:w="784" w:type="dxa"/>
            <w:tcBorders>
              <w:top w:val="nil"/>
              <w:left w:val="nil"/>
              <w:bottom w:val="single" w:sz="4" w:space="0" w:color="auto"/>
              <w:right w:val="single" w:sz="4" w:space="0" w:color="auto"/>
            </w:tcBorders>
            <w:shd w:val="clear" w:color="auto" w:fill="auto"/>
            <w:vAlign w:val="bottom"/>
          </w:tcPr>
          <w:p w14:paraId="66883E4E" w14:textId="7E390CCA" w:rsidR="00923FEE" w:rsidRPr="00BF08AE" w:rsidRDefault="00923FEE" w:rsidP="00923FEE">
            <w:pPr>
              <w:spacing w:line="240" w:lineRule="auto"/>
              <w:jc w:val="right"/>
              <w:rPr>
                <w:rFonts w:cs="Arial"/>
                <w:lang w:eastAsia="en-AU"/>
              </w:rPr>
            </w:pPr>
            <w:r>
              <w:rPr>
                <w:rFonts w:cs="Arial"/>
              </w:rPr>
              <w:t>30</w:t>
            </w:r>
          </w:p>
        </w:tc>
        <w:tc>
          <w:tcPr>
            <w:tcW w:w="784" w:type="dxa"/>
            <w:tcBorders>
              <w:top w:val="nil"/>
              <w:left w:val="nil"/>
              <w:bottom w:val="single" w:sz="4" w:space="0" w:color="auto"/>
              <w:right w:val="single" w:sz="4" w:space="0" w:color="auto"/>
            </w:tcBorders>
            <w:vAlign w:val="bottom"/>
          </w:tcPr>
          <w:p w14:paraId="13CB2682" w14:textId="12BFC93E" w:rsidR="00923FEE" w:rsidRPr="00BF08AE" w:rsidRDefault="00923FEE" w:rsidP="00923FEE">
            <w:pPr>
              <w:spacing w:line="240" w:lineRule="auto"/>
              <w:jc w:val="right"/>
              <w:rPr>
                <w:rFonts w:cs="Arial"/>
                <w:lang w:eastAsia="en-AU"/>
              </w:rPr>
            </w:pPr>
            <w:r>
              <w:rPr>
                <w:rFonts w:cs="Arial"/>
              </w:rPr>
              <w:t>17</w:t>
            </w:r>
          </w:p>
        </w:tc>
        <w:tc>
          <w:tcPr>
            <w:tcW w:w="784" w:type="dxa"/>
            <w:tcBorders>
              <w:top w:val="nil"/>
              <w:left w:val="nil"/>
              <w:bottom w:val="single" w:sz="4" w:space="0" w:color="auto"/>
              <w:right w:val="single" w:sz="4" w:space="0" w:color="auto"/>
            </w:tcBorders>
            <w:vAlign w:val="bottom"/>
          </w:tcPr>
          <w:p w14:paraId="7390F97A" w14:textId="7DB4DD4A" w:rsidR="00923FEE" w:rsidRPr="00BF08AE" w:rsidRDefault="00923FEE" w:rsidP="00923FEE">
            <w:pPr>
              <w:spacing w:line="240" w:lineRule="auto"/>
              <w:jc w:val="right"/>
              <w:rPr>
                <w:rFonts w:cs="Arial"/>
                <w:lang w:eastAsia="en-AU"/>
              </w:rPr>
            </w:pPr>
            <w:r>
              <w:rPr>
                <w:rFonts w:cs="Arial"/>
              </w:rPr>
              <w:t>27</w:t>
            </w:r>
          </w:p>
        </w:tc>
        <w:tc>
          <w:tcPr>
            <w:tcW w:w="784" w:type="dxa"/>
            <w:tcBorders>
              <w:top w:val="nil"/>
              <w:left w:val="nil"/>
              <w:bottom w:val="single" w:sz="4" w:space="0" w:color="auto"/>
              <w:right w:val="single" w:sz="4" w:space="0" w:color="auto"/>
            </w:tcBorders>
            <w:vAlign w:val="bottom"/>
          </w:tcPr>
          <w:p w14:paraId="1BBFBCA0" w14:textId="1EB1AD8D" w:rsidR="00923FEE" w:rsidRPr="00C02800" w:rsidRDefault="00923FEE" w:rsidP="00923FEE">
            <w:pPr>
              <w:spacing w:line="240" w:lineRule="auto"/>
              <w:jc w:val="right"/>
              <w:rPr>
                <w:rFonts w:cs="Arial"/>
              </w:rPr>
            </w:pPr>
            <w:r>
              <w:rPr>
                <w:rFonts w:cs="Arial"/>
              </w:rPr>
              <w:t>55</w:t>
            </w:r>
          </w:p>
        </w:tc>
      </w:tr>
      <w:tr w:rsidR="00923FEE" w:rsidRPr="00557E24" w14:paraId="6DD4ED1F"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923FEE" w:rsidRPr="00557E24" w:rsidRDefault="00923FEE" w:rsidP="00923FEE">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20B8DC85" w:rsidR="00923FEE" w:rsidRPr="00BF08AE" w:rsidRDefault="00923FEE" w:rsidP="00923FEE">
            <w:pPr>
              <w:spacing w:line="240" w:lineRule="auto"/>
              <w:jc w:val="right"/>
              <w:rPr>
                <w:rFonts w:cs="Arial"/>
                <w:b/>
                <w:lang w:eastAsia="en-AU"/>
              </w:rPr>
            </w:pPr>
            <w:r>
              <w:rPr>
                <w:rFonts w:cs="Arial"/>
                <w:b/>
                <w:bCs/>
              </w:rPr>
              <w:t>72</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21B825AA" w:rsidR="00923FEE" w:rsidRPr="00BF08AE" w:rsidRDefault="00923FEE" w:rsidP="00923FEE">
            <w:pPr>
              <w:spacing w:line="240" w:lineRule="auto"/>
              <w:jc w:val="right"/>
              <w:rPr>
                <w:rFonts w:cs="Arial"/>
                <w:b/>
                <w:lang w:eastAsia="en-AU"/>
              </w:rPr>
            </w:pPr>
            <w:r>
              <w:rPr>
                <w:rFonts w:cs="Arial"/>
                <w:b/>
                <w:bCs/>
              </w:rPr>
              <w:t>52</w:t>
            </w:r>
          </w:p>
        </w:tc>
        <w:tc>
          <w:tcPr>
            <w:tcW w:w="784" w:type="dxa"/>
            <w:tcBorders>
              <w:top w:val="single" w:sz="4" w:space="0" w:color="auto"/>
              <w:left w:val="nil"/>
              <w:bottom w:val="single" w:sz="4" w:space="0" w:color="auto"/>
              <w:right w:val="single" w:sz="4" w:space="0" w:color="auto"/>
            </w:tcBorders>
            <w:vAlign w:val="bottom"/>
          </w:tcPr>
          <w:p w14:paraId="55F6868D" w14:textId="2D5C94E1" w:rsidR="00923FEE" w:rsidRPr="00BF08AE" w:rsidRDefault="00923FEE" w:rsidP="00923FEE">
            <w:pPr>
              <w:spacing w:line="240" w:lineRule="auto"/>
              <w:jc w:val="right"/>
              <w:rPr>
                <w:rFonts w:cs="Arial"/>
                <w:b/>
                <w:lang w:eastAsia="en-AU"/>
              </w:rPr>
            </w:pPr>
            <w:r>
              <w:rPr>
                <w:rFonts w:cs="Arial"/>
                <w:b/>
                <w:bCs/>
              </w:rPr>
              <w:t>26</w:t>
            </w:r>
          </w:p>
        </w:tc>
        <w:tc>
          <w:tcPr>
            <w:tcW w:w="784" w:type="dxa"/>
            <w:tcBorders>
              <w:top w:val="single" w:sz="4" w:space="0" w:color="auto"/>
              <w:left w:val="nil"/>
              <w:bottom w:val="single" w:sz="4" w:space="0" w:color="auto"/>
              <w:right w:val="single" w:sz="4" w:space="0" w:color="auto"/>
            </w:tcBorders>
            <w:vAlign w:val="bottom"/>
          </w:tcPr>
          <w:p w14:paraId="6D94AB62" w14:textId="470F25DE" w:rsidR="00923FEE" w:rsidRPr="00BF08AE" w:rsidRDefault="00923FEE" w:rsidP="00923FEE">
            <w:pPr>
              <w:spacing w:line="240" w:lineRule="auto"/>
              <w:jc w:val="right"/>
              <w:rPr>
                <w:rFonts w:cs="Arial"/>
                <w:b/>
                <w:lang w:eastAsia="en-AU"/>
              </w:rPr>
            </w:pPr>
            <w:r>
              <w:rPr>
                <w:rFonts w:cs="Arial"/>
                <w:b/>
                <w:bCs/>
              </w:rPr>
              <w:t>50</w:t>
            </w:r>
          </w:p>
        </w:tc>
        <w:tc>
          <w:tcPr>
            <w:tcW w:w="784" w:type="dxa"/>
            <w:tcBorders>
              <w:top w:val="single" w:sz="4" w:space="0" w:color="auto"/>
              <w:left w:val="nil"/>
              <w:bottom w:val="single" w:sz="4" w:space="0" w:color="auto"/>
              <w:right w:val="single" w:sz="4" w:space="0" w:color="auto"/>
            </w:tcBorders>
            <w:vAlign w:val="bottom"/>
          </w:tcPr>
          <w:p w14:paraId="7B7FB879" w14:textId="584299BF" w:rsidR="00923FEE" w:rsidRPr="00C02800" w:rsidRDefault="00923FEE" w:rsidP="00923FEE">
            <w:pPr>
              <w:spacing w:line="240" w:lineRule="auto"/>
              <w:jc w:val="right"/>
              <w:rPr>
                <w:rFonts w:cs="Arial"/>
                <w:b/>
                <w:bCs/>
              </w:rPr>
            </w:pPr>
            <w:r>
              <w:rPr>
                <w:rFonts w:cs="Arial"/>
                <w:b/>
                <w:bCs/>
              </w:rPr>
              <w:t>71</w:t>
            </w:r>
          </w:p>
        </w:tc>
      </w:tr>
    </w:tbl>
    <w:p w14:paraId="19D7B370" w14:textId="18EEF851" w:rsidR="006F3C25" w:rsidRDefault="006F3C25" w:rsidP="00DD1B0A">
      <w:pPr>
        <w:ind w:left="-142" w:right="-425"/>
        <w:jc w:val="both"/>
        <w:rPr>
          <w:rFonts w:cs="Arial"/>
        </w:rPr>
      </w:pPr>
    </w:p>
    <w:p w14:paraId="7BAE3B75" w14:textId="0EC2B52B" w:rsidR="005A5B78" w:rsidRPr="002D4651" w:rsidRDefault="005A5B78" w:rsidP="00091CFE">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4E45371A" w:rsidR="00C872F0" w:rsidRDefault="006F3F88" w:rsidP="00964A63">
      <w:pPr>
        <w:ind w:left="-142" w:right="-425"/>
        <w:jc w:val="both"/>
        <w:rPr>
          <w:rFonts w:cs="Arial"/>
        </w:rPr>
      </w:pPr>
      <w:r>
        <w:rPr>
          <w:rFonts w:cs="Arial"/>
        </w:rPr>
        <w:t xml:space="preserve">A total of </w:t>
      </w:r>
      <w:r w:rsidR="00AD71E6">
        <w:rPr>
          <w:rFonts w:cs="Arial"/>
        </w:rPr>
        <w:t xml:space="preserve">116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AD71E6">
        <w:rPr>
          <w:rFonts w:cs="Arial"/>
        </w:rPr>
        <w:t>95</w:t>
      </w:r>
      <w:r w:rsidR="00AD71E6" w:rsidRPr="003573E3">
        <w:rPr>
          <w:rFonts w:cs="Arial"/>
        </w:rPr>
        <w:t xml:space="preserve"> </w:t>
      </w:r>
      <w:r w:rsidR="001E5AFF" w:rsidRPr="003573E3">
        <w:rPr>
          <w:rFonts w:cs="Arial"/>
        </w:rPr>
        <w:t xml:space="preserve">clients </w:t>
      </w:r>
      <w:r>
        <w:rPr>
          <w:rFonts w:cs="Arial"/>
        </w:rPr>
        <w:t xml:space="preserve">were made in quarter </w:t>
      </w:r>
      <w:r w:rsidR="000F408B">
        <w:rPr>
          <w:rFonts w:cs="Arial"/>
        </w:rPr>
        <w:t>57</w:t>
      </w:r>
      <w:r>
        <w:rPr>
          <w:rFonts w:cs="Arial"/>
        </w:rPr>
        <w:t>, a</w:t>
      </w:r>
      <w:r w:rsidR="00152069">
        <w:rPr>
          <w:rFonts w:cs="Arial"/>
        </w:rPr>
        <w:t xml:space="preserve"> decrease of 12 </w:t>
      </w:r>
      <w:r>
        <w:rPr>
          <w:rFonts w:cs="Arial"/>
        </w:rPr>
        <w:t xml:space="preserve">referrals </w:t>
      </w:r>
      <w:r w:rsidR="00187C50">
        <w:rPr>
          <w:rFonts w:cs="Arial"/>
        </w:rPr>
        <w:t>from</w:t>
      </w:r>
      <w:r w:rsidR="00FE0076" w:rsidRPr="003573E3">
        <w:rPr>
          <w:rFonts w:cs="Arial"/>
        </w:rPr>
        <w:t xml:space="preserve"> </w:t>
      </w:r>
      <w:r w:rsidR="000257CF" w:rsidRPr="003573E3">
        <w:rPr>
          <w:rFonts w:cs="Arial"/>
        </w:rPr>
        <w:t xml:space="preserve">quarter </w:t>
      </w:r>
      <w:r w:rsidR="000F408B">
        <w:rPr>
          <w:rFonts w:cs="Arial"/>
        </w:rPr>
        <w:t>56</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B166A2">
        <w:rPr>
          <w:rFonts w:cs="Arial"/>
        </w:rPr>
        <w:t>3</w:t>
      </w:r>
      <w:r w:rsidR="00152069">
        <w:rPr>
          <w:rFonts w:cs="Arial"/>
        </w:rPr>
        <w:t>7</w:t>
      </w:r>
      <w:r w:rsidR="00697703">
        <w:rPr>
          <w:rFonts w:cs="Arial"/>
        </w:rPr>
        <w:t>9</w:t>
      </w:r>
      <w:r w:rsidR="00B166A2" w:rsidRPr="003573E3">
        <w:rPr>
          <w:rFonts w:cs="Arial"/>
        </w:rPr>
        <w:t xml:space="preserve"> </w:t>
      </w:r>
      <w:r w:rsidR="00633907" w:rsidRPr="003573E3">
        <w:rPr>
          <w:rFonts w:cs="Arial"/>
        </w:rPr>
        <w:t>clients</w:t>
      </w:r>
      <w:r w:rsidR="007E6EC6" w:rsidRPr="003573E3">
        <w:rPr>
          <w:rFonts w:cs="Arial"/>
        </w:rPr>
        <w:t xml:space="preserve"> </w:t>
      </w:r>
      <w:r w:rsidR="00EE3BD8" w:rsidRPr="003573E3">
        <w:rPr>
          <w:rFonts w:cs="Arial"/>
        </w:rPr>
        <w:t>(</w:t>
      </w:r>
      <w:r w:rsidR="00152069">
        <w:rPr>
          <w:rFonts w:cs="Arial"/>
        </w:rPr>
        <w:t>719</w:t>
      </w:r>
      <w:r w:rsidR="00152069" w:rsidRPr="003573E3">
        <w:rPr>
          <w:rFonts w:cs="Arial"/>
        </w:rPr>
        <w:t xml:space="preserve"> </w:t>
      </w:r>
      <w:r w:rsidR="00EE3BD8" w:rsidRPr="003573E3">
        <w:rPr>
          <w:rFonts w:cs="Arial"/>
        </w:rPr>
        <w:t xml:space="preserve">female and </w:t>
      </w:r>
      <w:r w:rsidR="00152069">
        <w:rPr>
          <w:rFonts w:cs="Arial"/>
        </w:rPr>
        <w:t>660</w:t>
      </w:r>
      <w:r w:rsidR="00152069"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152069">
        <w:rPr>
          <w:rFonts w:cs="Arial"/>
        </w:rPr>
        <w:t>decreased</w:t>
      </w:r>
      <w:r w:rsidR="00152069" w:rsidRPr="0040025B">
        <w:rPr>
          <w:rFonts w:cs="Arial"/>
        </w:rPr>
        <w:t xml:space="preserve"> </w:t>
      </w:r>
      <w:r w:rsidR="00A27155" w:rsidRPr="0040025B">
        <w:rPr>
          <w:rFonts w:cs="Arial"/>
        </w:rPr>
        <w:t xml:space="preserve">by </w:t>
      </w:r>
      <w:r w:rsidR="00152069">
        <w:rPr>
          <w:rFonts w:cs="Arial"/>
        </w:rPr>
        <w:t>25</w:t>
      </w:r>
      <w:r w:rsidR="001E5AFF">
        <w:rPr>
          <w:rFonts w:cs="Arial"/>
        </w:rPr>
        <w:t>,</w:t>
      </w:r>
      <w:r w:rsidR="005A5B78" w:rsidRPr="0040025B">
        <w:rPr>
          <w:rFonts w:cs="Arial"/>
        </w:rPr>
        <w:t xml:space="preserve"> Coen </w:t>
      </w:r>
      <w:r w:rsidR="00152069">
        <w:rPr>
          <w:rFonts w:cs="Arial"/>
        </w:rPr>
        <w:t xml:space="preserve">decreased </w:t>
      </w:r>
      <w:r w:rsidR="00F751CA">
        <w:rPr>
          <w:rFonts w:cs="Arial"/>
        </w:rPr>
        <w:t xml:space="preserve">by </w:t>
      </w:r>
      <w:r w:rsidR="00152069">
        <w:rPr>
          <w:rFonts w:cs="Arial"/>
        </w:rPr>
        <w:t>10</w:t>
      </w:r>
      <w:r w:rsidR="001E5AFF">
        <w:rPr>
          <w:rFonts w:cs="Arial"/>
        </w:rPr>
        <w:t>,</w:t>
      </w:r>
      <w:r w:rsidR="005A5B78" w:rsidRPr="0040025B">
        <w:rPr>
          <w:rFonts w:cs="Arial"/>
        </w:rPr>
        <w:t xml:space="preserve"> </w:t>
      </w:r>
      <w:r w:rsidR="00CB55CE" w:rsidRPr="0040025B">
        <w:rPr>
          <w:rFonts w:cs="Arial"/>
        </w:rPr>
        <w:t xml:space="preserve">Doomadgee </w:t>
      </w:r>
      <w:r w:rsidR="00152069">
        <w:rPr>
          <w:rFonts w:cs="Arial"/>
        </w:rPr>
        <w:t xml:space="preserve">decreased </w:t>
      </w:r>
      <w:r w:rsidR="00533727">
        <w:rPr>
          <w:rFonts w:cs="Arial"/>
        </w:rPr>
        <w:t xml:space="preserve">by </w:t>
      </w:r>
      <w:r w:rsidR="00152069">
        <w:rPr>
          <w:rFonts w:cs="Arial"/>
        </w:rPr>
        <w:t>19</w:t>
      </w:r>
      <w:r w:rsidR="001E5AFF">
        <w:rPr>
          <w:rFonts w:cs="Arial"/>
        </w:rPr>
        <w:t>,</w:t>
      </w:r>
      <w:r w:rsidR="00533727">
        <w:rPr>
          <w:rFonts w:cs="Arial"/>
        </w:rPr>
        <w:t xml:space="preserve"> </w:t>
      </w:r>
      <w:r w:rsidR="003C0891">
        <w:rPr>
          <w:rFonts w:cs="Arial"/>
        </w:rPr>
        <w:t xml:space="preserve">Hope Vale </w:t>
      </w:r>
      <w:r w:rsidR="00152069">
        <w:rPr>
          <w:rFonts w:cs="Arial"/>
        </w:rPr>
        <w:t xml:space="preserve">increased </w:t>
      </w:r>
      <w:r w:rsidR="00F45AA8">
        <w:rPr>
          <w:rFonts w:cs="Arial"/>
        </w:rPr>
        <w:t xml:space="preserve">by </w:t>
      </w:r>
      <w:r w:rsidR="00152069">
        <w:rPr>
          <w:rFonts w:cs="Arial"/>
        </w:rPr>
        <w:t>27</w:t>
      </w:r>
      <w:r w:rsidR="00B0165E">
        <w:rPr>
          <w:rFonts w:cs="Arial"/>
        </w:rPr>
        <w:t xml:space="preserve"> </w:t>
      </w:r>
      <w:r w:rsidR="00604D65">
        <w:rPr>
          <w:rFonts w:cs="Arial"/>
        </w:rPr>
        <w:t xml:space="preserve">and Mossman Gorge </w:t>
      </w:r>
      <w:r w:rsidR="00152069">
        <w:rPr>
          <w:rFonts w:cs="Arial"/>
        </w:rPr>
        <w:t xml:space="preserve">increased </w:t>
      </w:r>
      <w:r w:rsidR="008B2178">
        <w:rPr>
          <w:rFonts w:cs="Arial"/>
        </w:rPr>
        <w:t xml:space="preserve">by </w:t>
      </w:r>
      <w:r w:rsidR="00152069">
        <w:rPr>
          <w:rFonts w:cs="Arial"/>
        </w:rPr>
        <w:t>15</w:t>
      </w:r>
      <w:r w:rsidR="00B166A2">
        <w:rPr>
          <w:rFonts w:cs="Arial"/>
        </w:rPr>
        <w:t xml:space="preserve"> referrals for the quarter</w:t>
      </w:r>
      <w:r w:rsidR="00604D65">
        <w:rPr>
          <w:rFonts w:cs="Arial"/>
        </w:rPr>
        <w:t>.</w:t>
      </w:r>
    </w:p>
    <w:p w14:paraId="01696BFE" w14:textId="77777777" w:rsidR="005023BA" w:rsidRDefault="005023BA" w:rsidP="005023BA">
      <w:pPr>
        <w:tabs>
          <w:tab w:val="left" w:pos="0"/>
        </w:tabs>
        <w:ind w:left="426" w:right="-425" w:hanging="568"/>
        <w:jc w:val="both"/>
        <w:rPr>
          <w:rFonts w:cs="Arial"/>
        </w:rPr>
      </w:pPr>
    </w:p>
    <w:p w14:paraId="4460994F" w14:textId="0D43C076" w:rsidR="005023BA" w:rsidRPr="00D925BE" w:rsidRDefault="005023BA" w:rsidP="005023BA">
      <w:pPr>
        <w:pStyle w:val="TableCaption"/>
        <w:spacing w:before="0"/>
        <w:ind w:left="0" w:right="-425"/>
        <w:rPr>
          <w:b/>
          <w:i w:val="0"/>
          <w:sz w:val="16"/>
        </w:rPr>
      </w:pPr>
      <w:r>
        <w:rPr>
          <w:b/>
          <w:i w:val="0"/>
          <w:sz w:val="16"/>
        </w:rPr>
        <w:t>Table 17</w:t>
      </w:r>
      <w:r w:rsidRPr="00F85AA1">
        <w:rPr>
          <w:b/>
          <w:i w:val="0"/>
          <w:sz w:val="16"/>
        </w:rPr>
        <w:t xml:space="preserve">: </w:t>
      </w:r>
      <w:r w:rsidRPr="00F85AA1">
        <w:rPr>
          <w:i w:val="0"/>
          <w:sz w:val="16"/>
        </w:rPr>
        <w:t xml:space="preserve">Referral pathways by referral type and quarter 1 </w:t>
      </w:r>
      <w:r>
        <w:rPr>
          <w:i w:val="0"/>
          <w:sz w:val="16"/>
        </w:rPr>
        <w:t>July 2021 to 30 September 2022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5023BA" w:rsidRPr="00C5395B" w14:paraId="3B7DA788" w14:textId="77777777" w:rsidTr="006A327F">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8E641B8" w14:textId="77777777" w:rsidR="005023BA" w:rsidRPr="00C5395B" w:rsidRDefault="005023BA" w:rsidP="005023BA">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447402DD" w14:textId="1B2C8107" w:rsidR="005023BA" w:rsidRDefault="005023BA" w:rsidP="005023BA">
            <w:pPr>
              <w:pStyle w:val="TableText"/>
              <w:jc w:val="right"/>
              <w:rPr>
                <w:b/>
                <w:lang w:eastAsia="en-AU"/>
              </w:rPr>
            </w:pPr>
            <w:r>
              <w:rPr>
                <w:b/>
                <w:lang w:eastAsia="en-AU"/>
              </w:rPr>
              <w:t>Qtr 53</w:t>
            </w:r>
          </w:p>
        </w:tc>
        <w:tc>
          <w:tcPr>
            <w:tcW w:w="992" w:type="dxa"/>
            <w:tcBorders>
              <w:top w:val="single" w:sz="4" w:space="0" w:color="auto"/>
              <w:left w:val="nil"/>
              <w:bottom w:val="single" w:sz="4" w:space="0" w:color="auto"/>
              <w:right w:val="single" w:sz="4" w:space="0" w:color="auto"/>
            </w:tcBorders>
          </w:tcPr>
          <w:p w14:paraId="319EBC04" w14:textId="6E6C3B6E" w:rsidR="005023BA" w:rsidRDefault="005023BA" w:rsidP="005023BA">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319FB63A" w14:textId="73DD2609" w:rsidR="005023BA" w:rsidRDefault="005023BA" w:rsidP="005023BA">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571EA191" w14:textId="261157BE" w:rsidR="005023BA" w:rsidRDefault="005023BA" w:rsidP="005023BA">
            <w:pPr>
              <w:pStyle w:val="TableText"/>
              <w:jc w:val="right"/>
              <w:rPr>
                <w:b/>
                <w:lang w:eastAsia="en-AU"/>
              </w:rPr>
            </w:pPr>
            <w:r>
              <w:rPr>
                <w:b/>
                <w:lang w:eastAsia="en-AU"/>
              </w:rPr>
              <w:t>Qtr 56</w:t>
            </w:r>
          </w:p>
        </w:tc>
        <w:tc>
          <w:tcPr>
            <w:tcW w:w="993" w:type="dxa"/>
            <w:tcBorders>
              <w:top w:val="single" w:sz="4" w:space="0" w:color="auto"/>
              <w:left w:val="nil"/>
              <w:bottom w:val="single" w:sz="4" w:space="0" w:color="auto"/>
              <w:right w:val="single" w:sz="4" w:space="0" w:color="auto"/>
            </w:tcBorders>
          </w:tcPr>
          <w:p w14:paraId="4D2910FD" w14:textId="29816B30" w:rsidR="005023BA" w:rsidRDefault="005023BA" w:rsidP="005023BA">
            <w:pPr>
              <w:pStyle w:val="TableText"/>
              <w:jc w:val="right"/>
              <w:rPr>
                <w:b/>
                <w:lang w:eastAsia="en-AU"/>
              </w:rPr>
            </w:pPr>
            <w:r>
              <w:rPr>
                <w:b/>
                <w:lang w:eastAsia="en-AU"/>
              </w:rPr>
              <w:t>Qtr 57</w:t>
            </w:r>
          </w:p>
        </w:tc>
      </w:tr>
      <w:tr w:rsidR="005023BA" w:rsidRPr="00C5395B" w14:paraId="03FFDFEF" w14:textId="77777777" w:rsidTr="005A4854">
        <w:trPr>
          <w:trHeight w:val="255"/>
        </w:trPr>
        <w:tc>
          <w:tcPr>
            <w:tcW w:w="2029" w:type="dxa"/>
            <w:tcBorders>
              <w:top w:val="nil"/>
              <w:left w:val="single" w:sz="4" w:space="0" w:color="auto"/>
              <w:bottom w:val="single" w:sz="4" w:space="0" w:color="auto"/>
              <w:right w:val="single" w:sz="4" w:space="0" w:color="auto"/>
            </w:tcBorders>
            <w:noWrap/>
            <w:hideMark/>
          </w:tcPr>
          <w:p w14:paraId="5E90DC47" w14:textId="77777777" w:rsidR="005023BA" w:rsidRPr="00C5395B" w:rsidRDefault="005023BA" w:rsidP="005023BA">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tcPr>
          <w:p w14:paraId="765F81C2" w14:textId="2FF0E59D" w:rsidR="005023BA" w:rsidRPr="00AA5933" w:rsidRDefault="005023BA" w:rsidP="005023BA">
            <w:pPr>
              <w:jc w:val="right"/>
              <w:rPr>
                <w:rFonts w:cs="Arial"/>
              </w:rPr>
            </w:pPr>
            <w:r w:rsidRPr="003069C4">
              <w:rPr>
                <w:rFonts w:cs="Arial"/>
              </w:rPr>
              <w:t>75</w:t>
            </w:r>
          </w:p>
        </w:tc>
        <w:tc>
          <w:tcPr>
            <w:tcW w:w="992" w:type="dxa"/>
            <w:tcBorders>
              <w:top w:val="nil"/>
              <w:left w:val="nil"/>
              <w:bottom w:val="single" w:sz="4" w:space="0" w:color="auto"/>
              <w:right w:val="single" w:sz="4" w:space="0" w:color="auto"/>
            </w:tcBorders>
          </w:tcPr>
          <w:p w14:paraId="4901D3E1" w14:textId="3239B0D3" w:rsidR="005023BA" w:rsidRPr="00DF7212" w:rsidRDefault="005023BA" w:rsidP="005023BA">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662A47DC" w14:textId="6727DFEA" w:rsidR="005023BA" w:rsidRPr="007E5A38" w:rsidRDefault="005023BA" w:rsidP="005023BA">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7F13BD0D" w14:textId="68E05CE1" w:rsidR="005023BA" w:rsidRPr="003069C4" w:rsidRDefault="005023BA" w:rsidP="005023BA">
            <w:pPr>
              <w:jc w:val="right"/>
              <w:rPr>
                <w:rFonts w:cs="Arial"/>
              </w:rPr>
            </w:pPr>
            <w:r>
              <w:rPr>
                <w:rFonts w:cs="Arial"/>
              </w:rPr>
              <w:t>60</w:t>
            </w:r>
          </w:p>
        </w:tc>
        <w:tc>
          <w:tcPr>
            <w:tcW w:w="993" w:type="dxa"/>
            <w:tcBorders>
              <w:top w:val="nil"/>
              <w:left w:val="nil"/>
              <w:bottom w:val="single" w:sz="4" w:space="0" w:color="auto"/>
              <w:right w:val="single" w:sz="4" w:space="0" w:color="auto"/>
            </w:tcBorders>
          </w:tcPr>
          <w:p w14:paraId="33489EC6" w14:textId="7BEB7303" w:rsidR="005023BA" w:rsidRDefault="005023BA" w:rsidP="005023BA">
            <w:pPr>
              <w:jc w:val="right"/>
              <w:rPr>
                <w:rFonts w:cs="Arial"/>
              </w:rPr>
            </w:pPr>
            <w:r>
              <w:rPr>
                <w:rFonts w:cs="Arial"/>
              </w:rPr>
              <w:t>35</w:t>
            </w:r>
          </w:p>
        </w:tc>
      </w:tr>
      <w:tr w:rsidR="005023BA" w:rsidRPr="00C5395B" w14:paraId="438395B7" w14:textId="77777777" w:rsidTr="005A4854">
        <w:trPr>
          <w:trHeight w:val="255"/>
        </w:trPr>
        <w:tc>
          <w:tcPr>
            <w:tcW w:w="2029" w:type="dxa"/>
            <w:tcBorders>
              <w:top w:val="nil"/>
              <w:left w:val="single" w:sz="4" w:space="0" w:color="auto"/>
              <w:bottom w:val="single" w:sz="4" w:space="0" w:color="auto"/>
              <w:right w:val="single" w:sz="4" w:space="0" w:color="auto"/>
            </w:tcBorders>
            <w:noWrap/>
            <w:hideMark/>
          </w:tcPr>
          <w:p w14:paraId="0A3E8AAD" w14:textId="77777777" w:rsidR="005023BA" w:rsidRPr="00C5395B" w:rsidRDefault="005023BA" w:rsidP="005023BA">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tcPr>
          <w:p w14:paraId="1C5AC0D4" w14:textId="07AA45C8" w:rsidR="005023BA" w:rsidRPr="00AA5933" w:rsidRDefault="005023BA" w:rsidP="005023BA">
            <w:pPr>
              <w:jc w:val="right"/>
              <w:rPr>
                <w:rFonts w:cs="Arial"/>
              </w:rPr>
            </w:pPr>
            <w:r w:rsidRPr="003069C4">
              <w:rPr>
                <w:rFonts w:cs="Arial"/>
              </w:rPr>
              <w:t>11</w:t>
            </w:r>
          </w:p>
        </w:tc>
        <w:tc>
          <w:tcPr>
            <w:tcW w:w="992" w:type="dxa"/>
            <w:tcBorders>
              <w:top w:val="nil"/>
              <w:left w:val="nil"/>
              <w:bottom w:val="single" w:sz="4" w:space="0" w:color="auto"/>
              <w:right w:val="single" w:sz="4" w:space="0" w:color="auto"/>
            </w:tcBorders>
          </w:tcPr>
          <w:p w14:paraId="60A43E69" w14:textId="04E0DCD4" w:rsidR="005023BA" w:rsidRPr="00DF7212" w:rsidRDefault="005023BA" w:rsidP="005023BA">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17FB213B" w14:textId="1158FD21" w:rsidR="005023BA" w:rsidRPr="007E5A38" w:rsidRDefault="005023BA" w:rsidP="005023BA">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18369B2B" w14:textId="2747F364" w:rsidR="005023BA" w:rsidRPr="003069C4" w:rsidRDefault="005023BA" w:rsidP="005023BA">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01EB8615" w14:textId="571F6B9D" w:rsidR="005023BA" w:rsidRDefault="005023BA" w:rsidP="005023BA">
            <w:pPr>
              <w:jc w:val="right"/>
              <w:rPr>
                <w:rFonts w:cs="Arial"/>
              </w:rPr>
            </w:pPr>
            <w:r>
              <w:rPr>
                <w:rFonts w:cs="Arial"/>
              </w:rPr>
              <w:t>0</w:t>
            </w:r>
          </w:p>
        </w:tc>
      </w:tr>
      <w:tr w:rsidR="005023BA" w:rsidRPr="00C5395B" w14:paraId="5A7E8BE7" w14:textId="77777777" w:rsidTr="005A4854">
        <w:trPr>
          <w:trHeight w:val="255"/>
        </w:trPr>
        <w:tc>
          <w:tcPr>
            <w:tcW w:w="2029" w:type="dxa"/>
            <w:tcBorders>
              <w:top w:val="nil"/>
              <w:left w:val="single" w:sz="4" w:space="0" w:color="auto"/>
              <w:bottom w:val="single" w:sz="4" w:space="0" w:color="auto"/>
              <w:right w:val="single" w:sz="4" w:space="0" w:color="auto"/>
            </w:tcBorders>
            <w:noWrap/>
          </w:tcPr>
          <w:p w14:paraId="2A136F44" w14:textId="77777777" w:rsidR="005023BA" w:rsidRPr="00C5395B" w:rsidRDefault="005023BA" w:rsidP="005023BA">
            <w:pPr>
              <w:pStyle w:val="TableText"/>
              <w:rPr>
                <w:lang w:eastAsia="en-AU"/>
              </w:rPr>
            </w:pPr>
            <w:r>
              <w:rPr>
                <w:lang w:eastAsia="en-AU"/>
              </w:rPr>
              <w:t>Doomadgee</w:t>
            </w:r>
          </w:p>
        </w:tc>
        <w:tc>
          <w:tcPr>
            <w:tcW w:w="1134" w:type="dxa"/>
            <w:tcBorders>
              <w:top w:val="nil"/>
              <w:left w:val="nil"/>
              <w:bottom w:val="single" w:sz="4" w:space="0" w:color="auto"/>
              <w:right w:val="single" w:sz="4" w:space="0" w:color="auto"/>
            </w:tcBorders>
          </w:tcPr>
          <w:p w14:paraId="46A04FC1" w14:textId="56018D03" w:rsidR="005023BA" w:rsidRPr="00AA5933" w:rsidRDefault="005023BA" w:rsidP="005023BA">
            <w:pPr>
              <w:jc w:val="right"/>
              <w:rPr>
                <w:rFonts w:cs="Arial"/>
              </w:rPr>
            </w:pPr>
            <w:r w:rsidRPr="003069C4">
              <w:rPr>
                <w:rFonts w:cs="Arial"/>
              </w:rPr>
              <w:t>44</w:t>
            </w:r>
          </w:p>
        </w:tc>
        <w:tc>
          <w:tcPr>
            <w:tcW w:w="992" w:type="dxa"/>
            <w:tcBorders>
              <w:top w:val="nil"/>
              <w:left w:val="nil"/>
              <w:bottom w:val="single" w:sz="4" w:space="0" w:color="auto"/>
              <w:right w:val="single" w:sz="4" w:space="0" w:color="auto"/>
            </w:tcBorders>
          </w:tcPr>
          <w:p w14:paraId="0F2086F8" w14:textId="48922224" w:rsidR="005023BA" w:rsidRPr="00DF7212" w:rsidRDefault="005023BA" w:rsidP="005023BA">
            <w:pPr>
              <w:jc w:val="right"/>
              <w:rPr>
                <w:rFonts w:cs="Arial"/>
              </w:rPr>
            </w:pPr>
            <w:r>
              <w:rPr>
                <w:rFonts w:cs="Arial"/>
              </w:rPr>
              <w:t>31</w:t>
            </w:r>
          </w:p>
        </w:tc>
        <w:tc>
          <w:tcPr>
            <w:tcW w:w="993" w:type="dxa"/>
            <w:tcBorders>
              <w:top w:val="nil"/>
              <w:left w:val="nil"/>
              <w:bottom w:val="single" w:sz="4" w:space="0" w:color="auto"/>
              <w:right w:val="single" w:sz="4" w:space="0" w:color="auto"/>
            </w:tcBorders>
          </w:tcPr>
          <w:p w14:paraId="6DE68220" w14:textId="61096A7B" w:rsidR="005023BA" w:rsidRPr="007E5A38" w:rsidRDefault="005023BA" w:rsidP="005023BA">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3F1B0202" w14:textId="5899F163" w:rsidR="005023BA" w:rsidRPr="003069C4" w:rsidRDefault="005023BA" w:rsidP="005023BA">
            <w:pPr>
              <w:jc w:val="right"/>
              <w:rPr>
                <w:rFonts w:cs="Arial"/>
              </w:rPr>
            </w:pPr>
            <w:r>
              <w:rPr>
                <w:rFonts w:cs="Arial"/>
              </w:rPr>
              <w:t>51</w:t>
            </w:r>
          </w:p>
        </w:tc>
        <w:tc>
          <w:tcPr>
            <w:tcW w:w="993" w:type="dxa"/>
            <w:tcBorders>
              <w:top w:val="nil"/>
              <w:left w:val="nil"/>
              <w:bottom w:val="single" w:sz="4" w:space="0" w:color="auto"/>
              <w:right w:val="single" w:sz="4" w:space="0" w:color="auto"/>
            </w:tcBorders>
          </w:tcPr>
          <w:p w14:paraId="0A28CE49" w14:textId="03E3EB03" w:rsidR="005023BA" w:rsidRDefault="005023BA" w:rsidP="005023BA">
            <w:pPr>
              <w:jc w:val="right"/>
              <w:rPr>
                <w:rFonts w:cs="Arial"/>
              </w:rPr>
            </w:pPr>
            <w:r>
              <w:rPr>
                <w:rFonts w:cs="Arial"/>
              </w:rPr>
              <w:t>32</w:t>
            </w:r>
          </w:p>
        </w:tc>
      </w:tr>
      <w:tr w:rsidR="005023BA" w:rsidRPr="00C5395B" w14:paraId="14A524BB" w14:textId="77777777" w:rsidTr="005A4854">
        <w:trPr>
          <w:trHeight w:val="255"/>
        </w:trPr>
        <w:tc>
          <w:tcPr>
            <w:tcW w:w="2029" w:type="dxa"/>
            <w:tcBorders>
              <w:top w:val="nil"/>
              <w:left w:val="single" w:sz="4" w:space="0" w:color="auto"/>
              <w:bottom w:val="single" w:sz="4" w:space="0" w:color="auto"/>
              <w:right w:val="single" w:sz="4" w:space="0" w:color="auto"/>
            </w:tcBorders>
            <w:noWrap/>
          </w:tcPr>
          <w:p w14:paraId="43C9FE66" w14:textId="77777777" w:rsidR="005023BA" w:rsidRPr="00C5395B" w:rsidRDefault="005023BA" w:rsidP="005023BA">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tcPr>
          <w:p w14:paraId="373174F5" w14:textId="18EB0665" w:rsidR="005023BA" w:rsidRPr="00AA5933" w:rsidRDefault="005023BA" w:rsidP="005023BA">
            <w:pPr>
              <w:jc w:val="right"/>
              <w:rPr>
                <w:rFonts w:cs="Arial"/>
              </w:rPr>
            </w:pPr>
            <w:r w:rsidRPr="003069C4">
              <w:rPr>
                <w:rFonts w:cs="Arial"/>
              </w:rPr>
              <w:t>14</w:t>
            </w:r>
          </w:p>
        </w:tc>
        <w:tc>
          <w:tcPr>
            <w:tcW w:w="992" w:type="dxa"/>
            <w:tcBorders>
              <w:top w:val="nil"/>
              <w:left w:val="nil"/>
              <w:bottom w:val="single" w:sz="4" w:space="0" w:color="auto"/>
              <w:right w:val="single" w:sz="4" w:space="0" w:color="auto"/>
            </w:tcBorders>
          </w:tcPr>
          <w:p w14:paraId="7F60B60A" w14:textId="2778EE4C" w:rsidR="005023BA" w:rsidRPr="00DF7212" w:rsidRDefault="005023BA" w:rsidP="005023BA">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3C349212" w14:textId="634438B7" w:rsidR="005023BA" w:rsidRPr="007E5A38" w:rsidRDefault="005023BA" w:rsidP="005023BA">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47D4A0DE" w14:textId="0C173E29" w:rsidR="005023BA" w:rsidRPr="003069C4" w:rsidRDefault="005023BA" w:rsidP="005023BA">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32C46CE" w14:textId="768AAF5E" w:rsidR="005023BA" w:rsidRDefault="005023BA" w:rsidP="005023BA">
            <w:pPr>
              <w:jc w:val="right"/>
              <w:rPr>
                <w:rFonts w:cs="Arial"/>
              </w:rPr>
            </w:pPr>
            <w:r>
              <w:rPr>
                <w:rFonts w:cs="Arial"/>
              </w:rPr>
              <w:t>32</w:t>
            </w:r>
          </w:p>
        </w:tc>
      </w:tr>
      <w:tr w:rsidR="005023BA" w:rsidRPr="00C5395B" w14:paraId="2CC52908" w14:textId="77777777" w:rsidTr="005A4854">
        <w:trPr>
          <w:trHeight w:val="255"/>
        </w:trPr>
        <w:tc>
          <w:tcPr>
            <w:tcW w:w="2029" w:type="dxa"/>
            <w:tcBorders>
              <w:top w:val="nil"/>
              <w:left w:val="single" w:sz="4" w:space="0" w:color="auto"/>
              <w:bottom w:val="single" w:sz="4" w:space="0" w:color="auto"/>
              <w:right w:val="single" w:sz="4" w:space="0" w:color="auto"/>
            </w:tcBorders>
            <w:noWrap/>
            <w:hideMark/>
          </w:tcPr>
          <w:p w14:paraId="1E7ECFE2" w14:textId="77777777" w:rsidR="005023BA" w:rsidRPr="00C5395B" w:rsidRDefault="005023BA" w:rsidP="005023BA">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tcPr>
          <w:p w14:paraId="01F9E28D" w14:textId="2417EA8F" w:rsidR="005023BA" w:rsidRPr="00AA5933" w:rsidRDefault="005023BA" w:rsidP="005023BA">
            <w:pPr>
              <w:jc w:val="right"/>
              <w:rPr>
                <w:rFonts w:cs="Arial"/>
              </w:rPr>
            </w:pPr>
            <w:r w:rsidRPr="003069C4">
              <w:rPr>
                <w:rFonts w:cs="Arial"/>
              </w:rPr>
              <w:t>13</w:t>
            </w:r>
          </w:p>
        </w:tc>
        <w:tc>
          <w:tcPr>
            <w:tcW w:w="992" w:type="dxa"/>
            <w:tcBorders>
              <w:top w:val="nil"/>
              <w:left w:val="nil"/>
              <w:bottom w:val="single" w:sz="4" w:space="0" w:color="auto"/>
              <w:right w:val="single" w:sz="4" w:space="0" w:color="auto"/>
            </w:tcBorders>
          </w:tcPr>
          <w:p w14:paraId="6A74FFB4" w14:textId="1F3EF840" w:rsidR="005023BA" w:rsidRPr="00DF7212" w:rsidRDefault="005023BA" w:rsidP="005023BA">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25829D59" w14:textId="511C3057" w:rsidR="005023BA" w:rsidRPr="007E5A38" w:rsidRDefault="005023BA" w:rsidP="005023BA">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1EDB1A9A" w14:textId="1D7DA369" w:rsidR="005023BA" w:rsidRPr="003069C4" w:rsidRDefault="005023BA" w:rsidP="005023BA">
            <w:pPr>
              <w:jc w:val="right"/>
              <w:rPr>
                <w:rFonts w:cs="Arial"/>
              </w:rPr>
            </w:pPr>
            <w:r>
              <w:rPr>
                <w:rFonts w:cs="Arial"/>
              </w:rPr>
              <w:t>2</w:t>
            </w:r>
          </w:p>
        </w:tc>
        <w:tc>
          <w:tcPr>
            <w:tcW w:w="993" w:type="dxa"/>
            <w:tcBorders>
              <w:top w:val="nil"/>
              <w:left w:val="nil"/>
              <w:bottom w:val="single" w:sz="4" w:space="0" w:color="auto"/>
              <w:right w:val="single" w:sz="4" w:space="0" w:color="auto"/>
            </w:tcBorders>
          </w:tcPr>
          <w:p w14:paraId="5698536C" w14:textId="4E523A8E" w:rsidR="005023BA" w:rsidRDefault="005023BA" w:rsidP="005023BA">
            <w:pPr>
              <w:jc w:val="right"/>
              <w:rPr>
                <w:rFonts w:cs="Arial"/>
              </w:rPr>
            </w:pPr>
            <w:r>
              <w:rPr>
                <w:rFonts w:cs="Arial"/>
              </w:rPr>
              <w:t>17</w:t>
            </w:r>
          </w:p>
        </w:tc>
      </w:tr>
      <w:tr w:rsidR="005023BA" w:rsidRPr="00C5395B" w14:paraId="64B17D31" w14:textId="77777777" w:rsidTr="005A4854">
        <w:trPr>
          <w:trHeight w:val="255"/>
        </w:trPr>
        <w:tc>
          <w:tcPr>
            <w:tcW w:w="2029" w:type="dxa"/>
            <w:tcBorders>
              <w:top w:val="nil"/>
              <w:left w:val="single" w:sz="4" w:space="0" w:color="auto"/>
              <w:bottom w:val="single" w:sz="4" w:space="0" w:color="auto"/>
              <w:right w:val="single" w:sz="4" w:space="0" w:color="auto"/>
            </w:tcBorders>
            <w:noWrap/>
            <w:hideMark/>
          </w:tcPr>
          <w:p w14:paraId="22C3E6BC" w14:textId="77777777" w:rsidR="005023BA" w:rsidRPr="00C5395B" w:rsidRDefault="005023BA" w:rsidP="005023BA">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tcPr>
          <w:p w14:paraId="50777112" w14:textId="36084FBE" w:rsidR="005023BA" w:rsidRPr="00AA5933" w:rsidRDefault="005023BA" w:rsidP="005023BA">
            <w:pPr>
              <w:pStyle w:val="TableText"/>
              <w:jc w:val="right"/>
              <w:rPr>
                <w:b/>
                <w:lang w:eastAsia="en-AU"/>
              </w:rPr>
            </w:pPr>
            <w:r w:rsidRPr="003069C4">
              <w:rPr>
                <w:rFonts w:cs="Arial"/>
                <w:b/>
                <w:bCs/>
              </w:rPr>
              <w:t>157</w:t>
            </w:r>
          </w:p>
        </w:tc>
        <w:tc>
          <w:tcPr>
            <w:tcW w:w="992" w:type="dxa"/>
            <w:tcBorders>
              <w:top w:val="nil"/>
              <w:left w:val="nil"/>
              <w:bottom w:val="single" w:sz="4" w:space="0" w:color="auto"/>
              <w:right w:val="single" w:sz="4" w:space="0" w:color="auto"/>
            </w:tcBorders>
          </w:tcPr>
          <w:p w14:paraId="113990EA" w14:textId="176FEC6A" w:rsidR="005023BA" w:rsidRPr="00DF7212" w:rsidRDefault="005023BA" w:rsidP="005023BA">
            <w:pPr>
              <w:pStyle w:val="TableText"/>
              <w:jc w:val="right"/>
              <w:rPr>
                <w:rFonts w:cs="Arial"/>
                <w:b/>
                <w:bCs/>
              </w:rPr>
            </w:pPr>
            <w:r>
              <w:rPr>
                <w:rFonts w:cs="Arial"/>
                <w:b/>
                <w:bCs/>
              </w:rPr>
              <w:t>105</w:t>
            </w:r>
          </w:p>
        </w:tc>
        <w:tc>
          <w:tcPr>
            <w:tcW w:w="993" w:type="dxa"/>
            <w:tcBorders>
              <w:top w:val="nil"/>
              <w:left w:val="nil"/>
              <w:bottom w:val="single" w:sz="4" w:space="0" w:color="auto"/>
              <w:right w:val="single" w:sz="4" w:space="0" w:color="auto"/>
            </w:tcBorders>
          </w:tcPr>
          <w:p w14:paraId="68791E86" w14:textId="4F4D7C87" w:rsidR="005023BA" w:rsidRPr="003069C4" w:rsidRDefault="005023BA" w:rsidP="005023BA">
            <w:pPr>
              <w:jc w:val="right"/>
              <w:rPr>
                <w:rFonts w:cs="Arial"/>
                <w:b/>
                <w:bCs/>
              </w:rPr>
            </w:pPr>
            <w:r>
              <w:rPr>
                <w:rFonts w:cs="Arial"/>
                <w:b/>
                <w:bCs/>
              </w:rPr>
              <w:t>74</w:t>
            </w:r>
          </w:p>
        </w:tc>
        <w:tc>
          <w:tcPr>
            <w:tcW w:w="993" w:type="dxa"/>
            <w:tcBorders>
              <w:top w:val="nil"/>
              <w:left w:val="nil"/>
              <w:bottom w:val="single" w:sz="4" w:space="0" w:color="auto"/>
              <w:right w:val="single" w:sz="4" w:space="0" w:color="auto"/>
            </w:tcBorders>
          </w:tcPr>
          <w:p w14:paraId="0994D965" w14:textId="5D0E7E71" w:rsidR="005023BA" w:rsidRPr="003069C4" w:rsidRDefault="005023BA" w:rsidP="005023BA">
            <w:pPr>
              <w:jc w:val="right"/>
              <w:rPr>
                <w:rFonts w:cs="Arial"/>
                <w:b/>
                <w:bCs/>
              </w:rPr>
            </w:pPr>
            <w:r>
              <w:rPr>
                <w:rFonts w:cs="Arial"/>
                <w:b/>
                <w:bCs/>
              </w:rPr>
              <w:t>128</w:t>
            </w:r>
          </w:p>
        </w:tc>
        <w:tc>
          <w:tcPr>
            <w:tcW w:w="993" w:type="dxa"/>
            <w:tcBorders>
              <w:top w:val="nil"/>
              <w:left w:val="nil"/>
              <w:bottom w:val="single" w:sz="4" w:space="0" w:color="auto"/>
              <w:right w:val="single" w:sz="4" w:space="0" w:color="auto"/>
            </w:tcBorders>
          </w:tcPr>
          <w:p w14:paraId="2E649B95" w14:textId="0EC7B04B" w:rsidR="005023BA" w:rsidRDefault="008A254A" w:rsidP="005023BA">
            <w:pPr>
              <w:jc w:val="right"/>
              <w:rPr>
                <w:rFonts w:cs="Arial"/>
                <w:b/>
                <w:bCs/>
              </w:rPr>
            </w:pPr>
            <w:r>
              <w:rPr>
                <w:rFonts w:cs="Arial"/>
                <w:b/>
                <w:bCs/>
              </w:rPr>
              <w:t>116</w:t>
            </w:r>
          </w:p>
        </w:tc>
      </w:tr>
    </w:tbl>
    <w:p w14:paraId="6596DC51" w14:textId="77777777" w:rsidR="008B2178" w:rsidRPr="002E156B" w:rsidRDefault="008B2178" w:rsidP="002E156B">
      <w:pPr>
        <w:ind w:left="-142" w:right="-425"/>
        <w:jc w:val="both"/>
        <w:rPr>
          <w:rFonts w:cs="Arial"/>
        </w:rPr>
      </w:pPr>
    </w:p>
    <w:p w14:paraId="1357C4B9" w14:textId="77777777" w:rsidR="002F3FD3" w:rsidRPr="006524B7" w:rsidRDefault="002F3FD3" w:rsidP="00091CFE">
      <w:pPr>
        <w:pStyle w:val="Heading2"/>
      </w:pPr>
      <w:r>
        <w:t>Referrals</w:t>
      </w:r>
      <w:r w:rsidRPr="006524B7">
        <w:t xml:space="preserve"> for Domestic Violence related matters</w:t>
      </w:r>
    </w:p>
    <w:p w14:paraId="70D27E82" w14:textId="19DEF39A"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62066A">
        <w:rPr>
          <w:rFonts w:cs="Arial"/>
        </w:rPr>
        <w:t>3</w:t>
      </w:r>
      <w:r w:rsidR="00152069">
        <w:rPr>
          <w:rFonts w:cs="Arial"/>
        </w:rPr>
        <w:t>0</w:t>
      </w:r>
      <w:r w:rsidR="0062066A">
        <w:rPr>
          <w:rFonts w:cs="Arial"/>
        </w:rPr>
        <w:t xml:space="preserve">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152069">
        <w:rPr>
          <w:rFonts w:cs="Arial"/>
        </w:rPr>
        <w:t xml:space="preserve"> decrease </w:t>
      </w:r>
      <w:r w:rsidR="000C098B">
        <w:rPr>
          <w:rFonts w:cs="Arial"/>
        </w:rPr>
        <w:t xml:space="preserve">of </w:t>
      </w:r>
      <w:r w:rsidR="00152069">
        <w:rPr>
          <w:rFonts w:cs="Arial"/>
        </w:rPr>
        <w:t xml:space="preserve">4 </w:t>
      </w:r>
      <w:r w:rsidR="009D0578">
        <w:rPr>
          <w:rFonts w:cs="Arial"/>
        </w:rPr>
        <w:t>from</w:t>
      </w:r>
      <w:r w:rsidR="002F3FD3" w:rsidRPr="006524B7">
        <w:rPr>
          <w:rFonts w:cs="Arial"/>
        </w:rPr>
        <w:t xml:space="preserve"> quarter</w:t>
      </w:r>
      <w:r w:rsidR="000013AA">
        <w:rPr>
          <w:rFonts w:cs="Arial"/>
        </w:rPr>
        <w:t xml:space="preserve"> </w:t>
      </w:r>
      <w:r w:rsidR="000F408B">
        <w:rPr>
          <w:rFonts w:cs="Arial"/>
        </w:rPr>
        <w:t>56</w:t>
      </w:r>
      <w:r w:rsidR="002F3FD3" w:rsidRPr="006524B7">
        <w:rPr>
          <w:rFonts w:cs="Arial"/>
        </w:rPr>
        <w:t>.</w:t>
      </w:r>
      <w:r w:rsidR="00A66AAA">
        <w:rPr>
          <w:rFonts w:cs="Arial"/>
        </w:rPr>
        <w:t xml:space="preserve"> </w:t>
      </w:r>
      <w:r w:rsidR="00993A9C" w:rsidRPr="006524B7">
        <w:rPr>
          <w:rFonts w:cs="Arial"/>
        </w:rPr>
        <w:t xml:space="preserve">Domestic violence </w:t>
      </w:r>
      <w:r w:rsidR="00993A9C">
        <w:rPr>
          <w:rFonts w:cs="Arial"/>
        </w:rPr>
        <w:t>referrals</w:t>
      </w:r>
      <w:r w:rsidR="00993A9C" w:rsidRPr="006524B7">
        <w:rPr>
          <w:rFonts w:cs="Arial"/>
        </w:rPr>
        <w:t xml:space="preserve"> in the communities during the quarter were as follows: Aurukun</w:t>
      </w:r>
      <w:r w:rsidR="00AE52D3">
        <w:rPr>
          <w:rFonts w:cs="Arial"/>
        </w:rPr>
        <w:t xml:space="preserve"> </w:t>
      </w:r>
      <w:r w:rsidR="00780C42">
        <w:rPr>
          <w:rFonts w:cs="Arial"/>
        </w:rPr>
        <w:t>decreased</w:t>
      </w:r>
      <w:r w:rsidR="00780C42" w:rsidRPr="006524B7">
        <w:rPr>
          <w:rFonts w:cs="Arial"/>
        </w:rPr>
        <w:t xml:space="preserve"> </w:t>
      </w:r>
      <w:r w:rsidR="00993A9C" w:rsidRPr="006524B7">
        <w:rPr>
          <w:rFonts w:cs="Arial"/>
        </w:rPr>
        <w:t xml:space="preserve">by </w:t>
      </w:r>
      <w:r w:rsidR="00780C42">
        <w:rPr>
          <w:rFonts w:cs="Arial"/>
        </w:rPr>
        <w:t>12</w:t>
      </w:r>
      <w:r w:rsidR="00993A9C" w:rsidRPr="006524B7">
        <w:rPr>
          <w:rFonts w:cs="Arial"/>
        </w:rPr>
        <w:t xml:space="preserve">, </w:t>
      </w:r>
      <w:r w:rsidR="0062066A">
        <w:rPr>
          <w:rFonts w:cs="Arial"/>
        </w:rPr>
        <w:t xml:space="preserve">and Coen </w:t>
      </w:r>
      <w:r w:rsidR="00780C42">
        <w:rPr>
          <w:rFonts w:cs="Arial"/>
        </w:rPr>
        <w:t>decreased by 4</w:t>
      </w:r>
      <w:r w:rsidR="00AE52D3">
        <w:rPr>
          <w:rFonts w:cs="Arial"/>
        </w:rPr>
        <w:t xml:space="preserve">, whilst </w:t>
      </w:r>
      <w:r w:rsidR="0062066A">
        <w:rPr>
          <w:rFonts w:cs="Arial"/>
        </w:rPr>
        <w:t xml:space="preserve">Hope Vale and </w:t>
      </w:r>
      <w:r w:rsidR="007B38F5">
        <w:rPr>
          <w:rFonts w:cs="Arial"/>
        </w:rPr>
        <w:t>Mossman Gorge</w:t>
      </w:r>
      <w:r w:rsidR="007B38F5" w:rsidRPr="006524B7">
        <w:rPr>
          <w:rFonts w:cs="Arial"/>
        </w:rPr>
        <w:t xml:space="preserve"> </w:t>
      </w:r>
      <w:r w:rsidR="00780C42">
        <w:rPr>
          <w:rFonts w:cs="Arial"/>
        </w:rPr>
        <w:t>increased</w:t>
      </w:r>
      <w:r w:rsidR="00780C42" w:rsidRPr="006524B7">
        <w:rPr>
          <w:rFonts w:cs="Arial"/>
        </w:rPr>
        <w:t xml:space="preserve"> </w:t>
      </w:r>
      <w:r w:rsidR="00993A9C" w:rsidRPr="006524B7">
        <w:rPr>
          <w:rFonts w:cs="Arial"/>
        </w:rPr>
        <w:t xml:space="preserve">by </w:t>
      </w:r>
      <w:r w:rsidR="00780C42">
        <w:rPr>
          <w:rFonts w:cs="Arial"/>
        </w:rPr>
        <w:t>8</w:t>
      </w:r>
      <w:r w:rsidR="0062066A">
        <w:rPr>
          <w:rFonts w:cs="Arial"/>
        </w:rPr>
        <w:t xml:space="preserve"> and </w:t>
      </w:r>
      <w:r w:rsidR="00780C42">
        <w:rPr>
          <w:rFonts w:cs="Arial"/>
        </w:rPr>
        <w:t>4</w:t>
      </w:r>
      <w:r w:rsidR="0062066A">
        <w:rPr>
          <w:rFonts w:cs="Arial"/>
        </w:rPr>
        <w:t xml:space="preserve"> respectively</w:t>
      </w:r>
      <w:r w:rsidR="00993A9C" w:rsidRPr="006524B7">
        <w:rPr>
          <w:rFonts w:cs="Arial"/>
        </w:rPr>
        <w:t>.</w:t>
      </w:r>
      <w:r w:rsidR="00993A9C">
        <w:rPr>
          <w:rFonts w:cs="Arial"/>
        </w:rPr>
        <w:t xml:space="preserve"> </w:t>
      </w:r>
      <w:r w:rsidR="00A66AAA">
        <w:rPr>
          <w:rFonts w:cs="Arial"/>
        </w:rPr>
        <w:t xml:space="preserve">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w:t>
      </w:r>
      <w:r w:rsidR="00D85A77" w:rsidRPr="00712441">
        <w:rPr>
          <w:rFonts w:cs="Arial"/>
        </w:rPr>
        <w:t xml:space="preserve">to address these behaviours. </w:t>
      </w:r>
      <w:r w:rsidR="00B307C5" w:rsidRPr="00712441">
        <w:rPr>
          <w:rFonts w:cs="Arial"/>
        </w:rPr>
        <w:t xml:space="preserve">The broader social impacts of domestic and family violence </w:t>
      </w:r>
      <w:r w:rsidR="00AE52D3" w:rsidRPr="00712441">
        <w:rPr>
          <w:rFonts w:cs="Arial"/>
        </w:rPr>
        <w:t>are</w:t>
      </w:r>
      <w:r w:rsidR="00B307C5" w:rsidRPr="00712441">
        <w:rPr>
          <w:rFonts w:cs="Arial"/>
        </w:rPr>
        <w:t xml:space="preserve"> set out in</w:t>
      </w:r>
      <w:r w:rsidR="00D85A77" w:rsidRPr="00712441">
        <w:rPr>
          <w:rFonts w:cs="Arial"/>
        </w:rPr>
        <w:t xml:space="preserve"> </w:t>
      </w:r>
      <w:r w:rsidR="00D85A77" w:rsidRPr="00712441">
        <w:t xml:space="preserve">Table </w:t>
      </w:r>
      <w:r w:rsidR="00A53735">
        <w:t>3</w:t>
      </w:r>
      <w:r w:rsidR="00B307C5" w:rsidRPr="00712441">
        <w:t xml:space="preserve"> with analysis on page </w:t>
      </w:r>
      <w:r w:rsidR="00F168BB">
        <w:t>7</w:t>
      </w:r>
      <w:r w:rsidR="000013AA" w:rsidRPr="00712441">
        <w:t>, i</w:t>
      </w:r>
      <w:r w:rsidR="00B307C5" w:rsidRPr="00712441">
        <w:t>llustrat</w:t>
      </w:r>
      <w:r w:rsidR="000013AA" w:rsidRPr="00712441">
        <w:t>ing</w:t>
      </w:r>
      <w:r w:rsidR="00B307C5" w:rsidRPr="00712441">
        <w:t xml:space="preserve"> the nexus between </w:t>
      </w:r>
      <w:r w:rsidR="00D85A77" w:rsidRPr="00712441">
        <w:t xml:space="preserve">Court convictions and domestic violence orders/breaches </w:t>
      </w:r>
      <w:r w:rsidR="00B307C5" w:rsidRPr="00712441">
        <w:t>with</w:t>
      </w:r>
      <w:r w:rsidR="00D85A77" w:rsidRPr="00712441">
        <w:t xml:space="preserve"> </w:t>
      </w:r>
      <w:r w:rsidR="00F40431" w:rsidRPr="00712441">
        <w:t>school attendance issues</w:t>
      </w:r>
      <w:r w:rsidR="00712441" w:rsidRPr="00712441">
        <w:t xml:space="preserve"> and to a lesser degree child safety issues</w:t>
      </w:r>
      <w:r w:rsidR="00B307C5" w:rsidRPr="00712441">
        <w:t>.</w:t>
      </w:r>
    </w:p>
    <w:p w14:paraId="11BFC9AE" w14:textId="0E22FA06" w:rsidR="00D40971" w:rsidRDefault="00D40971" w:rsidP="002F3FD3">
      <w:pPr>
        <w:ind w:left="-142" w:right="-425"/>
        <w:jc w:val="both"/>
        <w:rPr>
          <w:rFonts w:cs="Arial"/>
        </w:rPr>
      </w:pPr>
    </w:p>
    <w:p w14:paraId="7B17586E" w14:textId="29A84009" w:rsidR="00611FC2" w:rsidRPr="00D925BE" w:rsidRDefault="00611FC2" w:rsidP="00611FC2">
      <w:pPr>
        <w:pStyle w:val="TableCaption"/>
        <w:spacing w:before="0"/>
        <w:ind w:left="0" w:right="-425"/>
        <w:rPr>
          <w:b/>
          <w:i w:val="0"/>
          <w:sz w:val="16"/>
        </w:rPr>
      </w:pPr>
      <w:r>
        <w:rPr>
          <w:b/>
          <w:i w:val="0"/>
          <w:sz w:val="16"/>
        </w:rPr>
        <w:t>Table 18</w:t>
      </w:r>
      <w:r w:rsidRPr="00F85AA1">
        <w:rPr>
          <w:b/>
          <w:i w:val="0"/>
          <w:sz w:val="16"/>
        </w:rPr>
        <w:t xml:space="preserve">: </w:t>
      </w:r>
      <w:r w:rsidRPr="00DF7212">
        <w:rPr>
          <w:rFonts w:cs="Arial"/>
          <w:i w:val="0"/>
          <w:iCs/>
          <w:sz w:val="16"/>
          <w:szCs w:val="16"/>
        </w:rPr>
        <w:t xml:space="preserve">Domestic violence referrals by community and quarter 1 </w:t>
      </w:r>
      <w:r>
        <w:rPr>
          <w:rFonts w:cs="Arial"/>
          <w:i w:val="0"/>
          <w:iCs/>
          <w:sz w:val="16"/>
          <w:szCs w:val="16"/>
        </w:rPr>
        <w:t>July</w:t>
      </w:r>
      <w:r w:rsidRPr="00DF7212">
        <w:rPr>
          <w:rFonts w:cs="Arial"/>
          <w:i w:val="0"/>
          <w:iCs/>
          <w:sz w:val="16"/>
          <w:szCs w:val="16"/>
        </w:rPr>
        <w:t xml:space="preserve"> 20</w:t>
      </w:r>
      <w:r>
        <w:rPr>
          <w:rFonts w:cs="Arial"/>
          <w:i w:val="0"/>
          <w:iCs/>
          <w:sz w:val="16"/>
          <w:szCs w:val="16"/>
        </w:rPr>
        <w:t>21</w:t>
      </w:r>
      <w:r w:rsidRPr="00DF7212">
        <w:rPr>
          <w:rFonts w:cs="Arial"/>
          <w:i w:val="0"/>
          <w:iCs/>
          <w:sz w:val="16"/>
          <w:szCs w:val="16"/>
        </w:rPr>
        <w:t xml:space="preserve"> to 3</w:t>
      </w:r>
      <w:r>
        <w:rPr>
          <w:rFonts w:cs="Arial"/>
          <w:i w:val="0"/>
          <w:iCs/>
          <w:sz w:val="16"/>
          <w:szCs w:val="16"/>
        </w:rPr>
        <w:t xml:space="preserve">0 September </w:t>
      </w:r>
      <w:r w:rsidRPr="00DF7212">
        <w:rPr>
          <w:rFonts w:cs="Arial"/>
          <w:i w:val="0"/>
          <w:iCs/>
          <w:sz w:val="16"/>
          <w:szCs w:val="16"/>
        </w:rPr>
        <w:t>202</w:t>
      </w:r>
      <w:r>
        <w:rPr>
          <w:rFonts w:cs="Arial"/>
          <w:i w:val="0"/>
          <w:iCs/>
          <w:sz w:val="16"/>
          <w:szCs w:val="16"/>
        </w:rPr>
        <w:t>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611FC2" w:rsidRPr="00C5395B" w14:paraId="49421494" w14:textId="77777777" w:rsidTr="006A327F">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9A85C1C" w14:textId="77777777" w:rsidR="00611FC2" w:rsidRPr="00C5395B" w:rsidRDefault="00611FC2" w:rsidP="00611FC2">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5AE28A97" w14:textId="578B853F" w:rsidR="00611FC2" w:rsidRDefault="00611FC2" w:rsidP="00611FC2">
            <w:pPr>
              <w:pStyle w:val="TableText"/>
              <w:jc w:val="right"/>
              <w:rPr>
                <w:b/>
                <w:lang w:eastAsia="en-AU"/>
              </w:rPr>
            </w:pPr>
            <w:r>
              <w:rPr>
                <w:b/>
                <w:lang w:eastAsia="en-AU"/>
              </w:rPr>
              <w:t>Qtr 53</w:t>
            </w:r>
          </w:p>
        </w:tc>
        <w:tc>
          <w:tcPr>
            <w:tcW w:w="992" w:type="dxa"/>
            <w:tcBorders>
              <w:top w:val="single" w:sz="4" w:space="0" w:color="auto"/>
              <w:left w:val="nil"/>
              <w:bottom w:val="single" w:sz="4" w:space="0" w:color="auto"/>
              <w:right w:val="single" w:sz="4" w:space="0" w:color="auto"/>
            </w:tcBorders>
          </w:tcPr>
          <w:p w14:paraId="3FEBBCB0" w14:textId="3CC5C00A" w:rsidR="00611FC2" w:rsidRDefault="00611FC2" w:rsidP="00611FC2">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51B2931D" w14:textId="07F098BA" w:rsidR="00611FC2" w:rsidRDefault="00611FC2" w:rsidP="00611FC2">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4AC29DF2" w14:textId="4172CBE7" w:rsidR="00611FC2" w:rsidRDefault="00611FC2" w:rsidP="00611FC2">
            <w:pPr>
              <w:pStyle w:val="TableText"/>
              <w:jc w:val="right"/>
              <w:rPr>
                <w:b/>
                <w:lang w:eastAsia="en-AU"/>
              </w:rPr>
            </w:pPr>
            <w:r>
              <w:rPr>
                <w:b/>
                <w:lang w:eastAsia="en-AU"/>
              </w:rPr>
              <w:t>Qtr 56</w:t>
            </w:r>
          </w:p>
        </w:tc>
        <w:tc>
          <w:tcPr>
            <w:tcW w:w="993" w:type="dxa"/>
            <w:tcBorders>
              <w:top w:val="single" w:sz="4" w:space="0" w:color="auto"/>
              <w:left w:val="nil"/>
              <w:bottom w:val="single" w:sz="4" w:space="0" w:color="auto"/>
              <w:right w:val="single" w:sz="4" w:space="0" w:color="auto"/>
            </w:tcBorders>
          </w:tcPr>
          <w:p w14:paraId="273221A9" w14:textId="783189F1" w:rsidR="00611FC2" w:rsidRDefault="00611FC2" w:rsidP="00611FC2">
            <w:pPr>
              <w:pStyle w:val="TableText"/>
              <w:jc w:val="right"/>
              <w:rPr>
                <w:b/>
                <w:lang w:eastAsia="en-AU"/>
              </w:rPr>
            </w:pPr>
            <w:r>
              <w:rPr>
                <w:b/>
                <w:lang w:eastAsia="en-AU"/>
              </w:rPr>
              <w:t>Qtr 57</w:t>
            </w:r>
          </w:p>
        </w:tc>
      </w:tr>
      <w:tr w:rsidR="00611FC2" w:rsidRPr="00C5395B" w14:paraId="44B3F18D" w14:textId="77777777" w:rsidTr="00450C34">
        <w:trPr>
          <w:trHeight w:val="255"/>
        </w:trPr>
        <w:tc>
          <w:tcPr>
            <w:tcW w:w="2029" w:type="dxa"/>
            <w:tcBorders>
              <w:top w:val="nil"/>
              <w:left w:val="single" w:sz="4" w:space="0" w:color="auto"/>
              <w:bottom w:val="single" w:sz="4" w:space="0" w:color="auto"/>
              <w:right w:val="single" w:sz="4" w:space="0" w:color="auto"/>
            </w:tcBorders>
            <w:noWrap/>
            <w:hideMark/>
          </w:tcPr>
          <w:p w14:paraId="071C56D9" w14:textId="77777777" w:rsidR="00611FC2" w:rsidRPr="00C5395B" w:rsidRDefault="00611FC2" w:rsidP="00611FC2">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vAlign w:val="bottom"/>
          </w:tcPr>
          <w:p w14:paraId="653C7794" w14:textId="21098B85" w:rsidR="00611FC2" w:rsidRPr="002F43C8" w:rsidRDefault="00611FC2" w:rsidP="00611FC2">
            <w:pPr>
              <w:jc w:val="right"/>
              <w:rPr>
                <w:rFonts w:cs="Arial"/>
              </w:rPr>
            </w:pPr>
            <w:r>
              <w:rPr>
                <w:rFonts w:cs="Arial"/>
              </w:rPr>
              <w:t>22</w:t>
            </w:r>
          </w:p>
        </w:tc>
        <w:tc>
          <w:tcPr>
            <w:tcW w:w="992" w:type="dxa"/>
            <w:tcBorders>
              <w:top w:val="nil"/>
              <w:left w:val="nil"/>
              <w:bottom w:val="single" w:sz="4" w:space="0" w:color="auto"/>
              <w:right w:val="single" w:sz="4" w:space="0" w:color="auto"/>
            </w:tcBorders>
          </w:tcPr>
          <w:p w14:paraId="5BC4642C" w14:textId="002290C0" w:rsidR="00611FC2" w:rsidRPr="002F43C8" w:rsidRDefault="00611FC2" w:rsidP="00611FC2">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1843CC0C" w14:textId="2D762B70" w:rsidR="00611FC2" w:rsidRPr="007E5A38" w:rsidRDefault="00611FC2" w:rsidP="00611FC2">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7BF79696" w14:textId="5F88E8F0" w:rsidR="00611FC2" w:rsidRDefault="00611FC2" w:rsidP="00611FC2">
            <w:pPr>
              <w:jc w:val="right"/>
              <w:rPr>
                <w:rFonts w:cs="Arial"/>
              </w:rPr>
            </w:pPr>
            <w:r>
              <w:rPr>
                <w:rFonts w:cs="Arial"/>
              </w:rPr>
              <w:t>29</w:t>
            </w:r>
          </w:p>
        </w:tc>
        <w:tc>
          <w:tcPr>
            <w:tcW w:w="993" w:type="dxa"/>
            <w:tcBorders>
              <w:top w:val="nil"/>
              <w:left w:val="nil"/>
              <w:bottom w:val="single" w:sz="4" w:space="0" w:color="auto"/>
              <w:right w:val="single" w:sz="4" w:space="0" w:color="auto"/>
            </w:tcBorders>
          </w:tcPr>
          <w:p w14:paraId="6458FB77" w14:textId="6FC9158F" w:rsidR="00611FC2" w:rsidRDefault="00611FC2" w:rsidP="00611FC2">
            <w:pPr>
              <w:jc w:val="right"/>
              <w:rPr>
                <w:rFonts w:cs="Arial"/>
              </w:rPr>
            </w:pPr>
            <w:r>
              <w:rPr>
                <w:rFonts w:cs="Arial"/>
              </w:rPr>
              <w:t>17</w:t>
            </w:r>
          </w:p>
        </w:tc>
      </w:tr>
      <w:tr w:rsidR="00611FC2" w:rsidRPr="00C5395B" w14:paraId="136AFCC8" w14:textId="77777777" w:rsidTr="00450C34">
        <w:trPr>
          <w:trHeight w:val="255"/>
        </w:trPr>
        <w:tc>
          <w:tcPr>
            <w:tcW w:w="2029" w:type="dxa"/>
            <w:tcBorders>
              <w:top w:val="nil"/>
              <w:left w:val="single" w:sz="4" w:space="0" w:color="auto"/>
              <w:bottom w:val="single" w:sz="4" w:space="0" w:color="auto"/>
              <w:right w:val="single" w:sz="4" w:space="0" w:color="auto"/>
            </w:tcBorders>
            <w:noWrap/>
            <w:hideMark/>
          </w:tcPr>
          <w:p w14:paraId="46468896" w14:textId="77777777" w:rsidR="00611FC2" w:rsidRPr="00C5395B" w:rsidRDefault="00611FC2" w:rsidP="00611FC2">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vAlign w:val="bottom"/>
          </w:tcPr>
          <w:p w14:paraId="1AF2BE95" w14:textId="6A8FDC74" w:rsidR="00611FC2" w:rsidRPr="002F43C8" w:rsidRDefault="00611FC2" w:rsidP="00611FC2">
            <w:pPr>
              <w:jc w:val="right"/>
              <w:rPr>
                <w:rFonts w:cs="Arial"/>
              </w:rPr>
            </w:pPr>
            <w:r>
              <w:rPr>
                <w:rFonts w:cs="Arial"/>
              </w:rPr>
              <w:t>4</w:t>
            </w:r>
          </w:p>
        </w:tc>
        <w:tc>
          <w:tcPr>
            <w:tcW w:w="992" w:type="dxa"/>
            <w:tcBorders>
              <w:top w:val="nil"/>
              <w:left w:val="nil"/>
              <w:bottom w:val="single" w:sz="4" w:space="0" w:color="auto"/>
              <w:right w:val="single" w:sz="4" w:space="0" w:color="auto"/>
            </w:tcBorders>
          </w:tcPr>
          <w:p w14:paraId="6D8616AB" w14:textId="76C8546C" w:rsidR="00611FC2" w:rsidRPr="002F43C8" w:rsidRDefault="00611FC2" w:rsidP="00611FC2">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4C209555" w14:textId="1BFD4419" w:rsidR="00611FC2" w:rsidRPr="007E5A38" w:rsidRDefault="00611FC2" w:rsidP="00611FC2">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190DB76C" w14:textId="11DC9036" w:rsidR="00611FC2" w:rsidRDefault="00611FC2" w:rsidP="00611FC2">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3E426009" w14:textId="72DE8FDE" w:rsidR="00611FC2" w:rsidRDefault="00611FC2" w:rsidP="00611FC2">
            <w:pPr>
              <w:jc w:val="right"/>
              <w:rPr>
                <w:rFonts w:cs="Arial"/>
              </w:rPr>
            </w:pPr>
            <w:r>
              <w:rPr>
                <w:rFonts w:cs="Arial"/>
              </w:rPr>
              <w:t>0</w:t>
            </w:r>
          </w:p>
        </w:tc>
      </w:tr>
      <w:tr w:rsidR="00611FC2" w:rsidRPr="00C5395B" w14:paraId="265F179F" w14:textId="77777777" w:rsidTr="00450C34">
        <w:trPr>
          <w:trHeight w:val="255"/>
        </w:trPr>
        <w:tc>
          <w:tcPr>
            <w:tcW w:w="2029" w:type="dxa"/>
            <w:tcBorders>
              <w:top w:val="nil"/>
              <w:left w:val="single" w:sz="4" w:space="0" w:color="auto"/>
              <w:bottom w:val="single" w:sz="4" w:space="0" w:color="auto"/>
              <w:right w:val="single" w:sz="4" w:space="0" w:color="auto"/>
            </w:tcBorders>
            <w:noWrap/>
          </w:tcPr>
          <w:p w14:paraId="0A705163" w14:textId="77777777" w:rsidR="00611FC2" w:rsidRPr="00C5395B" w:rsidRDefault="00611FC2" w:rsidP="00611FC2">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vAlign w:val="bottom"/>
          </w:tcPr>
          <w:p w14:paraId="11EEF672" w14:textId="55067056" w:rsidR="00611FC2" w:rsidRPr="002F43C8" w:rsidRDefault="00611FC2" w:rsidP="00611FC2">
            <w:pPr>
              <w:jc w:val="right"/>
              <w:rPr>
                <w:rFonts w:cs="Arial"/>
              </w:rPr>
            </w:pPr>
            <w:r>
              <w:rPr>
                <w:rFonts w:cs="Arial"/>
              </w:rPr>
              <w:t>7</w:t>
            </w:r>
          </w:p>
        </w:tc>
        <w:tc>
          <w:tcPr>
            <w:tcW w:w="992" w:type="dxa"/>
            <w:tcBorders>
              <w:top w:val="nil"/>
              <w:left w:val="nil"/>
              <w:bottom w:val="single" w:sz="4" w:space="0" w:color="auto"/>
              <w:right w:val="single" w:sz="4" w:space="0" w:color="auto"/>
            </w:tcBorders>
          </w:tcPr>
          <w:p w14:paraId="17711EBA" w14:textId="5AE77143" w:rsidR="00611FC2" w:rsidRPr="002F43C8" w:rsidRDefault="00611FC2" w:rsidP="00611FC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69B47898" w14:textId="6697B56A" w:rsidR="00611FC2" w:rsidRPr="007E5A38" w:rsidRDefault="00611FC2" w:rsidP="00611FC2">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B8353CF" w14:textId="536F7723" w:rsidR="00611FC2" w:rsidRDefault="00611FC2" w:rsidP="00611FC2">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0832F7F5" w14:textId="077CF95E" w:rsidR="00611FC2" w:rsidRDefault="00611FC2" w:rsidP="00611FC2">
            <w:pPr>
              <w:jc w:val="right"/>
              <w:rPr>
                <w:rFonts w:cs="Arial"/>
              </w:rPr>
            </w:pPr>
            <w:r>
              <w:rPr>
                <w:rFonts w:cs="Arial"/>
              </w:rPr>
              <w:t>8</w:t>
            </w:r>
          </w:p>
        </w:tc>
      </w:tr>
      <w:tr w:rsidR="00611FC2" w:rsidRPr="00C5395B" w14:paraId="0E7B3EBA" w14:textId="77777777" w:rsidTr="00450C34">
        <w:trPr>
          <w:trHeight w:val="255"/>
        </w:trPr>
        <w:tc>
          <w:tcPr>
            <w:tcW w:w="2029" w:type="dxa"/>
            <w:tcBorders>
              <w:top w:val="nil"/>
              <w:left w:val="single" w:sz="4" w:space="0" w:color="auto"/>
              <w:bottom w:val="single" w:sz="4" w:space="0" w:color="auto"/>
              <w:right w:val="single" w:sz="4" w:space="0" w:color="auto"/>
            </w:tcBorders>
            <w:noWrap/>
            <w:hideMark/>
          </w:tcPr>
          <w:p w14:paraId="2919E948" w14:textId="77777777" w:rsidR="00611FC2" w:rsidRPr="00C5395B" w:rsidRDefault="00611FC2" w:rsidP="00611FC2">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vAlign w:val="bottom"/>
          </w:tcPr>
          <w:p w14:paraId="621743AC" w14:textId="3989DEE4" w:rsidR="00611FC2" w:rsidRPr="002F43C8" w:rsidRDefault="00611FC2" w:rsidP="00611FC2">
            <w:pPr>
              <w:jc w:val="right"/>
              <w:rPr>
                <w:rFonts w:cs="Arial"/>
              </w:rPr>
            </w:pPr>
            <w:r>
              <w:rPr>
                <w:rFonts w:cs="Arial"/>
              </w:rPr>
              <w:t>6</w:t>
            </w:r>
          </w:p>
        </w:tc>
        <w:tc>
          <w:tcPr>
            <w:tcW w:w="992" w:type="dxa"/>
            <w:tcBorders>
              <w:top w:val="nil"/>
              <w:left w:val="nil"/>
              <w:bottom w:val="single" w:sz="4" w:space="0" w:color="auto"/>
              <w:right w:val="single" w:sz="4" w:space="0" w:color="auto"/>
            </w:tcBorders>
          </w:tcPr>
          <w:p w14:paraId="318C197E" w14:textId="0F8AA1B1" w:rsidR="00611FC2" w:rsidRPr="002F43C8" w:rsidRDefault="00611FC2" w:rsidP="00611FC2">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66BAC1D9" w14:textId="7650C511" w:rsidR="00611FC2" w:rsidRPr="007E5A38" w:rsidRDefault="00611FC2" w:rsidP="00611FC2">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25ABA230" w14:textId="3DE6C0B2" w:rsidR="00611FC2" w:rsidRDefault="00611FC2" w:rsidP="00611FC2">
            <w:pPr>
              <w:jc w:val="right"/>
              <w:rPr>
                <w:rFonts w:cs="Arial"/>
              </w:rPr>
            </w:pPr>
            <w:r>
              <w:rPr>
                <w:rFonts w:cs="Arial"/>
              </w:rPr>
              <w:t>1</w:t>
            </w:r>
          </w:p>
        </w:tc>
        <w:tc>
          <w:tcPr>
            <w:tcW w:w="993" w:type="dxa"/>
            <w:tcBorders>
              <w:top w:val="nil"/>
              <w:left w:val="nil"/>
              <w:bottom w:val="single" w:sz="4" w:space="0" w:color="auto"/>
              <w:right w:val="single" w:sz="4" w:space="0" w:color="auto"/>
            </w:tcBorders>
          </w:tcPr>
          <w:p w14:paraId="4479C4AF" w14:textId="58937E57" w:rsidR="00611FC2" w:rsidRDefault="00611FC2" w:rsidP="00611FC2">
            <w:pPr>
              <w:jc w:val="right"/>
              <w:rPr>
                <w:rFonts w:cs="Arial"/>
              </w:rPr>
            </w:pPr>
            <w:r>
              <w:rPr>
                <w:rFonts w:cs="Arial"/>
              </w:rPr>
              <w:t>5</w:t>
            </w:r>
          </w:p>
        </w:tc>
      </w:tr>
      <w:tr w:rsidR="00611FC2" w:rsidRPr="00C5395B" w14:paraId="40FC6419" w14:textId="77777777" w:rsidTr="00450C34">
        <w:trPr>
          <w:trHeight w:val="255"/>
        </w:trPr>
        <w:tc>
          <w:tcPr>
            <w:tcW w:w="2029" w:type="dxa"/>
            <w:tcBorders>
              <w:top w:val="nil"/>
              <w:left w:val="single" w:sz="4" w:space="0" w:color="auto"/>
              <w:bottom w:val="single" w:sz="4" w:space="0" w:color="auto"/>
              <w:right w:val="single" w:sz="4" w:space="0" w:color="auto"/>
            </w:tcBorders>
            <w:noWrap/>
            <w:hideMark/>
          </w:tcPr>
          <w:p w14:paraId="29220E2F" w14:textId="77777777" w:rsidR="00611FC2" w:rsidRPr="00C5395B" w:rsidRDefault="00611FC2" w:rsidP="00611FC2">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vAlign w:val="bottom"/>
          </w:tcPr>
          <w:p w14:paraId="1A86E5C9" w14:textId="0C667360" w:rsidR="00611FC2" w:rsidRPr="002F43C8" w:rsidRDefault="00611FC2" w:rsidP="00611FC2">
            <w:pPr>
              <w:pStyle w:val="TableText"/>
              <w:jc w:val="right"/>
              <w:rPr>
                <w:b/>
                <w:lang w:eastAsia="en-AU"/>
              </w:rPr>
            </w:pPr>
            <w:r>
              <w:rPr>
                <w:rFonts w:cs="Arial"/>
                <w:b/>
                <w:bCs/>
              </w:rPr>
              <w:t>39</w:t>
            </w:r>
          </w:p>
        </w:tc>
        <w:tc>
          <w:tcPr>
            <w:tcW w:w="992" w:type="dxa"/>
            <w:tcBorders>
              <w:top w:val="nil"/>
              <w:left w:val="nil"/>
              <w:bottom w:val="single" w:sz="4" w:space="0" w:color="auto"/>
              <w:right w:val="single" w:sz="4" w:space="0" w:color="auto"/>
            </w:tcBorders>
          </w:tcPr>
          <w:p w14:paraId="442A1926" w14:textId="25AC35F2" w:rsidR="00611FC2" w:rsidRPr="002F43C8" w:rsidRDefault="00611FC2" w:rsidP="00611FC2">
            <w:pPr>
              <w:pStyle w:val="TableText"/>
              <w:jc w:val="right"/>
              <w:rPr>
                <w:rFonts w:cs="Arial"/>
                <w:b/>
                <w:bCs/>
              </w:rPr>
            </w:pPr>
            <w:r>
              <w:rPr>
                <w:rFonts w:cs="Arial"/>
                <w:b/>
                <w:bCs/>
              </w:rPr>
              <w:t>32</w:t>
            </w:r>
          </w:p>
        </w:tc>
        <w:tc>
          <w:tcPr>
            <w:tcW w:w="993" w:type="dxa"/>
            <w:tcBorders>
              <w:top w:val="nil"/>
              <w:left w:val="nil"/>
              <w:bottom w:val="single" w:sz="4" w:space="0" w:color="auto"/>
              <w:right w:val="single" w:sz="4" w:space="0" w:color="auto"/>
            </w:tcBorders>
          </w:tcPr>
          <w:p w14:paraId="1E13AB70" w14:textId="07895098" w:rsidR="00611FC2" w:rsidRPr="007E5A38" w:rsidRDefault="00611FC2" w:rsidP="00611FC2">
            <w:pPr>
              <w:pStyle w:val="TableText"/>
              <w:jc w:val="right"/>
              <w:rPr>
                <w:rFonts w:cs="Arial"/>
                <w:b/>
                <w:bCs/>
              </w:rPr>
            </w:pPr>
            <w:r>
              <w:rPr>
                <w:rFonts w:cs="Arial"/>
                <w:b/>
                <w:bCs/>
              </w:rPr>
              <w:t>19</w:t>
            </w:r>
          </w:p>
        </w:tc>
        <w:tc>
          <w:tcPr>
            <w:tcW w:w="993" w:type="dxa"/>
            <w:tcBorders>
              <w:top w:val="nil"/>
              <w:left w:val="nil"/>
              <w:bottom w:val="single" w:sz="4" w:space="0" w:color="auto"/>
              <w:right w:val="single" w:sz="4" w:space="0" w:color="auto"/>
            </w:tcBorders>
            <w:vAlign w:val="bottom"/>
          </w:tcPr>
          <w:p w14:paraId="73A498FD" w14:textId="33DBD94C" w:rsidR="00611FC2" w:rsidRDefault="00611FC2" w:rsidP="00611FC2">
            <w:pPr>
              <w:pStyle w:val="TableText"/>
              <w:jc w:val="right"/>
              <w:rPr>
                <w:rFonts w:cs="Arial"/>
                <w:b/>
                <w:bCs/>
              </w:rPr>
            </w:pPr>
            <w:r>
              <w:rPr>
                <w:rFonts w:cs="Arial"/>
                <w:b/>
                <w:bCs/>
              </w:rPr>
              <w:t>34</w:t>
            </w:r>
          </w:p>
        </w:tc>
        <w:tc>
          <w:tcPr>
            <w:tcW w:w="993" w:type="dxa"/>
            <w:tcBorders>
              <w:top w:val="nil"/>
              <w:left w:val="nil"/>
              <w:bottom w:val="single" w:sz="4" w:space="0" w:color="auto"/>
              <w:right w:val="single" w:sz="4" w:space="0" w:color="auto"/>
            </w:tcBorders>
            <w:vAlign w:val="bottom"/>
          </w:tcPr>
          <w:p w14:paraId="0C8E0FAF" w14:textId="5745559D" w:rsidR="00611FC2" w:rsidRDefault="008A254A" w:rsidP="00611FC2">
            <w:pPr>
              <w:pStyle w:val="TableText"/>
              <w:jc w:val="right"/>
              <w:rPr>
                <w:rFonts w:cs="Arial"/>
                <w:b/>
                <w:bCs/>
              </w:rPr>
            </w:pPr>
            <w:r>
              <w:rPr>
                <w:rFonts w:cs="Arial"/>
                <w:b/>
                <w:bCs/>
              </w:rPr>
              <w:t>30</w:t>
            </w:r>
          </w:p>
        </w:tc>
      </w:tr>
    </w:tbl>
    <w:p w14:paraId="2D98DD6A" w14:textId="77777777" w:rsidR="00611FC2" w:rsidRPr="00AE5461" w:rsidRDefault="00611FC2" w:rsidP="00611FC2">
      <w:pPr>
        <w:ind w:left="-142" w:right="-425"/>
        <w:jc w:val="both"/>
        <w:rPr>
          <w:rFonts w:cs="Arial"/>
        </w:rPr>
      </w:pPr>
    </w:p>
    <w:p w14:paraId="3DA4D471" w14:textId="3D83B91D" w:rsidR="005A5B78" w:rsidRPr="00076ED0" w:rsidRDefault="005A5B78" w:rsidP="00091CFE">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46AE7696"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A82BE3">
        <w:rPr>
          <w:rFonts w:cs="Arial"/>
        </w:rPr>
        <w:t xml:space="preserve">13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A82BE3">
        <w:rPr>
          <w:rFonts w:cs="Arial"/>
        </w:rPr>
        <w:t xml:space="preserve">13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0F408B">
        <w:rPr>
          <w:rFonts w:cs="Arial"/>
        </w:rPr>
        <w:t>57</w:t>
      </w:r>
      <w:r w:rsidR="005A5B78" w:rsidRPr="00306884">
        <w:rPr>
          <w:rFonts w:cs="Arial"/>
        </w:rPr>
        <w:t xml:space="preserve">, </w:t>
      </w:r>
      <w:r w:rsidR="00D1657C" w:rsidRPr="00D1657C">
        <w:rPr>
          <w:rFonts w:cs="Arial"/>
        </w:rPr>
        <w:t>a</w:t>
      </w:r>
      <w:r w:rsidR="00A82BE3">
        <w:rPr>
          <w:rFonts w:cs="Arial"/>
        </w:rPr>
        <w:t xml:space="preserve"> decrease </w:t>
      </w:r>
      <w:r w:rsidR="005A5B78" w:rsidRPr="00D1657C">
        <w:rPr>
          <w:rFonts w:cs="Arial"/>
        </w:rPr>
        <w:t>of</w:t>
      </w:r>
      <w:r w:rsidR="005A5B78" w:rsidRPr="007C135D">
        <w:rPr>
          <w:rFonts w:cs="Arial"/>
        </w:rPr>
        <w:t xml:space="preserve"> </w:t>
      </w:r>
      <w:r w:rsidR="00A82BE3">
        <w:rPr>
          <w:rFonts w:cs="Arial"/>
        </w:rPr>
        <w:t>7</w:t>
      </w:r>
      <w:r w:rsidR="00A82BE3"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0F408B">
        <w:rPr>
          <w:rFonts w:cs="Arial"/>
        </w:rPr>
        <w:t>56</w:t>
      </w:r>
      <w:r w:rsidR="00324B7B">
        <w:rPr>
          <w:rFonts w:cs="Arial"/>
        </w:rPr>
        <w:t xml:space="preserve">. </w:t>
      </w:r>
      <w:r w:rsidR="00A82BE3">
        <w:rPr>
          <w:rFonts w:cs="Arial"/>
        </w:rPr>
        <w:t xml:space="preserve">Sixty-nine </w:t>
      </w:r>
      <w:r w:rsidR="00DE1B45">
        <w:rPr>
          <w:rFonts w:cs="Arial"/>
        </w:rPr>
        <w:t>percent of CIMs</w:t>
      </w:r>
      <w:r w:rsidR="00324B7B">
        <w:rPr>
          <w:rFonts w:cs="Arial"/>
        </w:rPr>
        <w:t xml:space="preserve"> quarantine</w:t>
      </w:r>
      <w:r w:rsidR="00DE1B45">
        <w:rPr>
          <w:rFonts w:cs="Arial"/>
        </w:rPr>
        <w:t>d</w:t>
      </w:r>
      <w:r w:rsidR="00324B7B">
        <w:rPr>
          <w:rFonts w:cs="Arial"/>
        </w:rPr>
        <w:t xml:space="preserve"> </w:t>
      </w:r>
      <w:r w:rsidR="00C41FA3">
        <w:rPr>
          <w:rFonts w:cs="Arial"/>
        </w:rPr>
        <w:t xml:space="preserve">60 percent </w:t>
      </w:r>
      <w:r w:rsidR="00364C47">
        <w:rPr>
          <w:rFonts w:cs="Arial"/>
        </w:rPr>
        <w:t>of welfare payments</w:t>
      </w:r>
      <w:r w:rsidR="00180AEF">
        <w:rPr>
          <w:rFonts w:cs="Arial"/>
        </w:rPr>
        <w:t xml:space="preserve"> </w:t>
      </w:r>
      <w:r w:rsidR="00364C47">
        <w:rPr>
          <w:rFonts w:cs="Arial"/>
        </w:rPr>
        <w:t xml:space="preserve">with </w:t>
      </w:r>
      <w:r w:rsidR="004B215D">
        <w:rPr>
          <w:rFonts w:cs="Arial"/>
        </w:rPr>
        <w:t>all</w:t>
      </w:r>
      <w:r w:rsidR="00333954">
        <w:rPr>
          <w:rFonts w:cs="Arial"/>
        </w:rPr>
        <w:t xml:space="preserve"> </w:t>
      </w:r>
      <w:r w:rsidR="00364C47">
        <w:rPr>
          <w:rFonts w:cs="Arial"/>
        </w:rPr>
        <w:t xml:space="preserve">CIMs issued for a </w:t>
      </w:r>
      <w:r w:rsidR="00A82BE3">
        <w:rPr>
          <w:rFonts w:cs="Arial"/>
        </w:rPr>
        <w:t>6</w:t>
      </w:r>
      <w:r w:rsidR="00364C47">
        <w:rPr>
          <w:rFonts w:cs="Arial"/>
        </w:rPr>
        <w:t>-month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w:t>
      </w:r>
      <w:r w:rsidR="005A5B78" w:rsidRPr="007C135D">
        <w:rPr>
          <w:rFonts w:cs="Arial"/>
        </w:rPr>
        <w:lastRenderedPageBreak/>
        <w:t xml:space="preserve">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7F743F">
        <w:rPr>
          <w:rFonts w:cs="Arial"/>
        </w:rPr>
        <w:t>1002</w:t>
      </w:r>
      <w:r w:rsidR="007F743F" w:rsidRPr="007C7A9E">
        <w:rPr>
          <w:rFonts w:cs="Arial"/>
        </w:rPr>
        <w:t xml:space="preserve"> </w:t>
      </w:r>
      <w:r w:rsidR="005A5B78" w:rsidRPr="007C7A9E">
        <w:rPr>
          <w:rFonts w:cs="Arial"/>
        </w:rPr>
        <w:t>clients</w:t>
      </w:r>
      <w:r w:rsidR="00932DF5">
        <w:rPr>
          <w:rFonts w:cs="Arial"/>
        </w:rPr>
        <w:t xml:space="preserve"> (</w:t>
      </w:r>
      <w:r w:rsidR="0093151F">
        <w:rPr>
          <w:rFonts w:cs="Arial"/>
        </w:rPr>
        <w:t>5</w:t>
      </w:r>
      <w:r w:rsidR="00884383">
        <w:rPr>
          <w:rFonts w:cs="Arial"/>
        </w:rPr>
        <w:t>7</w:t>
      </w:r>
      <w:r w:rsidR="007F743F">
        <w:rPr>
          <w:rFonts w:cs="Arial"/>
        </w:rPr>
        <w:t>8</w:t>
      </w:r>
      <w:r w:rsidR="0093151F">
        <w:rPr>
          <w:rFonts w:cs="Arial"/>
        </w:rPr>
        <w:t xml:space="preserve"> </w:t>
      </w:r>
      <w:r w:rsidR="00932DF5">
        <w:rPr>
          <w:rFonts w:cs="Arial"/>
        </w:rPr>
        <w:t xml:space="preserve">female and </w:t>
      </w:r>
      <w:r w:rsidR="00690F98">
        <w:rPr>
          <w:rFonts w:cs="Arial"/>
        </w:rPr>
        <w:t>4</w:t>
      </w:r>
      <w:r w:rsidR="007E75F6">
        <w:rPr>
          <w:rFonts w:cs="Arial"/>
        </w:rPr>
        <w:t>2</w:t>
      </w:r>
      <w:r w:rsidR="007F743F">
        <w:rPr>
          <w:rFonts w:cs="Arial"/>
        </w:rPr>
        <w:t>4</w:t>
      </w:r>
      <w:r w:rsidR="00690F98">
        <w:rPr>
          <w:rFonts w:cs="Arial"/>
        </w:rPr>
        <w:t xml:space="preserve"> </w:t>
      </w:r>
      <w:r w:rsidR="00932DF5">
        <w:rPr>
          <w:rFonts w:cs="Arial"/>
        </w:rPr>
        <w:t>male)</w:t>
      </w:r>
      <w:r w:rsidR="00127CEE">
        <w:rPr>
          <w:rFonts w:cs="Arial"/>
        </w:rPr>
        <w:t xml:space="preserve">. </w:t>
      </w:r>
      <w:r w:rsidR="007F743F">
        <w:rPr>
          <w:rFonts w:cs="Arial"/>
        </w:rPr>
        <w:t xml:space="preserve">Decreases </w:t>
      </w:r>
      <w:r w:rsidR="00D63035">
        <w:rPr>
          <w:rFonts w:cs="Arial"/>
        </w:rPr>
        <w:t xml:space="preserve">in quarter </w:t>
      </w:r>
      <w:r w:rsidR="000F408B">
        <w:rPr>
          <w:rFonts w:cs="Arial"/>
        </w:rPr>
        <w:t>57</w:t>
      </w:r>
      <w:r w:rsidR="00D63035">
        <w:rPr>
          <w:rFonts w:cs="Arial"/>
        </w:rPr>
        <w:t xml:space="preserve"> </w:t>
      </w:r>
      <w:r w:rsidR="00596D78" w:rsidRPr="007C7A9E">
        <w:rPr>
          <w:rFonts w:cs="Arial"/>
        </w:rPr>
        <w:t>were seen in</w:t>
      </w:r>
      <w:r w:rsidR="00D014F4">
        <w:rPr>
          <w:rFonts w:cs="Arial"/>
        </w:rPr>
        <w:t xml:space="preserve"> </w:t>
      </w:r>
      <w:r w:rsidR="00C4793F">
        <w:rPr>
          <w:rFonts w:cs="Arial"/>
        </w:rPr>
        <w:t>Aurukun</w:t>
      </w:r>
      <w:r w:rsidR="00690F98">
        <w:rPr>
          <w:rFonts w:cs="Arial"/>
        </w:rPr>
        <w:t>, Doomadgee</w:t>
      </w:r>
      <w:r w:rsidR="007F743F">
        <w:rPr>
          <w:rFonts w:cs="Arial"/>
        </w:rPr>
        <w:t xml:space="preserve">, </w:t>
      </w:r>
      <w:r w:rsidR="00D570F8">
        <w:rPr>
          <w:rFonts w:cs="Arial"/>
        </w:rPr>
        <w:t xml:space="preserve">Hope Vale </w:t>
      </w:r>
      <w:r w:rsidR="007F743F">
        <w:rPr>
          <w:rFonts w:cs="Arial"/>
        </w:rPr>
        <w:t xml:space="preserve">and Mossman Gorge </w:t>
      </w:r>
      <w:r w:rsidR="00596D78" w:rsidRPr="007C7A9E">
        <w:rPr>
          <w:rFonts w:cs="Arial"/>
        </w:rPr>
        <w:t xml:space="preserve">of </w:t>
      </w:r>
      <w:r w:rsidR="007F743F">
        <w:rPr>
          <w:rFonts w:cs="Arial"/>
        </w:rPr>
        <w:t>1</w:t>
      </w:r>
      <w:r w:rsidR="00690F98">
        <w:rPr>
          <w:rFonts w:cs="Arial"/>
        </w:rPr>
        <w:t xml:space="preserve">, </w:t>
      </w:r>
      <w:r w:rsidR="007F743F">
        <w:rPr>
          <w:rFonts w:cs="Arial"/>
        </w:rPr>
        <w:t>4, 1</w:t>
      </w:r>
      <w:r w:rsidR="00E341E0">
        <w:rPr>
          <w:rFonts w:cs="Arial"/>
        </w:rPr>
        <w:t xml:space="preserve"> </w:t>
      </w:r>
      <w:r w:rsidR="00C4793F">
        <w:rPr>
          <w:rFonts w:cs="Arial"/>
        </w:rPr>
        <w:t>and</w:t>
      </w:r>
      <w:r w:rsidR="00D014F4">
        <w:rPr>
          <w:rFonts w:cs="Arial"/>
        </w:rPr>
        <w:t xml:space="preserve"> </w:t>
      </w:r>
      <w:r w:rsidR="007F743F">
        <w:rPr>
          <w:rFonts w:cs="Arial"/>
        </w:rPr>
        <w:t>1</w:t>
      </w:r>
      <w:r w:rsidR="00492630">
        <w:rPr>
          <w:rFonts w:cs="Arial"/>
        </w:rPr>
        <w:t xml:space="preserve"> </w:t>
      </w:r>
      <w:r w:rsidR="004A53F2" w:rsidRPr="007C7A9E">
        <w:rPr>
          <w:rFonts w:cs="Arial"/>
        </w:rPr>
        <w:t xml:space="preserve">CIM </w:t>
      </w:r>
      <w:r w:rsidR="00596D78" w:rsidRPr="007C7A9E">
        <w:rPr>
          <w:rFonts w:cs="Arial"/>
        </w:rPr>
        <w:t>respectively</w:t>
      </w:r>
      <w:r w:rsidR="004B215D">
        <w:rPr>
          <w:rFonts w:cs="Arial"/>
        </w:rPr>
        <w:t>.</w:t>
      </w:r>
      <w:r w:rsidR="00920FDA" w:rsidRPr="007C7A9E">
        <w:rPr>
          <w:rFonts w:cs="Arial"/>
        </w:rPr>
        <w:t xml:space="preserve"> </w:t>
      </w:r>
      <w:r w:rsidR="00690F98">
        <w:rPr>
          <w:rFonts w:cs="Arial"/>
        </w:rPr>
        <w:t xml:space="preserve">Coen </w:t>
      </w:r>
      <w:r w:rsidR="00CF5A21">
        <w:rPr>
          <w:rFonts w:cs="Arial"/>
        </w:rPr>
        <w:t>remain</w:t>
      </w:r>
      <w:r w:rsidR="00EF63DD">
        <w:rPr>
          <w:rFonts w:cs="Arial"/>
        </w:rPr>
        <w:t>ed</w:t>
      </w:r>
      <w:r w:rsidR="00CF5A21">
        <w:rPr>
          <w:rFonts w:cs="Arial"/>
        </w:rPr>
        <w:t xml:space="preserve"> unchanged </w:t>
      </w:r>
      <w:r w:rsidR="006D2DFF">
        <w:rPr>
          <w:rFonts w:cs="Arial"/>
        </w:rPr>
        <w:t xml:space="preserve">from the preceding quarter </w:t>
      </w:r>
      <w:r w:rsidR="00CF5A21">
        <w:rPr>
          <w:rFonts w:cs="Arial"/>
        </w:rPr>
        <w:t xml:space="preserve">recording </w:t>
      </w:r>
      <w:r w:rsidR="007F743F">
        <w:rPr>
          <w:rFonts w:cs="Arial"/>
        </w:rPr>
        <w:t>zero</w:t>
      </w:r>
      <w:r w:rsidR="00CF5A21">
        <w:rPr>
          <w:rFonts w:cs="Arial"/>
        </w:rPr>
        <w:t xml:space="preserve"> CIM</w:t>
      </w:r>
      <w:r w:rsidR="007F743F">
        <w:rPr>
          <w:rFonts w:cs="Arial"/>
        </w:rPr>
        <w:t>s</w:t>
      </w:r>
      <w:r w:rsidR="00A078B9" w:rsidRPr="004D3A02">
        <w:t>.</w:t>
      </w:r>
    </w:p>
    <w:p w14:paraId="23F5549F" w14:textId="77777777" w:rsidR="005A5B78" w:rsidRPr="00386FF7" w:rsidRDefault="005A5B78" w:rsidP="005A5B78">
      <w:pPr>
        <w:ind w:left="-142" w:right="-425"/>
        <w:jc w:val="both"/>
        <w:rPr>
          <w:rFonts w:cs="Arial"/>
        </w:rPr>
      </w:pPr>
    </w:p>
    <w:p w14:paraId="15BC289D" w14:textId="67BC3825" w:rsidR="005A5B78" w:rsidRDefault="005A5B78" w:rsidP="005A5B78">
      <w:pPr>
        <w:ind w:left="-142" w:right="-425"/>
        <w:jc w:val="both"/>
        <w:rPr>
          <w:rFonts w:cs="Arial"/>
        </w:rPr>
      </w:pPr>
      <w:r w:rsidRPr="00C313D5">
        <w:rPr>
          <w:rFonts w:cs="Arial"/>
        </w:rPr>
        <w:t xml:space="preserve">As at </w:t>
      </w:r>
      <w:r w:rsidR="00DA70CA">
        <w:rPr>
          <w:rFonts w:cs="Arial"/>
        </w:rPr>
        <w:t xml:space="preserve">30 </w:t>
      </w:r>
      <w:r w:rsidR="000F408B">
        <w:rPr>
          <w:rFonts w:cs="Arial"/>
        </w:rPr>
        <w:t>September</w:t>
      </w:r>
      <w:r w:rsidR="001A5C4C">
        <w:rPr>
          <w:rFonts w:cs="Arial"/>
        </w:rPr>
        <w:t xml:space="preserve"> 2022</w:t>
      </w:r>
      <w:r w:rsidRPr="00C313D5">
        <w:rPr>
          <w:rFonts w:cs="Arial"/>
        </w:rPr>
        <w:t xml:space="preserve"> there were </w:t>
      </w:r>
      <w:r w:rsidR="007F743F">
        <w:rPr>
          <w:rFonts w:cs="Arial"/>
        </w:rPr>
        <w:t>33</w:t>
      </w:r>
      <w:r w:rsidR="007F743F" w:rsidRPr="00C313D5">
        <w:rPr>
          <w:rFonts w:cs="Arial"/>
        </w:rPr>
        <w:t xml:space="preserve"> </w:t>
      </w:r>
      <w:r w:rsidRPr="00C313D5">
        <w:rPr>
          <w:rFonts w:cs="Arial"/>
        </w:rPr>
        <w:t xml:space="preserve">clients subject to a </w:t>
      </w:r>
      <w:r w:rsidR="00A20D65" w:rsidRPr="00C313D5">
        <w:rPr>
          <w:rFonts w:cs="Arial"/>
        </w:rPr>
        <w:t>cur</w:t>
      </w:r>
      <w:r w:rsidR="00A20D65" w:rsidRPr="00FB5E62">
        <w:rPr>
          <w:rFonts w:cs="Arial"/>
        </w:rPr>
        <w:t xml:space="preserve">rent </w:t>
      </w:r>
      <w:r w:rsidRPr="00FB5E62">
        <w:rPr>
          <w:rFonts w:cs="Arial"/>
        </w:rPr>
        <w:t>CIM</w:t>
      </w:r>
      <w:r w:rsidR="004034AE" w:rsidRPr="00FB5E62">
        <w:rPr>
          <w:rFonts w:cs="Arial"/>
        </w:rPr>
        <w:t xml:space="preserve"> who were responsible for </w:t>
      </w:r>
      <w:r w:rsidR="00FB5E62" w:rsidRPr="00FB5E62">
        <w:rPr>
          <w:rFonts w:cs="Arial"/>
        </w:rPr>
        <w:t xml:space="preserve">45 </w:t>
      </w:r>
      <w:r w:rsidR="004034AE" w:rsidRPr="00FB5E62">
        <w:rPr>
          <w:rFonts w:cs="Arial"/>
        </w:rPr>
        <w:t>children in their care (</w:t>
      </w:r>
      <w:r w:rsidR="00FB5E62" w:rsidRPr="00FB5E62">
        <w:rPr>
          <w:rFonts w:cs="Arial"/>
        </w:rPr>
        <w:t xml:space="preserve">33 </w:t>
      </w:r>
      <w:r w:rsidR="004034AE" w:rsidRPr="00FB5E62">
        <w:rPr>
          <w:rFonts w:cs="Arial"/>
        </w:rPr>
        <w:t>of whom were school aged children</w:t>
      </w:r>
      <w:r w:rsidR="004573F7" w:rsidRPr="00FB5E62">
        <w:rPr>
          <w:rFonts w:cs="Arial"/>
        </w:rPr>
        <w:t>)</w:t>
      </w:r>
      <w:r w:rsidR="004034AE" w:rsidRPr="00FB5E62">
        <w:rPr>
          <w:rFonts w:cs="Arial"/>
        </w:rPr>
        <w:t>.</w:t>
      </w:r>
      <w:r w:rsidR="004034AE">
        <w:rPr>
          <w:rFonts w:cs="Arial"/>
        </w:rPr>
        <w:t xml:space="preserve"> </w:t>
      </w:r>
      <w:r w:rsidR="007F743F">
        <w:rPr>
          <w:rFonts w:cs="Arial"/>
        </w:rPr>
        <w:t>Eighty-two</w:t>
      </w:r>
      <w:r w:rsidR="004034AE">
        <w:rPr>
          <w:rFonts w:cs="Arial"/>
        </w:rPr>
        <w:t xml:space="preserve"> percent of the </w:t>
      </w:r>
      <w:r w:rsidR="007F743F">
        <w:rPr>
          <w:rFonts w:cs="Arial"/>
        </w:rPr>
        <w:t xml:space="preserve">33 </w:t>
      </w:r>
      <w:r w:rsidR="004034AE">
        <w:rPr>
          <w:rFonts w:cs="Arial"/>
        </w:rPr>
        <w:t xml:space="preserve">clients were income managed </w:t>
      </w:r>
      <w:bookmarkStart w:id="16" w:name="_Hlk80798728"/>
      <w:r w:rsidR="004573F7">
        <w:rPr>
          <w:rFonts w:cs="Arial"/>
        </w:rPr>
        <w:t xml:space="preserve">at </w:t>
      </w:r>
      <w:r w:rsidR="00984127">
        <w:rPr>
          <w:rFonts w:cs="Arial"/>
        </w:rPr>
        <w:t xml:space="preserve">60 percent </w:t>
      </w:r>
      <w:r w:rsidR="004034AE">
        <w:rPr>
          <w:rFonts w:cs="Arial"/>
        </w:rPr>
        <w:t>whilst duration ranged from</w:t>
      </w:r>
      <w:r w:rsidR="004573F7">
        <w:rPr>
          <w:rFonts w:cs="Arial"/>
        </w:rPr>
        <w:t xml:space="preserve"> </w:t>
      </w:r>
      <w:r w:rsidR="001E792B">
        <w:rPr>
          <w:rFonts w:cs="Arial"/>
        </w:rPr>
        <w:t xml:space="preserve">70 </w:t>
      </w:r>
      <w:r w:rsidR="005177D6">
        <w:rPr>
          <w:rFonts w:cs="Arial"/>
        </w:rPr>
        <w:t>percent for a 6-month duration</w:t>
      </w:r>
      <w:r w:rsidR="001E792B">
        <w:rPr>
          <w:rFonts w:cs="Arial"/>
        </w:rPr>
        <w:t>, 6 percent for 9-month duration</w:t>
      </w:r>
      <w:r w:rsidR="005177D6">
        <w:rPr>
          <w:rFonts w:cs="Arial"/>
        </w:rPr>
        <w:t xml:space="preserve"> and </w:t>
      </w:r>
      <w:r w:rsidR="001E792B">
        <w:rPr>
          <w:rFonts w:cs="Arial"/>
        </w:rPr>
        <w:t xml:space="preserve">24 </w:t>
      </w:r>
      <w:r w:rsidR="00984127">
        <w:rPr>
          <w:rFonts w:cs="Arial"/>
        </w:rPr>
        <w:t xml:space="preserve">percent for a </w:t>
      </w:r>
      <w:r w:rsidR="005177D6">
        <w:rPr>
          <w:rFonts w:cs="Arial"/>
        </w:rPr>
        <w:t>12</w:t>
      </w:r>
      <w:r w:rsidR="00984127">
        <w:rPr>
          <w:rFonts w:cs="Arial"/>
        </w:rPr>
        <w:t>-month duration</w:t>
      </w:r>
      <w:r w:rsidR="00CE5828" w:rsidRPr="00C313D5">
        <w:rPr>
          <w:rFonts w:cs="Arial"/>
        </w:rPr>
        <w:t>.</w:t>
      </w:r>
      <w:r w:rsidR="0061573D">
        <w:rPr>
          <w:rFonts w:cs="Arial"/>
        </w:rPr>
        <w:t xml:space="preserve"> </w:t>
      </w:r>
      <w:bookmarkEnd w:id="16"/>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1BD282D9" w14:textId="77777777" w:rsidR="00057551" w:rsidRDefault="00057551" w:rsidP="00057551">
      <w:pPr>
        <w:ind w:left="-142" w:right="-425"/>
        <w:jc w:val="both"/>
      </w:pPr>
    </w:p>
    <w:p w14:paraId="75F27B39" w14:textId="3B1E1CEE" w:rsidR="00057551" w:rsidRPr="00B01FE8" w:rsidRDefault="00057551" w:rsidP="00057551">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Pr>
          <w:i w:val="0"/>
          <w:sz w:val="16"/>
        </w:rPr>
        <w:t xml:space="preserve">July 2021 to 30 September </w:t>
      </w:r>
      <w:r w:rsidRPr="00B01FE8">
        <w:rPr>
          <w:i w:val="0"/>
          <w:sz w:val="16"/>
        </w:rPr>
        <w:t>20</w:t>
      </w:r>
      <w:r>
        <w:rPr>
          <w:i w:val="0"/>
          <w:sz w:val="16"/>
        </w:rPr>
        <w:t>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057551" w:rsidRPr="00C5395B" w14:paraId="5BA2374C" w14:textId="77777777" w:rsidTr="006A327F">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26E22FB" w14:textId="77777777" w:rsidR="00057551" w:rsidRPr="00C5395B" w:rsidRDefault="00057551" w:rsidP="00057551">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0640D8F8" w14:textId="10224511" w:rsidR="00057551" w:rsidRDefault="00057551" w:rsidP="00057551">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00D05739" w14:textId="2738F8F4" w:rsidR="00057551" w:rsidRDefault="00057551" w:rsidP="00057551">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53AED0DD" w14:textId="300F8EFE" w:rsidR="00057551" w:rsidRDefault="00057551" w:rsidP="00057551">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748FA019" w14:textId="33AC5D7A" w:rsidR="00057551" w:rsidRDefault="00057551" w:rsidP="00057551">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44FDE760" w14:textId="644F66DC" w:rsidR="00057551" w:rsidRDefault="00057551" w:rsidP="00057551">
            <w:pPr>
              <w:pStyle w:val="TableText"/>
              <w:jc w:val="right"/>
              <w:rPr>
                <w:b/>
                <w:lang w:eastAsia="en-AU"/>
              </w:rPr>
            </w:pPr>
            <w:r>
              <w:rPr>
                <w:b/>
                <w:lang w:eastAsia="en-AU"/>
              </w:rPr>
              <w:t>Qtr 57</w:t>
            </w:r>
          </w:p>
        </w:tc>
      </w:tr>
      <w:tr w:rsidR="00057551" w:rsidRPr="00C5395B" w14:paraId="165C3FF2" w14:textId="77777777" w:rsidTr="006A327F">
        <w:trPr>
          <w:trHeight w:val="255"/>
        </w:trPr>
        <w:tc>
          <w:tcPr>
            <w:tcW w:w="2040" w:type="dxa"/>
            <w:tcBorders>
              <w:top w:val="nil"/>
              <w:left w:val="single" w:sz="4" w:space="0" w:color="auto"/>
              <w:bottom w:val="single" w:sz="4" w:space="0" w:color="auto"/>
              <w:right w:val="single" w:sz="4" w:space="0" w:color="auto"/>
            </w:tcBorders>
            <w:noWrap/>
            <w:hideMark/>
          </w:tcPr>
          <w:p w14:paraId="79304E40" w14:textId="77777777" w:rsidR="00057551" w:rsidRPr="00C5395B" w:rsidRDefault="00057551" w:rsidP="00057551">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4D36DFD1" w14:textId="4A63B5F4" w:rsidR="00057551" w:rsidRDefault="00057551" w:rsidP="00057551">
            <w:pPr>
              <w:jc w:val="right"/>
              <w:rPr>
                <w:rFonts w:cs="Arial"/>
              </w:rPr>
            </w:pPr>
            <w:r w:rsidRPr="00A969C0">
              <w:rPr>
                <w:rFonts w:cs="Arial"/>
              </w:rPr>
              <w:t>22</w:t>
            </w:r>
          </w:p>
        </w:tc>
        <w:tc>
          <w:tcPr>
            <w:tcW w:w="960" w:type="dxa"/>
            <w:tcBorders>
              <w:top w:val="nil"/>
              <w:left w:val="nil"/>
              <w:bottom w:val="single" w:sz="4" w:space="0" w:color="auto"/>
              <w:right w:val="single" w:sz="4" w:space="0" w:color="auto"/>
            </w:tcBorders>
          </w:tcPr>
          <w:p w14:paraId="4D35246D" w14:textId="6384CAA9" w:rsidR="00057551" w:rsidRPr="00EE6BD7" w:rsidRDefault="00057551" w:rsidP="00057551">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0AC338BA" w14:textId="09A70D31" w:rsidR="00057551" w:rsidRPr="00A969C0" w:rsidRDefault="00057551" w:rsidP="00057551">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E63E3D9" w14:textId="053CBB0F" w:rsidR="00057551" w:rsidRPr="00A969C0" w:rsidRDefault="00057551" w:rsidP="00057551">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59290972" w14:textId="37E853EC" w:rsidR="00057551" w:rsidRDefault="00057551" w:rsidP="00057551">
            <w:pPr>
              <w:jc w:val="right"/>
              <w:rPr>
                <w:rFonts w:cs="Arial"/>
              </w:rPr>
            </w:pPr>
            <w:r>
              <w:rPr>
                <w:rFonts w:cs="Arial"/>
              </w:rPr>
              <w:t>9</w:t>
            </w:r>
          </w:p>
        </w:tc>
      </w:tr>
      <w:tr w:rsidR="00057551" w:rsidRPr="00C5395B" w14:paraId="62E17734" w14:textId="77777777" w:rsidTr="006A327F">
        <w:trPr>
          <w:trHeight w:val="255"/>
        </w:trPr>
        <w:tc>
          <w:tcPr>
            <w:tcW w:w="2040" w:type="dxa"/>
            <w:tcBorders>
              <w:top w:val="nil"/>
              <w:left w:val="single" w:sz="4" w:space="0" w:color="auto"/>
              <w:bottom w:val="single" w:sz="4" w:space="0" w:color="auto"/>
              <w:right w:val="single" w:sz="4" w:space="0" w:color="auto"/>
            </w:tcBorders>
            <w:noWrap/>
            <w:hideMark/>
          </w:tcPr>
          <w:p w14:paraId="6C0DDF1C" w14:textId="77777777" w:rsidR="00057551" w:rsidRPr="00C5395B" w:rsidRDefault="00057551" w:rsidP="00057551">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6B3517DA" w14:textId="1CF7ED6A" w:rsidR="00057551" w:rsidRDefault="00057551" w:rsidP="00057551">
            <w:pPr>
              <w:jc w:val="right"/>
              <w:rPr>
                <w:rFonts w:cs="Arial"/>
              </w:rPr>
            </w:pPr>
            <w:r w:rsidRPr="00A969C0">
              <w:rPr>
                <w:rFonts w:cs="Arial"/>
              </w:rPr>
              <w:t>0</w:t>
            </w:r>
          </w:p>
        </w:tc>
        <w:tc>
          <w:tcPr>
            <w:tcW w:w="960" w:type="dxa"/>
            <w:tcBorders>
              <w:top w:val="nil"/>
              <w:left w:val="nil"/>
              <w:bottom w:val="single" w:sz="4" w:space="0" w:color="auto"/>
              <w:right w:val="single" w:sz="4" w:space="0" w:color="auto"/>
            </w:tcBorders>
          </w:tcPr>
          <w:p w14:paraId="6EE0E893" w14:textId="4F014375" w:rsidR="00057551" w:rsidRPr="00EE6BD7" w:rsidRDefault="00057551" w:rsidP="00057551">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5473C46" w14:textId="6E49126D" w:rsidR="00057551" w:rsidRPr="00A969C0" w:rsidRDefault="00057551" w:rsidP="00057551">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8E0206C" w14:textId="469C12E9" w:rsidR="00057551" w:rsidRPr="00A969C0" w:rsidRDefault="00057551" w:rsidP="00057551">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948A4A8" w14:textId="77777777" w:rsidR="00057551" w:rsidRDefault="00057551" w:rsidP="00057551">
            <w:pPr>
              <w:jc w:val="right"/>
              <w:rPr>
                <w:rFonts w:cs="Arial"/>
              </w:rPr>
            </w:pPr>
            <w:r>
              <w:rPr>
                <w:rFonts w:cs="Arial"/>
              </w:rPr>
              <w:t>0</w:t>
            </w:r>
          </w:p>
        </w:tc>
      </w:tr>
      <w:tr w:rsidR="00057551" w:rsidRPr="00C5395B" w14:paraId="3138110F" w14:textId="77777777" w:rsidTr="006A327F">
        <w:trPr>
          <w:trHeight w:val="255"/>
        </w:trPr>
        <w:tc>
          <w:tcPr>
            <w:tcW w:w="2040" w:type="dxa"/>
            <w:tcBorders>
              <w:top w:val="nil"/>
              <w:left w:val="single" w:sz="4" w:space="0" w:color="auto"/>
              <w:bottom w:val="single" w:sz="4" w:space="0" w:color="auto"/>
              <w:right w:val="single" w:sz="4" w:space="0" w:color="auto"/>
            </w:tcBorders>
            <w:noWrap/>
          </w:tcPr>
          <w:p w14:paraId="7EA6EC3D" w14:textId="77777777" w:rsidR="00057551" w:rsidRPr="00C5395B" w:rsidRDefault="00057551" w:rsidP="00057551">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4C1E502" w14:textId="29CD6393" w:rsidR="00057551" w:rsidRDefault="00057551" w:rsidP="00057551">
            <w:pPr>
              <w:jc w:val="right"/>
              <w:rPr>
                <w:rFonts w:cs="Arial"/>
              </w:rPr>
            </w:pPr>
            <w:r w:rsidRPr="00A969C0">
              <w:rPr>
                <w:rFonts w:cs="Arial"/>
              </w:rPr>
              <w:t>8</w:t>
            </w:r>
          </w:p>
        </w:tc>
        <w:tc>
          <w:tcPr>
            <w:tcW w:w="960" w:type="dxa"/>
            <w:tcBorders>
              <w:top w:val="nil"/>
              <w:left w:val="nil"/>
              <w:bottom w:val="single" w:sz="4" w:space="0" w:color="auto"/>
              <w:right w:val="single" w:sz="4" w:space="0" w:color="auto"/>
            </w:tcBorders>
          </w:tcPr>
          <w:p w14:paraId="7D7B5983" w14:textId="73AFE925" w:rsidR="00057551" w:rsidRPr="00EE6BD7" w:rsidRDefault="00057551" w:rsidP="00057551">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0025E3FD" w14:textId="3926240A" w:rsidR="00057551" w:rsidRPr="00A969C0" w:rsidRDefault="00057551" w:rsidP="00057551">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8A81BE1" w14:textId="7242C173" w:rsidR="00057551" w:rsidRPr="00A969C0" w:rsidRDefault="00057551" w:rsidP="00057551">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74425EB4" w14:textId="7AB7C820" w:rsidR="00057551" w:rsidRDefault="00057551" w:rsidP="00057551">
            <w:pPr>
              <w:jc w:val="right"/>
              <w:rPr>
                <w:rFonts w:cs="Arial"/>
              </w:rPr>
            </w:pPr>
            <w:r>
              <w:rPr>
                <w:rFonts w:cs="Arial"/>
              </w:rPr>
              <w:t>2</w:t>
            </w:r>
          </w:p>
        </w:tc>
      </w:tr>
      <w:tr w:rsidR="00057551" w:rsidRPr="00C5395B" w14:paraId="727E61F2" w14:textId="77777777" w:rsidTr="006A327F">
        <w:trPr>
          <w:trHeight w:val="255"/>
        </w:trPr>
        <w:tc>
          <w:tcPr>
            <w:tcW w:w="2040" w:type="dxa"/>
            <w:tcBorders>
              <w:top w:val="nil"/>
              <w:left w:val="single" w:sz="4" w:space="0" w:color="auto"/>
              <w:bottom w:val="single" w:sz="4" w:space="0" w:color="auto"/>
              <w:right w:val="single" w:sz="4" w:space="0" w:color="auto"/>
            </w:tcBorders>
            <w:noWrap/>
            <w:hideMark/>
          </w:tcPr>
          <w:p w14:paraId="4EF3350E" w14:textId="77777777" w:rsidR="00057551" w:rsidRPr="00C5395B" w:rsidRDefault="00057551" w:rsidP="00057551">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347344C" w14:textId="6BB77651" w:rsidR="00057551" w:rsidRDefault="00057551" w:rsidP="00057551">
            <w:pPr>
              <w:jc w:val="right"/>
              <w:rPr>
                <w:rFonts w:cs="Arial"/>
              </w:rPr>
            </w:pPr>
            <w:r w:rsidRPr="00A969C0">
              <w:rPr>
                <w:rFonts w:cs="Arial"/>
              </w:rPr>
              <w:t>5</w:t>
            </w:r>
          </w:p>
        </w:tc>
        <w:tc>
          <w:tcPr>
            <w:tcW w:w="960" w:type="dxa"/>
            <w:tcBorders>
              <w:top w:val="nil"/>
              <w:left w:val="nil"/>
              <w:bottom w:val="single" w:sz="4" w:space="0" w:color="auto"/>
              <w:right w:val="single" w:sz="4" w:space="0" w:color="auto"/>
            </w:tcBorders>
          </w:tcPr>
          <w:p w14:paraId="3DAE3C20" w14:textId="3A41163D" w:rsidR="00057551" w:rsidRPr="00EE6BD7" w:rsidRDefault="00057551" w:rsidP="00057551">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0455C68" w14:textId="684A725D" w:rsidR="00057551" w:rsidRPr="00A969C0" w:rsidRDefault="00057551" w:rsidP="00057551">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FF6F83E" w14:textId="555BC6E6" w:rsidR="00057551" w:rsidRPr="00A969C0" w:rsidRDefault="00057551" w:rsidP="00057551">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09E4309" w14:textId="52E4FE5A" w:rsidR="00057551" w:rsidRDefault="00057551" w:rsidP="00057551">
            <w:pPr>
              <w:jc w:val="right"/>
              <w:rPr>
                <w:rFonts w:cs="Arial"/>
              </w:rPr>
            </w:pPr>
            <w:r>
              <w:rPr>
                <w:rFonts w:cs="Arial"/>
              </w:rPr>
              <w:t>2</w:t>
            </w:r>
          </w:p>
        </w:tc>
      </w:tr>
      <w:tr w:rsidR="00057551" w:rsidRPr="00C5395B" w14:paraId="438E53F9" w14:textId="77777777" w:rsidTr="006A327F">
        <w:trPr>
          <w:trHeight w:val="255"/>
        </w:trPr>
        <w:tc>
          <w:tcPr>
            <w:tcW w:w="2040" w:type="dxa"/>
            <w:tcBorders>
              <w:top w:val="nil"/>
              <w:left w:val="single" w:sz="4" w:space="0" w:color="auto"/>
              <w:bottom w:val="single" w:sz="4" w:space="0" w:color="auto"/>
              <w:right w:val="single" w:sz="4" w:space="0" w:color="auto"/>
            </w:tcBorders>
            <w:noWrap/>
            <w:hideMark/>
          </w:tcPr>
          <w:p w14:paraId="75806B29" w14:textId="77777777" w:rsidR="00057551" w:rsidRPr="00C5395B" w:rsidRDefault="00057551" w:rsidP="00057551">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A9BF39C" w14:textId="022A1062" w:rsidR="00057551" w:rsidRDefault="00057551" w:rsidP="00057551">
            <w:pPr>
              <w:jc w:val="right"/>
              <w:rPr>
                <w:rFonts w:cs="Arial"/>
              </w:rPr>
            </w:pPr>
            <w:r w:rsidRPr="00A969C0">
              <w:rPr>
                <w:rFonts w:cs="Arial"/>
              </w:rPr>
              <w:t>1</w:t>
            </w:r>
          </w:p>
        </w:tc>
        <w:tc>
          <w:tcPr>
            <w:tcW w:w="960" w:type="dxa"/>
            <w:tcBorders>
              <w:top w:val="nil"/>
              <w:left w:val="nil"/>
              <w:bottom w:val="single" w:sz="4" w:space="0" w:color="auto"/>
              <w:right w:val="single" w:sz="4" w:space="0" w:color="auto"/>
            </w:tcBorders>
          </w:tcPr>
          <w:p w14:paraId="2BDDA148" w14:textId="369F4B87" w:rsidR="00057551" w:rsidRPr="00EE6BD7" w:rsidRDefault="00057551" w:rsidP="00057551">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7081196D" w14:textId="4D7166C1" w:rsidR="00057551" w:rsidRPr="00A969C0" w:rsidRDefault="00057551" w:rsidP="00057551">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3B9555F" w14:textId="4C0A33CA" w:rsidR="00057551" w:rsidRPr="00A969C0" w:rsidRDefault="00057551" w:rsidP="00057551">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80CF136" w14:textId="052C7569" w:rsidR="00057551" w:rsidRDefault="00057551" w:rsidP="00057551">
            <w:pPr>
              <w:jc w:val="right"/>
              <w:rPr>
                <w:rFonts w:cs="Arial"/>
              </w:rPr>
            </w:pPr>
            <w:r>
              <w:rPr>
                <w:rFonts w:cs="Arial"/>
              </w:rPr>
              <w:t>0</w:t>
            </w:r>
          </w:p>
        </w:tc>
      </w:tr>
      <w:tr w:rsidR="00057551" w:rsidRPr="00C5395B" w14:paraId="18BAF8CF" w14:textId="77777777" w:rsidTr="006A327F">
        <w:trPr>
          <w:trHeight w:val="255"/>
        </w:trPr>
        <w:tc>
          <w:tcPr>
            <w:tcW w:w="2040" w:type="dxa"/>
            <w:tcBorders>
              <w:top w:val="nil"/>
              <w:left w:val="single" w:sz="4" w:space="0" w:color="auto"/>
              <w:bottom w:val="single" w:sz="4" w:space="0" w:color="auto"/>
              <w:right w:val="single" w:sz="4" w:space="0" w:color="auto"/>
            </w:tcBorders>
            <w:noWrap/>
            <w:hideMark/>
          </w:tcPr>
          <w:p w14:paraId="46384981" w14:textId="77777777" w:rsidR="00057551" w:rsidRPr="00C5395B" w:rsidRDefault="00057551" w:rsidP="00057551">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868AFBA" w14:textId="27399EF2" w:rsidR="00057551" w:rsidRDefault="00057551" w:rsidP="00057551">
            <w:pPr>
              <w:jc w:val="right"/>
              <w:rPr>
                <w:rFonts w:cs="Arial"/>
                <w:b/>
                <w:bCs/>
              </w:rPr>
            </w:pPr>
            <w:r w:rsidRPr="00A969C0">
              <w:rPr>
                <w:rFonts w:cs="Arial"/>
                <w:b/>
                <w:bCs/>
              </w:rPr>
              <w:t>36</w:t>
            </w:r>
          </w:p>
        </w:tc>
        <w:tc>
          <w:tcPr>
            <w:tcW w:w="960" w:type="dxa"/>
            <w:tcBorders>
              <w:top w:val="nil"/>
              <w:left w:val="nil"/>
              <w:bottom w:val="single" w:sz="4" w:space="0" w:color="auto"/>
              <w:right w:val="single" w:sz="4" w:space="0" w:color="auto"/>
            </w:tcBorders>
          </w:tcPr>
          <w:p w14:paraId="632A78EA" w14:textId="78D73278" w:rsidR="00057551" w:rsidRPr="00EE6BD7" w:rsidRDefault="00057551" w:rsidP="00057551">
            <w:pPr>
              <w:jc w:val="right"/>
              <w:rPr>
                <w:rFonts w:cs="Arial"/>
                <w:b/>
                <w:bCs/>
              </w:rPr>
            </w:pPr>
            <w:r>
              <w:rPr>
                <w:rFonts w:cs="Arial"/>
                <w:b/>
                <w:bCs/>
              </w:rPr>
              <w:t>29</w:t>
            </w:r>
          </w:p>
        </w:tc>
        <w:tc>
          <w:tcPr>
            <w:tcW w:w="960" w:type="dxa"/>
            <w:tcBorders>
              <w:top w:val="nil"/>
              <w:left w:val="nil"/>
              <w:bottom w:val="single" w:sz="4" w:space="0" w:color="auto"/>
              <w:right w:val="single" w:sz="4" w:space="0" w:color="auto"/>
            </w:tcBorders>
          </w:tcPr>
          <w:p w14:paraId="6F6D9D12" w14:textId="1EDF25A7" w:rsidR="00057551" w:rsidRPr="00A969C0" w:rsidRDefault="00057551" w:rsidP="00057551">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5B2FA33D" w14:textId="2A54E02E" w:rsidR="00057551" w:rsidRPr="00A969C0" w:rsidRDefault="00057551" w:rsidP="00057551">
            <w:pPr>
              <w:jc w:val="right"/>
              <w:rPr>
                <w:rFonts w:cs="Arial"/>
                <w:b/>
                <w:bCs/>
              </w:rPr>
            </w:pPr>
            <w:r>
              <w:rPr>
                <w:rFonts w:cs="Arial"/>
                <w:b/>
                <w:bCs/>
              </w:rPr>
              <w:t>20</w:t>
            </w:r>
          </w:p>
        </w:tc>
        <w:tc>
          <w:tcPr>
            <w:tcW w:w="960" w:type="dxa"/>
            <w:tcBorders>
              <w:top w:val="nil"/>
              <w:left w:val="nil"/>
              <w:bottom w:val="single" w:sz="4" w:space="0" w:color="auto"/>
              <w:right w:val="single" w:sz="4" w:space="0" w:color="auto"/>
            </w:tcBorders>
          </w:tcPr>
          <w:p w14:paraId="4D9643FC" w14:textId="7D492661" w:rsidR="00057551" w:rsidRDefault="008A254A" w:rsidP="00057551">
            <w:pPr>
              <w:jc w:val="right"/>
              <w:rPr>
                <w:rFonts w:cs="Arial"/>
                <w:b/>
                <w:bCs/>
              </w:rPr>
            </w:pPr>
            <w:r>
              <w:rPr>
                <w:rFonts w:cs="Arial"/>
                <w:b/>
                <w:bCs/>
              </w:rPr>
              <w:t>13</w:t>
            </w:r>
          </w:p>
        </w:tc>
      </w:tr>
    </w:tbl>
    <w:p w14:paraId="57E7E401" w14:textId="77777777" w:rsidR="00057551" w:rsidRPr="002E156B" w:rsidRDefault="00057551" w:rsidP="00057551">
      <w:pPr>
        <w:ind w:left="-142" w:right="-425"/>
        <w:jc w:val="both"/>
        <w:rPr>
          <w:rFonts w:cs="Arial"/>
        </w:rPr>
      </w:pPr>
    </w:p>
    <w:p w14:paraId="0F4C8C26" w14:textId="77777777" w:rsidR="00D802EF" w:rsidRPr="00076ED0" w:rsidRDefault="00D802EF" w:rsidP="00091CFE">
      <w:pPr>
        <w:pStyle w:val="Heading2"/>
      </w:pPr>
      <w:r w:rsidRPr="0021097A">
        <w:t>Conditional Income Management for Domestic Violence related matters</w:t>
      </w:r>
    </w:p>
    <w:p w14:paraId="06A9378B" w14:textId="60CAD337" w:rsidR="00D802EF" w:rsidRDefault="00A40532" w:rsidP="00D802EF">
      <w:pPr>
        <w:ind w:left="-142" w:right="-425"/>
        <w:jc w:val="both"/>
        <w:rPr>
          <w:rFonts w:cs="Arial"/>
        </w:rPr>
      </w:pPr>
      <w:r w:rsidRPr="00280B6D">
        <w:rPr>
          <w:rFonts w:cs="Arial"/>
        </w:rPr>
        <w:t xml:space="preserve">As a subset of the total number of CIMs in the quarter, </w:t>
      </w:r>
      <w:r w:rsidR="00755FAA">
        <w:rPr>
          <w:rFonts w:cs="Arial"/>
        </w:rPr>
        <w:t>5</w:t>
      </w:r>
      <w:r w:rsidR="00553F31" w:rsidRPr="00280B6D">
        <w:rPr>
          <w:rFonts w:cs="Arial"/>
        </w:rPr>
        <w:t xml:space="preserve"> </w:t>
      </w:r>
      <w:r w:rsidR="00CF5A21">
        <w:rPr>
          <w:rFonts w:cs="Arial"/>
        </w:rPr>
        <w:t>w</w:t>
      </w:r>
      <w:r w:rsidR="00EF63DD">
        <w:rPr>
          <w:rFonts w:cs="Arial"/>
        </w:rPr>
        <w:t>ere</w:t>
      </w:r>
      <w:r w:rsidR="00CF5A21" w:rsidRPr="00280B6D">
        <w:rPr>
          <w:rFonts w:cs="Arial"/>
        </w:rPr>
        <w:t xml:space="preserve"> </w:t>
      </w:r>
      <w:r w:rsidR="00D802EF" w:rsidRPr="00280B6D">
        <w:rPr>
          <w:rFonts w:cs="Arial"/>
        </w:rPr>
        <w:t xml:space="preserve">made in relation to domestic violence conferences in </w:t>
      </w:r>
      <w:r w:rsidR="00856C85">
        <w:rPr>
          <w:rFonts w:cs="Arial"/>
        </w:rPr>
        <w:t xml:space="preserve">quarter </w:t>
      </w:r>
      <w:r w:rsidR="000F408B">
        <w:rPr>
          <w:rFonts w:cs="Arial"/>
        </w:rPr>
        <w:t>57</w:t>
      </w:r>
      <w:r w:rsidR="00D802EF" w:rsidRPr="00280B6D">
        <w:rPr>
          <w:rFonts w:cs="Arial"/>
        </w:rPr>
        <w:t>.</w:t>
      </w:r>
    </w:p>
    <w:p w14:paraId="11AC8A46" w14:textId="77777777" w:rsidR="0014353B" w:rsidRPr="00386FF7" w:rsidRDefault="0014353B" w:rsidP="0014353B">
      <w:pPr>
        <w:ind w:left="-142" w:right="-425"/>
        <w:jc w:val="both"/>
        <w:rPr>
          <w:rFonts w:cs="Arial"/>
        </w:rPr>
      </w:pPr>
    </w:p>
    <w:p w14:paraId="45973D4D" w14:textId="6B390E1B"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057551">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w:t>
      </w:r>
      <w:r w:rsidR="00F83C14">
        <w:rPr>
          <w:rFonts w:cs="Arial"/>
          <w:sz w:val="16"/>
          <w:szCs w:val="16"/>
        </w:rPr>
        <w:t xml:space="preserve">1 </w:t>
      </w:r>
      <w:r w:rsidR="000F408B">
        <w:rPr>
          <w:rFonts w:cs="Arial"/>
          <w:sz w:val="16"/>
          <w:szCs w:val="16"/>
        </w:rPr>
        <w:t>July</w:t>
      </w:r>
      <w:r w:rsidR="00DF103B">
        <w:rPr>
          <w:rFonts w:cs="Arial"/>
          <w:sz w:val="16"/>
          <w:szCs w:val="16"/>
        </w:rPr>
        <w:t xml:space="preserve"> 2021</w:t>
      </w:r>
      <w:r>
        <w:rPr>
          <w:rFonts w:cs="Arial"/>
          <w:sz w:val="16"/>
          <w:szCs w:val="16"/>
        </w:rPr>
        <w:t xml:space="preserve"> to </w:t>
      </w:r>
      <w:r w:rsidR="00DA70CA">
        <w:rPr>
          <w:rFonts w:cs="Arial"/>
          <w:sz w:val="16"/>
          <w:szCs w:val="16"/>
        </w:rPr>
        <w:t xml:space="preserve">30 </w:t>
      </w:r>
      <w:r w:rsidR="000F408B">
        <w:rPr>
          <w:rFonts w:cs="Arial"/>
          <w:sz w:val="16"/>
          <w:szCs w:val="16"/>
        </w:rPr>
        <w:t>September</w:t>
      </w:r>
      <w:r w:rsidR="001A5C4C">
        <w:rPr>
          <w:rFonts w:cs="Arial"/>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755FAA" w:rsidRPr="0040594D" w14:paraId="4F3E1B9E" w14:textId="77777777" w:rsidTr="00DA793B">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755FAA" w:rsidRPr="0040594D" w:rsidRDefault="00755FAA" w:rsidP="00755FAA">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5AC93561" w:rsidR="00755FAA" w:rsidRPr="0040594D" w:rsidRDefault="00755FAA" w:rsidP="00755FAA">
            <w:pPr>
              <w:spacing w:line="240" w:lineRule="auto"/>
              <w:jc w:val="right"/>
              <w:rPr>
                <w:rFonts w:cs="Arial"/>
                <w:b/>
                <w:bCs/>
                <w:lang w:eastAsia="en-AU"/>
              </w:rPr>
            </w:pPr>
            <w:r>
              <w:rPr>
                <w:b/>
                <w:lang w:eastAsia="en-AU"/>
              </w:rPr>
              <w:t>Qtr 53</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666E26CD" w:rsidR="00755FAA" w:rsidRPr="0040594D" w:rsidRDefault="00755FAA" w:rsidP="00755FAA">
            <w:pPr>
              <w:spacing w:line="240" w:lineRule="auto"/>
              <w:jc w:val="right"/>
              <w:rPr>
                <w:rFonts w:cs="Arial"/>
                <w:b/>
                <w:bCs/>
                <w:lang w:eastAsia="en-AU"/>
              </w:rPr>
            </w:pPr>
            <w:r>
              <w:rPr>
                <w:b/>
                <w:lang w:eastAsia="en-AU"/>
              </w:rPr>
              <w:t>Qtr 54</w:t>
            </w:r>
          </w:p>
        </w:tc>
        <w:tc>
          <w:tcPr>
            <w:tcW w:w="784" w:type="dxa"/>
            <w:tcBorders>
              <w:top w:val="single" w:sz="4" w:space="0" w:color="auto"/>
              <w:left w:val="nil"/>
              <w:bottom w:val="single" w:sz="4" w:space="0" w:color="auto"/>
              <w:right w:val="single" w:sz="4" w:space="0" w:color="auto"/>
            </w:tcBorders>
          </w:tcPr>
          <w:p w14:paraId="57C7CF2D" w14:textId="0FA8EF1C" w:rsidR="00755FAA" w:rsidRPr="0040594D" w:rsidRDefault="00755FAA" w:rsidP="00755FAA">
            <w:pPr>
              <w:spacing w:line="240" w:lineRule="auto"/>
              <w:jc w:val="right"/>
              <w:rPr>
                <w:rFonts w:cs="Arial"/>
                <w:b/>
                <w:bCs/>
                <w:lang w:eastAsia="en-AU"/>
              </w:rPr>
            </w:pPr>
            <w:r>
              <w:rPr>
                <w:b/>
                <w:lang w:eastAsia="en-AU"/>
              </w:rPr>
              <w:t>Qtr 55</w:t>
            </w:r>
          </w:p>
        </w:tc>
        <w:tc>
          <w:tcPr>
            <w:tcW w:w="784" w:type="dxa"/>
            <w:tcBorders>
              <w:top w:val="single" w:sz="4" w:space="0" w:color="auto"/>
              <w:left w:val="nil"/>
              <w:bottom w:val="single" w:sz="4" w:space="0" w:color="auto"/>
              <w:right w:val="single" w:sz="4" w:space="0" w:color="auto"/>
            </w:tcBorders>
          </w:tcPr>
          <w:p w14:paraId="2763DB99" w14:textId="4826C0EC" w:rsidR="00755FAA" w:rsidRPr="0040594D" w:rsidRDefault="00755FAA" w:rsidP="00755FAA">
            <w:pPr>
              <w:spacing w:line="240" w:lineRule="auto"/>
              <w:jc w:val="right"/>
              <w:rPr>
                <w:rFonts w:cs="Arial"/>
                <w:b/>
                <w:bCs/>
                <w:lang w:eastAsia="en-AU"/>
              </w:rPr>
            </w:pPr>
            <w:r>
              <w:rPr>
                <w:b/>
                <w:lang w:eastAsia="en-AU"/>
              </w:rPr>
              <w:t>Qtr 56</w:t>
            </w:r>
          </w:p>
        </w:tc>
        <w:tc>
          <w:tcPr>
            <w:tcW w:w="784" w:type="dxa"/>
            <w:tcBorders>
              <w:top w:val="single" w:sz="4" w:space="0" w:color="auto"/>
              <w:left w:val="nil"/>
              <w:bottom w:val="single" w:sz="4" w:space="0" w:color="auto"/>
              <w:right w:val="single" w:sz="4" w:space="0" w:color="auto"/>
            </w:tcBorders>
          </w:tcPr>
          <w:p w14:paraId="1C0D052D" w14:textId="01ECF399" w:rsidR="00755FAA" w:rsidRDefault="00755FAA" w:rsidP="00755FAA">
            <w:pPr>
              <w:spacing w:line="240" w:lineRule="auto"/>
              <w:jc w:val="right"/>
              <w:rPr>
                <w:b/>
                <w:lang w:eastAsia="en-AU"/>
              </w:rPr>
            </w:pPr>
            <w:r>
              <w:rPr>
                <w:b/>
                <w:lang w:eastAsia="en-AU"/>
              </w:rPr>
              <w:t>Qtr 57</w:t>
            </w:r>
          </w:p>
        </w:tc>
      </w:tr>
      <w:tr w:rsidR="00755FAA" w:rsidRPr="0094558B" w14:paraId="2694F73B" w14:textId="77777777" w:rsidTr="008A1E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755FAA" w:rsidRPr="00640E37" w:rsidRDefault="00755FAA" w:rsidP="00755FAA">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vAlign w:val="center"/>
          </w:tcPr>
          <w:p w14:paraId="1925BEB3" w14:textId="28AF750A" w:rsidR="00755FAA" w:rsidRPr="004573F7" w:rsidRDefault="00755FAA" w:rsidP="00755FAA">
            <w:pPr>
              <w:spacing w:line="240" w:lineRule="auto"/>
              <w:jc w:val="right"/>
              <w:rPr>
                <w:rFonts w:cs="Arial"/>
                <w:bCs/>
                <w:lang w:eastAsia="en-AU"/>
              </w:rPr>
            </w:pPr>
            <w:r w:rsidRPr="004573F7">
              <w:rPr>
                <w:rFonts w:cs="Arial"/>
              </w:rPr>
              <w:t>7</w:t>
            </w:r>
          </w:p>
        </w:tc>
        <w:tc>
          <w:tcPr>
            <w:tcW w:w="784" w:type="dxa"/>
            <w:tcBorders>
              <w:top w:val="single" w:sz="4" w:space="0" w:color="auto"/>
              <w:left w:val="nil"/>
              <w:bottom w:val="single" w:sz="4" w:space="0" w:color="auto"/>
              <w:right w:val="single" w:sz="4" w:space="0" w:color="auto"/>
            </w:tcBorders>
            <w:shd w:val="clear" w:color="auto" w:fill="auto"/>
            <w:vAlign w:val="center"/>
          </w:tcPr>
          <w:p w14:paraId="58118CF4" w14:textId="52201A22" w:rsidR="00755FAA" w:rsidRPr="004573F7" w:rsidRDefault="00755FAA" w:rsidP="00755FAA">
            <w:pPr>
              <w:spacing w:line="240" w:lineRule="auto"/>
              <w:jc w:val="right"/>
              <w:rPr>
                <w:rFonts w:cs="Arial"/>
                <w:bCs/>
                <w:lang w:eastAsia="en-AU"/>
              </w:rPr>
            </w:pPr>
            <w:r w:rsidRPr="004573F7">
              <w:rPr>
                <w:rFonts w:cs="Arial"/>
              </w:rPr>
              <w:t>1</w:t>
            </w:r>
          </w:p>
        </w:tc>
        <w:tc>
          <w:tcPr>
            <w:tcW w:w="784" w:type="dxa"/>
            <w:tcBorders>
              <w:top w:val="single" w:sz="4" w:space="0" w:color="auto"/>
              <w:left w:val="nil"/>
              <w:bottom w:val="single" w:sz="4" w:space="0" w:color="auto"/>
              <w:right w:val="single" w:sz="4" w:space="0" w:color="auto"/>
            </w:tcBorders>
            <w:vAlign w:val="center"/>
          </w:tcPr>
          <w:p w14:paraId="345941C3" w14:textId="3260D5A4" w:rsidR="00755FAA" w:rsidRPr="004573F7" w:rsidRDefault="00755FAA" w:rsidP="00755FAA">
            <w:pPr>
              <w:spacing w:line="240" w:lineRule="auto"/>
              <w:jc w:val="right"/>
              <w:rPr>
                <w:rFonts w:cs="Arial"/>
                <w:bCs/>
                <w:lang w:eastAsia="en-AU"/>
              </w:rPr>
            </w:pPr>
            <w:r w:rsidRPr="004573F7">
              <w:rPr>
                <w:rFonts w:cs="Arial"/>
              </w:rPr>
              <w:t>1</w:t>
            </w:r>
          </w:p>
        </w:tc>
        <w:tc>
          <w:tcPr>
            <w:tcW w:w="784" w:type="dxa"/>
            <w:tcBorders>
              <w:top w:val="single" w:sz="4" w:space="0" w:color="auto"/>
              <w:left w:val="nil"/>
              <w:bottom w:val="single" w:sz="4" w:space="0" w:color="auto"/>
              <w:right w:val="single" w:sz="4" w:space="0" w:color="auto"/>
            </w:tcBorders>
            <w:vAlign w:val="center"/>
          </w:tcPr>
          <w:p w14:paraId="5F3C9680" w14:textId="7B9BF702" w:rsidR="00755FAA" w:rsidRPr="004573F7" w:rsidRDefault="00755FAA" w:rsidP="00755FAA">
            <w:pPr>
              <w:spacing w:line="240" w:lineRule="auto"/>
              <w:jc w:val="right"/>
              <w:rPr>
                <w:rFonts w:cs="Arial"/>
                <w:bCs/>
                <w:lang w:eastAsia="en-AU"/>
              </w:rPr>
            </w:pPr>
            <w:r w:rsidRPr="004573F7">
              <w:rPr>
                <w:rFonts w:cs="Arial"/>
              </w:rPr>
              <w:t>4</w:t>
            </w:r>
          </w:p>
        </w:tc>
        <w:tc>
          <w:tcPr>
            <w:tcW w:w="784" w:type="dxa"/>
            <w:tcBorders>
              <w:top w:val="single" w:sz="4" w:space="0" w:color="auto"/>
              <w:left w:val="nil"/>
              <w:bottom w:val="single" w:sz="4" w:space="0" w:color="auto"/>
              <w:right w:val="single" w:sz="4" w:space="0" w:color="auto"/>
            </w:tcBorders>
            <w:vAlign w:val="center"/>
          </w:tcPr>
          <w:p w14:paraId="352B24F3" w14:textId="7A49EFEC" w:rsidR="00755FAA" w:rsidRPr="004573F7" w:rsidRDefault="00755FAA" w:rsidP="00755FAA">
            <w:pPr>
              <w:spacing w:line="240" w:lineRule="auto"/>
              <w:jc w:val="right"/>
              <w:rPr>
                <w:rFonts w:cs="Arial"/>
                <w:lang w:eastAsia="en-AU"/>
              </w:rPr>
            </w:pPr>
            <w:r>
              <w:rPr>
                <w:rFonts w:cs="Arial"/>
                <w:lang w:eastAsia="en-AU"/>
              </w:rPr>
              <w:t>4</w:t>
            </w:r>
          </w:p>
        </w:tc>
      </w:tr>
      <w:tr w:rsidR="00755FAA" w:rsidRPr="0094558B" w14:paraId="338D0CE6"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755FAA" w:rsidRPr="00640E37" w:rsidRDefault="00755FAA" w:rsidP="00755FAA">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vAlign w:val="center"/>
          </w:tcPr>
          <w:p w14:paraId="353411C5" w14:textId="606E31A0"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shd w:val="clear" w:color="auto" w:fill="auto"/>
            <w:vAlign w:val="center"/>
          </w:tcPr>
          <w:p w14:paraId="299A9087" w14:textId="10E8FAA3"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29A75C58" w14:textId="46781245"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148E5285" w14:textId="488EC782"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single" w:sz="4" w:space="0" w:color="auto"/>
              <w:left w:val="nil"/>
              <w:bottom w:val="single" w:sz="4" w:space="0" w:color="auto"/>
              <w:right w:val="single" w:sz="4" w:space="0" w:color="auto"/>
            </w:tcBorders>
            <w:vAlign w:val="center"/>
          </w:tcPr>
          <w:p w14:paraId="402EEC52" w14:textId="01862B8C" w:rsidR="00755FAA" w:rsidRPr="004573F7" w:rsidRDefault="00755FAA" w:rsidP="00755FAA">
            <w:pPr>
              <w:spacing w:line="240" w:lineRule="auto"/>
              <w:jc w:val="right"/>
              <w:rPr>
                <w:rFonts w:cs="Arial"/>
                <w:lang w:eastAsia="en-AU"/>
              </w:rPr>
            </w:pPr>
            <w:r>
              <w:rPr>
                <w:rFonts w:cs="Arial"/>
                <w:lang w:eastAsia="en-AU"/>
              </w:rPr>
              <w:t>0</w:t>
            </w:r>
          </w:p>
        </w:tc>
      </w:tr>
      <w:tr w:rsidR="00755FAA" w:rsidRPr="0094558B" w14:paraId="32ED62C4"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755FAA" w:rsidRPr="00640E37" w:rsidRDefault="00755FAA" w:rsidP="00755FAA">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vAlign w:val="center"/>
          </w:tcPr>
          <w:p w14:paraId="117C86E6" w14:textId="1D96B0A9" w:rsidR="00755FAA" w:rsidRPr="004573F7" w:rsidRDefault="00755FAA" w:rsidP="00755FAA">
            <w:pPr>
              <w:spacing w:line="240" w:lineRule="auto"/>
              <w:jc w:val="right"/>
              <w:rPr>
                <w:rFonts w:cs="Arial"/>
                <w:lang w:eastAsia="en-AU"/>
              </w:rPr>
            </w:pPr>
            <w:r w:rsidRPr="004573F7">
              <w:rPr>
                <w:rFonts w:cs="Arial"/>
              </w:rPr>
              <w:t>3</w:t>
            </w:r>
          </w:p>
        </w:tc>
        <w:tc>
          <w:tcPr>
            <w:tcW w:w="784" w:type="dxa"/>
            <w:tcBorders>
              <w:top w:val="nil"/>
              <w:left w:val="nil"/>
              <w:bottom w:val="single" w:sz="4" w:space="0" w:color="auto"/>
              <w:right w:val="single" w:sz="4" w:space="0" w:color="auto"/>
            </w:tcBorders>
            <w:shd w:val="clear" w:color="auto" w:fill="auto"/>
            <w:vAlign w:val="center"/>
          </w:tcPr>
          <w:p w14:paraId="714FF0B5" w14:textId="6850989D"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22D230B7" w14:textId="2EB14934"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74A391C0" w14:textId="004973F6" w:rsidR="00755FAA" w:rsidRPr="004573F7" w:rsidRDefault="00755FAA" w:rsidP="00755FAA">
            <w:pPr>
              <w:spacing w:line="240" w:lineRule="auto"/>
              <w:jc w:val="right"/>
              <w:rPr>
                <w:rFonts w:cs="Arial"/>
                <w:lang w:eastAsia="en-AU"/>
              </w:rPr>
            </w:pPr>
            <w:r w:rsidRPr="004573F7">
              <w:rPr>
                <w:rFonts w:cs="Arial"/>
              </w:rPr>
              <w:t>0</w:t>
            </w:r>
          </w:p>
        </w:tc>
        <w:tc>
          <w:tcPr>
            <w:tcW w:w="784" w:type="dxa"/>
            <w:tcBorders>
              <w:top w:val="single" w:sz="4" w:space="0" w:color="auto"/>
              <w:left w:val="nil"/>
              <w:bottom w:val="single" w:sz="4" w:space="0" w:color="auto"/>
              <w:right w:val="single" w:sz="4" w:space="0" w:color="auto"/>
            </w:tcBorders>
            <w:vAlign w:val="center"/>
          </w:tcPr>
          <w:p w14:paraId="4C244E4E" w14:textId="1341592D" w:rsidR="00755FAA" w:rsidRPr="004573F7" w:rsidRDefault="00755FAA" w:rsidP="00755FAA">
            <w:pPr>
              <w:spacing w:line="240" w:lineRule="auto"/>
              <w:jc w:val="right"/>
              <w:rPr>
                <w:rFonts w:cs="Arial"/>
                <w:lang w:eastAsia="en-AU"/>
              </w:rPr>
            </w:pPr>
            <w:r>
              <w:rPr>
                <w:rFonts w:cs="Arial"/>
                <w:lang w:eastAsia="en-AU"/>
              </w:rPr>
              <w:t>1</w:t>
            </w:r>
          </w:p>
        </w:tc>
      </w:tr>
      <w:tr w:rsidR="00755FAA" w:rsidRPr="0094558B" w14:paraId="25571DA3"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755FAA" w:rsidRDefault="00755FAA" w:rsidP="00755FAA">
            <w:pPr>
              <w:spacing w:line="240" w:lineRule="auto"/>
            </w:pPr>
            <w:r>
              <w:t>Mossman Gorge</w:t>
            </w:r>
          </w:p>
        </w:tc>
        <w:tc>
          <w:tcPr>
            <w:tcW w:w="784" w:type="dxa"/>
            <w:tcBorders>
              <w:top w:val="nil"/>
              <w:left w:val="nil"/>
              <w:bottom w:val="single" w:sz="4" w:space="0" w:color="auto"/>
              <w:right w:val="single" w:sz="4" w:space="0" w:color="auto"/>
            </w:tcBorders>
            <w:shd w:val="clear" w:color="auto" w:fill="auto"/>
            <w:vAlign w:val="center"/>
          </w:tcPr>
          <w:p w14:paraId="10DCFD57" w14:textId="17ED0D79" w:rsidR="00755FAA" w:rsidRPr="004573F7" w:rsidRDefault="00755FAA" w:rsidP="00755FAA">
            <w:pPr>
              <w:spacing w:line="240" w:lineRule="auto"/>
              <w:jc w:val="right"/>
              <w:rPr>
                <w:rFonts w:cs="Arial"/>
              </w:rPr>
            </w:pPr>
            <w:r w:rsidRPr="004573F7">
              <w:rPr>
                <w:rFonts w:cs="Arial"/>
              </w:rPr>
              <w:t>1</w:t>
            </w:r>
          </w:p>
        </w:tc>
        <w:tc>
          <w:tcPr>
            <w:tcW w:w="784" w:type="dxa"/>
            <w:tcBorders>
              <w:top w:val="nil"/>
              <w:left w:val="nil"/>
              <w:bottom w:val="single" w:sz="4" w:space="0" w:color="auto"/>
              <w:right w:val="single" w:sz="4" w:space="0" w:color="auto"/>
            </w:tcBorders>
            <w:shd w:val="clear" w:color="auto" w:fill="auto"/>
            <w:vAlign w:val="center"/>
          </w:tcPr>
          <w:p w14:paraId="08EFB78B" w14:textId="095BF658" w:rsidR="00755FAA" w:rsidRPr="004573F7" w:rsidRDefault="00755FAA" w:rsidP="00755FAA">
            <w:pPr>
              <w:spacing w:line="240" w:lineRule="auto"/>
              <w:jc w:val="right"/>
              <w:rPr>
                <w:rFonts w:cs="Arial"/>
              </w:rPr>
            </w:pPr>
            <w:r w:rsidRPr="004573F7">
              <w:rPr>
                <w:rFonts w:cs="Arial"/>
              </w:rPr>
              <w:t>0</w:t>
            </w:r>
          </w:p>
        </w:tc>
        <w:tc>
          <w:tcPr>
            <w:tcW w:w="784" w:type="dxa"/>
            <w:tcBorders>
              <w:top w:val="nil"/>
              <w:left w:val="nil"/>
              <w:bottom w:val="single" w:sz="4" w:space="0" w:color="auto"/>
              <w:right w:val="single" w:sz="4" w:space="0" w:color="auto"/>
            </w:tcBorders>
            <w:vAlign w:val="center"/>
          </w:tcPr>
          <w:p w14:paraId="6F61072A" w14:textId="111B1A55" w:rsidR="00755FAA" w:rsidRPr="004573F7" w:rsidRDefault="00755FAA" w:rsidP="00755FAA">
            <w:pPr>
              <w:spacing w:line="240" w:lineRule="auto"/>
              <w:jc w:val="right"/>
              <w:rPr>
                <w:rFonts w:cs="Arial"/>
              </w:rPr>
            </w:pPr>
            <w:r w:rsidRPr="004573F7">
              <w:rPr>
                <w:rFonts w:cs="Arial"/>
              </w:rPr>
              <w:t>1</w:t>
            </w:r>
          </w:p>
        </w:tc>
        <w:tc>
          <w:tcPr>
            <w:tcW w:w="784" w:type="dxa"/>
            <w:tcBorders>
              <w:top w:val="nil"/>
              <w:left w:val="nil"/>
              <w:bottom w:val="single" w:sz="4" w:space="0" w:color="auto"/>
              <w:right w:val="single" w:sz="4" w:space="0" w:color="auto"/>
            </w:tcBorders>
            <w:vAlign w:val="center"/>
          </w:tcPr>
          <w:p w14:paraId="785CD4E2" w14:textId="131DAFF4" w:rsidR="00755FAA" w:rsidRPr="004573F7" w:rsidRDefault="00755FAA" w:rsidP="00755FAA">
            <w:pPr>
              <w:spacing w:line="240" w:lineRule="auto"/>
              <w:jc w:val="right"/>
              <w:rPr>
                <w:rFonts w:cs="Arial"/>
              </w:rPr>
            </w:pPr>
            <w:r w:rsidRPr="004573F7">
              <w:rPr>
                <w:rFonts w:cs="Arial"/>
              </w:rPr>
              <w:t>0</w:t>
            </w:r>
          </w:p>
        </w:tc>
        <w:tc>
          <w:tcPr>
            <w:tcW w:w="784" w:type="dxa"/>
            <w:tcBorders>
              <w:top w:val="single" w:sz="4" w:space="0" w:color="auto"/>
              <w:left w:val="nil"/>
              <w:bottom w:val="single" w:sz="4" w:space="0" w:color="auto"/>
              <w:right w:val="single" w:sz="4" w:space="0" w:color="auto"/>
            </w:tcBorders>
            <w:vAlign w:val="center"/>
          </w:tcPr>
          <w:p w14:paraId="6142FC7D" w14:textId="4D06D97B" w:rsidR="00755FAA" w:rsidRPr="004573F7" w:rsidRDefault="00755FAA" w:rsidP="00755FAA">
            <w:pPr>
              <w:spacing w:line="240" w:lineRule="auto"/>
              <w:jc w:val="right"/>
              <w:rPr>
                <w:rFonts w:cs="Arial"/>
                <w:lang w:eastAsia="en-AU"/>
              </w:rPr>
            </w:pPr>
            <w:r>
              <w:rPr>
                <w:rFonts w:cs="Arial"/>
                <w:lang w:eastAsia="en-AU"/>
              </w:rPr>
              <w:t>0</w:t>
            </w:r>
          </w:p>
        </w:tc>
      </w:tr>
      <w:tr w:rsidR="00755FAA" w:rsidRPr="0094558B" w14:paraId="66769C8F" w14:textId="77777777" w:rsidTr="008A1E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755FAA" w:rsidRPr="00557E24" w:rsidRDefault="00755FAA" w:rsidP="00755FAA">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15896D5C" w14:textId="4BFD4FA3" w:rsidR="00755FAA" w:rsidRPr="004573F7" w:rsidRDefault="00755FAA" w:rsidP="00755FAA">
            <w:pPr>
              <w:spacing w:line="240" w:lineRule="auto"/>
              <w:jc w:val="right"/>
              <w:rPr>
                <w:rFonts w:cs="Arial"/>
                <w:b/>
                <w:lang w:eastAsia="en-AU"/>
              </w:rPr>
            </w:pPr>
            <w:r w:rsidRPr="004573F7">
              <w:rPr>
                <w:rFonts w:cs="Arial"/>
                <w:b/>
                <w:bCs/>
              </w:rPr>
              <w:t>11</w:t>
            </w:r>
          </w:p>
        </w:tc>
        <w:tc>
          <w:tcPr>
            <w:tcW w:w="784" w:type="dxa"/>
            <w:tcBorders>
              <w:top w:val="single" w:sz="4" w:space="0" w:color="auto"/>
              <w:left w:val="nil"/>
              <w:bottom w:val="single" w:sz="4" w:space="0" w:color="auto"/>
              <w:right w:val="single" w:sz="4" w:space="0" w:color="auto"/>
            </w:tcBorders>
            <w:shd w:val="clear" w:color="auto" w:fill="auto"/>
            <w:vAlign w:val="center"/>
          </w:tcPr>
          <w:p w14:paraId="54350CFB" w14:textId="1D234ABA" w:rsidR="00755FAA" w:rsidRPr="004573F7" w:rsidRDefault="00755FAA" w:rsidP="00755FAA">
            <w:pPr>
              <w:spacing w:line="240" w:lineRule="auto"/>
              <w:jc w:val="right"/>
              <w:rPr>
                <w:rFonts w:cs="Arial"/>
                <w:b/>
                <w:lang w:eastAsia="en-AU"/>
              </w:rPr>
            </w:pPr>
            <w:r w:rsidRPr="004573F7">
              <w:rPr>
                <w:rFonts w:cs="Arial"/>
                <w:b/>
                <w:bCs/>
              </w:rPr>
              <w:t>1</w:t>
            </w:r>
          </w:p>
        </w:tc>
        <w:tc>
          <w:tcPr>
            <w:tcW w:w="784" w:type="dxa"/>
            <w:tcBorders>
              <w:top w:val="single" w:sz="4" w:space="0" w:color="auto"/>
              <w:left w:val="nil"/>
              <w:bottom w:val="single" w:sz="4" w:space="0" w:color="auto"/>
              <w:right w:val="single" w:sz="4" w:space="0" w:color="auto"/>
            </w:tcBorders>
            <w:vAlign w:val="center"/>
          </w:tcPr>
          <w:p w14:paraId="123FD99F" w14:textId="265937FA" w:rsidR="00755FAA" w:rsidRPr="004573F7" w:rsidRDefault="00755FAA" w:rsidP="00755FAA">
            <w:pPr>
              <w:spacing w:line="240" w:lineRule="auto"/>
              <w:jc w:val="right"/>
              <w:rPr>
                <w:rFonts w:cs="Arial"/>
                <w:b/>
                <w:lang w:eastAsia="en-AU"/>
              </w:rPr>
            </w:pPr>
            <w:r w:rsidRPr="004573F7">
              <w:rPr>
                <w:rFonts w:cs="Arial"/>
                <w:b/>
                <w:bCs/>
              </w:rPr>
              <w:t>2</w:t>
            </w:r>
          </w:p>
        </w:tc>
        <w:tc>
          <w:tcPr>
            <w:tcW w:w="784" w:type="dxa"/>
            <w:tcBorders>
              <w:top w:val="single" w:sz="4" w:space="0" w:color="auto"/>
              <w:left w:val="nil"/>
              <w:bottom w:val="single" w:sz="4" w:space="0" w:color="auto"/>
              <w:right w:val="single" w:sz="4" w:space="0" w:color="auto"/>
            </w:tcBorders>
            <w:vAlign w:val="center"/>
          </w:tcPr>
          <w:p w14:paraId="368C5379" w14:textId="74598211" w:rsidR="00755FAA" w:rsidRPr="004573F7" w:rsidRDefault="00755FAA" w:rsidP="00755FAA">
            <w:pPr>
              <w:spacing w:line="240" w:lineRule="auto"/>
              <w:jc w:val="right"/>
              <w:rPr>
                <w:rFonts w:cs="Arial"/>
                <w:b/>
                <w:lang w:eastAsia="en-AU"/>
              </w:rPr>
            </w:pPr>
            <w:r w:rsidRPr="004573F7">
              <w:rPr>
                <w:rFonts w:cs="Arial"/>
                <w:b/>
                <w:bCs/>
              </w:rPr>
              <w:t>4</w:t>
            </w:r>
          </w:p>
        </w:tc>
        <w:tc>
          <w:tcPr>
            <w:tcW w:w="784" w:type="dxa"/>
            <w:tcBorders>
              <w:top w:val="single" w:sz="4" w:space="0" w:color="auto"/>
              <w:left w:val="nil"/>
              <w:bottom w:val="single" w:sz="4" w:space="0" w:color="auto"/>
              <w:right w:val="single" w:sz="4" w:space="0" w:color="auto"/>
            </w:tcBorders>
            <w:vAlign w:val="center"/>
          </w:tcPr>
          <w:p w14:paraId="7FBB1318" w14:textId="1AD229A0" w:rsidR="00755FAA" w:rsidRPr="004573F7" w:rsidRDefault="00755FAA" w:rsidP="00755FAA">
            <w:pPr>
              <w:spacing w:line="240" w:lineRule="auto"/>
              <w:jc w:val="right"/>
              <w:rPr>
                <w:rFonts w:cs="Arial"/>
                <w:b/>
                <w:bCs/>
                <w:lang w:eastAsia="en-AU"/>
              </w:rPr>
            </w:pPr>
            <w:r>
              <w:rPr>
                <w:rFonts w:cs="Arial"/>
                <w:b/>
                <w:bCs/>
                <w:lang w:eastAsia="en-AU"/>
              </w:rPr>
              <w:t>5</w:t>
            </w:r>
          </w:p>
        </w:tc>
      </w:tr>
    </w:tbl>
    <w:p w14:paraId="5EFCCF6A" w14:textId="77777777" w:rsidR="007460C6" w:rsidRPr="002E156B" w:rsidRDefault="007460C6" w:rsidP="002E156B">
      <w:pPr>
        <w:ind w:left="-142" w:right="-425"/>
        <w:jc w:val="both"/>
        <w:rPr>
          <w:rFonts w:cs="Arial"/>
        </w:rPr>
      </w:pPr>
    </w:p>
    <w:p w14:paraId="36B5CDB3" w14:textId="6F3DDB06" w:rsidR="00AC7F6B" w:rsidRPr="002D4651" w:rsidRDefault="00AC7F6B" w:rsidP="00091CFE">
      <w:pPr>
        <w:pStyle w:val="Heading2"/>
      </w:pPr>
      <w:r>
        <w:t>Voluntary self-r</w:t>
      </w:r>
      <w:r w:rsidRPr="002D4651">
        <w:t>eferrals</w:t>
      </w:r>
      <w:r>
        <w:t xml:space="preserve"> from clients to the Commission</w:t>
      </w:r>
    </w:p>
    <w:p w14:paraId="77A10D70" w14:textId="3CCAD0EB" w:rsidR="00AC7F6B" w:rsidRDefault="00AC7F6B" w:rsidP="00AC7F6B">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CE115E">
        <w:rPr>
          <w:rFonts w:cs="Arial"/>
        </w:rPr>
        <w:t>V</w:t>
      </w:r>
      <w:r>
        <w:rPr>
          <w:rFonts w:cs="Arial"/>
        </w:rPr>
        <w:t xml:space="preserve">oluntary </w:t>
      </w:r>
      <w:r w:rsidR="00CE115E">
        <w:rPr>
          <w:rFonts w:cs="Arial"/>
        </w:rPr>
        <w:t>C</w:t>
      </w:r>
      <w:r>
        <w:rPr>
          <w:rFonts w:cs="Arial"/>
        </w:rPr>
        <w:t xml:space="preserve">ase </w:t>
      </w:r>
      <w:r w:rsidR="00CE115E">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0F408B">
        <w:rPr>
          <w:rFonts w:cs="Arial"/>
        </w:rPr>
        <w:t>57</w:t>
      </w:r>
      <w:r w:rsidR="00F45BD7">
        <w:rPr>
          <w:rFonts w:cs="Arial"/>
        </w:rPr>
        <w:t>,</w:t>
      </w:r>
      <w:r>
        <w:rPr>
          <w:rFonts w:cs="Arial"/>
        </w:rPr>
        <w:t xml:space="preserve"> </w:t>
      </w:r>
      <w:r w:rsidR="00811386">
        <w:rPr>
          <w:rFonts w:cs="Arial"/>
        </w:rPr>
        <w:t>1</w:t>
      </w:r>
      <w:r w:rsidR="00046CFE">
        <w:rPr>
          <w:rFonts w:cs="Arial"/>
        </w:rPr>
        <w:t>0</w:t>
      </w:r>
      <w:r w:rsidR="00945E64">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the</w:t>
      </w:r>
      <w:r>
        <w:rPr>
          <w:rFonts w:cs="Arial"/>
        </w:rPr>
        <w:t xml:space="preserve"> client to attend </w:t>
      </w:r>
      <w:r w:rsidR="004A65A8">
        <w:rPr>
          <w:rFonts w:cs="Arial"/>
        </w:rPr>
        <w:t>1</w:t>
      </w:r>
      <w:r w:rsidR="00046CFE">
        <w:rPr>
          <w:rFonts w:cs="Arial"/>
        </w:rPr>
        <w:t>0</w:t>
      </w:r>
      <w:r w:rsidR="004A65A8">
        <w:rPr>
          <w:rFonts w:cs="Arial"/>
        </w:rPr>
        <w:t xml:space="preserve"> </w:t>
      </w:r>
      <w:r>
        <w:rPr>
          <w:rFonts w:cs="Arial"/>
        </w:rPr>
        <w:t xml:space="preserve">community support services under a case plan. Although the number of clients who have engaged with the FRC on a voluntary basis remain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091CFE">
      <w:pPr>
        <w:pStyle w:val="Heading2"/>
      </w:pPr>
      <w:r w:rsidRPr="00113244">
        <w:t>Voluntary</w:t>
      </w:r>
      <w:r w:rsidR="00EC3C3E" w:rsidRPr="00113244">
        <w:t xml:space="preserve"> </w:t>
      </w:r>
      <w:r w:rsidR="00334F4D">
        <w:t>Income Management</w:t>
      </w:r>
    </w:p>
    <w:p w14:paraId="2F01F04F" w14:textId="13BA784C"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046CFE">
        <w:rPr>
          <w:rFonts w:cs="Arial"/>
        </w:rPr>
        <w:t xml:space="preserve">30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046CFE">
        <w:rPr>
          <w:rFonts w:cs="Arial"/>
        </w:rPr>
        <w:t xml:space="preserve">83 </w:t>
      </w:r>
      <w:r w:rsidR="00BB129A">
        <w:rPr>
          <w:rFonts w:cs="Arial"/>
        </w:rPr>
        <w:t>percent</w:t>
      </w:r>
      <w:r w:rsidR="004E765A" w:rsidRPr="009C5078">
        <w:rPr>
          <w:rFonts w:cs="Arial"/>
        </w:rPr>
        <w:t xml:space="preserve"> of clients electing to have</w:t>
      </w:r>
      <w:r w:rsidR="000F0D55" w:rsidRPr="009C5078">
        <w:rPr>
          <w:rFonts w:cs="Arial"/>
        </w:rPr>
        <w:t xml:space="preserve"> 60 percent</w:t>
      </w:r>
      <w:r w:rsidR="004E765A" w:rsidRPr="009C5078">
        <w:rPr>
          <w:rFonts w:cs="Arial"/>
        </w:rPr>
        <w:t xml:space="preserve"> of their welfare payments</w:t>
      </w:r>
      <w:r w:rsidR="000F0D55" w:rsidRPr="009C5078">
        <w:rPr>
          <w:rFonts w:cs="Arial"/>
        </w:rPr>
        <w:t xml:space="preserve"> voluntar</w:t>
      </w:r>
      <w:r w:rsidR="004E765A" w:rsidRPr="009C5078">
        <w:rPr>
          <w:rFonts w:cs="Arial"/>
        </w:rPr>
        <w:t>ily</w:t>
      </w:r>
      <w:r w:rsidR="000F0D55" w:rsidRPr="009C5078">
        <w:rPr>
          <w:rFonts w:cs="Arial"/>
        </w:rPr>
        <w:t xml:space="preserve"> </w:t>
      </w:r>
      <w:r w:rsidR="000F0D55" w:rsidRPr="009C5078">
        <w:rPr>
          <w:rFonts w:cs="Arial"/>
        </w:rPr>
        <w:lastRenderedPageBreak/>
        <w:t>income manag</w:t>
      </w:r>
      <w:r w:rsidR="004E765A" w:rsidRPr="009C5078">
        <w:rPr>
          <w:rFonts w:cs="Arial"/>
        </w:rPr>
        <w:t>ed</w:t>
      </w:r>
      <w:r w:rsidR="00AE4A0C" w:rsidRPr="009C5078">
        <w:rPr>
          <w:rFonts w:cs="Arial"/>
        </w:rPr>
        <w:t xml:space="preserve"> (see </w:t>
      </w:r>
      <w:r w:rsidR="008A254A">
        <w:rPr>
          <w:rFonts w:cs="Arial"/>
        </w:rPr>
        <w:t>table 24</w:t>
      </w:r>
      <w:r w:rsidR="00AE4A0C" w:rsidRPr="009C5078">
        <w:rPr>
          <w:rFonts w:cs="Arial"/>
        </w:rPr>
        <w:t>)</w:t>
      </w:r>
      <w:r w:rsidR="004E765A" w:rsidRPr="009C5078">
        <w:rPr>
          <w:rFonts w:cs="Arial"/>
        </w:rPr>
        <w:t>.</w:t>
      </w:r>
      <w:r w:rsidR="000F0D55" w:rsidRPr="009C5078">
        <w:rPr>
          <w:rFonts w:cs="Arial"/>
        </w:rPr>
        <w:t xml:space="preserve"> </w:t>
      </w:r>
      <w:r w:rsidR="00AE4A0C" w:rsidRPr="009C5078">
        <w:rPr>
          <w:rFonts w:cs="Arial"/>
        </w:rPr>
        <w:t xml:space="preserve">Clients also showed a preference to be subjected to income management </w:t>
      </w:r>
      <w:r w:rsidR="00BB129A">
        <w:rPr>
          <w:rFonts w:cs="Arial"/>
        </w:rPr>
        <w:t>at 6 months and 12 months</w:t>
      </w:r>
      <w:r w:rsidR="00AE4A0C" w:rsidRPr="009C5078">
        <w:rPr>
          <w:rFonts w:cs="Arial"/>
        </w:rPr>
        <w:t xml:space="preserve"> (see </w:t>
      </w:r>
      <w:r w:rsidR="008A254A">
        <w:rPr>
          <w:rFonts w:cs="Arial"/>
        </w:rPr>
        <w:t>table 22</w:t>
      </w:r>
      <w:r w:rsidR="00AE4A0C" w:rsidRPr="009C5078">
        <w:rPr>
          <w:rFonts w:cs="Arial"/>
        </w:rPr>
        <w:t xml:space="preserve">). </w:t>
      </w:r>
      <w:r w:rsidR="000F0D55">
        <w:rPr>
          <w:rFonts w:cs="Arial"/>
        </w:rPr>
        <w:t>S</w:t>
      </w:r>
      <w:r w:rsidR="00D802EF">
        <w:rPr>
          <w:rFonts w:cs="Arial"/>
        </w:rPr>
        <w:t xml:space="preserve">ince the commencement of the Commission in 2008, </w:t>
      </w:r>
      <w:r w:rsidR="00046CFE">
        <w:rPr>
          <w:rFonts w:cs="Arial"/>
        </w:rPr>
        <w:t xml:space="preserve">321 </w:t>
      </w:r>
      <w:r w:rsidR="00D802EF">
        <w:rPr>
          <w:rFonts w:cs="Arial"/>
        </w:rPr>
        <w:t>clients</w:t>
      </w:r>
      <w:r w:rsidR="00E26269">
        <w:rPr>
          <w:rFonts w:cs="Arial"/>
        </w:rPr>
        <w:t xml:space="preserve"> </w:t>
      </w:r>
      <w:r w:rsidR="00B32201" w:rsidRPr="007C7A9E">
        <w:rPr>
          <w:rFonts w:cs="Arial"/>
        </w:rPr>
        <w:t>(</w:t>
      </w:r>
      <w:r w:rsidR="00046CFE">
        <w:rPr>
          <w:rFonts w:cs="Arial"/>
        </w:rPr>
        <w:t xml:space="preserve">205 </w:t>
      </w:r>
      <w:r w:rsidR="00794683">
        <w:rPr>
          <w:rFonts w:cs="Arial"/>
        </w:rPr>
        <w:t xml:space="preserve">female and </w:t>
      </w:r>
      <w:r w:rsidR="00046CFE">
        <w:rPr>
          <w:rFonts w:cs="Arial"/>
        </w:rPr>
        <w:t xml:space="preserve">116 </w:t>
      </w:r>
      <w:r w:rsidR="00794683">
        <w:rPr>
          <w:rFonts w:cs="Arial"/>
        </w:rPr>
        <w:t xml:space="preserve">male) </w:t>
      </w:r>
      <w:r w:rsidR="00D802EF">
        <w:rPr>
          <w:rFonts w:cs="Arial"/>
        </w:rPr>
        <w:t xml:space="preserve">have had </w:t>
      </w:r>
      <w:r w:rsidR="00D802EF" w:rsidRPr="00246B5A">
        <w:rPr>
          <w:rFonts w:cs="Arial"/>
        </w:rPr>
        <w:t>an active VIM agreement</w:t>
      </w:r>
      <w:r w:rsidR="005A6206" w:rsidRPr="00246B5A">
        <w:rPr>
          <w:rFonts w:cs="Arial"/>
        </w:rPr>
        <w:t xml:space="preserve">. </w:t>
      </w:r>
      <w:r w:rsidR="00D30730" w:rsidRPr="00246B5A">
        <w:rPr>
          <w:rFonts w:cs="Arial"/>
        </w:rPr>
        <w:t xml:space="preserve">As at </w:t>
      </w:r>
      <w:r w:rsidR="00DA70CA" w:rsidRPr="00246B5A">
        <w:rPr>
          <w:rFonts w:cs="Arial"/>
        </w:rPr>
        <w:t xml:space="preserve">30 </w:t>
      </w:r>
      <w:r w:rsidR="000F408B" w:rsidRPr="00246B5A">
        <w:rPr>
          <w:rFonts w:cs="Arial"/>
        </w:rPr>
        <w:t>September</w:t>
      </w:r>
      <w:r w:rsidR="001A5C4C" w:rsidRPr="00246B5A">
        <w:rPr>
          <w:rFonts w:cs="Arial"/>
        </w:rPr>
        <w:t xml:space="preserve"> 2022</w:t>
      </w:r>
      <w:r w:rsidR="00D30730" w:rsidRPr="00246B5A">
        <w:rPr>
          <w:rFonts w:cs="Arial"/>
        </w:rPr>
        <w:t xml:space="preserve"> there were </w:t>
      </w:r>
      <w:r w:rsidR="00046CFE" w:rsidRPr="00246B5A">
        <w:rPr>
          <w:rFonts w:cs="Arial"/>
        </w:rPr>
        <w:t xml:space="preserve">69 </w:t>
      </w:r>
      <w:r w:rsidR="00D30730" w:rsidRPr="00246B5A">
        <w:rPr>
          <w:rFonts w:cs="Arial"/>
        </w:rPr>
        <w:t>clients on a current VIM agreement</w:t>
      </w:r>
      <w:r w:rsidR="00BB129A" w:rsidRPr="00246B5A">
        <w:rPr>
          <w:rFonts w:cs="Arial"/>
        </w:rPr>
        <w:t xml:space="preserve"> </w:t>
      </w:r>
      <w:r w:rsidR="00BB129A" w:rsidRPr="00246B5A">
        <w:t xml:space="preserve">who had </w:t>
      </w:r>
      <w:r w:rsidR="00246B5A" w:rsidRPr="00246B5A">
        <w:t xml:space="preserve">79 </w:t>
      </w:r>
      <w:r w:rsidR="00BB129A" w:rsidRPr="00246B5A">
        <w:t>children in their care (</w:t>
      </w:r>
      <w:r w:rsidR="00246B5A" w:rsidRPr="00246B5A">
        <w:t xml:space="preserve">48 </w:t>
      </w:r>
      <w:r w:rsidR="00BB129A" w:rsidRPr="00246B5A">
        <w:t>of whom were school aged children)</w:t>
      </w:r>
      <w:r w:rsidR="007847CF" w:rsidRPr="00246B5A">
        <w:rPr>
          <w:rFonts w:cs="Arial"/>
        </w:rPr>
        <w:t>.</w:t>
      </w:r>
      <w:r w:rsidR="0090496B" w:rsidRPr="00246B5A">
        <w:rPr>
          <w:rFonts w:cs="Arial"/>
        </w:rPr>
        <w:t xml:space="preserve"> The</w:t>
      </w:r>
      <w:r w:rsidR="0090496B">
        <w:rPr>
          <w:rFonts w:cs="Arial"/>
        </w:rPr>
        <w:t xml:space="preserve"> growth in the number of community members willing to enter into a VIM agreement</w:t>
      </w:r>
      <w:r w:rsidR="009C2950">
        <w:rPr>
          <w:rFonts w:cs="Arial"/>
        </w:rPr>
        <w:t xml:space="preserve"> continues to exceed levels reported in periods prior to the introduction of the CDC in March 2021</w:t>
      </w:r>
      <w:r w:rsidR="00C14593">
        <w:rPr>
          <w:rFonts w:cs="Arial"/>
        </w:rPr>
        <w:t xml:space="preserve"> (see </w:t>
      </w:r>
      <w:r w:rsidR="002925DB">
        <w:rPr>
          <w:rFonts w:cs="Arial"/>
        </w:rPr>
        <w:t>section</w:t>
      </w:r>
      <w:r w:rsidR="00C14593">
        <w:rPr>
          <w:rFonts w:cs="Arial"/>
        </w:rPr>
        <w:t xml:space="preserve"> below </w:t>
      </w:r>
      <w:r w:rsidR="00DC3E72">
        <w:rPr>
          <w:rFonts w:cs="Arial"/>
        </w:rPr>
        <w:t xml:space="preserve">on the </w:t>
      </w:r>
      <w:r w:rsidR="00C14593">
        <w:rPr>
          <w:rFonts w:cs="Arial"/>
        </w:rPr>
        <w:t xml:space="preserve">Status of </w:t>
      </w:r>
      <w:r w:rsidR="00DC3E72">
        <w:rPr>
          <w:rFonts w:cs="Arial"/>
        </w:rPr>
        <w:t xml:space="preserve">the </w:t>
      </w:r>
      <w:r w:rsidR="00C14593">
        <w:rPr>
          <w:rFonts w:cs="Arial"/>
        </w:rPr>
        <w:t>CD</w:t>
      </w:r>
      <w:r w:rsidR="00DC3E72">
        <w:rPr>
          <w:rFonts w:cs="Arial"/>
        </w:rPr>
        <w:t>C).</w:t>
      </w:r>
    </w:p>
    <w:p w14:paraId="45432E30" w14:textId="1B99792C" w:rsidR="006B6030" w:rsidRDefault="006B6030" w:rsidP="005A02C1">
      <w:pPr>
        <w:ind w:left="-142" w:right="-425"/>
        <w:jc w:val="both"/>
        <w:rPr>
          <w:rFonts w:cs="Arial"/>
        </w:rPr>
      </w:pPr>
    </w:p>
    <w:p w14:paraId="1087AFFD" w14:textId="238E691B"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0F408B">
        <w:rPr>
          <w:rFonts w:cs="Arial"/>
          <w:b/>
          <w:bCs/>
        </w:rPr>
        <w:t>57</w:t>
      </w:r>
    </w:p>
    <w:p w14:paraId="40773987" w14:textId="6E7667CE" w:rsidR="003833F9" w:rsidRDefault="00C67400" w:rsidP="003833F9">
      <w:pPr>
        <w:ind w:left="-142" w:right="-425"/>
        <w:jc w:val="both"/>
        <w:rPr>
          <w:rFonts w:cs="Arial"/>
        </w:rPr>
      </w:pPr>
      <w:r>
        <w:rPr>
          <w:rFonts w:cs="Arial"/>
        </w:rPr>
        <w:t>Forty-</w:t>
      </w:r>
      <w:r w:rsidR="00046CFE">
        <w:rPr>
          <w:rFonts w:cs="Arial"/>
        </w:rPr>
        <w:t xml:space="preserve">three </w:t>
      </w:r>
      <w:r w:rsidR="003833F9">
        <w:rPr>
          <w:rFonts w:cs="Arial"/>
        </w:rPr>
        <w:t xml:space="preserve">Cashless Debit Cards </w:t>
      </w:r>
      <w:r w:rsidR="00386ABC">
        <w:rPr>
          <w:rFonts w:cs="Arial"/>
        </w:rPr>
        <w:t>(</w:t>
      </w:r>
      <w:r w:rsidR="00046CFE">
        <w:rPr>
          <w:rFonts w:cs="Arial"/>
        </w:rPr>
        <w:t xml:space="preserve">13 </w:t>
      </w:r>
      <w:r w:rsidR="00386ABC">
        <w:rPr>
          <w:rFonts w:cs="Arial"/>
        </w:rPr>
        <w:t xml:space="preserve">for CIM and </w:t>
      </w:r>
      <w:r w:rsidR="00046CFE">
        <w:rPr>
          <w:rFonts w:cs="Arial"/>
        </w:rPr>
        <w:t xml:space="preserve">30 </w:t>
      </w:r>
      <w:r w:rsidR="00386ABC">
        <w:rPr>
          <w:rFonts w:cs="Arial"/>
        </w:rPr>
        <w:t xml:space="preserve">for VIM) </w:t>
      </w:r>
      <w:r w:rsidR="003833F9">
        <w:rPr>
          <w:rFonts w:cs="Arial"/>
        </w:rPr>
        <w:t xml:space="preserve">were processed for the period 1 </w:t>
      </w:r>
      <w:r w:rsidR="000F408B">
        <w:rPr>
          <w:rFonts w:cs="Arial"/>
        </w:rPr>
        <w:t>July</w:t>
      </w:r>
      <w:r w:rsidR="00415BC8">
        <w:rPr>
          <w:rFonts w:cs="Arial"/>
        </w:rPr>
        <w:t xml:space="preserve"> 2022</w:t>
      </w:r>
      <w:r w:rsidR="003833F9">
        <w:rPr>
          <w:rFonts w:cs="Arial"/>
        </w:rPr>
        <w:t xml:space="preserve"> to </w:t>
      </w:r>
      <w:r w:rsidR="00DA70CA">
        <w:rPr>
          <w:rFonts w:cs="Arial"/>
        </w:rPr>
        <w:t xml:space="preserve">30 </w:t>
      </w:r>
      <w:r w:rsidR="000F408B">
        <w:rPr>
          <w:rFonts w:cs="Arial"/>
        </w:rPr>
        <w:t>September</w:t>
      </w:r>
      <w:r w:rsidR="001A5C4C">
        <w:rPr>
          <w:rFonts w:cs="Arial"/>
        </w:rPr>
        <w:t xml:space="preserve"> 2022</w:t>
      </w:r>
      <w:r w:rsidR="003833F9">
        <w:rPr>
          <w:rFonts w:cs="Arial"/>
        </w:rPr>
        <w:t xml:space="preserve">, including orders and agreements that were still awaiting Centrelink action as at </w:t>
      </w:r>
      <w:r w:rsidR="00DA70CA">
        <w:rPr>
          <w:rFonts w:cs="Arial"/>
        </w:rPr>
        <w:t xml:space="preserve">30 </w:t>
      </w:r>
      <w:r w:rsidR="000F408B">
        <w:rPr>
          <w:rFonts w:cs="Arial"/>
        </w:rPr>
        <w:t>September</w:t>
      </w:r>
      <w:r w:rsidR="003833F9">
        <w:rPr>
          <w:rFonts w:cs="Arial"/>
        </w:rPr>
        <w:t>.</w:t>
      </w:r>
    </w:p>
    <w:p w14:paraId="09873523" w14:textId="77777777" w:rsidR="00EE38F4" w:rsidRDefault="00EE38F4" w:rsidP="00EE38F4">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EE38F4" w14:paraId="35D83D17" w14:textId="77777777" w:rsidTr="006A327F">
        <w:trPr>
          <w:trHeight w:val="278"/>
        </w:trPr>
        <w:tc>
          <w:tcPr>
            <w:tcW w:w="4106" w:type="dxa"/>
            <w:gridSpan w:val="2"/>
          </w:tcPr>
          <w:p w14:paraId="230E36B7" w14:textId="64A4C268" w:rsidR="00EE38F4" w:rsidRPr="002C0A49" w:rsidRDefault="00EE38F4" w:rsidP="006A327F">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21</w:t>
            </w:r>
            <w:r w:rsidRPr="002C0A49">
              <w:rPr>
                <w:rFonts w:cs="Arial"/>
                <w:b/>
                <w:bCs/>
                <w:noProof/>
                <w:sz w:val="16"/>
                <w:szCs w:val="16"/>
              </w:rPr>
              <w:t>:</w:t>
            </w:r>
            <w:r w:rsidRPr="002C0A49">
              <w:rPr>
                <w:rFonts w:cs="Arial"/>
                <w:noProof/>
                <w:sz w:val="16"/>
                <w:szCs w:val="16"/>
              </w:rPr>
              <w:t xml:space="preserve"> Breakdown of CDC CIMs by duration 1 </w:t>
            </w:r>
            <w:r>
              <w:rPr>
                <w:rFonts w:cs="Arial"/>
                <w:noProof/>
                <w:sz w:val="16"/>
                <w:szCs w:val="16"/>
              </w:rPr>
              <w:t>July</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0 September </w:t>
            </w:r>
            <w:r w:rsidRPr="002C0A49">
              <w:rPr>
                <w:rFonts w:cs="Arial"/>
                <w:noProof/>
                <w:sz w:val="16"/>
                <w:szCs w:val="16"/>
              </w:rPr>
              <w:t>202</w:t>
            </w:r>
            <w:r>
              <w:rPr>
                <w:rFonts w:cs="Arial"/>
                <w:noProof/>
                <w:sz w:val="16"/>
                <w:szCs w:val="16"/>
              </w:rPr>
              <w:t>2</w:t>
            </w:r>
          </w:p>
        </w:tc>
        <w:tc>
          <w:tcPr>
            <w:tcW w:w="709" w:type="dxa"/>
            <w:tcBorders>
              <w:top w:val="nil"/>
              <w:bottom w:val="nil"/>
            </w:tcBorders>
          </w:tcPr>
          <w:p w14:paraId="7355CA64" w14:textId="77777777" w:rsidR="00EE38F4" w:rsidRDefault="00EE38F4" w:rsidP="006A327F">
            <w:pPr>
              <w:rPr>
                <w:rFonts w:cs="Arial"/>
                <w:b/>
                <w:bCs/>
                <w:noProof/>
                <w:sz w:val="16"/>
                <w:szCs w:val="16"/>
              </w:rPr>
            </w:pPr>
          </w:p>
        </w:tc>
        <w:tc>
          <w:tcPr>
            <w:tcW w:w="4098" w:type="dxa"/>
            <w:gridSpan w:val="2"/>
          </w:tcPr>
          <w:p w14:paraId="3D425C35" w14:textId="0C003355" w:rsidR="00EE38F4" w:rsidRPr="00E33A8C" w:rsidRDefault="00EE38F4" w:rsidP="006A327F">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22</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1 </w:t>
            </w:r>
            <w:r>
              <w:rPr>
                <w:rFonts w:cs="Arial"/>
                <w:noProof/>
                <w:sz w:val="16"/>
                <w:szCs w:val="16"/>
              </w:rPr>
              <w:t>July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September </w:t>
            </w:r>
            <w:r w:rsidRPr="00523A30">
              <w:rPr>
                <w:rFonts w:cs="Arial"/>
                <w:noProof/>
                <w:sz w:val="16"/>
                <w:szCs w:val="16"/>
              </w:rPr>
              <w:t>202</w:t>
            </w:r>
            <w:r>
              <w:rPr>
                <w:rFonts w:cs="Arial"/>
                <w:noProof/>
                <w:sz w:val="16"/>
                <w:szCs w:val="16"/>
              </w:rPr>
              <w:t>2</w:t>
            </w:r>
          </w:p>
        </w:tc>
      </w:tr>
      <w:tr w:rsidR="00EE38F4" w14:paraId="50A7F5F2" w14:textId="77777777" w:rsidTr="006A327F">
        <w:trPr>
          <w:trHeight w:val="278"/>
        </w:trPr>
        <w:tc>
          <w:tcPr>
            <w:tcW w:w="2972" w:type="dxa"/>
            <w:vAlign w:val="center"/>
          </w:tcPr>
          <w:p w14:paraId="43AC5B0B" w14:textId="77777777" w:rsidR="00EE38F4" w:rsidRPr="00CB1588" w:rsidRDefault="00EE38F4" w:rsidP="006A327F">
            <w:pPr>
              <w:rPr>
                <w:rFonts w:cs="Arial"/>
                <w:b/>
                <w:bCs/>
                <w:noProof/>
              </w:rPr>
            </w:pPr>
            <w:r w:rsidRPr="00CB1588">
              <w:rPr>
                <w:rFonts w:cs="Arial"/>
                <w:b/>
                <w:bCs/>
                <w:noProof/>
              </w:rPr>
              <w:t>CIM Duration</w:t>
            </w:r>
          </w:p>
        </w:tc>
        <w:tc>
          <w:tcPr>
            <w:tcW w:w="1134" w:type="dxa"/>
            <w:vAlign w:val="center"/>
          </w:tcPr>
          <w:p w14:paraId="462D9DF8" w14:textId="77777777" w:rsidR="00EE38F4" w:rsidRPr="00CB1588" w:rsidRDefault="00EE38F4" w:rsidP="006A327F">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5F121F4A" w14:textId="77777777" w:rsidR="00EE38F4" w:rsidRDefault="00EE38F4" w:rsidP="006A327F">
            <w:pPr>
              <w:rPr>
                <w:rFonts w:cs="Arial"/>
                <w:noProof/>
              </w:rPr>
            </w:pPr>
          </w:p>
        </w:tc>
        <w:tc>
          <w:tcPr>
            <w:tcW w:w="2977" w:type="dxa"/>
            <w:vAlign w:val="center"/>
          </w:tcPr>
          <w:p w14:paraId="55473ECF" w14:textId="77777777" w:rsidR="00EE38F4" w:rsidRPr="00CB1588" w:rsidRDefault="00EE38F4" w:rsidP="006A327F">
            <w:pPr>
              <w:rPr>
                <w:rFonts w:cs="Arial"/>
                <w:b/>
                <w:bCs/>
                <w:noProof/>
              </w:rPr>
            </w:pPr>
            <w:r w:rsidRPr="00CB1588">
              <w:rPr>
                <w:rFonts w:cs="Arial"/>
                <w:b/>
                <w:bCs/>
                <w:noProof/>
              </w:rPr>
              <w:t>VIM Duration</w:t>
            </w:r>
          </w:p>
        </w:tc>
        <w:tc>
          <w:tcPr>
            <w:tcW w:w="1121" w:type="dxa"/>
            <w:vAlign w:val="center"/>
          </w:tcPr>
          <w:p w14:paraId="29417EBE" w14:textId="77777777" w:rsidR="00EE38F4" w:rsidRPr="001D1C01" w:rsidRDefault="00EE38F4" w:rsidP="006A327F">
            <w:pPr>
              <w:jc w:val="right"/>
              <w:rPr>
                <w:rFonts w:cs="Arial"/>
                <w:noProof/>
              </w:rPr>
            </w:pPr>
            <w:r>
              <w:rPr>
                <w:rFonts w:cs="Arial"/>
                <w:b/>
                <w:bCs/>
                <w:noProof/>
              </w:rPr>
              <w:t xml:space="preserve">% </w:t>
            </w:r>
            <w:r w:rsidRPr="00CB1588">
              <w:rPr>
                <w:rFonts w:cs="Arial"/>
                <w:b/>
                <w:bCs/>
                <w:noProof/>
              </w:rPr>
              <w:t>Split</w:t>
            </w:r>
          </w:p>
        </w:tc>
      </w:tr>
      <w:tr w:rsidR="00EE38F4" w14:paraId="1B7C3DDA" w14:textId="77777777" w:rsidTr="006A327F">
        <w:trPr>
          <w:trHeight w:val="278"/>
        </w:trPr>
        <w:tc>
          <w:tcPr>
            <w:tcW w:w="2972" w:type="dxa"/>
            <w:vAlign w:val="center"/>
          </w:tcPr>
          <w:p w14:paraId="56932439" w14:textId="77777777" w:rsidR="00EE38F4" w:rsidRPr="002819D6" w:rsidRDefault="00EE38F4" w:rsidP="006A327F">
            <w:pPr>
              <w:rPr>
                <w:rFonts w:cs="Arial"/>
                <w:noProof/>
              </w:rPr>
            </w:pPr>
            <w:r w:rsidRPr="002819D6">
              <w:rPr>
                <w:rFonts w:cs="Arial"/>
                <w:noProof/>
              </w:rPr>
              <w:t>3 months</w:t>
            </w:r>
          </w:p>
        </w:tc>
        <w:tc>
          <w:tcPr>
            <w:tcW w:w="1134" w:type="dxa"/>
            <w:vAlign w:val="center"/>
          </w:tcPr>
          <w:p w14:paraId="65E17A58" w14:textId="62D6FC6E" w:rsidR="00EE38F4" w:rsidRPr="001D1C01" w:rsidRDefault="00EE38F4" w:rsidP="006A327F">
            <w:pPr>
              <w:jc w:val="right"/>
              <w:rPr>
                <w:rFonts w:cs="Arial"/>
                <w:noProof/>
              </w:rPr>
            </w:pPr>
            <w:r>
              <w:rPr>
                <w:rFonts w:cs="Arial"/>
                <w:noProof/>
              </w:rPr>
              <w:t>0</w:t>
            </w:r>
            <w:r w:rsidRPr="001D1C01">
              <w:rPr>
                <w:rFonts w:cs="Arial"/>
                <w:noProof/>
              </w:rPr>
              <w:t>%</w:t>
            </w:r>
          </w:p>
        </w:tc>
        <w:tc>
          <w:tcPr>
            <w:tcW w:w="709" w:type="dxa"/>
            <w:tcBorders>
              <w:top w:val="nil"/>
              <w:bottom w:val="nil"/>
            </w:tcBorders>
          </w:tcPr>
          <w:p w14:paraId="161F616E" w14:textId="77777777" w:rsidR="00EE38F4" w:rsidRDefault="00EE38F4" w:rsidP="006A327F">
            <w:pPr>
              <w:rPr>
                <w:rFonts w:cs="Arial"/>
                <w:noProof/>
              </w:rPr>
            </w:pPr>
          </w:p>
        </w:tc>
        <w:tc>
          <w:tcPr>
            <w:tcW w:w="2977" w:type="dxa"/>
            <w:vAlign w:val="center"/>
          </w:tcPr>
          <w:p w14:paraId="4CE97C2C" w14:textId="77777777" w:rsidR="00EE38F4" w:rsidRPr="001D1C01" w:rsidRDefault="00EE38F4" w:rsidP="006A327F">
            <w:pPr>
              <w:rPr>
                <w:rFonts w:cs="Arial"/>
                <w:noProof/>
              </w:rPr>
            </w:pPr>
            <w:r w:rsidRPr="001D1C01">
              <w:rPr>
                <w:rFonts w:cs="Arial"/>
                <w:noProof/>
              </w:rPr>
              <w:t>3 months</w:t>
            </w:r>
          </w:p>
        </w:tc>
        <w:tc>
          <w:tcPr>
            <w:tcW w:w="1121" w:type="dxa"/>
            <w:vAlign w:val="center"/>
          </w:tcPr>
          <w:p w14:paraId="344D7B34" w14:textId="3E2F549C" w:rsidR="00EE38F4" w:rsidRPr="001D1C01" w:rsidRDefault="00096E2C" w:rsidP="006A327F">
            <w:pPr>
              <w:jc w:val="right"/>
              <w:rPr>
                <w:rFonts w:cs="Arial"/>
                <w:noProof/>
              </w:rPr>
            </w:pPr>
            <w:r>
              <w:rPr>
                <w:rFonts w:cs="Arial"/>
                <w:noProof/>
              </w:rPr>
              <w:t>3</w:t>
            </w:r>
            <w:r w:rsidR="00EE38F4" w:rsidRPr="001D1C01">
              <w:rPr>
                <w:rFonts w:cs="Arial"/>
                <w:noProof/>
              </w:rPr>
              <w:t>%</w:t>
            </w:r>
          </w:p>
        </w:tc>
      </w:tr>
      <w:tr w:rsidR="00EE38F4" w14:paraId="7F7AF867" w14:textId="77777777" w:rsidTr="006A327F">
        <w:trPr>
          <w:trHeight w:val="278"/>
        </w:trPr>
        <w:tc>
          <w:tcPr>
            <w:tcW w:w="2972" w:type="dxa"/>
            <w:vAlign w:val="center"/>
          </w:tcPr>
          <w:p w14:paraId="085DA45F" w14:textId="77777777" w:rsidR="00EE38F4" w:rsidRPr="002819D6" w:rsidRDefault="00EE38F4" w:rsidP="006A327F">
            <w:pPr>
              <w:rPr>
                <w:rFonts w:cs="Arial"/>
                <w:noProof/>
              </w:rPr>
            </w:pPr>
            <w:r w:rsidRPr="002819D6">
              <w:rPr>
                <w:rFonts w:cs="Arial"/>
                <w:noProof/>
              </w:rPr>
              <w:t>6 months</w:t>
            </w:r>
          </w:p>
        </w:tc>
        <w:tc>
          <w:tcPr>
            <w:tcW w:w="1134" w:type="dxa"/>
            <w:vAlign w:val="center"/>
          </w:tcPr>
          <w:p w14:paraId="0B7791A1" w14:textId="291B872D" w:rsidR="00EE38F4" w:rsidRPr="001D1C01" w:rsidRDefault="00EE38F4" w:rsidP="006A327F">
            <w:pPr>
              <w:jc w:val="right"/>
              <w:rPr>
                <w:rFonts w:cs="Arial"/>
                <w:noProof/>
              </w:rPr>
            </w:pPr>
            <w:r>
              <w:rPr>
                <w:rFonts w:cs="Arial"/>
                <w:noProof/>
              </w:rPr>
              <w:t>100</w:t>
            </w:r>
            <w:r w:rsidRPr="001D1C01">
              <w:rPr>
                <w:rFonts w:cs="Arial"/>
                <w:noProof/>
              </w:rPr>
              <w:t>%</w:t>
            </w:r>
          </w:p>
        </w:tc>
        <w:tc>
          <w:tcPr>
            <w:tcW w:w="709" w:type="dxa"/>
            <w:tcBorders>
              <w:top w:val="nil"/>
              <w:bottom w:val="nil"/>
            </w:tcBorders>
          </w:tcPr>
          <w:p w14:paraId="051A7B0C" w14:textId="77777777" w:rsidR="00EE38F4" w:rsidRDefault="00EE38F4" w:rsidP="006A327F">
            <w:pPr>
              <w:rPr>
                <w:rFonts w:cs="Arial"/>
                <w:noProof/>
              </w:rPr>
            </w:pPr>
          </w:p>
        </w:tc>
        <w:tc>
          <w:tcPr>
            <w:tcW w:w="2977" w:type="dxa"/>
            <w:vAlign w:val="center"/>
          </w:tcPr>
          <w:p w14:paraId="63EF3F9E" w14:textId="77777777" w:rsidR="00EE38F4" w:rsidRPr="001D1C01" w:rsidRDefault="00EE38F4" w:rsidP="006A327F">
            <w:pPr>
              <w:rPr>
                <w:rFonts w:cs="Arial"/>
                <w:noProof/>
              </w:rPr>
            </w:pPr>
            <w:r w:rsidRPr="001D1C01">
              <w:rPr>
                <w:rFonts w:cs="Arial"/>
                <w:noProof/>
              </w:rPr>
              <w:t>6 months</w:t>
            </w:r>
          </w:p>
        </w:tc>
        <w:tc>
          <w:tcPr>
            <w:tcW w:w="1121" w:type="dxa"/>
            <w:vAlign w:val="center"/>
          </w:tcPr>
          <w:p w14:paraId="6C687C71" w14:textId="707C7C30" w:rsidR="00EE38F4" w:rsidRPr="001D1C01" w:rsidRDefault="00096E2C" w:rsidP="006A327F">
            <w:pPr>
              <w:jc w:val="right"/>
              <w:rPr>
                <w:rFonts w:cs="Arial"/>
                <w:noProof/>
              </w:rPr>
            </w:pPr>
            <w:r>
              <w:rPr>
                <w:rFonts w:cs="Arial"/>
                <w:noProof/>
              </w:rPr>
              <w:t>50</w:t>
            </w:r>
            <w:r w:rsidR="00EE38F4" w:rsidRPr="001D1C01">
              <w:rPr>
                <w:rFonts w:cs="Arial"/>
                <w:noProof/>
              </w:rPr>
              <w:t>%</w:t>
            </w:r>
          </w:p>
        </w:tc>
      </w:tr>
      <w:tr w:rsidR="00EE38F4" w14:paraId="69B4D5DE" w14:textId="77777777" w:rsidTr="006A327F">
        <w:trPr>
          <w:trHeight w:val="278"/>
        </w:trPr>
        <w:tc>
          <w:tcPr>
            <w:tcW w:w="2972" w:type="dxa"/>
            <w:vAlign w:val="center"/>
          </w:tcPr>
          <w:p w14:paraId="2B988347" w14:textId="77777777" w:rsidR="00EE38F4" w:rsidRPr="002819D6" w:rsidRDefault="00EE38F4" w:rsidP="006A327F">
            <w:pPr>
              <w:rPr>
                <w:rFonts w:cs="Arial"/>
                <w:noProof/>
              </w:rPr>
            </w:pPr>
            <w:r w:rsidRPr="002819D6">
              <w:rPr>
                <w:rFonts w:cs="Arial"/>
                <w:noProof/>
              </w:rPr>
              <w:t>9 months</w:t>
            </w:r>
          </w:p>
        </w:tc>
        <w:tc>
          <w:tcPr>
            <w:tcW w:w="1134" w:type="dxa"/>
            <w:vAlign w:val="center"/>
          </w:tcPr>
          <w:p w14:paraId="14F0F803" w14:textId="201D818C" w:rsidR="00EE38F4" w:rsidRPr="001D1C01" w:rsidRDefault="00EE38F4" w:rsidP="006A327F">
            <w:pPr>
              <w:jc w:val="right"/>
              <w:rPr>
                <w:rFonts w:cs="Arial"/>
                <w:noProof/>
              </w:rPr>
            </w:pPr>
            <w:r w:rsidRPr="001D1C01">
              <w:rPr>
                <w:rFonts w:cs="Arial"/>
                <w:noProof/>
              </w:rPr>
              <w:t>0%</w:t>
            </w:r>
          </w:p>
        </w:tc>
        <w:tc>
          <w:tcPr>
            <w:tcW w:w="709" w:type="dxa"/>
            <w:tcBorders>
              <w:top w:val="nil"/>
              <w:bottom w:val="nil"/>
            </w:tcBorders>
          </w:tcPr>
          <w:p w14:paraId="7B674DEC" w14:textId="77777777" w:rsidR="00EE38F4" w:rsidRDefault="00EE38F4" w:rsidP="006A327F">
            <w:pPr>
              <w:rPr>
                <w:rFonts w:cs="Arial"/>
                <w:noProof/>
              </w:rPr>
            </w:pPr>
          </w:p>
        </w:tc>
        <w:tc>
          <w:tcPr>
            <w:tcW w:w="2977" w:type="dxa"/>
            <w:vAlign w:val="center"/>
          </w:tcPr>
          <w:p w14:paraId="452557D6" w14:textId="77777777" w:rsidR="00EE38F4" w:rsidRPr="001D1C01" w:rsidRDefault="00EE38F4" w:rsidP="006A327F">
            <w:pPr>
              <w:rPr>
                <w:rFonts w:cs="Arial"/>
                <w:noProof/>
              </w:rPr>
            </w:pPr>
            <w:r w:rsidRPr="001D1C01">
              <w:rPr>
                <w:rFonts w:cs="Arial"/>
                <w:noProof/>
              </w:rPr>
              <w:t>9 months</w:t>
            </w:r>
          </w:p>
        </w:tc>
        <w:tc>
          <w:tcPr>
            <w:tcW w:w="1121" w:type="dxa"/>
            <w:vAlign w:val="center"/>
          </w:tcPr>
          <w:p w14:paraId="44A78562" w14:textId="2BA36A01" w:rsidR="00EE38F4" w:rsidRPr="001D1C01" w:rsidRDefault="00096E2C" w:rsidP="006A327F">
            <w:pPr>
              <w:jc w:val="right"/>
              <w:rPr>
                <w:rFonts w:cs="Arial"/>
                <w:noProof/>
              </w:rPr>
            </w:pPr>
            <w:r>
              <w:rPr>
                <w:rFonts w:cs="Arial"/>
                <w:noProof/>
              </w:rPr>
              <w:t>3</w:t>
            </w:r>
            <w:r w:rsidR="00EE38F4" w:rsidRPr="001D1C01">
              <w:rPr>
                <w:rFonts w:cs="Arial"/>
                <w:noProof/>
              </w:rPr>
              <w:t>%</w:t>
            </w:r>
          </w:p>
        </w:tc>
      </w:tr>
      <w:tr w:rsidR="00EE38F4" w14:paraId="24BB63DC" w14:textId="77777777" w:rsidTr="006A327F">
        <w:trPr>
          <w:trHeight w:val="278"/>
        </w:trPr>
        <w:tc>
          <w:tcPr>
            <w:tcW w:w="2972" w:type="dxa"/>
            <w:vAlign w:val="center"/>
          </w:tcPr>
          <w:p w14:paraId="597D9A9C" w14:textId="77777777" w:rsidR="00EE38F4" w:rsidRDefault="00EE38F4" w:rsidP="006A327F">
            <w:pPr>
              <w:rPr>
                <w:rFonts w:cs="Arial"/>
                <w:noProof/>
              </w:rPr>
            </w:pPr>
            <w:r w:rsidRPr="002819D6">
              <w:rPr>
                <w:rFonts w:cs="Arial"/>
                <w:noProof/>
              </w:rPr>
              <w:t>12 months</w:t>
            </w:r>
          </w:p>
        </w:tc>
        <w:tc>
          <w:tcPr>
            <w:tcW w:w="1134" w:type="dxa"/>
            <w:vAlign w:val="center"/>
          </w:tcPr>
          <w:p w14:paraId="42A14144" w14:textId="77777777" w:rsidR="00EE38F4" w:rsidRPr="001D1C01" w:rsidRDefault="00EE38F4" w:rsidP="006A327F">
            <w:pPr>
              <w:jc w:val="right"/>
              <w:rPr>
                <w:rFonts w:cs="Arial"/>
                <w:noProof/>
              </w:rPr>
            </w:pPr>
            <w:r>
              <w:rPr>
                <w:rFonts w:cs="Arial"/>
                <w:noProof/>
              </w:rPr>
              <w:t>0</w:t>
            </w:r>
            <w:r w:rsidRPr="001D1C01">
              <w:rPr>
                <w:rFonts w:cs="Arial"/>
                <w:noProof/>
              </w:rPr>
              <w:t>%</w:t>
            </w:r>
          </w:p>
        </w:tc>
        <w:tc>
          <w:tcPr>
            <w:tcW w:w="709" w:type="dxa"/>
            <w:tcBorders>
              <w:top w:val="nil"/>
              <w:bottom w:val="nil"/>
            </w:tcBorders>
          </w:tcPr>
          <w:p w14:paraId="3F51AB70" w14:textId="77777777" w:rsidR="00EE38F4" w:rsidRDefault="00EE38F4" w:rsidP="006A327F">
            <w:pPr>
              <w:rPr>
                <w:rFonts w:cs="Arial"/>
                <w:noProof/>
              </w:rPr>
            </w:pPr>
          </w:p>
        </w:tc>
        <w:tc>
          <w:tcPr>
            <w:tcW w:w="2977" w:type="dxa"/>
            <w:vAlign w:val="center"/>
          </w:tcPr>
          <w:p w14:paraId="3B2ACA72" w14:textId="77777777" w:rsidR="00EE38F4" w:rsidRDefault="00EE38F4" w:rsidP="006A327F">
            <w:pPr>
              <w:rPr>
                <w:rFonts w:cs="Arial"/>
                <w:noProof/>
              </w:rPr>
            </w:pPr>
            <w:r w:rsidRPr="001D1C01">
              <w:rPr>
                <w:rFonts w:cs="Arial"/>
                <w:noProof/>
              </w:rPr>
              <w:t>12 months</w:t>
            </w:r>
          </w:p>
        </w:tc>
        <w:tc>
          <w:tcPr>
            <w:tcW w:w="1121" w:type="dxa"/>
            <w:vAlign w:val="center"/>
          </w:tcPr>
          <w:p w14:paraId="73A53A52" w14:textId="5689CE2C" w:rsidR="00EE38F4" w:rsidRDefault="00EE38F4" w:rsidP="006A327F">
            <w:pPr>
              <w:jc w:val="right"/>
              <w:rPr>
                <w:rFonts w:cs="Arial"/>
                <w:noProof/>
              </w:rPr>
            </w:pPr>
            <w:r>
              <w:rPr>
                <w:rFonts w:cs="Arial"/>
                <w:noProof/>
              </w:rPr>
              <w:t>4</w:t>
            </w:r>
            <w:r w:rsidR="00096E2C">
              <w:rPr>
                <w:rFonts w:cs="Arial"/>
                <w:noProof/>
              </w:rPr>
              <w:t>4</w:t>
            </w:r>
            <w:r w:rsidRPr="001D1C01">
              <w:rPr>
                <w:rFonts w:cs="Arial"/>
                <w:noProof/>
              </w:rPr>
              <w:t>%</w:t>
            </w:r>
          </w:p>
        </w:tc>
      </w:tr>
      <w:tr w:rsidR="00EE38F4" w14:paraId="2B564B43" w14:textId="77777777" w:rsidTr="006A327F">
        <w:trPr>
          <w:trHeight w:val="278"/>
        </w:trPr>
        <w:tc>
          <w:tcPr>
            <w:tcW w:w="2972" w:type="dxa"/>
            <w:vAlign w:val="center"/>
          </w:tcPr>
          <w:p w14:paraId="43F2C35E" w14:textId="77777777" w:rsidR="00EE38F4" w:rsidRPr="00065259" w:rsidRDefault="00EE38F4" w:rsidP="006A327F">
            <w:pPr>
              <w:rPr>
                <w:rFonts w:cs="Arial"/>
                <w:b/>
                <w:bCs/>
                <w:noProof/>
              </w:rPr>
            </w:pPr>
            <w:r w:rsidRPr="00065259">
              <w:rPr>
                <w:rFonts w:cs="Arial"/>
                <w:b/>
                <w:bCs/>
                <w:noProof/>
              </w:rPr>
              <w:t>Total</w:t>
            </w:r>
          </w:p>
        </w:tc>
        <w:tc>
          <w:tcPr>
            <w:tcW w:w="1134" w:type="dxa"/>
            <w:vAlign w:val="center"/>
          </w:tcPr>
          <w:p w14:paraId="533DBBD3" w14:textId="77777777" w:rsidR="00EE38F4" w:rsidRPr="00065259" w:rsidRDefault="00EE38F4" w:rsidP="006A327F">
            <w:pPr>
              <w:jc w:val="right"/>
              <w:rPr>
                <w:rFonts w:cs="Arial"/>
                <w:b/>
                <w:bCs/>
                <w:noProof/>
              </w:rPr>
            </w:pPr>
            <w:r w:rsidRPr="00065259">
              <w:rPr>
                <w:rFonts w:cs="Arial"/>
                <w:b/>
                <w:bCs/>
                <w:noProof/>
              </w:rPr>
              <w:t>100%</w:t>
            </w:r>
          </w:p>
        </w:tc>
        <w:tc>
          <w:tcPr>
            <w:tcW w:w="709" w:type="dxa"/>
            <w:tcBorders>
              <w:top w:val="nil"/>
              <w:bottom w:val="nil"/>
            </w:tcBorders>
          </w:tcPr>
          <w:p w14:paraId="025B5CDB" w14:textId="77777777" w:rsidR="00EE38F4" w:rsidRDefault="00EE38F4" w:rsidP="006A327F">
            <w:pPr>
              <w:rPr>
                <w:rFonts w:cs="Arial"/>
                <w:noProof/>
              </w:rPr>
            </w:pPr>
          </w:p>
        </w:tc>
        <w:tc>
          <w:tcPr>
            <w:tcW w:w="2977" w:type="dxa"/>
            <w:vAlign w:val="center"/>
          </w:tcPr>
          <w:p w14:paraId="0605F0D0" w14:textId="77777777" w:rsidR="00EE38F4" w:rsidRPr="00065259" w:rsidRDefault="00EE38F4" w:rsidP="006A327F">
            <w:pPr>
              <w:rPr>
                <w:rFonts w:cs="Arial"/>
                <w:b/>
                <w:bCs/>
                <w:noProof/>
              </w:rPr>
            </w:pPr>
            <w:r w:rsidRPr="00065259">
              <w:rPr>
                <w:rFonts w:cs="Arial"/>
                <w:b/>
                <w:bCs/>
                <w:noProof/>
              </w:rPr>
              <w:t>Total</w:t>
            </w:r>
          </w:p>
        </w:tc>
        <w:tc>
          <w:tcPr>
            <w:tcW w:w="1121" w:type="dxa"/>
            <w:vAlign w:val="center"/>
          </w:tcPr>
          <w:p w14:paraId="2CF41855" w14:textId="77777777" w:rsidR="00EE38F4" w:rsidRPr="00065259" w:rsidRDefault="00EE38F4" w:rsidP="006A327F">
            <w:pPr>
              <w:jc w:val="right"/>
              <w:rPr>
                <w:rFonts w:cs="Arial"/>
                <w:b/>
                <w:bCs/>
                <w:noProof/>
              </w:rPr>
            </w:pPr>
            <w:r w:rsidRPr="00065259">
              <w:rPr>
                <w:rFonts w:cs="Arial"/>
                <w:b/>
                <w:bCs/>
                <w:noProof/>
              </w:rPr>
              <w:t>100%</w:t>
            </w:r>
          </w:p>
        </w:tc>
      </w:tr>
    </w:tbl>
    <w:p w14:paraId="2892247E" w14:textId="77777777" w:rsidR="00EE38F4" w:rsidRDefault="00EE38F4" w:rsidP="00EE38F4">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EE38F4" w14:paraId="43AD5F14" w14:textId="77777777" w:rsidTr="006A327F">
        <w:trPr>
          <w:trHeight w:val="877"/>
        </w:trPr>
        <w:tc>
          <w:tcPr>
            <w:tcW w:w="10060" w:type="dxa"/>
            <w:shd w:val="clear" w:color="auto" w:fill="D9D9D9" w:themeFill="background1" w:themeFillShade="D9"/>
          </w:tcPr>
          <w:p w14:paraId="098EBB20" w14:textId="7DDC355B" w:rsidR="00EE38F4" w:rsidRPr="00F22E2D" w:rsidRDefault="00EE38F4" w:rsidP="006A327F">
            <w:pPr>
              <w:jc w:val="both"/>
              <w:rPr>
                <w:rFonts w:cs="Arial"/>
                <w:noProof/>
              </w:rPr>
            </w:pPr>
            <w:r w:rsidRPr="00E851DB">
              <w:rPr>
                <w:rFonts w:cs="Arial"/>
                <w:noProof/>
              </w:rPr>
              <w:t>Although initially (March 2021) 66% of VIM applications entered into were for a 3-month duration, the VIM chart above shows that 3% were entered into  for a 3 month duration for the quarter with 50% entered into for a 6-month duration and 44% for a 12-month duration.</w:t>
            </w:r>
          </w:p>
        </w:tc>
      </w:tr>
    </w:tbl>
    <w:p w14:paraId="6D25570B" w14:textId="77777777" w:rsidR="00EE38F4" w:rsidRDefault="00EE38F4" w:rsidP="00EE38F4">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EE38F4" w14:paraId="5BB46C3B" w14:textId="77777777" w:rsidTr="006A327F">
        <w:trPr>
          <w:trHeight w:val="278"/>
        </w:trPr>
        <w:tc>
          <w:tcPr>
            <w:tcW w:w="4106" w:type="dxa"/>
            <w:gridSpan w:val="2"/>
          </w:tcPr>
          <w:p w14:paraId="4C89422C" w14:textId="4A1F11F2" w:rsidR="00EE38F4" w:rsidRPr="00523A30" w:rsidRDefault="00EE38F4" w:rsidP="006A327F">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23</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1 </w:t>
            </w:r>
            <w:r>
              <w:rPr>
                <w:rFonts w:cs="Arial"/>
                <w:noProof/>
                <w:sz w:val="16"/>
                <w:szCs w:val="16"/>
              </w:rPr>
              <w:t>July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0 September</w:t>
            </w:r>
          </w:p>
        </w:tc>
        <w:tc>
          <w:tcPr>
            <w:tcW w:w="709" w:type="dxa"/>
            <w:tcBorders>
              <w:top w:val="nil"/>
              <w:bottom w:val="nil"/>
            </w:tcBorders>
          </w:tcPr>
          <w:p w14:paraId="48BC7185" w14:textId="77777777" w:rsidR="00EE38F4" w:rsidRDefault="00EE38F4" w:rsidP="006A327F">
            <w:pPr>
              <w:rPr>
                <w:rFonts w:cs="Arial"/>
                <w:b/>
                <w:bCs/>
                <w:noProof/>
                <w:sz w:val="16"/>
                <w:szCs w:val="16"/>
              </w:rPr>
            </w:pPr>
          </w:p>
        </w:tc>
        <w:tc>
          <w:tcPr>
            <w:tcW w:w="4098" w:type="dxa"/>
            <w:gridSpan w:val="2"/>
          </w:tcPr>
          <w:p w14:paraId="005BC580" w14:textId="57A8F98D" w:rsidR="00EE38F4" w:rsidRPr="00E33A8C" w:rsidRDefault="00EE38F4" w:rsidP="006A327F">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24</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1 </w:t>
            </w:r>
            <w:r>
              <w:rPr>
                <w:rFonts w:cs="Arial"/>
                <w:noProof/>
                <w:sz w:val="16"/>
                <w:szCs w:val="16"/>
              </w:rPr>
              <w:t>July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September </w:t>
            </w:r>
            <w:r w:rsidRPr="00523A30">
              <w:rPr>
                <w:rFonts w:cs="Arial"/>
                <w:noProof/>
                <w:sz w:val="16"/>
                <w:szCs w:val="16"/>
              </w:rPr>
              <w:t>202</w:t>
            </w:r>
            <w:r>
              <w:rPr>
                <w:rFonts w:cs="Arial"/>
                <w:noProof/>
                <w:sz w:val="16"/>
                <w:szCs w:val="16"/>
              </w:rPr>
              <w:t>2</w:t>
            </w:r>
          </w:p>
        </w:tc>
      </w:tr>
      <w:tr w:rsidR="00EE38F4" w14:paraId="41A50F42" w14:textId="77777777" w:rsidTr="006A327F">
        <w:trPr>
          <w:trHeight w:val="278"/>
        </w:trPr>
        <w:tc>
          <w:tcPr>
            <w:tcW w:w="2972" w:type="dxa"/>
            <w:vAlign w:val="center"/>
          </w:tcPr>
          <w:p w14:paraId="33A8FE22" w14:textId="77777777" w:rsidR="00EE38F4" w:rsidRPr="00CB1588" w:rsidRDefault="00EE38F4" w:rsidP="006A327F">
            <w:pPr>
              <w:rPr>
                <w:rFonts w:cs="Arial"/>
                <w:b/>
                <w:bCs/>
                <w:noProof/>
              </w:rPr>
            </w:pPr>
            <w:r w:rsidRPr="00CB1588">
              <w:rPr>
                <w:rFonts w:cs="Arial"/>
                <w:b/>
                <w:bCs/>
                <w:noProof/>
              </w:rPr>
              <w:t>CIM Percentage</w:t>
            </w:r>
          </w:p>
        </w:tc>
        <w:tc>
          <w:tcPr>
            <w:tcW w:w="1134" w:type="dxa"/>
            <w:vAlign w:val="center"/>
          </w:tcPr>
          <w:p w14:paraId="752A3963" w14:textId="77777777" w:rsidR="00EE38F4" w:rsidRPr="001D1C01" w:rsidRDefault="00EE38F4" w:rsidP="006A327F">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6FE87F67" w14:textId="77777777" w:rsidR="00EE38F4" w:rsidRDefault="00EE38F4" w:rsidP="006A327F">
            <w:pPr>
              <w:rPr>
                <w:rFonts w:cs="Arial"/>
                <w:noProof/>
              </w:rPr>
            </w:pPr>
          </w:p>
        </w:tc>
        <w:tc>
          <w:tcPr>
            <w:tcW w:w="2977" w:type="dxa"/>
            <w:vAlign w:val="center"/>
          </w:tcPr>
          <w:p w14:paraId="456C76BF" w14:textId="77777777" w:rsidR="00EE38F4" w:rsidRPr="00CB1588" w:rsidRDefault="00EE38F4" w:rsidP="006A327F">
            <w:pPr>
              <w:rPr>
                <w:rFonts w:cs="Arial"/>
                <w:b/>
                <w:bCs/>
                <w:noProof/>
              </w:rPr>
            </w:pPr>
            <w:r w:rsidRPr="00CB1588">
              <w:rPr>
                <w:rFonts w:cs="Arial"/>
                <w:b/>
                <w:bCs/>
                <w:noProof/>
              </w:rPr>
              <w:t>VIM Percentage</w:t>
            </w:r>
          </w:p>
        </w:tc>
        <w:tc>
          <w:tcPr>
            <w:tcW w:w="1121" w:type="dxa"/>
            <w:vAlign w:val="center"/>
          </w:tcPr>
          <w:p w14:paraId="6D145F9E" w14:textId="77777777" w:rsidR="00EE38F4" w:rsidRPr="001D1C01" w:rsidRDefault="00EE38F4" w:rsidP="006A327F">
            <w:pPr>
              <w:jc w:val="right"/>
              <w:rPr>
                <w:rFonts w:cs="Arial"/>
                <w:noProof/>
              </w:rPr>
            </w:pPr>
            <w:r>
              <w:rPr>
                <w:rFonts w:cs="Arial"/>
                <w:b/>
                <w:bCs/>
                <w:noProof/>
              </w:rPr>
              <w:t xml:space="preserve">% </w:t>
            </w:r>
            <w:r w:rsidRPr="00CB1588">
              <w:rPr>
                <w:rFonts w:cs="Arial"/>
                <w:b/>
                <w:bCs/>
                <w:noProof/>
              </w:rPr>
              <w:t>Split</w:t>
            </w:r>
          </w:p>
        </w:tc>
      </w:tr>
      <w:tr w:rsidR="00EE38F4" w14:paraId="68C708C5" w14:textId="77777777" w:rsidTr="006A327F">
        <w:trPr>
          <w:trHeight w:val="278"/>
        </w:trPr>
        <w:tc>
          <w:tcPr>
            <w:tcW w:w="2972" w:type="dxa"/>
            <w:vAlign w:val="center"/>
          </w:tcPr>
          <w:p w14:paraId="74472F50" w14:textId="77777777" w:rsidR="00EE38F4" w:rsidRDefault="00EE38F4" w:rsidP="006A327F">
            <w:pPr>
              <w:rPr>
                <w:rFonts w:cs="Arial"/>
                <w:noProof/>
              </w:rPr>
            </w:pPr>
            <w:r>
              <w:rPr>
                <w:rFonts w:cs="Arial"/>
                <w:noProof/>
              </w:rPr>
              <w:t>60 percent</w:t>
            </w:r>
          </w:p>
        </w:tc>
        <w:tc>
          <w:tcPr>
            <w:tcW w:w="1134" w:type="dxa"/>
            <w:vAlign w:val="center"/>
          </w:tcPr>
          <w:p w14:paraId="69EF162F" w14:textId="4B3A0D1E" w:rsidR="00EE38F4" w:rsidRDefault="00096E2C" w:rsidP="006A327F">
            <w:pPr>
              <w:jc w:val="right"/>
              <w:rPr>
                <w:rFonts w:cs="Arial"/>
                <w:noProof/>
              </w:rPr>
            </w:pPr>
            <w:r>
              <w:rPr>
                <w:rFonts w:cs="Arial"/>
                <w:noProof/>
              </w:rPr>
              <w:t>69</w:t>
            </w:r>
            <w:r w:rsidR="00EE38F4" w:rsidRPr="001D1C01">
              <w:rPr>
                <w:rFonts w:cs="Arial"/>
                <w:noProof/>
              </w:rPr>
              <w:t>%</w:t>
            </w:r>
          </w:p>
        </w:tc>
        <w:tc>
          <w:tcPr>
            <w:tcW w:w="709" w:type="dxa"/>
            <w:tcBorders>
              <w:top w:val="nil"/>
              <w:bottom w:val="nil"/>
            </w:tcBorders>
          </w:tcPr>
          <w:p w14:paraId="1432E850" w14:textId="77777777" w:rsidR="00EE38F4" w:rsidRDefault="00EE38F4" w:rsidP="006A327F">
            <w:pPr>
              <w:rPr>
                <w:rFonts w:cs="Arial"/>
                <w:noProof/>
              </w:rPr>
            </w:pPr>
          </w:p>
        </w:tc>
        <w:tc>
          <w:tcPr>
            <w:tcW w:w="2977" w:type="dxa"/>
            <w:vAlign w:val="center"/>
          </w:tcPr>
          <w:p w14:paraId="0006F35F" w14:textId="77777777" w:rsidR="00EE38F4" w:rsidRDefault="00EE38F4" w:rsidP="006A327F">
            <w:pPr>
              <w:rPr>
                <w:rFonts w:cs="Arial"/>
                <w:noProof/>
              </w:rPr>
            </w:pPr>
            <w:r>
              <w:rPr>
                <w:rFonts w:cs="Arial"/>
                <w:noProof/>
              </w:rPr>
              <w:t>60 percent</w:t>
            </w:r>
          </w:p>
        </w:tc>
        <w:tc>
          <w:tcPr>
            <w:tcW w:w="1121" w:type="dxa"/>
            <w:vAlign w:val="center"/>
          </w:tcPr>
          <w:p w14:paraId="25B340BB" w14:textId="44DD7FFD" w:rsidR="00EE38F4" w:rsidRDefault="00EE38F4" w:rsidP="006A327F">
            <w:pPr>
              <w:jc w:val="right"/>
              <w:rPr>
                <w:rFonts w:cs="Arial"/>
                <w:noProof/>
              </w:rPr>
            </w:pPr>
            <w:r>
              <w:rPr>
                <w:rFonts w:cs="Arial"/>
                <w:noProof/>
              </w:rPr>
              <w:t>8</w:t>
            </w:r>
            <w:r w:rsidR="00096E2C">
              <w:rPr>
                <w:rFonts w:cs="Arial"/>
                <w:noProof/>
              </w:rPr>
              <w:t>3</w:t>
            </w:r>
            <w:r w:rsidRPr="001D1C01">
              <w:rPr>
                <w:rFonts w:cs="Arial"/>
                <w:noProof/>
              </w:rPr>
              <w:t>%</w:t>
            </w:r>
          </w:p>
        </w:tc>
      </w:tr>
      <w:tr w:rsidR="00EE38F4" w14:paraId="480B8E07" w14:textId="77777777" w:rsidTr="006A327F">
        <w:trPr>
          <w:trHeight w:val="278"/>
        </w:trPr>
        <w:tc>
          <w:tcPr>
            <w:tcW w:w="2972" w:type="dxa"/>
            <w:vAlign w:val="center"/>
          </w:tcPr>
          <w:p w14:paraId="36A855F1" w14:textId="77777777" w:rsidR="00EE38F4" w:rsidRPr="002819D6" w:rsidRDefault="00EE38F4" w:rsidP="006A327F">
            <w:pPr>
              <w:rPr>
                <w:rFonts w:cs="Arial"/>
                <w:noProof/>
              </w:rPr>
            </w:pPr>
            <w:r>
              <w:rPr>
                <w:rFonts w:cs="Arial"/>
                <w:noProof/>
              </w:rPr>
              <w:t>75 percent</w:t>
            </w:r>
          </w:p>
        </w:tc>
        <w:tc>
          <w:tcPr>
            <w:tcW w:w="1134" w:type="dxa"/>
            <w:vAlign w:val="center"/>
          </w:tcPr>
          <w:p w14:paraId="72F5D95C" w14:textId="2211D974" w:rsidR="00EE38F4" w:rsidRPr="001D1C01" w:rsidRDefault="00096E2C" w:rsidP="006A327F">
            <w:pPr>
              <w:jc w:val="right"/>
              <w:rPr>
                <w:rFonts w:cs="Arial"/>
                <w:noProof/>
              </w:rPr>
            </w:pPr>
            <w:r>
              <w:rPr>
                <w:rFonts w:cs="Arial"/>
                <w:noProof/>
              </w:rPr>
              <w:t>23</w:t>
            </w:r>
            <w:r w:rsidR="00EE38F4" w:rsidRPr="001D1C01">
              <w:rPr>
                <w:rFonts w:cs="Arial"/>
                <w:noProof/>
              </w:rPr>
              <w:t>%</w:t>
            </w:r>
          </w:p>
        </w:tc>
        <w:tc>
          <w:tcPr>
            <w:tcW w:w="709" w:type="dxa"/>
            <w:tcBorders>
              <w:top w:val="nil"/>
              <w:bottom w:val="nil"/>
            </w:tcBorders>
          </w:tcPr>
          <w:p w14:paraId="5CA0A451" w14:textId="77777777" w:rsidR="00EE38F4" w:rsidRDefault="00EE38F4" w:rsidP="006A327F">
            <w:pPr>
              <w:rPr>
                <w:rFonts w:cs="Arial"/>
                <w:noProof/>
              </w:rPr>
            </w:pPr>
          </w:p>
        </w:tc>
        <w:tc>
          <w:tcPr>
            <w:tcW w:w="2977" w:type="dxa"/>
            <w:vAlign w:val="center"/>
          </w:tcPr>
          <w:p w14:paraId="19CCA80C" w14:textId="77777777" w:rsidR="00EE38F4" w:rsidRPr="001D1C01" w:rsidRDefault="00EE38F4" w:rsidP="006A327F">
            <w:pPr>
              <w:rPr>
                <w:rFonts w:cs="Arial"/>
                <w:noProof/>
              </w:rPr>
            </w:pPr>
            <w:r>
              <w:rPr>
                <w:rFonts w:cs="Arial"/>
                <w:noProof/>
              </w:rPr>
              <w:t>75 percent</w:t>
            </w:r>
          </w:p>
        </w:tc>
        <w:tc>
          <w:tcPr>
            <w:tcW w:w="1121" w:type="dxa"/>
            <w:vAlign w:val="center"/>
          </w:tcPr>
          <w:p w14:paraId="5B57880F" w14:textId="5C4CC70C" w:rsidR="00EE38F4" w:rsidRPr="001D1C01" w:rsidRDefault="00EE38F4" w:rsidP="006A327F">
            <w:pPr>
              <w:jc w:val="right"/>
              <w:rPr>
                <w:rFonts w:cs="Arial"/>
                <w:noProof/>
              </w:rPr>
            </w:pPr>
            <w:r>
              <w:rPr>
                <w:rFonts w:cs="Arial"/>
                <w:noProof/>
              </w:rPr>
              <w:t>1</w:t>
            </w:r>
            <w:r w:rsidR="00096E2C">
              <w:rPr>
                <w:rFonts w:cs="Arial"/>
                <w:noProof/>
              </w:rPr>
              <w:t>7</w:t>
            </w:r>
            <w:r w:rsidRPr="001D1C01">
              <w:rPr>
                <w:rFonts w:cs="Arial"/>
                <w:noProof/>
              </w:rPr>
              <w:t>%</w:t>
            </w:r>
          </w:p>
        </w:tc>
      </w:tr>
      <w:tr w:rsidR="00EE38F4" w14:paraId="708A72AC" w14:textId="77777777" w:rsidTr="006A327F">
        <w:trPr>
          <w:trHeight w:val="278"/>
        </w:trPr>
        <w:tc>
          <w:tcPr>
            <w:tcW w:w="2972" w:type="dxa"/>
            <w:vAlign w:val="center"/>
          </w:tcPr>
          <w:p w14:paraId="7E546F91" w14:textId="77777777" w:rsidR="00EE38F4" w:rsidRPr="002819D6" w:rsidRDefault="00EE38F4" w:rsidP="006A327F">
            <w:pPr>
              <w:rPr>
                <w:rFonts w:cs="Arial"/>
                <w:noProof/>
              </w:rPr>
            </w:pPr>
            <w:r>
              <w:rPr>
                <w:rFonts w:cs="Arial"/>
                <w:noProof/>
              </w:rPr>
              <w:t>90 percent</w:t>
            </w:r>
          </w:p>
        </w:tc>
        <w:tc>
          <w:tcPr>
            <w:tcW w:w="1134" w:type="dxa"/>
            <w:vAlign w:val="center"/>
          </w:tcPr>
          <w:p w14:paraId="08490364" w14:textId="45AF8449" w:rsidR="00EE38F4" w:rsidRPr="001D1C01" w:rsidRDefault="00096E2C" w:rsidP="006A327F">
            <w:pPr>
              <w:jc w:val="right"/>
              <w:rPr>
                <w:rFonts w:cs="Arial"/>
                <w:noProof/>
              </w:rPr>
            </w:pPr>
            <w:r>
              <w:rPr>
                <w:rFonts w:cs="Arial"/>
                <w:noProof/>
              </w:rPr>
              <w:t>8</w:t>
            </w:r>
            <w:r w:rsidR="00EE38F4" w:rsidRPr="001D1C01">
              <w:rPr>
                <w:rFonts w:cs="Arial"/>
                <w:noProof/>
              </w:rPr>
              <w:t>%</w:t>
            </w:r>
          </w:p>
        </w:tc>
        <w:tc>
          <w:tcPr>
            <w:tcW w:w="709" w:type="dxa"/>
            <w:tcBorders>
              <w:top w:val="nil"/>
              <w:bottom w:val="nil"/>
            </w:tcBorders>
          </w:tcPr>
          <w:p w14:paraId="7413D496" w14:textId="77777777" w:rsidR="00EE38F4" w:rsidRDefault="00EE38F4" w:rsidP="006A327F">
            <w:pPr>
              <w:rPr>
                <w:rFonts w:cs="Arial"/>
                <w:noProof/>
              </w:rPr>
            </w:pPr>
          </w:p>
        </w:tc>
        <w:tc>
          <w:tcPr>
            <w:tcW w:w="2977" w:type="dxa"/>
            <w:vAlign w:val="center"/>
          </w:tcPr>
          <w:p w14:paraId="37CF86B6" w14:textId="77777777" w:rsidR="00EE38F4" w:rsidRPr="001D1C01" w:rsidRDefault="00EE38F4" w:rsidP="006A327F">
            <w:pPr>
              <w:rPr>
                <w:rFonts w:cs="Arial"/>
                <w:noProof/>
              </w:rPr>
            </w:pPr>
            <w:r>
              <w:rPr>
                <w:rFonts w:cs="Arial"/>
                <w:noProof/>
              </w:rPr>
              <w:t>90 percent</w:t>
            </w:r>
          </w:p>
        </w:tc>
        <w:tc>
          <w:tcPr>
            <w:tcW w:w="1121" w:type="dxa"/>
            <w:vAlign w:val="center"/>
          </w:tcPr>
          <w:p w14:paraId="2F6FD6A6" w14:textId="3BC55418" w:rsidR="00EE38F4" w:rsidRPr="001D1C01" w:rsidRDefault="00096E2C" w:rsidP="006A327F">
            <w:pPr>
              <w:jc w:val="right"/>
              <w:rPr>
                <w:rFonts w:cs="Arial"/>
                <w:noProof/>
              </w:rPr>
            </w:pPr>
            <w:r>
              <w:rPr>
                <w:rFonts w:cs="Arial"/>
                <w:noProof/>
              </w:rPr>
              <w:t>0</w:t>
            </w:r>
            <w:r w:rsidR="00EE38F4" w:rsidRPr="001D1C01">
              <w:rPr>
                <w:rFonts w:cs="Arial"/>
                <w:noProof/>
              </w:rPr>
              <w:t>%</w:t>
            </w:r>
          </w:p>
        </w:tc>
      </w:tr>
      <w:tr w:rsidR="00EE38F4" w14:paraId="7FE5DFF3" w14:textId="77777777" w:rsidTr="006A327F">
        <w:trPr>
          <w:trHeight w:val="278"/>
        </w:trPr>
        <w:tc>
          <w:tcPr>
            <w:tcW w:w="2972" w:type="dxa"/>
            <w:vAlign w:val="center"/>
          </w:tcPr>
          <w:p w14:paraId="0A5E1E8F" w14:textId="77777777" w:rsidR="00EE38F4" w:rsidRPr="00065259" w:rsidRDefault="00EE38F4" w:rsidP="006A327F">
            <w:pPr>
              <w:rPr>
                <w:rFonts w:cs="Arial"/>
                <w:b/>
                <w:bCs/>
                <w:noProof/>
              </w:rPr>
            </w:pPr>
            <w:r w:rsidRPr="00065259">
              <w:rPr>
                <w:rFonts w:cs="Arial"/>
                <w:b/>
                <w:bCs/>
                <w:noProof/>
              </w:rPr>
              <w:t>Total</w:t>
            </w:r>
          </w:p>
        </w:tc>
        <w:tc>
          <w:tcPr>
            <w:tcW w:w="1134" w:type="dxa"/>
            <w:vAlign w:val="center"/>
          </w:tcPr>
          <w:p w14:paraId="57C700FB" w14:textId="77777777" w:rsidR="00EE38F4" w:rsidRPr="00065259" w:rsidRDefault="00EE38F4" w:rsidP="006A327F">
            <w:pPr>
              <w:jc w:val="right"/>
              <w:rPr>
                <w:rFonts w:cs="Arial"/>
                <w:b/>
                <w:bCs/>
                <w:noProof/>
              </w:rPr>
            </w:pPr>
            <w:r w:rsidRPr="00065259">
              <w:rPr>
                <w:rFonts w:cs="Arial"/>
                <w:b/>
                <w:bCs/>
                <w:noProof/>
              </w:rPr>
              <w:t>100%</w:t>
            </w:r>
          </w:p>
        </w:tc>
        <w:tc>
          <w:tcPr>
            <w:tcW w:w="709" w:type="dxa"/>
            <w:tcBorders>
              <w:top w:val="nil"/>
              <w:bottom w:val="nil"/>
            </w:tcBorders>
          </w:tcPr>
          <w:p w14:paraId="087D7D65" w14:textId="77777777" w:rsidR="00EE38F4" w:rsidRDefault="00EE38F4" w:rsidP="006A327F">
            <w:pPr>
              <w:rPr>
                <w:rFonts w:cs="Arial"/>
                <w:noProof/>
              </w:rPr>
            </w:pPr>
          </w:p>
        </w:tc>
        <w:tc>
          <w:tcPr>
            <w:tcW w:w="2977" w:type="dxa"/>
            <w:vAlign w:val="center"/>
          </w:tcPr>
          <w:p w14:paraId="514047DC" w14:textId="77777777" w:rsidR="00EE38F4" w:rsidRPr="00065259" w:rsidRDefault="00EE38F4" w:rsidP="006A327F">
            <w:pPr>
              <w:rPr>
                <w:rFonts w:cs="Arial"/>
                <w:b/>
                <w:bCs/>
                <w:noProof/>
              </w:rPr>
            </w:pPr>
            <w:r w:rsidRPr="00065259">
              <w:rPr>
                <w:rFonts w:cs="Arial"/>
                <w:b/>
                <w:bCs/>
                <w:noProof/>
              </w:rPr>
              <w:t>Total</w:t>
            </w:r>
          </w:p>
        </w:tc>
        <w:tc>
          <w:tcPr>
            <w:tcW w:w="1121" w:type="dxa"/>
            <w:vAlign w:val="center"/>
          </w:tcPr>
          <w:p w14:paraId="2A11974B" w14:textId="77777777" w:rsidR="00EE38F4" w:rsidRPr="00065259" w:rsidRDefault="00EE38F4" w:rsidP="006A327F">
            <w:pPr>
              <w:jc w:val="right"/>
              <w:rPr>
                <w:rFonts w:cs="Arial"/>
                <w:b/>
                <w:bCs/>
                <w:noProof/>
              </w:rPr>
            </w:pPr>
            <w:r w:rsidRPr="00065259">
              <w:rPr>
                <w:rFonts w:cs="Arial"/>
                <w:b/>
                <w:bCs/>
                <w:noProof/>
              </w:rPr>
              <w:t>100%</w:t>
            </w:r>
          </w:p>
        </w:tc>
      </w:tr>
    </w:tbl>
    <w:p w14:paraId="30CD66F6" w14:textId="77777777" w:rsidR="00EE38F4" w:rsidRDefault="00EE38F4" w:rsidP="00EE38F4"/>
    <w:tbl>
      <w:tblPr>
        <w:tblStyle w:val="TableGrid"/>
        <w:tblW w:w="10060" w:type="dxa"/>
        <w:tblInd w:w="-142" w:type="dxa"/>
        <w:tblLook w:val="04A0" w:firstRow="1" w:lastRow="0" w:firstColumn="1" w:lastColumn="0" w:noHBand="0" w:noVBand="1"/>
      </w:tblPr>
      <w:tblGrid>
        <w:gridCol w:w="10060"/>
      </w:tblGrid>
      <w:tr w:rsidR="00EE38F4" w14:paraId="6CCA54F5" w14:textId="77777777" w:rsidTr="006A327F">
        <w:trPr>
          <w:trHeight w:val="877"/>
        </w:trPr>
        <w:tc>
          <w:tcPr>
            <w:tcW w:w="10060" w:type="dxa"/>
            <w:shd w:val="clear" w:color="auto" w:fill="D9D9D9" w:themeFill="background1" w:themeFillShade="D9"/>
          </w:tcPr>
          <w:p w14:paraId="52F3C49B" w14:textId="03F5A6A3" w:rsidR="00EE38F4" w:rsidRPr="00F22E2D" w:rsidRDefault="00EE38F4" w:rsidP="006A327F">
            <w:pPr>
              <w:jc w:val="both"/>
              <w:rPr>
                <w:rFonts w:cs="Arial"/>
                <w:noProof/>
              </w:rPr>
            </w:pPr>
            <w:r w:rsidRPr="00E851DB">
              <w:rPr>
                <w:rFonts w:cs="Arial"/>
                <w:noProof/>
              </w:rPr>
              <w:t>This quarter saw 69% of CIM orders issued at 60 percent, 23% at 75 percent and 8% at 90 percent. The preference by clients to enter into a VIM at 60 percent remains the popular option with 83% of VIM agreements entered into at 60 percent for the quarter.</w:t>
            </w:r>
          </w:p>
        </w:tc>
      </w:tr>
    </w:tbl>
    <w:p w14:paraId="292A355D" w14:textId="77777777" w:rsidR="00EE38F4" w:rsidRDefault="00EE38F4" w:rsidP="00EE38F4">
      <w:pPr>
        <w:ind w:left="-142" w:right="-425"/>
        <w:jc w:val="both"/>
        <w:rPr>
          <w:rFonts w:cs="Arial"/>
        </w:rPr>
      </w:pPr>
    </w:p>
    <w:p w14:paraId="09FA0CC0" w14:textId="5E8FE1DF" w:rsidR="00700320" w:rsidRPr="00357BEA" w:rsidRDefault="00586B89" w:rsidP="00357BEA">
      <w:pPr>
        <w:ind w:left="-142" w:right="-425"/>
        <w:jc w:val="both"/>
        <w:rPr>
          <w:rFonts w:cs="Arial"/>
        </w:rPr>
      </w:pPr>
      <w:r>
        <w:rPr>
          <w:rFonts w:cs="Arial"/>
        </w:rPr>
        <w:t xml:space="preserve">This quarter female community members </w:t>
      </w:r>
      <w:r w:rsidR="008E6B52">
        <w:rPr>
          <w:rFonts w:cs="Arial"/>
        </w:rPr>
        <w:t>accounted for the majority of CIMs with 77 percent relating to female clients</w:t>
      </w:r>
      <w:r>
        <w:rPr>
          <w:rFonts w:cs="Arial"/>
        </w:rPr>
        <w:t>. Again</w:t>
      </w:r>
      <w:r w:rsidR="00A526A0">
        <w:rPr>
          <w:rFonts w:cs="Arial"/>
        </w:rPr>
        <w:t>,</w:t>
      </w:r>
      <w:r>
        <w:rPr>
          <w:rFonts w:cs="Arial"/>
        </w:rPr>
        <w:t xml:space="preserve"> n</w:t>
      </w:r>
      <w:r w:rsidR="005A3730" w:rsidRPr="004B7415">
        <w:rPr>
          <w:rFonts w:cs="Arial"/>
        </w:rPr>
        <w:t>o community member older than 65 years was conditionally income managed by the FRC during the quarter.</w:t>
      </w:r>
    </w:p>
    <w:p w14:paraId="047CED0F" w14:textId="77777777" w:rsidR="00700320" w:rsidRPr="00C87697" w:rsidRDefault="00700320" w:rsidP="00700320">
      <w:pPr>
        <w:ind w:left="-142" w:right="-425"/>
        <w:jc w:val="both"/>
        <w:rPr>
          <w:rFonts w:cs="Arial"/>
          <w:highlight w:val="yellow"/>
        </w:rPr>
      </w:pPr>
    </w:p>
    <w:p w14:paraId="5026F836" w14:textId="1B31138B" w:rsidR="00700320" w:rsidRPr="000B1E56" w:rsidRDefault="00586B89" w:rsidP="00700320">
      <w:pPr>
        <w:ind w:left="-142" w:right="-425"/>
        <w:jc w:val="both"/>
        <w:rPr>
          <w:rFonts w:cs="Arial"/>
        </w:rPr>
      </w:pPr>
      <w:r>
        <w:rPr>
          <w:rFonts w:cs="Arial"/>
        </w:rPr>
        <w:t>T</w:t>
      </w:r>
      <w:r w:rsidR="009D31EC" w:rsidRPr="000B1E56">
        <w:rPr>
          <w:rFonts w:cs="Arial"/>
        </w:rPr>
        <w:t>he majority of community members voluntarily participating in voluntary income management</w:t>
      </w:r>
      <w:r w:rsidR="00DE66D7" w:rsidRPr="000B1E56">
        <w:rPr>
          <w:rFonts w:cs="Arial"/>
        </w:rPr>
        <w:t xml:space="preserve"> </w:t>
      </w:r>
      <w:r w:rsidR="00164DEC">
        <w:rPr>
          <w:rFonts w:cs="Arial"/>
        </w:rPr>
        <w:t xml:space="preserve">this quarter </w:t>
      </w:r>
      <w:r w:rsidR="00A526A0">
        <w:rPr>
          <w:rFonts w:cs="Arial"/>
        </w:rPr>
        <w:t>were f</w:t>
      </w:r>
      <w:r w:rsidR="000B1E56" w:rsidRPr="000B1E56">
        <w:rPr>
          <w:rFonts w:cs="Arial"/>
        </w:rPr>
        <w:t xml:space="preserve">rom the </w:t>
      </w:r>
      <w:r>
        <w:rPr>
          <w:rFonts w:cs="Arial"/>
        </w:rPr>
        <w:t>26</w:t>
      </w:r>
      <w:r w:rsidR="009D31EC" w:rsidRPr="000B1E56">
        <w:rPr>
          <w:rFonts w:cs="Arial"/>
        </w:rPr>
        <w:t xml:space="preserve"> to </w:t>
      </w:r>
      <w:r>
        <w:rPr>
          <w:rFonts w:cs="Arial"/>
        </w:rPr>
        <w:t>3</w:t>
      </w:r>
      <w:r w:rsidR="00347B60" w:rsidRPr="000B1E56">
        <w:rPr>
          <w:rFonts w:cs="Arial"/>
        </w:rPr>
        <w:t>5</w:t>
      </w:r>
      <w:r w:rsidR="00A526A0">
        <w:rPr>
          <w:rFonts w:cs="Arial"/>
        </w:rPr>
        <w:t>-</w:t>
      </w:r>
      <w:r w:rsidR="009D31EC" w:rsidRPr="000B1E56">
        <w:rPr>
          <w:rFonts w:cs="Arial"/>
        </w:rPr>
        <w:t>year age group</w:t>
      </w:r>
      <w:r w:rsidR="005A3730" w:rsidRPr="000B1E56">
        <w:rPr>
          <w:rFonts w:cs="Arial"/>
        </w:rPr>
        <w:t>.</w:t>
      </w:r>
      <w:r w:rsidR="00FF351C" w:rsidRPr="000B1E56">
        <w:rPr>
          <w:rFonts w:cs="Arial"/>
        </w:rPr>
        <w:t xml:space="preserve"> </w:t>
      </w:r>
      <w:r w:rsidR="005A3730" w:rsidRPr="000B1E56">
        <w:rPr>
          <w:rFonts w:cs="Arial"/>
        </w:rPr>
        <w:t>F</w:t>
      </w:r>
      <w:r w:rsidR="00FF351C" w:rsidRPr="000B1E56">
        <w:rPr>
          <w:rFonts w:cs="Arial"/>
        </w:rPr>
        <w:t>emales account</w:t>
      </w:r>
      <w:r w:rsidR="00A526A0">
        <w:rPr>
          <w:rFonts w:cs="Arial"/>
        </w:rPr>
        <w:t>ed</w:t>
      </w:r>
      <w:r w:rsidR="00FF351C" w:rsidRPr="000B1E56">
        <w:rPr>
          <w:rFonts w:cs="Arial"/>
        </w:rPr>
        <w:t xml:space="preserve"> for </w:t>
      </w:r>
      <w:r w:rsidR="008E6B52">
        <w:rPr>
          <w:rFonts w:cs="Arial"/>
        </w:rPr>
        <w:t>67</w:t>
      </w:r>
      <w:r w:rsidR="008E6B52" w:rsidRPr="000B1E56">
        <w:rPr>
          <w:rFonts w:cs="Arial"/>
        </w:rPr>
        <w:t xml:space="preserve"> </w:t>
      </w:r>
      <w:r w:rsidR="00FF351C" w:rsidRPr="000B1E56">
        <w:rPr>
          <w:rFonts w:cs="Arial"/>
        </w:rPr>
        <w:t xml:space="preserve">percent of </w:t>
      </w:r>
      <w:r w:rsidR="00166D38" w:rsidRPr="000B1E56">
        <w:rPr>
          <w:rFonts w:cs="Arial"/>
        </w:rPr>
        <w:t xml:space="preserve">the </w:t>
      </w:r>
      <w:r w:rsidR="0042231A" w:rsidRPr="000B1E56">
        <w:rPr>
          <w:rFonts w:cs="Arial"/>
        </w:rPr>
        <w:t>VIMs. Over</w:t>
      </w:r>
      <w:r w:rsidR="00FF351C" w:rsidRPr="000B1E56">
        <w:rPr>
          <w:rFonts w:cs="Arial"/>
        </w:rPr>
        <w:t xml:space="preserve">all </w:t>
      </w:r>
      <w:r w:rsidR="0042231A" w:rsidRPr="000B1E56">
        <w:rPr>
          <w:rFonts w:cs="Arial"/>
        </w:rPr>
        <w:t xml:space="preserve">females accounted for </w:t>
      </w:r>
      <w:r w:rsidR="008E6B52">
        <w:rPr>
          <w:rFonts w:cs="Arial"/>
        </w:rPr>
        <w:t>70</w:t>
      </w:r>
      <w:r w:rsidR="008E6B52" w:rsidRPr="000B1E56">
        <w:rPr>
          <w:rFonts w:cs="Arial"/>
        </w:rPr>
        <w:t xml:space="preserve"> </w:t>
      </w:r>
      <w:r w:rsidR="0042231A" w:rsidRPr="000B1E56">
        <w:rPr>
          <w:rFonts w:cs="Arial"/>
        </w:rPr>
        <w:t xml:space="preserve">percent of all </w:t>
      </w:r>
      <w:r w:rsidR="00FF351C" w:rsidRPr="000B1E56">
        <w:rPr>
          <w:rFonts w:cs="Arial"/>
        </w:rPr>
        <w:t>CDCs</w:t>
      </w:r>
      <w:r w:rsidR="005A3730" w:rsidRPr="000B1E56">
        <w:rPr>
          <w:rFonts w:cs="Arial"/>
        </w:rPr>
        <w:t xml:space="preserve"> (voluntary and conditional)</w:t>
      </w:r>
      <w:r w:rsidR="0042231A" w:rsidRPr="000B1E56">
        <w:rPr>
          <w:rFonts w:cs="Arial"/>
        </w:rPr>
        <w:t xml:space="preserve"> </w:t>
      </w:r>
      <w:r w:rsidR="009122F0" w:rsidRPr="000B1E56">
        <w:rPr>
          <w:rFonts w:cs="Arial"/>
        </w:rPr>
        <w:t>in</w:t>
      </w:r>
      <w:r w:rsidR="0042231A" w:rsidRPr="000B1E56">
        <w:rPr>
          <w:rFonts w:cs="Arial"/>
        </w:rPr>
        <w:t xml:space="preserve"> quarter </w:t>
      </w:r>
      <w:r w:rsidR="000F408B">
        <w:rPr>
          <w:rFonts w:cs="Arial"/>
        </w:rPr>
        <w:t>57</w:t>
      </w:r>
      <w:r w:rsidR="009D31EC" w:rsidRPr="000B1E56">
        <w:rPr>
          <w:rFonts w:cs="Arial"/>
        </w:rPr>
        <w:t>.</w:t>
      </w:r>
    </w:p>
    <w:p w14:paraId="4A3BF326" w14:textId="77777777" w:rsidR="00700320" w:rsidRPr="00C87697" w:rsidRDefault="00700320" w:rsidP="00700320">
      <w:pPr>
        <w:ind w:left="-142" w:right="-425"/>
        <w:jc w:val="both"/>
        <w:rPr>
          <w:rFonts w:cs="Arial"/>
          <w:highlight w:val="yellow"/>
        </w:rPr>
      </w:pPr>
    </w:p>
    <w:p w14:paraId="5C28C434" w14:textId="4F9B2638" w:rsidR="009D31EC" w:rsidRDefault="009D31EC" w:rsidP="00700320">
      <w:pPr>
        <w:ind w:left="-142" w:right="-425"/>
        <w:jc w:val="both"/>
        <w:rPr>
          <w:rFonts w:cs="Arial"/>
        </w:rPr>
      </w:pPr>
      <w:r w:rsidRPr="00132A72">
        <w:rPr>
          <w:rFonts w:cs="Arial"/>
        </w:rPr>
        <w:t xml:space="preserve">Reasons for applying for the CDC were primarily to </w:t>
      </w:r>
      <w:r w:rsidR="00132A72" w:rsidRPr="00132A72">
        <w:rPr>
          <w:rFonts w:cs="Arial"/>
        </w:rPr>
        <w:t>pay bills (</w:t>
      </w:r>
      <w:r w:rsidR="008E6B52">
        <w:rPr>
          <w:rFonts w:cs="Arial"/>
        </w:rPr>
        <w:t>63</w:t>
      </w:r>
      <w:r w:rsidR="008E6B52" w:rsidRPr="00132A72">
        <w:rPr>
          <w:rFonts w:cs="Arial"/>
        </w:rPr>
        <w:t xml:space="preserve"> </w:t>
      </w:r>
      <w:r w:rsidR="00132A72" w:rsidRPr="00132A72">
        <w:rPr>
          <w:rFonts w:cs="Arial"/>
        </w:rPr>
        <w:t xml:space="preserve">percent), to </w:t>
      </w:r>
      <w:r w:rsidRPr="00132A72">
        <w:rPr>
          <w:rFonts w:cs="Arial"/>
        </w:rPr>
        <w:t>buy food</w:t>
      </w:r>
      <w:r w:rsidR="00C06F76" w:rsidRPr="00132A72">
        <w:rPr>
          <w:rFonts w:cs="Arial"/>
        </w:rPr>
        <w:t xml:space="preserve"> (</w:t>
      </w:r>
      <w:r w:rsidR="00066A58">
        <w:rPr>
          <w:rFonts w:cs="Arial"/>
        </w:rPr>
        <w:t>5</w:t>
      </w:r>
      <w:r w:rsidR="008E6B52">
        <w:rPr>
          <w:rFonts w:cs="Arial"/>
        </w:rPr>
        <w:t>7</w:t>
      </w:r>
      <w:r w:rsidR="00066A58" w:rsidRPr="00132A72">
        <w:rPr>
          <w:rFonts w:cs="Arial"/>
        </w:rPr>
        <w:t xml:space="preserve"> </w:t>
      </w:r>
      <w:r w:rsidR="00C06F76" w:rsidRPr="00132A72">
        <w:rPr>
          <w:rFonts w:cs="Arial"/>
        </w:rPr>
        <w:t>percent)</w:t>
      </w:r>
      <w:r w:rsidR="0094130D" w:rsidRPr="00132A72">
        <w:rPr>
          <w:rFonts w:cs="Arial"/>
        </w:rPr>
        <w:t>,</w:t>
      </w:r>
      <w:r w:rsidRPr="00132A72">
        <w:rPr>
          <w:rFonts w:cs="Arial"/>
        </w:rPr>
        <w:t xml:space="preserve"> </w:t>
      </w:r>
      <w:r w:rsidR="00132A72" w:rsidRPr="00132A72">
        <w:rPr>
          <w:rFonts w:cs="Arial"/>
        </w:rPr>
        <w:t>to budget (</w:t>
      </w:r>
      <w:r w:rsidR="008E6B52">
        <w:rPr>
          <w:rFonts w:cs="Arial"/>
        </w:rPr>
        <w:t>47</w:t>
      </w:r>
      <w:r w:rsidR="00132A72" w:rsidRPr="00132A72">
        <w:rPr>
          <w:rFonts w:cs="Arial"/>
        </w:rPr>
        <w:t xml:space="preserve"> percent)</w:t>
      </w:r>
      <w:r w:rsidR="00066A58">
        <w:rPr>
          <w:rFonts w:cs="Arial"/>
        </w:rPr>
        <w:t xml:space="preserve"> and </w:t>
      </w:r>
      <w:r w:rsidR="00066A58" w:rsidRPr="00132A72">
        <w:rPr>
          <w:rFonts w:cs="Arial"/>
        </w:rPr>
        <w:t>to save for something they needed (</w:t>
      </w:r>
      <w:r w:rsidR="008E6B52">
        <w:rPr>
          <w:rFonts w:cs="Arial"/>
        </w:rPr>
        <w:t>40</w:t>
      </w:r>
      <w:r w:rsidR="00066A58" w:rsidRPr="00132A72">
        <w:rPr>
          <w:rFonts w:cs="Arial"/>
        </w:rPr>
        <w:t xml:space="preserve"> percent)</w:t>
      </w:r>
      <w:r w:rsidRPr="00132A72">
        <w:rPr>
          <w:rFonts w:cs="Arial"/>
        </w:rPr>
        <w:t xml:space="preserve">. </w:t>
      </w:r>
      <w:r w:rsidR="00F966ED" w:rsidRPr="00132A72">
        <w:rPr>
          <w:rFonts w:cs="Arial"/>
        </w:rPr>
        <w:t>Circumstances given by voluntary income management participants when applying for the CDC were primarily to support themselves (</w:t>
      </w:r>
      <w:r w:rsidR="008E6B52">
        <w:rPr>
          <w:rFonts w:cs="Arial"/>
        </w:rPr>
        <w:t>67</w:t>
      </w:r>
      <w:r w:rsidR="008E6B52" w:rsidRPr="00132A72">
        <w:rPr>
          <w:rFonts w:cs="Arial"/>
        </w:rPr>
        <w:t xml:space="preserve"> </w:t>
      </w:r>
      <w:r w:rsidR="00F966ED" w:rsidRPr="00132A72">
        <w:rPr>
          <w:rFonts w:cs="Arial"/>
        </w:rPr>
        <w:t>percent)</w:t>
      </w:r>
      <w:r w:rsidR="00132A72" w:rsidRPr="00132A72">
        <w:rPr>
          <w:rFonts w:cs="Arial"/>
        </w:rPr>
        <w:t xml:space="preserve">, </w:t>
      </w:r>
      <w:r w:rsidR="00EC0BE6">
        <w:rPr>
          <w:rFonts w:cs="Arial"/>
        </w:rPr>
        <w:t>they</w:t>
      </w:r>
      <w:r w:rsidR="00132A72" w:rsidRPr="00132A72">
        <w:rPr>
          <w:rFonts w:cs="Arial"/>
        </w:rPr>
        <w:t xml:space="preserve"> like</w:t>
      </w:r>
      <w:r w:rsidR="00EC0BE6">
        <w:rPr>
          <w:rFonts w:cs="Arial"/>
        </w:rPr>
        <w:t>d</w:t>
      </w:r>
      <w:r w:rsidR="00132A72" w:rsidRPr="00132A72">
        <w:rPr>
          <w:rFonts w:cs="Arial"/>
        </w:rPr>
        <w:t xml:space="preserve"> the Cashless Debit Card (</w:t>
      </w:r>
      <w:r w:rsidR="008E6B52">
        <w:rPr>
          <w:rFonts w:cs="Arial"/>
        </w:rPr>
        <w:t>43</w:t>
      </w:r>
      <w:r w:rsidR="008E6B52" w:rsidRPr="00132A72">
        <w:rPr>
          <w:rFonts w:cs="Arial"/>
        </w:rPr>
        <w:t xml:space="preserve"> </w:t>
      </w:r>
      <w:r w:rsidR="00132A72" w:rsidRPr="00132A72">
        <w:rPr>
          <w:rFonts w:cs="Arial"/>
        </w:rPr>
        <w:t xml:space="preserve">percent) and </w:t>
      </w:r>
      <w:r w:rsidR="00EC0BE6">
        <w:rPr>
          <w:rFonts w:cs="Arial"/>
        </w:rPr>
        <w:t>they</w:t>
      </w:r>
      <w:r w:rsidR="00132A72" w:rsidRPr="00132A72">
        <w:rPr>
          <w:rFonts w:cs="Arial"/>
        </w:rPr>
        <w:t xml:space="preserve"> need</w:t>
      </w:r>
      <w:r w:rsidR="00EC0BE6">
        <w:rPr>
          <w:rFonts w:cs="Arial"/>
        </w:rPr>
        <w:t>ed</w:t>
      </w:r>
      <w:r w:rsidR="00132A72" w:rsidRPr="00132A72">
        <w:rPr>
          <w:rFonts w:cs="Arial"/>
        </w:rPr>
        <w:t xml:space="preserve"> to support </w:t>
      </w:r>
      <w:r w:rsidR="00EC0BE6">
        <w:rPr>
          <w:rFonts w:cs="Arial"/>
        </w:rPr>
        <w:lastRenderedPageBreak/>
        <w:t>their</w:t>
      </w:r>
      <w:r w:rsidR="00132A72" w:rsidRPr="00132A72">
        <w:rPr>
          <w:rFonts w:cs="Arial"/>
        </w:rPr>
        <w:t xml:space="preserve"> family (</w:t>
      </w:r>
      <w:r w:rsidR="008E6B52">
        <w:rPr>
          <w:rFonts w:cs="Arial"/>
        </w:rPr>
        <w:t>30</w:t>
      </w:r>
      <w:r w:rsidR="008E6B52" w:rsidRPr="00132A72">
        <w:rPr>
          <w:rFonts w:cs="Arial"/>
        </w:rPr>
        <w:t xml:space="preserve"> </w:t>
      </w:r>
      <w:r w:rsidR="00132A72" w:rsidRPr="00132A72">
        <w:rPr>
          <w:rFonts w:cs="Arial"/>
        </w:rPr>
        <w:t>percent)</w:t>
      </w:r>
      <w:r w:rsidR="00F966ED" w:rsidRPr="00132A72">
        <w:rPr>
          <w:rFonts w:cs="Arial"/>
        </w:rPr>
        <w:t xml:space="preserve">. </w:t>
      </w:r>
      <w:r w:rsidR="00AC37B0" w:rsidRPr="00132A72">
        <w:rPr>
          <w:rFonts w:cs="Arial"/>
        </w:rPr>
        <w:t>Please note</w:t>
      </w:r>
      <w:r w:rsidR="00F12673" w:rsidRPr="00132A72">
        <w:rPr>
          <w:rFonts w:cs="Arial"/>
        </w:rPr>
        <w:t>,</w:t>
      </w:r>
      <w:r w:rsidR="00AC37B0" w:rsidRPr="00132A72">
        <w:rPr>
          <w:rFonts w:cs="Arial"/>
        </w:rPr>
        <w:t xml:space="preserve"> a client may choose one or more options to reflect their individual reasons </w:t>
      </w:r>
      <w:r w:rsidR="00CD64F4" w:rsidRPr="00132A72">
        <w:rPr>
          <w:rFonts w:cs="Arial"/>
        </w:rPr>
        <w:t xml:space="preserve">and circumstances </w:t>
      </w:r>
      <w:r w:rsidR="00764182" w:rsidRPr="00132A72">
        <w:rPr>
          <w:rFonts w:cs="Arial"/>
        </w:rPr>
        <w:t>for participating in voluntary income management</w:t>
      </w:r>
      <w:r w:rsidR="00AC37B0" w:rsidRPr="00132A72">
        <w:rPr>
          <w:rFonts w:cs="Arial"/>
        </w:rPr>
        <w:t>.</w:t>
      </w:r>
    </w:p>
    <w:p w14:paraId="22E0C429" w14:textId="77777777" w:rsidR="006A31D8" w:rsidRDefault="006A31D8" w:rsidP="006A31D8">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6A31D8" w14:paraId="7B579C67" w14:textId="77777777" w:rsidTr="006A327F">
        <w:trPr>
          <w:trHeight w:val="278"/>
        </w:trPr>
        <w:tc>
          <w:tcPr>
            <w:tcW w:w="4390" w:type="dxa"/>
            <w:gridSpan w:val="4"/>
          </w:tcPr>
          <w:p w14:paraId="23D2106B" w14:textId="60D5A5A2" w:rsidR="006A31D8" w:rsidRDefault="006A31D8" w:rsidP="006A327F">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25</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Pr>
                <w:rFonts w:cs="Arial"/>
                <w:noProof/>
                <w:sz w:val="16"/>
                <w:szCs w:val="16"/>
              </w:rPr>
              <w:br/>
            </w:r>
            <w:r w:rsidRPr="00523A30">
              <w:rPr>
                <w:rFonts w:cs="Arial"/>
                <w:noProof/>
                <w:sz w:val="16"/>
                <w:szCs w:val="16"/>
              </w:rPr>
              <w:t xml:space="preserve">1 </w:t>
            </w:r>
            <w:r>
              <w:rPr>
                <w:rFonts w:cs="Arial"/>
                <w:noProof/>
                <w:sz w:val="16"/>
                <w:szCs w:val="16"/>
              </w:rPr>
              <w:t>July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September </w:t>
            </w:r>
            <w:r w:rsidRPr="00523A30">
              <w:rPr>
                <w:rFonts w:cs="Arial"/>
                <w:noProof/>
                <w:sz w:val="16"/>
                <w:szCs w:val="16"/>
              </w:rPr>
              <w:t>202</w:t>
            </w:r>
            <w:r>
              <w:rPr>
                <w:rFonts w:cs="Arial"/>
                <w:noProof/>
                <w:sz w:val="16"/>
                <w:szCs w:val="16"/>
              </w:rPr>
              <w:t>2</w:t>
            </w:r>
          </w:p>
        </w:tc>
        <w:tc>
          <w:tcPr>
            <w:tcW w:w="567" w:type="dxa"/>
            <w:tcBorders>
              <w:top w:val="nil"/>
              <w:bottom w:val="nil"/>
            </w:tcBorders>
          </w:tcPr>
          <w:p w14:paraId="4CCCA333" w14:textId="77777777" w:rsidR="006A31D8" w:rsidRDefault="006A31D8" w:rsidP="006A327F">
            <w:pPr>
              <w:rPr>
                <w:rFonts w:cs="Arial"/>
                <w:b/>
                <w:bCs/>
                <w:noProof/>
                <w:sz w:val="16"/>
                <w:szCs w:val="16"/>
              </w:rPr>
            </w:pPr>
          </w:p>
        </w:tc>
        <w:tc>
          <w:tcPr>
            <w:tcW w:w="4394" w:type="dxa"/>
            <w:gridSpan w:val="4"/>
          </w:tcPr>
          <w:p w14:paraId="619DBC8F" w14:textId="72343DA6" w:rsidR="006A31D8" w:rsidRDefault="006A31D8" w:rsidP="006A327F">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Pr>
                <w:rFonts w:cs="Arial"/>
                <w:noProof/>
                <w:sz w:val="16"/>
                <w:szCs w:val="16"/>
              </w:rPr>
              <w:br/>
            </w:r>
            <w:r w:rsidRPr="00523A30">
              <w:rPr>
                <w:rFonts w:cs="Arial"/>
                <w:noProof/>
                <w:sz w:val="16"/>
                <w:szCs w:val="16"/>
              </w:rPr>
              <w:t xml:space="preserve">1 </w:t>
            </w:r>
            <w:r>
              <w:rPr>
                <w:rFonts w:cs="Arial"/>
                <w:noProof/>
                <w:sz w:val="16"/>
                <w:szCs w:val="16"/>
              </w:rPr>
              <w:t>July</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September </w:t>
            </w:r>
            <w:r w:rsidRPr="00523A30">
              <w:rPr>
                <w:rFonts w:cs="Arial"/>
                <w:noProof/>
                <w:sz w:val="16"/>
                <w:szCs w:val="16"/>
              </w:rPr>
              <w:t>202</w:t>
            </w:r>
            <w:r>
              <w:rPr>
                <w:rFonts w:cs="Arial"/>
                <w:noProof/>
                <w:sz w:val="16"/>
                <w:szCs w:val="16"/>
              </w:rPr>
              <w:t>2</w:t>
            </w:r>
          </w:p>
        </w:tc>
      </w:tr>
      <w:tr w:rsidR="006A31D8" w14:paraId="288B9F02" w14:textId="77777777" w:rsidTr="006A327F">
        <w:trPr>
          <w:trHeight w:val="278"/>
        </w:trPr>
        <w:tc>
          <w:tcPr>
            <w:tcW w:w="1418" w:type="dxa"/>
            <w:vAlign w:val="center"/>
          </w:tcPr>
          <w:p w14:paraId="6B180F2E" w14:textId="77777777" w:rsidR="006A31D8" w:rsidRPr="002F3F87" w:rsidRDefault="006A31D8" w:rsidP="006A327F">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150B49FB" w14:textId="77777777" w:rsidR="006A31D8" w:rsidRPr="002F3F87" w:rsidRDefault="006A31D8" w:rsidP="006A327F">
            <w:pPr>
              <w:jc w:val="center"/>
              <w:rPr>
                <w:rFonts w:cs="Arial"/>
                <w:b/>
                <w:bCs/>
                <w:noProof/>
              </w:rPr>
            </w:pPr>
            <w:r w:rsidRPr="002F3F87">
              <w:rPr>
                <w:rFonts w:cs="Arial"/>
                <w:b/>
                <w:bCs/>
                <w:noProof/>
              </w:rPr>
              <w:t>Male</w:t>
            </w:r>
          </w:p>
        </w:tc>
        <w:tc>
          <w:tcPr>
            <w:tcW w:w="1134" w:type="dxa"/>
            <w:vAlign w:val="center"/>
          </w:tcPr>
          <w:p w14:paraId="6D21D5CF" w14:textId="77777777" w:rsidR="006A31D8" w:rsidRPr="002F3F87" w:rsidRDefault="006A31D8" w:rsidP="006A327F">
            <w:pPr>
              <w:jc w:val="center"/>
              <w:rPr>
                <w:rFonts w:cs="Arial"/>
                <w:b/>
                <w:bCs/>
                <w:noProof/>
              </w:rPr>
            </w:pPr>
            <w:r w:rsidRPr="002F3F87">
              <w:rPr>
                <w:rFonts w:cs="Arial"/>
                <w:b/>
                <w:bCs/>
                <w:noProof/>
              </w:rPr>
              <w:t>Female</w:t>
            </w:r>
          </w:p>
        </w:tc>
        <w:tc>
          <w:tcPr>
            <w:tcW w:w="851" w:type="dxa"/>
          </w:tcPr>
          <w:p w14:paraId="461445CF" w14:textId="77777777" w:rsidR="006A31D8" w:rsidRPr="002F3F87" w:rsidRDefault="006A31D8" w:rsidP="006A327F">
            <w:pPr>
              <w:jc w:val="center"/>
              <w:rPr>
                <w:rFonts w:cs="Arial"/>
                <w:b/>
                <w:bCs/>
                <w:noProof/>
              </w:rPr>
            </w:pPr>
            <w:r>
              <w:rPr>
                <w:rFonts w:cs="Arial"/>
                <w:b/>
                <w:bCs/>
                <w:noProof/>
              </w:rPr>
              <w:t>Total</w:t>
            </w:r>
          </w:p>
        </w:tc>
        <w:tc>
          <w:tcPr>
            <w:tcW w:w="567" w:type="dxa"/>
            <w:tcBorders>
              <w:top w:val="nil"/>
              <w:bottom w:val="nil"/>
            </w:tcBorders>
          </w:tcPr>
          <w:p w14:paraId="12C6E75A" w14:textId="77777777" w:rsidR="006A31D8" w:rsidRPr="002F3F87" w:rsidRDefault="006A31D8" w:rsidP="006A327F">
            <w:pPr>
              <w:rPr>
                <w:rFonts w:cs="Arial"/>
                <w:b/>
                <w:bCs/>
                <w:noProof/>
              </w:rPr>
            </w:pPr>
          </w:p>
        </w:tc>
        <w:tc>
          <w:tcPr>
            <w:tcW w:w="1417" w:type="dxa"/>
            <w:vAlign w:val="center"/>
          </w:tcPr>
          <w:p w14:paraId="73A6104E" w14:textId="77777777" w:rsidR="006A31D8" w:rsidRPr="002F3F87" w:rsidRDefault="006A31D8" w:rsidP="006A327F">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4CC6B69" w14:textId="77777777" w:rsidR="006A31D8" w:rsidRPr="002F3F87" w:rsidRDefault="006A31D8" w:rsidP="006A327F">
            <w:pPr>
              <w:jc w:val="center"/>
              <w:rPr>
                <w:rFonts w:cs="Arial"/>
                <w:b/>
                <w:bCs/>
                <w:noProof/>
              </w:rPr>
            </w:pPr>
            <w:r w:rsidRPr="002F3F87">
              <w:rPr>
                <w:rFonts w:cs="Arial"/>
                <w:b/>
                <w:bCs/>
                <w:noProof/>
              </w:rPr>
              <w:t>Male</w:t>
            </w:r>
          </w:p>
        </w:tc>
        <w:tc>
          <w:tcPr>
            <w:tcW w:w="1134" w:type="dxa"/>
            <w:vAlign w:val="center"/>
          </w:tcPr>
          <w:p w14:paraId="71416459" w14:textId="77777777" w:rsidR="006A31D8" w:rsidRPr="002F3F87" w:rsidRDefault="006A31D8" w:rsidP="006A327F">
            <w:pPr>
              <w:jc w:val="center"/>
              <w:rPr>
                <w:rFonts w:cs="Arial"/>
                <w:b/>
                <w:bCs/>
                <w:noProof/>
              </w:rPr>
            </w:pPr>
            <w:r w:rsidRPr="002F3F87">
              <w:rPr>
                <w:rFonts w:cs="Arial"/>
                <w:b/>
                <w:bCs/>
                <w:noProof/>
              </w:rPr>
              <w:t>Female</w:t>
            </w:r>
          </w:p>
        </w:tc>
        <w:tc>
          <w:tcPr>
            <w:tcW w:w="851" w:type="dxa"/>
          </w:tcPr>
          <w:p w14:paraId="74B395ED" w14:textId="77777777" w:rsidR="006A31D8" w:rsidRPr="002F3F87" w:rsidRDefault="006A31D8" w:rsidP="006A327F">
            <w:pPr>
              <w:jc w:val="center"/>
              <w:rPr>
                <w:rFonts w:cs="Arial"/>
                <w:b/>
                <w:bCs/>
                <w:noProof/>
              </w:rPr>
            </w:pPr>
            <w:r>
              <w:rPr>
                <w:rFonts w:cs="Arial"/>
                <w:b/>
                <w:bCs/>
                <w:noProof/>
              </w:rPr>
              <w:t>Total</w:t>
            </w:r>
          </w:p>
        </w:tc>
      </w:tr>
      <w:tr w:rsidR="006A31D8" w14:paraId="4707C970" w14:textId="77777777" w:rsidTr="006A327F">
        <w:trPr>
          <w:trHeight w:val="278"/>
        </w:trPr>
        <w:tc>
          <w:tcPr>
            <w:tcW w:w="1418" w:type="dxa"/>
            <w:vAlign w:val="center"/>
          </w:tcPr>
          <w:p w14:paraId="0F5FD796" w14:textId="77777777" w:rsidR="006A31D8" w:rsidRPr="002819D6" w:rsidRDefault="006A31D8" w:rsidP="006A327F">
            <w:pPr>
              <w:rPr>
                <w:rFonts w:cs="Arial"/>
                <w:noProof/>
              </w:rPr>
            </w:pPr>
            <w:r>
              <w:rPr>
                <w:rFonts w:cs="Arial"/>
                <w:noProof/>
              </w:rPr>
              <w:t>18-25</w:t>
            </w:r>
          </w:p>
        </w:tc>
        <w:tc>
          <w:tcPr>
            <w:tcW w:w="987" w:type="dxa"/>
            <w:vAlign w:val="center"/>
          </w:tcPr>
          <w:p w14:paraId="6ADE5062" w14:textId="5627EED9" w:rsidR="006A31D8" w:rsidRPr="001D1C01" w:rsidRDefault="006A31D8" w:rsidP="006A327F">
            <w:pPr>
              <w:jc w:val="right"/>
              <w:rPr>
                <w:rFonts w:cs="Arial"/>
                <w:noProof/>
              </w:rPr>
            </w:pPr>
            <w:r>
              <w:rPr>
                <w:rFonts w:cs="Arial"/>
                <w:noProof/>
              </w:rPr>
              <w:t>2</w:t>
            </w:r>
          </w:p>
        </w:tc>
        <w:tc>
          <w:tcPr>
            <w:tcW w:w="1134" w:type="dxa"/>
            <w:vAlign w:val="center"/>
          </w:tcPr>
          <w:p w14:paraId="6DBEB6F6" w14:textId="68FEB825" w:rsidR="006A31D8" w:rsidRPr="001D1C01" w:rsidRDefault="006A31D8" w:rsidP="006A327F">
            <w:pPr>
              <w:jc w:val="right"/>
              <w:rPr>
                <w:rFonts w:cs="Arial"/>
                <w:noProof/>
              </w:rPr>
            </w:pPr>
            <w:r>
              <w:rPr>
                <w:rFonts w:cs="Arial"/>
                <w:noProof/>
              </w:rPr>
              <w:t>3</w:t>
            </w:r>
          </w:p>
        </w:tc>
        <w:tc>
          <w:tcPr>
            <w:tcW w:w="851" w:type="dxa"/>
          </w:tcPr>
          <w:p w14:paraId="487DE2D8" w14:textId="4059A299" w:rsidR="006A31D8" w:rsidRPr="006B597B" w:rsidRDefault="006A31D8" w:rsidP="006A327F">
            <w:pPr>
              <w:jc w:val="right"/>
              <w:rPr>
                <w:rFonts w:cs="Arial"/>
                <w:b/>
                <w:bCs/>
                <w:noProof/>
              </w:rPr>
            </w:pPr>
            <w:r>
              <w:rPr>
                <w:rFonts w:cs="Arial"/>
                <w:b/>
                <w:bCs/>
                <w:noProof/>
              </w:rPr>
              <w:t>5</w:t>
            </w:r>
          </w:p>
        </w:tc>
        <w:tc>
          <w:tcPr>
            <w:tcW w:w="567" w:type="dxa"/>
            <w:tcBorders>
              <w:top w:val="nil"/>
              <w:bottom w:val="nil"/>
            </w:tcBorders>
          </w:tcPr>
          <w:p w14:paraId="20744C77" w14:textId="77777777" w:rsidR="006A31D8" w:rsidRDefault="006A31D8" w:rsidP="006A327F">
            <w:pPr>
              <w:rPr>
                <w:rFonts w:cs="Arial"/>
                <w:noProof/>
              </w:rPr>
            </w:pPr>
          </w:p>
        </w:tc>
        <w:tc>
          <w:tcPr>
            <w:tcW w:w="1417" w:type="dxa"/>
            <w:vAlign w:val="center"/>
          </w:tcPr>
          <w:p w14:paraId="28A63C76" w14:textId="77777777" w:rsidR="006A31D8" w:rsidRPr="001D1C01" w:rsidRDefault="006A31D8" w:rsidP="006A327F">
            <w:pPr>
              <w:rPr>
                <w:rFonts w:cs="Arial"/>
                <w:noProof/>
              </w:rPr>
            </w:pPr>
            <w:r>
              <w:rPr>
                <w:rFonts w:cs="Arial"/>
                <w:noProof/>
              </w:rPr>
              <w:t>18-25</w:t>
            </w:r>
          </w:p>
        </w:tc>
        <w:tc>
          <w:tcPr>
            <w:tcW w:w="992" w:type="dxa"/>
            <w:vAlign w:val="center"/>
          </w:tcPr>
          <w:p w14:paraId="0C6A3C6F" w14:textId="750F9061" w:rsidR="006A31D8" w:rsidRPr="001D1C01" w:rsidRDefault="006A31D8" w:rsidP="006A327F">
            <w:pPr>
              <w:jc w:val="right"/>
              <w:rPr>
                <w:rFonts w:cs="Arial"/>
                <w:noProof/>
              </w:rPr>
            </w:pPr>
            <w:r>
              <w:rPr>
                <w:rFonts w:cs="Arial"/>
                <w:noProof/>
              </w:rPr>
              <w:t>1</w:t>
            </w:r>
          </w:p>
        </w:tc>
        <w:tc>
          <w:tcPr>
            <w:tcW w:w="1134" w:type="dxa"/>
            <w:vAlign w:val="center"/>
          </w:tcPr>
          <w:p w14:paraId="629D1F53" w14:textId="77777777" w:rsidR="006A31D8" w:rsidRPr="001D1C01" w:rsidRDefault="006A31D8" w:rsidP="006A327F">
            <w:pPr>
              <w:jc w:val="right"/>
              <w:rPr>
                <w:rFonts w:cs="Arial"/>
                <w:noProof/>
              </w:rPr>
            </w:pPr>
            <w:r>
              <w:rPr>
                <w:rFonts w:cs="Arial"/>
                <w:noProof/>
              </w:rPr>
              <w:t>1</w:t>
            </w:r>
          </w:p>
        </w:tc>
        <w:tc>
          <w:tcPr>
            <w:tcW w:w="851" w:type="dxa"/>
          </w:tcPr>
          <w:p w14:paraId="40C7AB6A" w14:textId="61ABEDD5" w:rsidR="006A31D8" w:rsidRPr="006B597B" w:rsidRDefault="006A31D8" w:rsidP="006A327F">
            <w:pPr>
              <w:jc w:val="right"/>
              <w:rPr>
                <w:rFonts w:cs="Arial"/>
                <w:b/>
                <w:bCs/>
                <w:noProof/>
              </w:rPr>
            </w:pPr>
            <w:r>
              <w:rPr>
                <w:rFonts w:cs="Arial"/>
                <w:b/>
                <w:bCs/>
                <w:noProof/>
              </w:rPr>
              <w:t>2</w:t>
            </w:r>
          </w:p>
        </w:tc>
      </w:tr>
      <w:tr w:rsidR="006A31D8" w14:paraId="2BDB8F0A" w14:textId="77777777" w:rsidTr="006A327F">
        <w:trPr>
          <w:trHeight w:val="278"/>
        </w:trPr>
        <w:tc>
          <w:tcPr>
            <w:tcW w:w="1418" w:type="dxa"/>
            <w:vAlign w:val="center"/>
          </w:tcPr>
          <w:p w14:paraId="10C7B5EA" w14:textId="77777777" w:rsidR="006A31D8" w:rsidRPr="002819D6" w:rsidRDefault="006A31D8" w:rsidP="006A327F">
            <w:pPr>
              <w:rPr>
                <w:rFonts w:cs="Arial"/>
                <w:noProof/>
              </w:rPr>
            </w:pPr>
            <w:r>
              <w:rPr>
                <w:rFonts w:cs="Arial"/>
                <w:noProof/>
              </w:rPr>
              <w:t>26-35</w:t>
            </w:r>
          </w:p>
        </w:tc>
        <w:tc>
          <w:tcPr>
            <w:tcW w:w="987" w:type="dxa"/>
            <w:vAlign w:val="center"/>
          </w:tcPr>
          <w:p w14:paraId="589A9EE2" w14:textId="7563793E" w:rsidR="006A31D8" w:rsidRPr="001D1C01" w:rsidRDefault="006A31D8" w:rsidP="006A327F">
            <w:pPr>
              <w:jc w:val="right"/>
              <w:rPr>
                <w:rFonts w:cs="Arial"/>
                <w:noProof/>
              </w:rPr>
            </w:pPr>
            <w:r>
              <w:rPr>
                <w:rFonts w:cs="Arial"/>
                <w:noProof/>
              </w:rPr>
              <w:t>0</w:t>
            </w:r>
          </w:p>
        </w:tc>
        <w:tc>
          <w:tcPr>
            <w:tcW w:w="1134" w:type="dxa"/>
            <w:vAlign w:val="center"/>
          </w:tcPr>
          <w:p w14:paraId="3ECE2BE1" w14:textId="083F77EB" w:rsidR="006A31D8" w:rsidRPr="001D1C01" w:rsidRDefault="006A31D8" w:rsidP="006A327F">
            <w:pPr>
              <w:jc w:val="right"/>
              <w:rPr>
                <w:rFonts w:cs="Arial"/>
                <w:noProof/>
              </w:rPr>
            </w:pPr>
            <w:r>
              <w:rPr>
                <w:rFonts w:cs="Arial"/>
                <w:noProof/>
              </w:rPr>
              <w:t>1</w:t>
            </w:r>
          </w:p>
        </w:tc>
        <w:tc>
          <w:tcPr>
            <w:tcW w:w="851" w:type="dxa"/>
          </w:tcPr>
          <w:p w14:paraId="0676202C" w14:textId="3409BE23" w:rsidR="006A31D8" w:rsidRPr="006B597B" w:rsidRDefault="006A31D8" w:rsidP="006A327F">
            <w:pPr>
              <w:jc w:val="right"/>
              <w:rPr>
                <w:rFonts w:cs="Arial"/>
                <w:b/>
                <w:bCs/>
                <w:noProof/>
              </w:rPr>
            </w:pPr>
            <w:r>
              <w:rPr>
                <w:rFonts w:cs="Arial"/>
                <w:b/>
                <w:bCs/>
                <w:noProof/>
              </w:rPr>
              <w:t>1</w:t>
            </w:r>
          </w:p>
        </w:tc>
        <w:tc>
          <w:tcPr>
            <w:tcW w:w="567" w:type="dxa"/>
            <w:tcBorders>
              <w:top w:val="nil"/>
              <w:bottom w:val="nil"/>
            </w:tcBorders>
          </w:tcPr>
          <w:p w14:paraId="7CBCEBC2" w14:textId="77777777" w:rsidR="006A31D8" w:rsidRDefault="006A31D8" w:rsidP="006A327F">
            <w:pPr>
              <w:rPr>
                <w:rFonts w:cs="Arial"/>
                <w:noProof/>
              </w:rPr>
            </w:pPr>
          </w:p>
        </w:tc>
        <w:tc>
          <w:tcPr>
            <w:tcW w:w="1417" w:type="dxa"/>
            <w:vAlign w:val="center"/>
          </w:tcPr>
          <w:p w14:paraId="76AD5F05" w14:textId="77777777" w:rsidR="006A31D8" w:rsidRPr="001D1C01" w:rsidRDefault="006A31D8" w:rsidP="006A327F">
            <w:pPr>
              <w:rPr>
                <w:rFonts w:cs="Arial"/>
                <w:noProof/>
              </w:rPr>
            </w:pPr>
            <w:r>
              <w:rPr>
                <w:rFonts w:cs="Arial"/>
                <w:noProof/>
              </w:rPr>
              <w:t>26-35</w:t>
            </w:r>
          </w:p>
        </w:tc>
        <w:tc>
          <w:tcPr>
            <w:tcW w:w="992" w:type="dxa"/>
            <w:vAlign w:val="center"/>
          </w:tcPr>
          <w:p w14:paraId="7423323B" w14:textId="1310BF0D" w:rsidR="006A31D8" w:rsidRPr="001D1C01" w:rsidRDefault="006A31D8" w:rsidP="006A327F">
            <w:pPr>
              <w:jc w:val="right"/>
              <w:rPr>
                <w:rFonts w:cs="Arial"/>
                <w:noProof/>
              </w:rPr>
            </w:pPr>
            <w:r>
              <w:rPr>
                <w:rFonts w:cs="Arial"/>
                <w:noProof/>
              </w:rPr>
              <w:t>4</w:t>
            </w:r>
          </w:p>
        </w:tc>
        <w:tc>
          <w:tcPr>
            <w:tcW w:w="1134" w:type="dxa"/>
            <w:vAlign w:val="center"/>
          </w:tcPr>
          <w:p w14:paraId="054B0589" w14:textId="71C6801C" w:rsidR="006A31D8" w:rsidRPr="001D1C01" w:rsidRDefault="006A31D8" w:rsidP="006A327F">
            <w:pPr>
              <w:jc w:val="right"/>
              <w:rPr>
                <w:rFonts w:cs="Arial"/>
                <w:noProof/>
              </w:rPr>
            </w:pPr>
            <w:r>
              <w:rPr>
                <w:rFonts w:cs="Arial"/>
                <w:noProof/>
              </w:rPr>
              <w:t>8</w:t>
            </w:r>
          </w:p>
        </w:tc>
        <w:tc>
          <w:tcPr>
            <w:tcW w:w="851" w:type="dxa"/>
          </w:tcPr>
          <w:p w14:paraId="2A20153D" w14:textId="0CF03E30" w:rsidR="006A31D8" w:rsidRPr="006B597B" w:rsidRDefault="006A31D8" w:rsidP="006A327F">
            <w:pPr>
              <w:jc w:val="right"/>
              <w:rPr>
                <w:rFonts w:cs="Arial"/>
                <w:b/>
                <w:bCs/>
                <w:noProof/>
              </w:rPr>
            </w:pPr>
            <w:r>
              <w:rPr>
                <w:rFonts w:cs="Arial"/>
                <w:b/>
                <w:bCs/>
                <w:noProof/>
              </w:rPr>
              <w:t>12</w:t>
            </w:r>
          </w:p>
        </w:tc>
      </w:tr>
      <w:tr w:rsidR="006A31D8" w14:paraId="1BEB7388" w14:textId="77777777" w:rsidTr="006A327F">
        <w:trPr>
          <w:trHeight w:val="278"/>
        </w:trPr>
        <w:tc>
          <w:tcPr>
            <w:tcW w:w="1418" w:type="dxa"/>
            <w:vAlign w:val="center"/>
          </w:tcPr>
          <w:p w14:paraId="210B5038" w14:textId="77777777" w:rsidR="006A31D8" w:rsidRPr="002819D6" w:rsidRDefault="006A31D8" w:rsidP="006A327F">
            <w:pPr>
              <w:rPr>
                <w:rFonts w:cs="Arial"/>
                <w:noProof/>
              </w:rPr>
            </w:pPr>
            <w:r>
              <w:rPr>
                <w:rFonts w:cs="Arial"/>
                <w:noProof/>
              </w:rPr>
              <w:t>36-45</w:t>
            </w:r>
          </w:p>
        </w:tc>
        <w:tc>
          <w:tcPr>
            <w:tcW w:w="987" w:type="dxa"/>
            <w:vAlign w:val="center"/>
          </w:tcPr>
          <w:p w14:paraId="4A11492A" w14:textId="6DF7AD5A" w:rsidR="006A31D8" w:rsidRPr="001D1C01" w:rsidRDefault="006A31D8" w:rsidP="006A327F">
            <w:pPr>
              <w:jc w:val="right"/>
              <w:rPr>
                <w:rFonts w:cs="Arial"/>
                <w:noProof/>
              </w:rPr>
            </w:pPr>
            <w:r>
              <w:rPr>
                <w:rFonts w:cs="Arial"/>
                <w:noProof/>
              </w:rPr>
              <w:t>1</w:t>
            </w:r>
          </w:p>
        </w:tc>
        <w:tc>
          <w:tcPr>
            <w:tcW w:w="1134" w:type="dxa"/>
            <w:vAlign w:val="center"/>
          </w:tcPr>
          <w:p w14:paraId="14309B6A" w14:textId="25AB7E38" w:rsidR="006A31D8" w:rsidRPr="001D1C01" w:rsidRDefault="006A31D8" w:rsidP="006A327F">
            <w:pPr>
              <w:jc w:val="right"/>
              <w:rPr>
                <w:rFonts w:cs="Arial"/>
                <w:noProof/>
              </w:rPr>
            </w:pPr>
            <w:r>
              <w:rPr>
                <w:rFonts w:cs="Arial"/>
                <w:noProof/>
              </w:rPr>
              <w:t>2</w:t>
            </w:r>
          </w:p>
        </w:tc>
        <w:tc>
          <w:tcPr>
            <w:tcW w:w="851" w:type="dxa"/>
          </w:tcPr>
          <w:p w14:paraId="27C6EC1B" w14:textId="4904C3C2" w:rsidR="006A31D8" w:rsidRPr="006B597B" w:rsidRDefault="006A31D8" w:rsidP="006A327F">
            <w:pPr>
              <w:jc w:val="right"/>
              <w:rPr>
                <w:rFonts w:cs="Arial"/>
                <w:b/>
                <w:bCs/>
                <w:noProof/>
              </w:rPr>
            </w:pPr>
            <w:r>
              <w:rPr>
                <w:rFonts w:cs="Arial"/>
                <w:b/>
                <w:bCs/>
                <w:noProof/>
              </w:rPr>
              <w:t>3</w:t>
            </w:r>
          </w:p>
        </w:tc>
        <w:tc>
          <w:tcPr>
            <w:tcW w:w="567" w:type="dxa"/>
            <w:tcBorders>
              <w:top w:val="nil"/>
              <w:bottom w:val="nil"/>
            </w:tcBorders>
          </w:tcPr>
          <w:p w14:paraId="155C7CF0" w14:textId="77777777" w:rsidR="006A31D8" w:rsidRDefault="006A31D8" w:rsidP="006A327F">
            <w:pPr>
              <w:rPr>
                <w:rFonts w:cs="Arial"/>
                <w:noProof/>
              </w:rPr>
            </w:pPr>
          </w:p>
        </w:tc>
        <w:tc>
          <w:tcPr>
            <w:tcW w:w="1417" w:type="dxa"/>
            <w:vAlign w:val="center"/>
          </w:tcPr>
          <w:p w14:paraId="1831AE59" w14:textId="77777777" w:rsidR="006A31D8" w:rsidRPr="001D1C01" w:rsidRDefault="006A31D8" w:rsidP="006A327F">
            <w:pPr>
              <w:rPr>
                <w:rFonts w:cs="Arial"/>
                <w:noProof/>
              </w:rPr>
            </w:pPr>
            <w:r>
              <w:rPr>
                <w:rFonts w:cs="Arial"/>
                <w:noProof/>
              </w:rPr>
              <w:t>36-45</w:t>
            </w:r>
          </w:p>
        </w:tc>
        <w:tc>
          <w:tcPr>
            <w:tcW w:w="992" w:type="dxa"/>
            <w:vAlign w:val="center"/>
          </w:tcPr>
          <w:p w14:paraId="44FA57C9" w14:textId="2D522890" w:rsidR="006A31D8" w:rsidRPr="001D1C01" w:rsidRDefault="006A31D8" w:rsidP="006A327F">
            <w:pPr>
              <w:jc w:val="right"/>
              <w:rPr>
                <w:rFonts w:cs="Arial"/>
                <w:noProof/>
              </w:rPr>
            </w:pPr>
            <w:r>
              <w:rPr>
                <w:rFonts w:cs="Arial"/>
                <w:noProof/>
              </w:rPr>
              <w:t>0</w:t>
            </w:r>
          </w:p>
        </w:tc>
        <w:tc>
          <w:tcPr>
            <w:tcW w:w="1134" w:type="dxa"/>
            <w:vAlign w:val="center"/>
          </w:tcPr>
          <w:p w14:paraId="5306907C" w14:textId="2368BC17" w:rsidR="006A31D8" w:rsidRPr="001D1C01" w:rsidRDefault="006A31D8" w:rsidP="006A327F">
            <w:pPr>
              <w:jc w:val="right"/>
              <w:rPr>
                <w:rFonts w:cs="Arial"/>
                <w:noProof/>
              </w:rPr>
            </w:pPr>
            <w:r>
              <w:rPr>
                <w:rFonts w:cs="Arial"/>
                <w:noProof/>
              </w:rPr>
              <w:t>6</w:t>
            </w:r>
          </w:p>
        </w:tc>
        <w:tc>
          <w:tcPr>
            <w:tcW w:w="851" w:type="dxa"/>
          </w:tcPr>
          <w:p w14:paraId="3DE1D66A" w14:textId="3BC8F072" w:rsidR="006A31D8" w:rsidRPr="006B597B" w:rsidRDefault="006A31D8" w:rsidP="006A327F">
            <w:pPr>
              <w:jc w:val="right"/>
              <w:rPr>
                <w:rFonts w:cs="Arial"/>
                <w:b/>
                <w:bCs/>
                <w:noProof/>
              </w:rPr>
            </w:pPr>
            <w:r>
              <w:rPr>
                <w:rFonts w:cs="Arial"/>
                <w:b/>
                <w:bCs/>
                <w:noProof/>
              </w:rPr>
              <w:t>6</w:t>
            </w:r>
          </w:p>
        </w:tc>
      </w:tr>
      <w:tr w:rsidR="006A31D8" w14:paraId="250710F0" w14:textId="77777777" w:rsidTr="006A327F">
        <w:trPr>
          <w:trHeight w:val="278"/>
        </w:trPr>
        <w:tc>
          <w:tcPr>
            <w:tcW w:w="1418" w:type="dxa"/>
            <w:vAlign w:val="center"/>
          </w:tcPr>
          <w:p w14:paraId="32BBE5C6" w14:textId="77777777" w:rsidR="006A31D8" w:rsidRDefault="006A31D8" w:rsidP="006A327F">
            <w:pPr>
              <w:rPr>
                <w:rFonts w:cs="Arial"/>
                <w:noProof/>
              </w:rPr>
            </w:pPr>
            <w:r>
              <w:rPr>
                <w:rFonts w:cs="Arial"/>
                <w:noProof/>
              </w:rPr>
              <w:t>46-55</w:t>
            </w:r>
          </w:p>
        </w:tc>
        <w:tc>
          <w:tcPr>
            <w:tcW w:w="987" w:type="dxa"/>
            <w:vAlign w:val="center"/>
          </w:tcPr>
          <w:p w14:paraId="6D6AADB3" w14:textId="06CAFAB7" w:rsidR="006A31D8" w:rsidRPr="001D1C01" w:rsidRDefault="006A31D8" w:rsidP="006A327F">
            <w:pPr>
              <w:jc w:val="right"/>
              <w:rPr>
                <w:rFonts w:cs="Arial"/>
                <w:noProof/>
              </w:rPr>
            </w:pPr>
            <w:r>
              <w:rPr>
                <w:rFonts w:cs="Arial"/>
                <w:noProof/>
              </w:rPr>
              <w:t>0</w:t>
            </w:r>
          </w:p>
        </w:tc>
        <w:tc>
          <w:tcPr>
            <w:tcW w:w="1134" w:type="dxa"/>
            <w:vAlign w:val="center"/>
          </w:tcPr>
          <w:p w14:paraId="3096A4E3" w14:textId="2409ED46" w:rsidR="006A31D8" w:rsidRPr="001D1C01" w:rsidRDefault="006A31D8" w:rsidP="006A327F">
            <w:pPr>
              <w:jc w:val="right"/>
              <w:rPr>
                <w:rFonts w:cs="Arial"/>
                <w:noProof/>
              </w:rPr>
            </w:pPr>
            <w:r>
              <w:rPr>
                <w:rFonts w:cs="Arial"/>
                <w:noProof/>
              </w:rPr>
              <w:t>4</w:t>
            </w:r>
          </w:p>
        </w:tc>
        <w:tc>
          <w:tcPr>
            <w:tcW w:w="851" w:type="dxa"/>
          </w:tcPr>
          <w:p w14:paraId="1E4071DB" w14:textId="5688BA90" w:rsidR="006A31D8" w:rsidRPr="006B597B" w:rsidRDefault="006A31D8" w:rsidP="006A327F">
            <w:pPr>
              <w:jc w:val="right"/>
              <w:rPr>
                <w:rFonts w:cs="Arial"/>
                <w:b/>
                <w:bCs/>
                <w:noProof/>
              </w:rPr>
            </w:pPr>
            <w:r>
              <w:rPr>
                <w:rFonts w:cs="Arial"/>
                <w:b/>
                <w:bCs/>
                <w:noProof/>
              </w:rPr>
              <w:t>4</w:t>
            </w:r>
          </w:p>
        </w:tc>
        <w:tc>
          <w:tcPr>
            <w:tcW w:w="567" w:type="dxa"/>
            <w:tcBorders>
              <w:top w:val="nil"/>
              <w:bottom w:val="nil"/>
            </w:tcBorders>
          </w:tcPr>
          <w:p w14:paraId="295CACC9" w14:textId="77777777" w:rsidR="006A31D8" w:rsidRDefault="006A31D8" w:rsidP="006A327F">
            <w:pPr>
              <w:rPr>
                <w:rFonts w:cs="Arial"/>
                <w:noProof/>
              </w:rPr>
            </w:pPr>
          </w:p>
        </w:tc>
        <w:tc>
          <w:tcPr>
            <w:tcW w:w="1417" w:type="dxa"/>
            <w:vAlign w:val="center"/>
          </w:tcPr>
          <w:p w14:paraId="635D66C5" w14:textId="77777777" w:rsidR="006A31D8" w:rsidRPr="001D1C01" w:rsidRDefault="006A31D8" w:rsidP="006A327F">
            <w:pPr>
              <w:rPr>
                <w:rFonts w:cs="Arial"/>
                <w:noProof/>
              </w:rPr>
            </w:pPr>
            <w:r>
              <w:rPr>
                <w:rFonts w:cs="Arial"/>
                <w:noProof/>
              </w:rPr>
              <w:t>46-55</w:t>
            </w:r>
          </w:p>
        </w:tc>
        <w:tc>
          <w:tcPr>
            <w:tcW w:w="992" w:type="dxa"/>
            <w:vAlign w:val="center"/>
          </w:tcPr>
          <w:p w14:paraId="113C85E9" w14:textId="77777777" w:rsidR="006A31D8" w:rsidRDefault="006A31D8" w:rsidP="006A327F">
            <w:pPr>
              <w:jc w:val="right"/>
              <w:rPr>
                <w:rFonts w:cs="Arial"/>
                <w:noProof/>
              </w:rPr>
            </w:pPr>
            <w:r>
              <w:rPr>
                <w:rFonts w:cs="Arial"/>
                <w:noProof/>
              </w:rPr>
              <w:t>1</w:t>
            </w:r>
          </w:p>
        </w:tc>
        <w:tc>
          <w:tcPr>
            <w:tcW w:w="1134" w:type="dxa"/>
            <w:vAlign w:val="center"/>
          </w:tcPr>
          <w:p w14:paraId="59E9F62A" w14:textId="3EC6E4E9" w:rsidR="006A31D8" w:rsidRDefault="006A31D8" w:rsidP="006A327F">
            <w:pPr>
              <w:jc w:val="right"/>
              <w:rPr>
                <w:rFonts w:cs="Arial"/>
                <w:noProof/>
              </w:rPr>
            </w:pPr>
            <w:r>
              <w:rPr>
                <w:rFonts w:cs="Arial"/>
                <w:noProof/>
              </w:rPr>
              <w:t>1</w:t>
            </w:r>
          </w:p>
        </w:tc>
        <w:tc>
          <w:tcPr>
            <w:tcW w:w="851" w:type="dxa"/>
          </w:tcPr>
          <w:p w14:paraId="7F957DC6" w14:textId="4BEF82AC" w:rsidR="006A31D8" w:rsidRPr="006B597B" w:rsidRDefault="006A31D8" w:rsidP="006A327F">
            <w:pPr>
              <w:jc w:val="right"/>
              <w:rPr>
                <w:rFonts w:cs="Arial"/>
                <w:b/>
                <w:bCs/>
                <w:noProof/>
              </w:rPr>
            </w:pPr>
            <w:r>
              <w:rPr>
                <w:rFonts w:cs="Arial"/>
                <w:b/>
                <w:bCs/>
                <w:noProof/>
              </w:rPr>
              <w:t>2</w:t>
            </w:r>
          </w:p>
        </w:tc>
      </w:tr>
      <w:tr w:rsidR="006A31D8" w14:paraId="2B7F5012" w14:textId="77777777" w:rsidTr="006A327F">
        <w:trPr>
          <w:trHeight w:val="278"/>
        </w:trPr>
        <w:tc>
          <w:tcPr>
            <w:tcW w:w="1418" w:type="dxa"/>
            <w:vAlign w:val="center"/>
          </w:tcPr>
          <w:p w14:paraId="1B219258" w14:textId="77777777" w:rsidR="006A31D8" w:rsidRDefault="006A31D8" w:rsidP="006A327F">
            <w:pPr>
              <w:rPr>
                <w:rFonts w:cs="Arial"/>
                <w:noProof/>
              </w:rPr>
            </w:pPr>
            <w:r>
              <w:rPr>
                <w:rFonts w:cs="Arial"/>
                <w:noProof/>
              </w:rPr>
              <w:t>56-65</w:t>
            </w:r>
          </w:p>
        </w:tc>
        <w:tc>
          <w:tcPr>
            <w:tcW w:w="987" w:type="dxa"/>
            <w:vAlign w:val="center"/>
          </w:tcPr>
          <w:p w14:paraId="71F7F48F" w14:textId="77777777" w:rsidR="006A31D8" w:rsidRPr="001D1C01" w:rsidRDefault="006A31D8" w:rsidP="006A327F">
            <w:pPr>
              <w:jc w:val="right"/>
              <w:rPr>
                <w:rFonts w:cs="Arial"/>
                <w:noProof/>
              </w:rPr>
            </w:pPr>
            <w:r>
              <w:rPr>
                <w:rFonts w:cs="Arial"/>
                <w:noProof/>
              </w:rPr>
              <w:t>0</w:t>
            </w:r>
          </w:p>
        </w:tc>
        <w:tc>
          <w:tcPr>
            <w:tcW w:w="1134" w:type="dxa"/>
            <w:vAlign w:val="center"/>
          </w:tcPr>
          <w:p w14:paraId="506E13CD" w14:textId="77777777" w:rsidR="006A31D8" w:rsidRPr="001D1C01" w:rsidRDefault="006A31D8" w:rsidP="006A327F">
            <w:pPr>
              <w:jc w:val="right"/>
              <w:rPr>
                <w:rFonts w:cs="Arial"/>
                <w:noProof/>
              </w:rPr>
            </w:pPr>
            <w:r>
              <w:rPr>
                <w:rFonts w:cs="Arial"/>
                <w:noProof/>
              </w:rPr>
              <w:t>0</w:t>
            </w:r>
          </w:p>
        </w:tc>
        <w:tc>
          <w:tcPr>
            <w:tcW w:w="851" w:type="dxa"/>
          </w:tcPr>
          <w:p w14:paraId="29FA7112" w14:textId="77777777" w:rsidR="006A31D8" w:rsidRPr="006B597B" w:rsidRDefault="006A31D8" w:rsidP="006A327F">
            <w:pPr>
              <w:jc w:val="right"/>
              <w:rPr>
                <w:rFonts w:cs="Arial"/>
                <w:b/>
                <w:bCs/>
                <w:noProof/>
              </w:rPr>
            </w:pPr>
            <w:r>
              <w:rPr>
                <w:rFonts w:cs="Arial"/>
                <w:b/>
                <w:bCs/>
                <w:noProof/>
              </w:rPr>
              <w:t>0</w:t>
            </w:r>
          </w:p>
        </w:tc>
        <w:tc>
          <w:tcPr>
            <w:tcW w:w="567" w:type="dxa"/>
            <w:tcBorders>
              <w:top w:val="nil"/>
              <w:bottom w:val="nil"/>
            </w:tcBorders>
          </w:tcPr>
          <w:p w14:paraId="07D091F7" w14:textId="77777777" w:rsidR="006A31D8" w:rsidRDefault="006A31D8" w:rsidP="006A327F">
            <w:pPr>
              <w:rPr>
                <w:rFonts w:cs="Arial"/>
                <w:noProof/>
              </w:rPr>
            </w:pPr>
          </w:p>
        </w:tc>
        <w:tc>
          <w:tcPr>
            <w:tcW w:w="1417" w:type="dxa"/>
            <w:vAlign w:val="center"/>
          </w:tcPr>
          <w:p w14:paraId="677C5CB6" w14:textId="77777777" w:rsidR="006A31D8" w:rsidRPr="001D1C01" w:rsidRDefault="006A31D8" w:rsidP="006A327F">
            <w:pPr>
              <w:rPr>
                <w:rFonts w:cs="Arial"/>
                <w:noProof/>
              </w:rPr>
            </w:pPr>
            <w:r>
              <w:rPr>
                <w:rFonts w:cs="Arial"/>
                <w:noProof/>
              </w:rPr>
              <w:t>56-65</w:t>
            </w:r>
          </w:p>
        </w:tc>
        <w:tc>
          <w:tcPr>
            <w:tcW w:w="992" w:type="dxa"/>
            <w:vAlign w:val="center"/>
          </w:tcPr>
          <w:p w14:paraId="28FDA3DC" w14:textId="528B7452" w:rsidR="006A31D8" w:rsidRDefault="006A31D8" w:rsidP="006A327F">
            <w:pPr>
              <w:jc w:val="right"/>
              <w:rPr>
                <w:rFonts w:cs="Arial"/>
                <w:noProof/>
              </w:rPr>
            </w:pPr>
            <w:r>
              <w:rPr>
                <w:rFonts w:cs="Arial"/>
                <w:noProof/>
              </w:rPr>
              <w:t>2</w:t>
            </w:r>
          </w:p>
        </w:tc>
        <w:tc>
          <w:tcPr>
            <w:tcW w:w="1134" w:type="dxa"/>
            <w:vAlign w:val="center"/>
          </w:tcPr>
          <w:p w14:paraId="2583FE6C" w14:textId="7D786A38" w:rsidR="006A31D8" w:rsidRDefault="006A31D8" w:rsidP="006A327F">
            <w:pPr>
              <w:jc w:val="right"/>
              <w:rPr>
                <w:rFonts w:cs="Arial"/>
                <w:noProof/>
              </w:rPr>
            </w:pPr>
            <w:r>
              <w:rPr>
                <w:rFonts w:cs="Arial"/>
                <w:noProof/>
              </w:rPr>
              <w:t>1</w:t>
            </w:r>
          </w:p>
        </w:tc>
        <w:tc>
          <w:tcPr>
            <w:tcW w:w="851" w:type="dxa"/>
          </w:tcPr>
          <w:p w14:paraId="53C4445C" w14:textId="77777777" w:rsidR="006A31D8" w:rsidRPr="006B597B" w:rsidRDefault="006A31D8" w:rsidP="006A327F">
            <w:pPr>
              <w:jc w:val="right"/>
              <w:rPr>
                <w:rFonts w:cs="Arial"/>
                <w:b/>
                <w:bCs/>
                <w:noProof/>
              </w:rPr>
            </w:pPr>
            <w:r>
              <w:rPr>
                <w:rFonts w:cs="Arial"/>
                <w:b/>
                <w:bCs/>
                <w:noProof/>
              </w:rPr>
              <w:t>3</w:t>
            </w:r>
          </w:p>
        </w:tc>
      </w:tr>
      <w:tr w:rsidR="006A31D8" w14:paraId="4BE5FA86" w14:textId="77777777" w:rsidTr="006A327F">
        <w:trPr>
          <w:trHeight w:val="278"/>
        </w:trPr>
        <w:tc>
          <w:tcPr>
            <w:tcW w:w="1418" w:type="dxa"/>
            <w:vAlign w:val="center"/>
          </w:tcPr>
          <w:p w14:paraId="4E2F836D" w14:textId="77777777" w:rsidR="006A31D8" w:rsidRDefault="006A31D8" w:rsidP="006A327F">
            <w:pPr>
              <w:rPr>
                <w:rFonts w:cs="Arial"/>
                <w:noProof/>
              </w:rPr>
            </w:pPr>
            <w:r>
              <w:rPr>
                <w:rFonts w:cs="Arial"/>
                <w:noProof/>
              </w:rPr>
              <w:t>66-75</w:t>
            </w:r>
          </w:p>
        </w:tc>
        <w:tc>
          <w:tcPr>
            <w:tcW w:w="987" w:type="dxa"/>
            <w:vAlign w:val="center"/>
          </w:tcPr>
          <w:p w14:paraId="0FD1D1FB" w14:textId="77777777" w:rsidR="006A31D8" w:rsidRPr="001D1C01" w:rsidRDefault="006A31D8" w:rsidP="006A327F">
            <w:pPr>
              <w:jc w:val="right"/>
              <w:rPr>
                <w:rFonts w:cs="Arial"/>
                <w:noProof/>
              </w:rPr>
            </w:pPr>
            <w:r>
              <w:rPr>
                <w:rFonts w:cs="Arial"/>
                <w:noProof/>
              </w:rPr>
              <w:t>0</w:t>
            </w:r>
          </w:p>
        </w:tc>
        <w:tc>
          <w:tcPr>
            <w:tcW w:w="1134" w:type="dxa"/>
            <w:vAlign w:val="center"/>
          </w:tcPr>
          <w:p w14:paraId="7F713471" w14:textId="77777777" w:rsidR="006A31D8" w:rsidRPr="001D1C01" w:rsidRDefault="006A31D8" w:rsidP="006A327F">
            <w:pPr>
              <w:jc w:val="right"/>
              <w:rPr>
                <w:rFonts w:cs="Arial"/>
                <w:noProof/>
              </w:rPr>
            </w:pPr>
            <w:r>
              <w:rPr>
                <w:rFonts w:cs="Arial"/>
                <w:noProof/>
              </w:rPr>
              <w:t>0</w:t>
            </w:r>
          </w:p>
        </w:tc>
        <w:tc>
          <w:tcPr>
            <w:tcW w:w="851" w:type="dxa"/>
          </w:tcPr>
          <w:p w14:paraId="34F5BDF9" w14:textId="77777777" w:rsidR="006A31D8" w:rsidRPr="006B597B" w:rsidRDefault="006A31D8" w:rsidP="006A327F">
            <w:pPr>
              <w:jc w:val="right"/>
              <w:rPr>
                <w:rFonts w:cs="Arial"/>
                <w:b/>
                <w:bCs/>
                <w:noProof/>
              </w:rPr>
            </w:pPr>
            <w:r w:rsidRPr="006B597B">
              <w:rPr>
                <w:rFonts w:cs="Arial"/>
                <w:b/>
                <w:bCs/>
                <w:noProof/>
              </w:rPr>
              <w:t>0</w:t>
            </w:r>
          </w:p>
        </w:tc>
        <w:tc>
          <w:tcPr>
            <w:tcW w:w="567" w:type="dxa"/>
            <w:tcBorders>
              <w:top w:val="nil"/>
              <w:bottom w:val="nil"/>
            </w:tcBorders>
          </w:tcPr>
          <w:p w14:paraId="5285DB16" w14:textId="77777777" w:rsidR="006A31D8" w:rsidRDefault="006A31D8" w:rsidP="006A327F">
            <w:pPr>
              <w:rPr>
                <w:rFonts w:cs="Arial"/>
                <w:noProof/>
              </w:rPr>
            </w:pPr>
          </w:p>
        </w:tc>
        <w:tc>
          <w:tcPr>
            <w:tcW w:w="1417" w:type="dxa"/>
            <w:vAlign w:val="center"/>
          </w:tcPr>
          <w:p w14:paraId="7432CED4" w14:textId="77777777" w:rsidR="006A31D8" w:rsidRPr="001D1C01" w:rsidRDefault="006A31D8" w:rsidP="006A327F">
            <w:pPr>
              <w:rPr>
                <w:rFonts w:cs="Arial"/>
                <w:noProof/>
              </w:rPr>
            </w:pPr>
            <w:r>
              <w:rPr>
                <w:rFonts w:cs="Arial"/>
                <w:noProof/>
              </w:rPr>
              <w:t>66-75</w:t>
            </w:r>
          </w:p>
        </w:tc>
        <w:tc>
          <w:tcPr>
            <w:tcW w:w="992" w:type="dxa"/>
            <w:vAlign w:val="center"/>
          </w:tcPr>
          <w:p w14:paraId="5C35942C" w14:textId="78ED2AF4" w:rsidR="006A31D8" w:rsidRDefault="006A31D8" w:rsidP="006A327F">
            <w:pPr>
              <w:jc w:val="right"/>
              <w:rPr>
                <w:rFonts w:cs="Arial"/>
                <w:noProof/>
              </w:rPr>
            </w:pPr>
            <w:r>
              <w:rPr>
                <w:rFonts w:cs="Arial"/>
                <w:noProof/>
              </w:rPr>
              <w:t>2</w:t>
            </w:r>
          </w:p>
        </w:tc>
        <w:tc>
          <w:tcPr>
            <w:tcW w:w="1134" w:type="dxa"/>
            <w:vAlign w:val="center"/>
          </w:tcPr>
          <w:p w14:paraId="0E825140" w14:textId="34BE5D22" w:rsidR="006A31D8" w:rsidRDefault="006A31D8" w:rsidP="006A327F">
            <w:pPr>
              <w:jc w:val="right"/>
              <w:rPr>
                <w:rFonts w:cs="Arial"/>
                <w:noProof/>
              </w:rPr>
            </w:pPr>
            <w:r>
              <w:rPr>
                <w:rFonts w:cs="Arial"/>
                <w:noProof/>
              </w:rPr>
              <w:t>3</w:t>
            </w:r>
          </w:p>
        </w:tc>
        <w:tc>
          <w:tcPr>
            <w:tcW w:w="851" w:type="dxa"/>
          </w:tcPr>
          <w:p w14:paraId="3873C1FE" w14:textId="72A4ECF6" w:rsidR="006A31D8" w:rsidRPr="006B597B" w:rsidRDefault="006A31D8" w:rsidP="006A327F">
            <w:pPr>
              <w:jc w:val="right"/>
              <w:rPr>
                <w:rFonts w:cs="Arial"/>
                <w:b/>
                <w:bCs/>
                <w:noProof/>
              </w:rPr>
            </w:pPr>
            <w:r>
              <w:rPr>
                <w:rFonts w:cs="Arial"/>
                <w:b/>
                <w:bCs/>
                <w:noProof/>
              </w:rPr>
              <w:t>5</w:t>
            </w:r>
          </w:p>
        </w:tc>
      </w:tr>
      <w:tr w:rsidR="006A31D8" w14:paraId="1E840DF1" w14:textId="77777777" w:rsidTr="006A327F">
        <w:trPr>
          <w:trHeight w:val="278"/>
        </w:trPr>
        <w:tc>
          <w:tcPr>
            <w:tcW w:w="1418" w:type="dxa"/>
            <w:vAlign w:val="center"/>
          </w:tcPr>
          <w:p w14:paraId="50C8CAEF" w14:textId="77777777" w:rsidR="006A31D8" w:rsidRDefault="006A31D8" w:rsidP="006A327F">
            <w:pPr>
              <w:rPr>
                <w:rFonts w:cs="Arial"/>
                <w:noProof/>
              </w:rPr>
            </w:pPr>
            <w:r>
              <w:rPr>
                <w:rFonts w:cs="Arial"/>
                <w:noProof/>
              </w:rPr>
              <w:t>76-85</w:t>
            </w:r>
          </w:p>
        </w:tc>
        <w:tc>
          <w:tcPr>
            <w:tcW w:w="987" w:type="dxa"/>
            <w:vAlign w:val="center"/>
          </w:tcPr>
          <w:p w14:paraId="421E0E03" w14:textId="77777777" w:rsidR="006A31D8" w:rsidRPr="001D1C01" w:rsidRDefault="006A31D8" w:rsidP="006A327F">
            <w:pPr>
              <w:jc w:val="right"/>
              <w:rPr>
                <w:rFonts w:cs="Arial"/>
                <w:noProof/>
              </w:rPr>
            </w:pPr>
            <w:r>
              <w:rPr>
                <w:rFonts w:cs="Arial"/>
                <w:noProof/>
              </w:rPr>
              <w:t>0</w:t>
            </w:r>
          </w:p>
        </w:tc>
        <w:tc>
          <w:tcPr>
            <w:tcW w:w="1134" w:type="dxa"/>
            <w:vAlign w:val="center"/>
          </w:tcPr>
          <w:p w14:paraId="160C651B" w14:textId="77777777" w:rsidR="006A31D8" w:rsidRPr="001D1C01" w:rsidRDefault="006A31D8" w:rsidP="006A327F">
            <w:pPr>
              <w:jc w:val="right"/>
              <w:rPr>
                <w:rFonts w:cs="Arial"/>
                <w:noProof/>
              </w:rPr>
            </w:pPr>
            <w:r>
              <w:rPr>
                <w:rFonts w:cs="Arial"/>
                <w:noProof/>
              </w:rPr>
              <w:t>0</w:t>
            </w:r>
          </w:p>
        </w:tc>
        <w:tc>
          <w:tcPr>
            <w:tcW w:w="851" w:type="dxa"/>
          </w:tcPr>
          <w:p w14:paraId="748F7261" w14:textId="77777777" w:rsidR="006A31D8" w:rsidRPr="006B597B" w:rsidRDefault="006A31D8" w:rsidP="006A327F">
            <w:pPr>
              <w:jc w:val="right"/>
              <w:rPr>
                <w:rFonts w:cs="Arial"/>
                <w:b/>
                <w:bCs/>
                <w:noProof/>
              </w:rPr>
            </w:pPr>
            <w:r w:rsidRPr="006B597B">
              <w:rPr>
                <w:rFonts w:cs="Arial"/>
                <w:b/>
                <w:bCs/>
                <w:noProof/>
              </w:rPr>
              <w:t>0</w:t>
            </w:r>
          </w:p>
        </w:tc>
        <w:tc>
          <w:tcPr>
            <w:tcW w:w="567" w:type="dxa"/>
            <w:tcBorders>
              <w:top w:val="nil"/>
              <w:bottom w:val="nil"/>
            </w:tcBorders>
          </w:tcPr>
          <w:p w14:paraId="3E23EE92" w14:textId="77777777" w:rsidR="006A31D8" w:rsidRDefault="006A31D8" w:rsidP="006A327F">
            <w:pPr>
              <w:rPr>
                <w:rFonts w:cs="Arial"/>
                <w:noProof/>
              </w:rPr>
            </w:pPr>
          </w:p>
        </w:tc>
        <w:tc>
          <w:tcPr>
            <w:tcW w:w="1417" w:type="dxa"/>
            <w:vAlign w:val="center"/>
          </w:tcPr>
          <w:p w14:paraId="03843048" w14:textId="77777777" w:rsidR="006A31D8" w:rsidRPr="001D1C01" w:rsidRDefault="006A31D8" w:rsidP="006A327F">
            <w:pPr>
              <w:rPr>
                <w:rFonts w:cs="Arial"/>
                <w:noProof/>
              </w:rPr>
            </w:pPr>
            <w:r>
              <w:rPr>
                <w:rFonts w:cs="Arial"/>
                <w:noProof/>
              </w:rPr>
              <w:t>76-85</w:t>
            </w:r>
          </w:p>
        </w:tc>
        <w:tc>
          <w:tcPr>
            <w:tcW w:w="992" w:type="dxa"/>
            <w:vAlign w:val="center"/>
          </w:tcPr>
          <w:p w14:paraId="013CFA73" w14:textId="77777777" w:rsidR="006A31D8" w:rsidRDefault="006A31D8" w:rsidP="006A327F">
            <w:pPr>
              <w:jc w:val="right"/>
              <w:rPr>
                <w:rFonts w:cs="Arial"/>
                <w:noProof/>
              </w:rPr>
            </w:pPr>
            <w:r>
              <w:rPr>
                <w:rFonts w:cs="Arial"/>
                <w:noProof/>
              </w:rPr>
              <w:t>0</w:t>
            </w:r>
          </w:p>
        </w:tc>
        <w:tc>
          <w:tcPr>
            <w:tcW w:w="1134" w:type="dxa"/>
            <w:vAlign w:val="center"/>
          </w:tcPr>
          <w:p w14:paraId="1B60BB69" w14:textId="397D0DC1" w:rsidR="006A31D8" w:rsidRDefault="006A31D8" w:rsidP="006A327F">
            <w:pPr>
              <w:jc w:val="right"/>
              <w:rPr>
                <w:rFonts w:cs="Arial"/>
                <w:noProof/>
              </w:rPr>
            </w:pPr>
            <w:r>
              <w:rPr>
                <w:rFonts w:cs="Arial"/>
                <w:noProof/>
              </w:rPr>
              <w:t>0</w:t>
            </w:r>
          </w:p>
        </w:tc>
        <w:tc>
          <w:tcPr>
            <w:tcW w:w="851" w:type="dxa"/>
          </w:tcPr>
          <w:p w14:paraId="6902765F" w14:textId="1C1F6EC9" w:rsidR="006A31D8" w:rsidRPr="006B597B" w:rsidRDefault="005D55A5" w:rsidP="006A327F">
            <w:pPr>
              <w:jc w:val="right"/>
              <w:rPr>
                <w:rFonts w:cs="Arial"/>
                <w:b/>
                <w:bCs/>
                <w:noProof/>
              </w:rPr>
            </w:pPr>
            <w:r>
              <w:rPr>
                <w:rFonts w:cs="Arial"/>
                <w:b/>
                <w:bCs/>
                <w:noProof/>
              </w:rPr>
              <w:t>0</w:t>
            </w:r>
          </w:p>
        </w:tc>
      </w:tr>
      <w:tr w:rsidR="006A31D8" w14:paraId="2031CB0B" w14:textId="77777777" w:rsidTr="006A327F">
        <w:trPr>
          <w:trHeight w:val="278"/>
        </w:trPr>
        <w:tc>
          <w:tcPr>
            <w:tcW w:w="1418" w:type="dxa"/>
            <w:vAlign w:val="center"/>
          </w:tcPr>
          <w:p w14:paraId="4B17963D" w14:textId="77777777" w:rsidR="006A31D8" w:rsidRPr="0093391D" w:rsidRDefault="006A31D8" w:rsidP="006A327F">
            <w:pPr>
              <w:rPr>
                <w:rFonts w:cs="Arial"/>
                <w:b/>
                <w:bCs/>
                <w:noProof/>
              </w:rPr>
            </w:pPr>
            <w:r w:rsidRPr="0093391D">
              <w:rPr>
                <w:rFonts w:cs="Arial"/>
                <w:b/>
                <w:bCs/>
                <w:noProof/>
              </w:rPr>
              <w:t>Total</w:t>
            </w:r>
          </w:p>
        </w:tc>
        <w:tc>
          <w:tcPr>
            <w:tcW w:w="987" w:type="dxa"/>
            <w:vAlign w:val="center"/>
          </w:tcPr>
          <w:p w14:paraId="62EB8B22" w14:textId="3F68DDBD" w:rsidR="006A31D8" w:rsidRPr="0093391D" w:rsidRDefault="006A31D8" w:rsidP="006A327F">
            <w:pPr>
              <w:jc w:val="right"/>
              <w:rPr>
                <w:rFonts w:cs="Arial"/>
                <w:b/>
                <w:bCs/>
                <w:noProof/>
              </w:rPr>
            </w:pPr>
            <w:r>
              <w:rPr>
                <w:rFonts w:cs="Arial"/>
                <w:b/>
                <w:bCs/>
                <w:noProof/>
              </w:rPr>
              <w:t>3</w:t>
            </w:r>
          </w:p>
        </w:tc>
        <w:tc>
          <w:tcPr>
            <w:tcW w:w="1134" w:type="dxa"/>
            <w:vAlign w:val="center"/>
          </w:tcPr>
          <w:p w14:paraId="0145838D" w14:textId="77777777" w:rsidR="006A31D8" w:rsidRPr="0093391D" w:rsidRDefault="006A31D8" w:rsidP="006A327F">
            <w:pPr>
              <w:jc w:val="right"/>
              <w:rPr>
                <w:rFonts w:cs="Arial"/>
                <w:b/>
                <w:bCs/>
                <w:noProof/>
              </w:rPr>
            </w:pPr>
            <w:r>
              <w:rPr>
                <w:rFonts w:cs="Arial"/>
                <w:b/>
                <w:bCs/>
                <w:noProof/>
              </w:rPr>
              <w:t>10</w:t>
            </w:r>
          </w:p>
        </w:tc>
        <w:tc>
          <w:tcPr>
            <w:tcW w:w="851" w:type="dxa"/>
          </w:tcPr>
          <w:p w14:paraId="62D476C9" w14:textId="2753DC35" w:rsidR="006A31D8" w:rsidRPr="006B597B" w:rsidRDefault="006A31D8" w:rsidP="006A327F">
            <w:pPr>
              <w:jc w:val="right"/>
              <w:rPr>
                <w:rFonts w:cs="Arial"/>
                <w:b/>
                <w:bCs/>
                <w:noProof/>
              </w:rPr>
            </w:pPr>
            <w:r>
              <w:rPr>
                <w:rFonts w:cs="Arial"/>
                <w:b/>
                <w:bCs/>
                <w:noProof/>
              </w:rPr>
              <w:t>13</w:t>
            </w:r>
          </w:p>
        </w:tc>
        <w:tc>
          <w:tcPr>
            <w:tcW w:w="567" w:type="dxa"/>
            <w:tcBorders>
              <w:top w:val="nil"/>
              <w:bottom w:val="nil"/>
            </w:tcBorders>
          </w:tcPr>
          <w:p w14:paraId="0BDDF090" w14:textId="77777777" w:rsidR="006A31D8" w:rsidRDefault="006A31D8" w:rsidP="006A327F">
            <w:pPr>
              <w:rPr>
                <w:rFonts w:cs="Arial"/>
                <w:noProof/>
              </w:rPr>
            </w:pPr>
          </w:p>
        </w:tc>
        <w:tc>
          <w:tcPr>
            <w:tcW w:w="1417" w:type="dxa"/>
            <w:vAlign w:val="center"/>
          </w:tcPr>
          <w:p w14:paraId="5C6286B3" w14:textId="77777777" w:rsidR="006A31D8" w:rsidRPr="0093391D" w:rsidRDefault="006A31D8" w:rsidP="006A327F">
            <w:pPr>
              <w:rPr>
                <w:rFonts w:cs="Arial"/>
                <w:b/>
                <w:bCs/>
                <w:noProof/>
              </w:rPr>
            </w:pPr>
            <w:r w:rsidRPr="0093391D">
              <w:rPr>
                <w:rFonts w:cs="Arial"/>
                <w:b/>
                <w:bCs/>
                <w:noProof/>
              </w:rPr>
              <w:t>Total</w:t>
            </w:r>
          </w:p>
        </w:tc>
        <w:tc>
          <w:tcPr>
            <w:tcW w:w="992" w:type="dxa"/>
            <w:vAlign w:val="center"/>
          </w:tcPr>
          <w:p w14:paraId="4AD65852" w14:textId="48A597DF" w:rsidR="006A31D8" w:rsidRPr="0093391D" w:rsidRDefault="006A31D8" w:rsidP="006A327F">
            <w:pPr>
              <w:jc w:val="right"/>
              <w:rPr>
                <w:rFonts w:cs="Arial"/>
                <w:b/>
                <w:bCs/>
                <w:noProof/>
              </w:rPr>
            </w:pPr>
            <w:r>
              <w:rPr>
                <w:rFonts w:cs="Arial"/>
                <w:b/>
                <w:bCs/>
                <w:noProof/>
              </w:rPr>
              <w:t>10</w:t>
            </w:r>
          </w:p>
        </w:tc>
        <w:tc>
          <w:tcPr>
            <w:tcW w:w="1134" w:type="dxa"/>
            <w:vAlign w:val="center"/>
          </w:tcPr>
          <w:p w14:paraId="1C070CB8" w14:textId="330AC37B" w:rsidR="006A31D8" w:rsidRPr="0093391D" w:rsidRDefault="006A31D8" w:rsidP="006A327F">
            <w:pPr>
              <w:jc w:val="right"/>
              <w:rPr>
                <w:rFonts w:cs="Arial"/>
                <w:b/>
                <w:bCs/>
                <w:noProof/>
              </w:rPr>
            </w:pPr>
            <w:r>
              <w:rPr>
                <w:rFonts w:cs="Arial"/>
                <w:b/>
                <w:bCs/>
                <w:noProof/>
              </w:rPr>
              <w:t>2</w:t>
            </w:r>
            <w:r w:rsidR="005D55A5">
              <w:rPr>
                <w:rFonts w:cs="Arial"/>
                <w:b/>
                <w:bCs/>
                <w:noProof/>
              </w:rPr>
              <w:t>0</w:t>
            </w:r>
          </w:p>
        </w:tc>
        <w:tc>
          <w:tcPr>
            <w:tcW w:w="851" w:type="dxa"/>
          </w:tcPr>
          <w:p w14:paraId="557FBAE5" w14:textId="6C6451BA" w:rsidR="006A31D8" w:rsidRPr="0093391D" w:rsidRDefault="005D55A5" w:rsidP="006A327F">
            <w:pPr>
              <w:jc w:val="right"/>
              <w:rPr>
                <w:rFonts w:cs="Arial"/>
                <w:b/>
                <w:bCs/>
                <w:noProof/>
              </w:rPr>
            </w:pPr>
            <w:r>
              <w:rPr>
                <w:rFonts w:cs="Arial"/>
                <w:b/>
                <w:bCs/>
                <w:noProof/>
              </w:rPr>
              <w:t>30</w:t>
            </w:r>
          </w:p>
        </w:tc>
      </w:tr>
    </w:tbl>
    <w:p w14:paraId="31473565" w14:textId="77777777" w:rsidR="006A31D8" w:rsidRDefault="006A31D8" w:rsidP="006A31D8">
      <w:pPr>
        <w:ind w:left="-142" w:right="-425"/>
        <w:jc w:val="both"/>
        <w:rPr>
          <w:rFonts w:cs="Arial"/>
        </w:rPr>
      </w:pPr>
    </w:p>
    <w:p w14:paraId="1159CB03" w14:textId="2C1BC395" w:rsidR="009466F4" w:rsidRPr="00076ED0" w:rsidRDefault="009466F4" w:rsidP="00091CFE">
      <w:pPr>
        <w:pStyle w:val="Heading2"/>
      </w:pPr>
      <w:r w:rsidRPr="00076ED0">
        <w:t>Case Management</w:t>
      </w:r>
    </w:p>
    <w:p w14:paraId="4B9C16E2" w14:textId="2B740B65" w:rsidR="00D32026" w:rsidRDefault="00D32026" w:rsidP="00D32026">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p>
    <w:p w14:paraId="71660A75" w14:textId="77777777" w:rsidR="00D32026" w:rsidRDefault="00D32026" w:rsidP="009466F4">
      <w:pPr>
        <w:ind w:left="-142" w:right="-425"/>
        <w:jc w:val="both"/>
        <w:rPr>
          <w:rFonts w:cs="Arial"/>
        </w:rPr>
      </w:pPr>
    </w:p>
    <w:p w14:paraId="7A8A0342" w14:textId="120BB7E8" w:rsidR="00A009FE" w:rsidRDefault="009466F4" w:rsidP="009466F4">
      <w:pPr>
        <w:ind w:left="-142" w:right="-425"/>
        <w:jc w:val="both"/>
        <w:rPr>
          <w:rFonts w:cs="Arial"/>
        </w:rPr>
      </w:pPr>
      <w:r w:rsidRPr="00350FFE">
        <w:rPr>
          <w:rFonts w:cs="Arial"/>
        </w:rPr>
        <w:t xml:space="preserve">As at </w:t>
      </w:r>
      <w:r w:rsidR="00DA70CA">
        <w:rPr>
          <w:rFonts w:cs="Arial"/>
        </w:rPr>
        <w:t xml:space="preserve">30 </w:t>
      </w:r>
      <w:r w:rsidR="000F408B">
        <w:rPr>
          <w:rFonts w:cs="Arial"/>
        </w:rPr>
        <w:t>September</w:t>
      </w:r>
      <w:r w:rsidR="001A5C4C">
        <w:rPr>
          <w:rFonts w:cs="Arial"/>
        </w:rPr>
        <w:t xml:space="preserve"> 2022</w:t>
      </w:r>
      <w:r w:rsidRPr="00303C40">
        <w:rPr>
          <w:rFonts w:cs="Arial"/>
        </w:rPr>
        <w:t xml:space="preserve">, </w:t>
      </w:r>
      <w:r w:rsidR="004B0A34">
        <w:rPr>
          <w:rFonts w:cs="Arial"/>
        </w:rPr>
        <w:t>212</w:t>
      </w:r>
      <w:r w:rsidR="00F2610E">
        <w:rPr>
          <w:rFonts w:cs="Arial"/>
        </w:rPr>
        <w:t xml:space="preserve"> </w:t>
      </w:r>
      <w:r w:rsidRPr="00303C40">
        <w:rPr>
          <w:rFonts w:cs="Arial"/>
        </w:rPr>
        <w:t xml:space="preserve">clients were being </w:t>
      </w:r>
      <w:r w:rsidRPr="00490975">
        <w:rPr>
          <w:rFonts w:cs="Arial"/>
        </w:rPr>
        <w:t>case-managed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A009FE">
        <w:rPr>
          <w:rFonts w:cs="Arial"/>
        </w:rPr>
        <w:t xml:space="preserve">n increase </w:t>
      </w:r>
      <w:r w:rsidR="00A836AD" w:rsidRPr="002F4F9D">
        <w:rPr>
          <w:rFonts w:cs="Arial"/>
        </w:rPr>
        <w:t xml:space="preserve">of </w:t>
      </w:r>
      <w:r w:rsidR="004B0A34">
        <w:rPr>
          <w:rFonts w:cs="Arial"/>
        </w:rPr>
        <w:t xml:space="preserve">12 </w:t>
      </w:r>
      <w:r w:rsidR="00A836AD">
        <w:rPr>
          <w:rFonts w:cs="Arial"/>
        </w:rPr>
        <w:t>from</w:t>
      </w:r>
      <w:r w:rsidRPr="00303C40">
        <w:rPr>
          <w:rFonts w:cs="Arial"/>
        </w:rPr>
        <w:t xml:space="preserve"> </w:t>
      </w:r>
      <w:r>
        <w:rPr>
          <w:rFonts w:cs="Arial"/>
        </w:rPr>
        <w:t xml:space="preserve">quarter </w:t>
      </w:r>
      <w:r w:rsidR="000F408B">
        <w:rPr>
          <w:rFonts w:cs="Arial"/>
        </w:rPr>
        <w:t>56</w:t>
      </w:r>
      <w:r>
        <w:rPr>
          <w:rFonts w:cs="Arial"/>
        </w:rPr>
        <w:t>.</w:t>
      </w:r>
      <w:r w:rsidRPr="00303C40">
        <w:rPr>
          <w:rFonts w:cs="Arial"/>
        </w:rPr>
        <w:t xml:space="preserve"> </w:t>
      </w:r>
      <w:r w:rsidR="004D5E96" w:rsidRPr="002F4F9D">
        <w:rPr>
          <w:rFonts w:cs="Arial"/>
        </w:rPr>
        <w:t xml:space="preserve">Decreases </w:t>
      </w:r>
      <w:r w:rsidRPr="002F4F9D">
        <w:rPr>
          <w:rFonts w:cs="Arial"/>
        </w:rPr>
        <w:t xml:space="preserve">were seen in </w:t>
      </w:r>
      <w:r w:rsidR="004B0A34">
        <w:rPr>
          <w:rFonts w:cs="Arial"/>
        </w:rPr>
        <w:t xml:space="preserve">Aurukun and </w:t>
      </w:r>
      <w:r w:rsidR="004558F6">
        <w:rPr>
          <w:rFonts w:cs="Arial"/>
        </w:rPr>
        <w:t>Coen</w:t>
      </w:r>
      <w:r w:rsidR="004B0A34">
        <w:rPr>
          <w:rFonts w:cs="Arial"/>
        </w:rPr>
        <w:t xml:space="preserve"> </w:t>
      </w:r>
      <w:r w:rsidR="004D5E96" w:rsidRPr="002F4F9D">
        <w:rPr>
          <w:rFonts w:cs="Arial"/>
        </w:rPr>
        <w:t xml:space="preserve">of </w:t>
      </w:r>
      <w:r w:rsidR="004B0A34">
        <w:rPr>
          <w:rFonts w:cs="Arial"/>
        </w:rPr>
        <w:t>7 and</w:t>
      </w:r>
      <w:r w:rsidR="004D5E96" w:rsidRPr="002F4F9D">
        <w:rPr>
          <w:rFonts w:cs="Arial"/>
        </w:rPr>
        <w:t xml:space="preserve"> </w:t>
      </w:r>
      <w:r w:rsidR="004B0A34">
        <w:rPr>
          <w:rFonts w:cs="Arial"/>
        </w:rPr>
        <w:t xml:space="preserve">4 </w:t>
      </w:r>
      <w:r w:rsidR="004D5E96" w:rsidRPr="002F4F9D">
        <w:rPr>
          <w:rFonts w:cs="Arial"/>
        </w:rPr>
        <w:t>respectively</w:t>
      </w:r>
      <w:r w:rsidR="00C52B7B">
        <w:rPr>
          <w:rFonts w:cs="Arial"/>
        </w:rPr>
        <w:t xml:space="preserve"> </w:t>
      </w:r>
      <w:r w:rsidR="00A009FE">
        <w:rPr>
          <w:rFonts w:cs="Arial"/>
        </w:rPr>
        <w:t>whilst Doomadgee</w:t>
      </w:r>
      <w:r w:rsidR="004B0A34">
        <w:rPr>
          <w:rFonts w:cs="Arial"/>
        </w:rPr>
        <w:t>, Hope Vale and Mossman Gorge</w:t>
      </w:r>
      <w:r w:rsidR="00A009FE">
        <w:rPr>
          <w:rFonts w:cs="Arial"/>
        </w:rPr>
        <w:t xml:space="preserve"> increased by </w:t>
      </w:r>
      <w:r w:rsidR="004B0A34">
        <w:rPr>
          <w:rFonts w:cs="Arial"/>
        </w:rPr>
        <w:t xml:space="preserve">1, 15 </w:t>
      </w:r>
      <w:r w:rsidR="00A009FE">
        <w:rPr>
          <w:rFonts w:cs="Arial"/>
        </w:rPr>
        <w:t xml:space="preserve">and </w:t>
      </w:r>
      <w:r w:rsidR="004B0A34">
        <w:rPr>
          <w:rFonts w:cs="Arial"/>
        </w:rPr>
        <w:t>7</w:t>
      </w:r>
      <w:r w:rsidR="00A009FE">
        <w:rPr>
          <w:rFonts w:cs="Arial"/>
        </w:rPr>
        <w:t xml:space="preserve"> respectively.</w:t>
      </w:r>
    </w:p>
    <w:p w14:paraId="0DE12B56" w14:textId="77777777" w:rsidR="008D6080" w:rsidRDefault="008D6080" w:rsidP="00E2657A">
      <w:pPr>
        <w:ind w:left="-142" w:right="-425"/>
        <w:jc w:val="both"/>
        <w:rPr>
          <w:rFonts w:cs="Arial"/>
        </w:rPr>
      </w:pPr>
    </w:p>
    <w:p w14:paraId="6544B717" w14:textId="44C27BD3" w:rsidR="005A5B78" w:rsidRDefault="005A5B78" w:rsidP="00091CFE">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09D23E9D" w:rsidR="00FF351C" w:rsidRDefault="000F1914" w:rsidP="00FF351C">
      <w:pPr>
        <w:ind w:left="-142" w:right="-425"/>
        <w:jc w:val="both"/>
        <w:rPr>
          <w:rFonts w:cs="Arial"/>
        </w:rPr>
      </w:pPr>
      <w:r>
        <w:rPr>
          <w:rFonts w:cs="Arial"/>
        </w:rPr>
        <w:t xml:space="preserve">Ten </w:t>
      </w:r>
      <w:r w:rsidR="00FF351C">
        <w:rPr>
          <w:rFonts w:cs="Arial"/>
        </w:rPr>
        <w:t>a</w:t>
      </w:r>
      <w:r w:rsidR="00FF351C" w:rsidRPr="009E1D38">
        <w:rPr>
          <w:rFonts w:cs="Arial"/>
        </w:rPr>
        <w:t xml:space="preserve">pplications </w:t>
      </w:r>
      <w:r w:rsidR="00FF351C">
        <w:rPr>
          <w:rFonts w:cs="Arial"/>
        </w:rPr>
        <w:t xml:space="preserve">relating to </w:t>
      </w:r>
      <w:r>
        <w:rPr>
          <w:rFonts w:cs="Arial"/>
        </w:rPr>
        <w:t>10</w:t>
      </w:r>
      <w:r w:rsidR="00A221CC">
        <w:rPr>
          <w:rFonts w:cs="Arial"/>
        </w:rPr>
        <w:t xml:space="preserve"> </w:t>
      </w:r>
      <w:r w:rsidR="00FF351C">
        <w:rPr>
          <w:rFonts w:cs="Arial"/>
        </w:rPr>
        <w:t>clients (</w:t>
      </w:r>
      <w:r>
        <w:rPr>
          <w:rFonts w:cs="Arial"/>
        </w:rPr>
        <w:t>5</w:t>
      </w:r>
      <w:r w:rsidR="00A221CC">
        <w:rPr>
          <w:rFonts w:cs="Arial"/>
        </w:rPr>
        <w:t xml:space="preserve"> </w:t>
      </w:r>
      <w:r w:rsidR="00FF351C">
        <w:rPr>
          <w:rFonts w:cs="Arial"/>
        </w:rPr>
        <w:t xml:space="preserve">female and </w:t>
      </w:r>
      <w:r>
        <w:rPr>
          <w:rFonts w:cs="Arial"/>
        </w:rPr>
        <w:t>5</w:t>
      </w:r>
      <w:r w:rsidR="001679DE">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0F408B">
        <w:rPr>
          <w:rFonts w:cs="Arial"/>
        </w:rPr>
        <w:t>57</w:t>
      </w:r>
      <w:r w:rsidR="00FF351C">
        <w:rPr>
          <w:rFonts w:cs="Arial"/>
        </w:rPr>
        <w:t>, a</w:t>
      </w:r>
      <w:r w:rsidR="00B41608">
        <w:rPr>
          <w:rFonts w:cs="Arial"/>
        </w:rPr>
        <w:t xml:space="preserve">n increase </w:t>
      </w:r>
      <w:r w:rsidR="00FF351C" w:rsidRPr="009D1AAB">
        <w:rPr>
          <w:rFonts w:cs="Arial"/>
        </w:rPr>
        <w:t xml:space="preserve">of </w:t>
      </w:r>
      <w:r w:rsidR="00B41608">
        <w:rPr>
          <w:rFonts w:cs="Arial"/>
        </w:rPr>
        <w:t>3</w:t>
      </w:r>
      <w:r w:rsidR="00A221CC" w:rsidRPr="009D1AAB">
        <w:rPr>
          <w:rFonts w:cs="Arial"/>
        </w:rPr>
        <w:t xml:space="preserve"> </w:t>
      </w:r>
      <w:r w:rsidR="00FF351C">
        <w:rPr>
          <w:rFonts w:cs="Arial"/>
        </w:rPr>
        <w:t xml:space="preserve">applications </w:t>
      </w:r>
      <w:r w:rsidR="00FF351C" w:rsidRPr="009D1AAB">
        <w:rPr>
          <w:rFonts w:cs="Arial"/>
        </w:rPr>
        <w:t>from</w:t>
      </w:r>
      <w:r w:rsidR="00FF351C">
        <w:rPr>
          <w:rFonts w:cs="Arial"/>
        </w:rPr>
        <w:t xml:space="preserve"> the previous </w:t>
      </w:r>
      <w:r w:rsidR="00FF351C">
        <w:t>quarter</w:t>
      </w:r>
      <w:r w:rsidR="00FF351C" w:rsidRPr="00AF2C25">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7D850E26" w14:textId="67164B04" w:rsidR="00FF351C" w:rsidRDefault="00FF351C" w:rsidP="00F9293E">
      <w:pPr>
        <w:ind w:left="-142" w:right="-425"/>
        <w:jc w:val="both"/>
        <w:rPr>
          <w:rFonts w:cs="Arial"/>
        </w:rPr>
      </w:pPr>
    </w:p>
    <w:p w14:paraId="5D2E48FB" w14:textId="77777777" w:rsidR="00B70FC9" w:rsidRDefault="00B70FC9">
      <w:pPr>
        <w:spacing w:line="240" w:lineRule="auto"/>
        <w:rPr>
          <w:b/>
          <w:sz w:val="16"/>
        </w:rPr>
      </w:pPr>
      <w:r>
        <w:rPr>
          <w:b/>
          <w:i/>
          <w:sz w:val="16"/>
        </w:rPr>
        <w:br w:type="page"/>
      </w:r>
    </w:p>
    <w:p w14:paraId="4D50A65A" w14:textId="77A3ACEF" w:rsidR="00B70FC9" w:rsidRPr="008E49AE" w:rsidRDefault="00B70FC9" w:rsidP="00B70FC9">
      <w:pPr>
        <w:pStyle w:val="TableCaption"/>
        <w:spacing w:before="0"/>
        <w:ind w:left="0" w:right="-425"/>
        <w:rPr>
          <w:b/>
          <w:i w:val="0"/>
          <w:sz w:val="16"/>
        </w:rPr>
      </w:pPr>
      <w:r w:rsidRPr="008E49AE">
        <w:rPr>
          <w:b/>
          <w:i w:val="0"/>
          <w:sz w:val="16"/>
        </w:rPr>
        <w:lastRenderedPageBreak/>
        <w:t xml:space="preserve">Table </w:t>
      </w:r>
      <w:r>
        <w:rPr>
          <w:b/>
          <w:i w:val="0"/>
          <w:sz w:val="16"/>
        </w:rPr>
        <w:t>27</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July 2021 to 30 September </w:t>
      </w:r>
      <w:r w:rsidRPr="008E49AE">
        <w:rPr>
          <w:i w:val="0"/>
          <w:sz w:val="16"/>
        </w:rPr>
        <w:t>20</w:t>
      </w:r>
      <w:r>
        <w:rPr>
          <w:i w:val="0"/>
          <w:sz w:val="16"/>
        </w:rPr>
        <w:t>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B70FC9" w:rsidRPr="00C5395B" w14:paraId="3CC0C8F3" w14:textId="77777777" w:rsidTr="006A327F">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2A0AA403" w14:textId="77777777" w:rsidR="00B70FC9" w:rsidRPr="00C5395B" w:rsidRDefault="00B70FC9" w:rsidP="00B70FC9">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542CE58" w14:textId="77D2DD5E" w:rsidR="00B70FC9" w:rsidRDefault="00B70FC9" w:rsidP="00B70FC9">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1EF2FC35" w14:textId="1BAC0B84" w:rsidR="00B70FC9" w:rsidRDefault="00B70FC9" w:rsidP="00B70FC9">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6AC24901" w14:textId="3B0F2341" w:rsidR="00B70FC9" w:rsidRDefault="00B70FC9" w:rsidP="00B70FC9">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3A779DB4" w14:textId="7570CA11" w:rsidR="00B70FC9" w:rsidRDefault="00B70FC9" w:rsidP="00B70FC9">
            <w:pPr>
              <w:pStyle w:val="TableText"/>
              <w:jc w:val="right"/>
              <w:rPr>
                <w:b/>
                <w:lang w:eastAsia="en-AU"/>
              </w:rPr>
            </w:pPr>
            <w:r>
              <w:rPr>
                <w:b/>
                <w:lang w:eastAsia="en-AU"/>
              </w:rPr>
              <w:t>Qtr 56</w:t>
            </w:r>
          </w:p>
        </w:tc>
        <w:tc>
          <w:tcPr>
            <w:tcW w:w="960" w:type="dxa"/>
            <w:tcBorders>
              <w:top w:val="single" w:sz="4" w:space="0" w:color="auto"/>
              <w:left w:val="nil"/>
              <w:bottom w:val="single" w:sz="4" w:space="0" w:color="auto"/>
              <w:right w:val="single" w:sz="4" w:space="0" w:color="auto"/>
            </w:tcBorders>
          </w:tcPr>
          <w:p w14:paraId="19E9E347" w14:textId="169F7CB9" w:rsidR="00B70FC9" w:rsidRDefault="00B70FC9" w:rsidP="00B70FC9">
            <w:pPr>
              <w:pStyle w:val="TableText"/>
              <w:jc w:val="right"/>
              <w:rPr>
                <w:b/>
                <w:lang w:eastAsia="en-AU"/>
              </w:rPr>
            </w:pPr>
            <w:r>
              <w:rPr>
                <w:b/>
                <w:lang w:eastAsia="en-AU"/>
              </w:rPr>
              <w:t>Qtr 57</w:t>
            </w:r>
          </w:p>
        </w:tc>
      </w:tr>
      <w:tr w:rsidR="00B70FC9" w:rsidRPr="00C5395B" w14:paraId="338F6E87" w14:textId="77777777" w:rsidTr="006A076B">
        <w:trPr>
          <w:trHeight w:val="255"/>
        </w:trPr>
        <w:tc>
          <w:tcPr>
            <w:tcW w:w="2040" w:type="dxa"/>
            <w:tcBorders>
              <w:top w:val="nil"/>
              <w:left w:val="single" w:sz="4" w:space="0" w:color="auto"/>
              <w:bottom w:val="single" w:sz="4" w:space="0" w:color="auto"/>
              <w:right w:val="single" w:sz="4" w:space="0" w:color="auto"/>
            </w:tcBorders>
            <w:noWrap/>
            <w:hideMark/>
          </w:tcPr>
          <w:p w14:paraId="4AE9E7EC" w14:textId="77777777" w:rsidR="00B70FC9" w:rsidRPr="00C5395B" w:rsidRDefault="00B70FC9" w:rsidP="00B70FC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A7313D1" w14:textId="7064C388" w:rsidR="00B70FC9" w:rsidRDefault="00B70FC9" w:rsidP="00B70FC9">
            <w:pPr>
              <w:jc w:val="right"/>
              <w:rPr>
                <w:rFonts w:cs="Arial"/>
              </w:rPr>
            </w:pPr>
            <w:r w:rsidRPr="00D919B5">
              <w:rPr>
                <w:rFonts w:cs="Arial"/>
              </w:rPr>
              <w:t>10</w:t>
            </w:r>
          </w:p>
        </w:tc>
        <w:tc>
          <w:tcPr>
            <w:tcW w:w="960" w:type="dxa"/>
            <w:tcBorders>
              <w:top w:val="nil"/>
              <w:left w:val="nil"/>
              <w:bottom w:val="single" w:sz="4" w:space="0" w:color="auto"/>
              <w:right w:val="single" w:sz="4" w:space="0" w:color="auto"/>
            </w:tcBorders>
          </w:tcPr>
          <w:p w14:paraId="7BCBEC8C" w14:textId="0ABBC18E" w:rsidR="00B70FC9" w:rsidRPr="00550A24" w:rsidRDefault="00B70FC9" w:rsidP="00B70FC9">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593EBCD4" w14:textId="0BCD4CC6" w:rsidR="00B70FC9" w:rsidRPr="00D919B5" w:rsidRDefault="00B70FC9" w:rsidP="00B70FC9">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56DF0886" w14:textId="4B5DC82C" w:rsidR="00B70FC9" w:rsidRPr="00D919B5" w:rsidRDefault="00B70FC9" w:rsidP="00B70FC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556F204" w14:textId="7FA5579A" w:rsidR="00B70FC9" w:rsidRDefault="00B70FC9" w:rsidP="00B70FC9">
            <w:pPr>
              <w:jc w:val="right"/>
              <w:rPr>
                <w:rFonts w:cs="Arial"/>
              </w:rPr>
            </w:pPr>
            <w:r>
              <w:rPr>
                <w:rFonts w:cs="Arial"/>
              </w:rPr>
              <w:t>7</w:t>
            </w:r>
          </w:p>
        </w:tc>
      </w:tr>
      <w:tr w:rsidR="00B70FC9" w:rsidRPr="00C5395B" w14:paraId="6B1255DF" w14:textId="77777777" w:rsidTr="006A076B">
        <w:trPr>
          <w:trHeight w:val="255"/>
        </w:trPr>
        <w:tc>
          <w:tcPr>
            <w:tcW w:w="2040" w:type="dxa"/>
            <w:tcBorders>
              <w:top w:val="nil"/>
              <w:left w:val="single" w:sz="4" w:space="0" w:color="auto"/>
              <w:bottom w:val="single" w:sz="4" w:space="0" w:color="auto"/>
              <w:right w:val="single" w:sz="4" w:space="0" w:color="auto"/>
            </w:tcBorders>
            <w:noWrap/>
            <w:hideMark/>
          </w:tcPr>
          <w:p w14:paraId="208FFA2D" w14:textId="77777777" w:rsidR="00B70FC9" w:rsidRPr="00C5395B" w:rsidRDefault="00B70FC9" w:rsidP="00B70FC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E7D4E9D" w14:textId="739A78D9" w:rsidR="00B70FC9" w:rsidRDefault="00B70FC9" w:rsidP="00B70FC9">
            <w:pPr>
              <w:jc w:val="right"/>
              <w:rPr>
                <w:rFonts w:cs="Arial"/>
              </w:rPr>
            </w:pPr>
            <w:r w:rsidRPr="00D919B5">
              <w:rPr>
                <w:rFonts w:cs="Arial"/>
              </w:rPr>
              <w:t>1</w:t>
            </w:r>
          </w:p>
        </w:tc>
        <w:tc>
          <w:tcPr>
            <w:tcW w:w="960" w:type="dxa"/>
            <w:tcBorders>
              <w:top w:val="nil"/>
              <w:left w:val="nil"/>
              <w:bottom w:val="single" w:sz="4" w:space="0" w:color="auto"/>
              <w:right w:val="single" w:sz="4" w:space="0" w:color="auto"/>
            </w:tcBorders>
          </w:tcPr>
          <w:p w14:paraId="383DB4B4" w14:textId="14694642" w:rsidR="00B70FC9" w:rsidRPr="00550A24"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24A24CC" w14:textId="45412E41" w:rsidR="00B70FC9" w:rsidRPr="00D919B5"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17283EB" w14:textId="1CE61811" w:rsidR="00B70FC9" w:rsidRPr="00D919B5" w:rsidRDefault="00B70FC9" w:rsidP="00B70FC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13BB819" w14:textId="07098159" w:rsidR="00B70FC9" w:rsidRDefault="00B70FC9" w:rsidP="00B70FC9">
            <w:pPr>
              <w:jc w:val="right"/>
              <w:rPr>
                <w:rFonts w:cs="Arial"/>
              </w:rPr>
            </w:pPr>
            <w:r>
              <w:rPr>
                <w:rFonts w:cs="Arial"/>
              </w:rPr>
              <w:t>0</w:t>
            </w:r>
          </w:p>
        </w:tc>
      </w:tr>
      <w:tr w:rsidR="00B70FC9" w:rsidRPr="00C5395B" w14:paraId="121BEE07" w14:textId="77777777" w:rsidTr="006A076B">
        <w:trPr>
          <w:trHeight w:val="255"/>
        </w:trPr>
        <w:tc>
          <w:tcPr>
            <w:tcW w:w="2040" w:type="dxa"/>
            <w:tcBorders>
              <w:top w:val="nil"/>
              <w:left w:val="single" w:sz="4" w:space="0" w:color="auto"/>
              <w:bottom w:val="single" w:sz="4" w:space="0" w:color="auto"/>
              <w:right w:val="single" w:sz="4" w:space="0" w:color="auto"/>
            </w:tcBorders>
            <w:noWrap/>
          </w:tcPr>
          <w:p w14:paraId="39752E18" w14:textId="77777777" w:rsidR="00B70FC9" w:rsidRPr="00C5395B" w:rsidRDefault="00B70FC9" w:rsidP="00B70FC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F762B41" w14:textId="2D58FD19" w:rsidR="00B70FC9" w:rsidRDefault="00B70FC9" w:rsidP="00B70FC9">
            <w:pPr>
              <w:jc w:val="right"/>
              <w:rPr>
                <w:rFonts w:cs="Arial"/>
              </w:rPr>
            </w:pPr>
            <w:r w:rsidRPr="00D919B5">
              <w:rPr>
                <w:rFonts w:cs="Arial"/>
              </w:rPr>
              <w:t>2</w:t>
            </w:r>
          </w:p>
        </w:tc>
        <w:tc>
          <w:tcPr>
            <w:tcW w:w="960" w:type="dxa"/>
            <w:tcBorders>
              <w:top w:val="nil"/>
              <w:left w:val="nil"/>
              <w:bottom w:val="single" w:sz="4" w:space="0" w:color="auto"/>
              <w:right w:val="single" w:sz="4" w:space="0" w:color="auto"/>
            </w:tcBorders>
          </w:tcPr>
          <w:p w14:paraId="536642F7" w14:textId="74A06CBC" w:rsidR="00B70FC9" w:rsidRPr="00550A24"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523DC38" w14:textId="2A67D298" w:rsidR="00B70FC9" w:rsidRPr="00D919B5"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BC405B2" w14:textId="5F189FC5" w:rsidR="00B70FC9" w:rsidRPr="00D919B5" w:rsidRDefault="00B70FC9" w:rsidP="00B70FC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A1B3DBA" w14:textId="77777777" w:rsidR="00B70FC9" w:rsidRDefault="00B70FC9" w:rsidP="00B70FC9">
            <w:pPr>
              <w:jc w:val="right"/>
              <w:rPr>
                <w:rFonts w:cs="Arial"/>
              </w:rPr>
            </w:pPr>
            <w:r>
              <w:rPr>
                <w:rFonts w:cs="Arial"/>
              </w:rPr>
              <w:t>2</w:t>
            </w:r>
          </w:p>
        </w:tc>
      </w:tr>
      <w:tr w:rsidR="00B70FC9" w:rsidRPr="00C5395B" w14:paraId="6AD36621" w14:textId="77777777" w:rsidTr="006A076B">
        <w:trPr>
          <w:trHeight w:val="255"/>
        </w:trPr>
        <w:tc>
          <w:tcPr>
            <w:tcW w:w="2040" w:type="dxa"/>
            <w:tcBorders>
              <w:top w:val="nil"/>
              <w:left w:val="single" w:sz="4" w:space="0" w:color="auto"/>
              <w:bottom w:val="single" w:sz="4" w:space="0" w:color="auto"/>
              <w:right w:val="single" w:sz="4" w:space="0" w:color="auto"/>
            </w:tcBorders>
            <w:noWrap/>
            <w:hideMark/>
          </w:tcPr>
          <w:p w14:paraId="548733C5" w14:textId="77777777" w:rsidR="00B70FC9" w:rsidRPr="00C5395B" w:rsidRDefault="00B70FC9" w:rsidP="00B70FC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1D9F35E" w14:textId="3C41823B" w:rsidR="00B70FC9" w:rsidRDefault="00B70FC9" w:rsidP="00B70FC9">
            <w:pPr>
              <w:jc w:val="right"/>
              <w:rPr>
                <w:rFonts w:cs="Arial"/>
              </w:rPr>
            </w:pPr>
            <w:r w:rsidRPr="00D919B5">
              <w:rPr>
                <w:rFonts w:cs="Arial"/>
              </w:rPr>
              <w:t>3</w:t>
            </w:r>
          </w:p>
        </w:tc>
        <w:tc>
          <w:tcPr>
            <w:tcW w:w="960" w:type="dxa"/>
            <w:tcBorders>
              <w:top w:val="nil"/>
              <w:left w:val="nil"/>
              <w:bottom w:val="single" w:sz="4" w:space="0" w:color="auto"/>
              <w:right w:val="single" w:sz="4" w:space="0" w:color="auto"/>
            </w:tcBorders>
          </w:tcPr>
          <w:p w14:paraId="015A3F15" w14:textId="528B466A" w:rsidR="00B70FC9" w:rsidRPr="00550A24" w:rsidRDefault="00B70FC9" w:rsidP="00B70FC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E32CB9D" w14:textId="15889DDA" w:rsidR="00B70FC9" w:rsidRPr="00D919B5" w:rsidRDefault="00B70FC9" w:rsidP="00B70FC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DBA2EB5" w14:textId="1D210A67" w:rsidR="00B70FC9" w:rsidRPr="00D919B5" w:rsidRDefault="00B70FC9" w:rsidP="00B70FC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A9ED80D" w14:textId="1818227D" w:rsidR="00B70FC9" w:rsidRDefault="00B70FC9" w:rsidP="00B70FC9">
            <w:pPr>
              <w:jc w:val="right"/>
              <w:rPr>
                <w:rFonts w:cs="Arial"/>
              </w:rPr>
            </w:pPr>
            <w:r>
              <w:rPr>
                <w:rFonts w:cs="Arial"/>
              </w:rPr>
              <w:t>0</w:t>
            </w:r>
          </w:p>
        </w:tc>
      </w:tr>
      <w:tr w:rsidR="00B70FC9" w:rsidRPr="00C5395B" w14:paraId="171AD8E2" w14:textId="77777777" w:rsidTr="006A076B">
        <w:trPr>
          <w:trHeight w:val="255"/>
        </w:trPr>
        <w:tc>
          <w:tcPr>
            <w:tcW w:w="2040" w:type="dxa"/>
            <w:tcBorders>
              <w:top w:val="nil"/>
              <w:left w:val="single" w:sz="4" w:space="0" w:color="auto"/>
              <w:bottom w:val="single" w:sz="4" w:space="0" w:color="auto"/>
              <w:right w:val="single" w:sz="4" w:space="0" w:color="auto"/>
            </w:tcBorders>
            <w:noWrap/>
            <w:hideMark/>
          </w:tcPr>
          <w:p w14:paraId="4B01E00C" w14:textId="77777777" w:rsidR="00B70FC9" w:rsidRPr="00C5395B" w:rsidRDefault="00B70FC9" w:rsidP="00B70FC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1FD011B" w14:textId="5ACC169A" w:rsidR="00B70FC9" w:rsidRDefault="00B70FC9" w:rsidP="00B70FC9">
            <w:pPr>
              <w:jc w:val="right"/>
              <w:rPr>
                <w:rFonts w:cs="Arial"/>
              </w:rPr>
            </w:pPr>
            <w:r w:rsidRPr="00D919B5">
              <w:rPr>
                <w:rFonts w:cs="Arial"/>
              </w:rPr>
              <w:t>0</w:t>
            </w:r>
          </w:p>
        </w:tc>
        <w:tc>
          <w:tcPr>
            <w:tcW w:w="960" w:type="dxa"/>
            <w:tcBorders>
              <w:top w:val="nil"/>
              <w:left w:val="nil"/>
              <w:bottom w:val="single" w:sz="4" w:space="0" w:color="auto"/>
              <w:right w:val="single" w:sz="4" w:space="0" w:color="auto"/>
            </w:tcBorders>
          </w:tcPr>
          <w:p w14:paraId="02202CFF" w14:textId="31539C7B" w:rsidR="00B70FC9" w:rsidRPr="00550A24"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76AF15B" w14:textId="6FD4EED2" w:rsidR="00B70FC9" w:rsidRPr="00D919B5"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CB9E4CF" w14:textId="23DA591D" w:rsidR="00B70FC9" w:rsidRPr="00D919B5" w:rsidRDefault="00B70FC9" w:rsidP="00B70FC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28BC540" w14:textId="3D5BB736" w:rsidR="00B70FC9" w:rsidRDefault="00B70FC9" w:rsidP="00B70FC9">
            <w:pPr>
              <w:jc w:val="right"/>
              <w:rPr>
                <w:rFonts w:cs="Arial"/>
              </w:rPr>
            </w:pPr>
            <w:r>
              <w:rPr>
                <w:rFonts w:cs="Arial"/>
              </w:rPr>
              <w:t>1</w:t>
            </w:r>
          </w:p>
        </w:tc>
      </w:tr>
      <w:tr w:rsidR="00B70FC9" w:rsidRPr="00C5395B" w14:paraId="31784423" w14:textId="77777777" w:rsidTr="006A076B">
        <w:trPr>
          <w:trHeight w:val="255"/>
        </w:trPr>
        <w:tc>
          <w:tcPr>
            <w:tcW w:w="2040" w:type="dxa"/>
            <w:tcBorders>
              <w:top w:val="nil"/>
              <w:left w:val="single" w:sz="4" w:space="0" w:color="auto"/>
              <w:bottom w:val="single" w:sz="4" w:space="0" w:color="auto"/>
              <w:right w:val="single" w:sz="4" w:space="0" w:color="auto"/>
            </w:tcBorders>
            <w:noWrap/>
            <w:hideMark/>
          </w:tcPr>
          <w:p w14:paraId="7BFF0527" w14:textId="77777777" w:rsidR="00B70FC9" w:rsidRPr="00C5395B" w:rsidRDefault="00B70FC9" w:rsidP="00B70FC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175AC12" w14:textId="3D337356" w:rsidR="00B70FC9" w:rsidRDefault="00B70FC9" w:rsidP="00B70FC9">
            <w:pPr>
              <w:jc w:val="right"/>
              <w:rPr>
                <w:rFonts w:cs="Arial"/>
                <w:b/>
                <w:bCs/>
              </w:rPr>
            </w:pPr>
            <w:r w:rsidRPr="00D919B5">
              <w:rPr>
                <w:rFonts w:cs="Arial"/>
                <w:b/>
                <w:bCs/>
              </w:rPr>
              <w:t>16</w:t>
            </w:r>
          </w:p>
        </w:tc>
        <w:tc>
          <w:tcPr>
            <w:tcW w:w="960" w:type="dxa"/>
            <w:tcBorders>
              <w:top w:val="nil"/>
              <w:left w:val="nil"/>
              <w:bottom w:val="single" w:sz="4" w:space="0" w:color="auto"/>
              <w:right w:val="single" w:sz="4" w:space="0" w:color="auto"/>
            </w:tcBorders>
          </w:tcPr>
          <w:p w14:paraId="1A56EE9B" w14:textId="1873F174" w:rsidR="00B70FC9" w:rsidRPr="00550A24" w:rsidRDefault="00B70FC9" w:rsidP="00B70FC9">
            <w:pPr>
              <w:jc w:val="right"/>
              <w:rPr>
                <w:rFonts w:cs="Arial"/>
                <w:b/>
                <w:bCs/>
              </w:rPr>
            </w:pPr>
            <w:r>
              <w:rPr>
                <w:rFonts w:cs="Arial"/>
                <w:b/>
                <w:bCs/>
              </w:rPr>
              <w:t>32</w:t>
            </w:r>
          </w:p>
        </w:tc>
        <w:tc>
          <w:tcPr>
            <w:tcW w:w="960" w:type="dxa"/>
            <w:tcBorders>
              <w:top w:val="nil"/>
              <w:left w:val="nil"/>
              <w:bottom w:val="single" w:sz="4" w:space="0" w:color="auto"/>
              <w:right w:val="single" w:sz="4" w:space="0" w:color="auto"/>
            </w:tcBorders>
          </w:tcPr>
          <w:p w14:paraId="140C6F67" w14:textId="0B0DAC12" w:rsidR="00B70FC9" w:rsidRPr="00D919B5" w:rsidRDefault="00B70FC9" w:rsidP="00B70FC9">
            <w:pPr>
              <w:jc w:val="right"/>
              <w:rPr>
                <w:rFonts w:cs="Arial"/>
                <w:b/>
                <w:bCs/>
              </w:rPr>
            </w:pPr>
            <w:r>
              <w:rPr>
                <w:rFonts w:cs="Arial"/>
                <w:b/>
                <w:bCs/>
              </w:rPr>
              <w:t>16</w:t>
            </w:r>
          </w:p>
        </w:tc>
        <w:tc>
          <w:tcPr>
            <w:tcW w:w="960" w:type="dxa"/>
            <w:tcBorders>
              <w:top w:val="nil"/>
              <w:left w:val="nil"/>
              <w:bottom w:val="single" w:sz="4" w:space="0" w:color="auto"/>
              <w:right w:val="single" w:sz="4" w:space="0" w:color="auto"/>
            </w:tcBorders>
          </w:tcPr>
          <w:p w14:paraId="3C1A7F26" w14:textId="503CDF40" w:rsidR="00B70FC9" w:rsidRPr="00D919B5" w:rsidRDefault="00B70FC9" w:rsidP="00B70FC9">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5F8CA3E4" w14:textId="78D8CB6C" w:rsidR="00B70FC9" w:rsidRDefault="00545EB6" w:rsidP="00B70FC9">
            <w:pPr>
              <w:jc w:val="right"/>
              <w:rPr>
                <w:rFonts w:cs="Arial"/>
                <w:b/>
                <w:bCs/>
              </w:rPr>
            </w:pPr>
            <w:r>
              <w:rPr>
                <w:rFonts w:cs="Arial"/>
                <w:b/>
                <w:bCs/>
              </w:rPr>
              <w:t>10</w:t>
            </w:r>
          </w:p>
        </w:tc>
      </w:tr>
    </w:tbl>
    <w:p w14:paraId="6DDAB22D" w14:textId="77777777" w:rsidR="00B70FC9" w:rsidRPr="00CF3AF9" w:rsidRDefault="00B70FC9" w:rsidP="00B70FC9">
      <w:pPr>
        <w:ind w:left="-142" w:right="-425"/>
        <w:jc w:val="both"/>
        <w:rPr>
          <w:rFonts w:cs="Arial"/>
        </w:rPr>
      </w:pPr>
    </w:p>
    <w:p w14:paraId="0C44E9B8" w14:textId="207B5029" w:rsidR="004E7166" w:rsidRPr="00076ED0" w:rsidRDefault="004E7166" w:rsidP="00091CFE">
      <w:pPr>
        <w:pStyle w:val="Heading2"/>
      </w:pPr>
      <w:r w:rsidRPr="00076ED0">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1AE5D9A8" w:rsidR="00C029A0" w:rsidRDefault="00B408D8" w:rsidP="00B408D8">
      <w:pPr>
        <w:ind w:left="-142" w:right="-425"/>
        <w:jc w:val="both"/>
        <w:rPr>
          <w:rFonts w:cs="Arial"/>
        </w:rPr>
      </w:pPr>
      <w:r>
        <w:rPr>
          <w:rFonts w:cs="Arial"/>
        </w:rPr>
        <w:t xml:space="preserve">A total of </w:t>
      </w:r>
      <w:r w:rsidR="00446508">
        <w:rPr>
          <w:rFonts w:cs="Arial"/>
        </w:rPr>
        <w:t xml:space="preserve">one </w:t>
      </w:r>
      <w:r w:rsidR="00CA1B19">
        <w:rPr>
          <w:rFonts w:cs="Arial"/>
        </w:rPr>
        <w:t xml:space="preserve">amend/end </w:t>
      </w:r>
      <w:r>
        <w:rPr>
          <w:rFonts w:cs="Arial"/>
        </w:rPr>
        <w:t>application</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906D8C">
        <w:rPr>
          <w:rFonts w:cs="Arial"/>
        </w:rPr>
        <w:t>to end a CIM</w:t>
      </w:r>
      <w:r w:rsidR="008C53B7">
        <w:rPr>
          <w:rFonts w:cs="Arial"/>
        </w:rPr>
        <w:t>)</w:t>
      </w:r>
      <w:r w:rsidR="00906D8C">
        <w:rPr>
          <w:rFonts w:cs="Arial"/>
        </w:rPr>
        <w:t xml:space="preserve"> </w:t>
      </w:r>
      <w:r w:rsidR="00446508">
        <w:rPr>
          <w:rFonts w:cs="Arial"/>
        </w:rPr>
        <w:t xml:space="preserve">was </w:t>
      </w:r>
      <w:r w:rsidR="00CA1B19">
        <w:rPr>
          <w:rFonts w:cs="Arial"/>
        </w:rPr>
        <w:t xml:space="preserve">decided </w:t>
      </w:r>
      <w:r>
        <w:rPr>
          <w:rFonts w:cs="Arial"/>
        </w:rPr>
        <w:t xml:space="preserve">in quarter </w:t>
      </w:r>
      <w:r w:rsidR="000F408B">
        <w:rPr>
          <w:rFonts w:cs="Arial"/>
        </w:rPr>
        <w:t>57</w:t>
      </w:r>
      <w:r w:rsidR="00686C92">
        <w:rPr>
          <w:rFonts w:cs="Arial"/>
        </w:rPr>
        <w:t xml:space="preserve"> with </w:t>
      </w:r>
      <w:r w:rsidR="00446508">
        <w:rPr>
          <w:rFonts w:cs="Arial"/>
        </w:rPr>
        <w:t xml:space="preserve">the </w:t>
      </w:r>
      <w:r w:rsidR="00686C92">
        <w:rPr>
          <w:rFonts w:cs="Arial"/>
        </w:rPr>
        <w:t xml:space="preserve">application </w:t>
      </w:r>
      <w:r w:rsidR="00211380">
        <w:rPr>
          <w:rFonts w:cs="Arial"/>
        </w:rPr>
        <w:t>accepted by the FRC.</w:t>
      </w:r>
    </w:p>
    <w:p w14:paraId="42BB4ECF" w14:textId="77777777" w:rsidR="00C81DF4" w:rsidRDefault="00C81DF4" w:rsidP="00B408D8">
      <w:pPr>
        <w:ind w:left="-142" w:right="-425"/>
        <w:jc w:val="both"/>
        <w:rPr>
          <w:rFonts w:cs="Arial"/>
        </w:rPr>
      </w:pPr>
    </w:p>
    <w:p w14:paraId="44D0AC43" w14:textId="06D00D58" w:rsidR="00B9549C" w:rsidRDefault="008C53B7" w:rsidP="00B408D8">
      <w:pPr>
        <w:ind w:left="-142" w:right="-425"/>
        <w:jc w:val="both"/>
        <w:rPr>
          <w:rFonts w:cs="Arial"/>
        </w:rPr>
      </w:pPr>
      <w:r>
        <w:rPr>
          <w:rFonts w:cs="Arial"/>
        </w:rPr>
        <w:t>N</w:t>
      </w:r>
      <w:r w:rsidR="00446508">
        <w:rPr>
          <w:rFonts w:cs="Arial"/>
        </w:rPr>
        <w:t>ine</w:t>
      </w:r>
      <w:r w:rsidR="00446508"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Pr>
          <w:rFonts w:cs="Arial"/>
        </w:rPr>
        <w:t>s</w:t>
      </w:r>
      <w:r w:rsidR="00464E31">
        <w:rPr>
          <w:rFonts w:cs="Arial"/>
        </w:rPr>
        <w:t xml:space="preserve"> were decided</w:t>
      </w:r>
      <w:r w:rsidR="00211380">
        <w:rPr>
          <w:rFonts w:cs="Arial"/>
        </w:rPr>
        <w:t xml:space="preserve"> in the reporting period with </w:t>
      </w:r>
      <w:r w:rsidR="00A602F4">
        <w:rPr>
          <w:rFonts w:cs="Arial"/>
        </w:rPr>
        <w:t>all</w:t>
      </w:r>
      <w:r w:rsidR="00CB0763">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type of 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3C765D77" w:rsidR="00C029A0" w:rsidRPr="00FB5E8C" w:rsidRDefault="00446508"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8</w:t>
      </w:r>
      <w:r w:rsidR="00A602F4"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A602F4">
        <w:rPr>
          <w:rFonts w:ascii="Verdana" w:hAnsi="Verdana" w:cs="Arial"/>
          <w:sz w:val="20"/>
          <w:szCs w:val="20"/>
        </w:rPr>
        <w:t xml:space="preserve"> and</w:t>
      </w:r>
    </w:p>
    <w:p w14:paraId="76B49A67" w14:textId="57499217" w:rsidR="00E56863"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1 Application was accepted and the voluntary income management agreement amended</w:t>
      </w:r>
      <w:r w:rsidR="007A7B2F">
        <w:rPr>
          <w:rFonts w:ascii="Verdana" w:hAnsi="Verdana" w:cs="Arial"/>
          <w:sz w:val="20"/>
          <w:szCs w:val="20"/>
        </w:rPr>
        <w:t>,</w:t>
      </w:r>
      <w:r w:rsidRPr="00FB5E8C">
        <w:rPr>
          <w:rFonts w:ascii="Verdana" w:hAnsi="Verdana" w:cs="Arial"/>
          <w:sz w:val="20"/>
          <w:szCs w:val="20"/>
        </w:rPr>
        <w:t xml:space="preserve"> reducing </w:t>
      </w:r>
      <w:r w:rsidR="0011612A" w:rsidRPr="00FB5E8C">
        <w:rPr>
          <w:rFonts w:ascii="Verdana" w:hAnsi="Verdana" w:cs="Arial"/>
          <w:sz w:val="20"/>
          <w:szCs w:val="20"/>
        </w:rPr>
        <w:t xml:space="preserve">from </w:t>
      </w:r>
      <w:r w:rsidR="00446508">
        <w:rPr>
          <w:rFonts w:ascii="Verdana" w:hAnsi="Verdana" w:cs="Arial"/>
          <w:sz w:val="20"/>
          <w:szCs w:val="20"/>
        </w:rPr>
        <w:t>75</w:t>
      </w:r>
      <w:r w:rsidR="0011612A" w:rsidRPr="00FB5E8C">
        <w:rPr>
          <w:rFonts w:ascii="Verdana" w:hAnsi="Verdana" w:cs="Arial"/>
          <w:sz w:val="20"/>
          <w:szCs w:val="20"/>
        </w:rPr>
        <w:t>% to 60% for the remaining period of the voluntary agreement</w:t>
      </w:r>
      <w:r w:rsidR="00A602F4">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17" w:name="_Toc222226583"/>
      <w:bookmarkStart w:id="18" w:name="_Toc304386232"/>
      <w:bookmarkStart w:id="19" w:name="_Toc304386309"/>
      <w:bookmarkStart w:id="20" w:name="_Toc306011182"/>
    </w:p>
    <w:p w14:paraId="1024B39C" w14:textId="77777777" w:rsidR="00964C44" w:rsidRDefault="00964C44" w:rsidP="00E77802">
      <w:pPr>
        <w:ind w:left="-142" w:right="-425"/>
        <w:jc w:val="both"/>
      </w:pPr>
    </w:p>
    <w:p w14:paraId="477AE162" w14:textId="77777777" w:rsidR="00477817" w:rsidRDefault="00477817">
      <w:pPr>
        <w:spacing w:line="240" w:lineRule="auto"/>
        <w:rPr>
          <w:rFonts w:cs="Arial"/>
          <w:b/>
          <w:bCs/>
          <w:spacing w:val="-4"/>
          <w:kern w:val="28"/>
        </w:rPr>
      </w:pPr>
      <w:r>
        <w:br w:type="page"/>
      </w:r>
    </w:p>
    <w:p w14:paraId="0CA7602F" w14:textId="7A2062CA" w:rsidR="0013112F" w:rsidRDefault="0013112F" w:rsidP="00091CFE">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315F4639" w:rsidR="0013112F" w:rsidRDefault="0013112F" w:rsidP="0013112F">
      <w:pPr>
        <w:ind w:left="-142"/>
        <w:jc w:val="both"/>
      </w:pPr>
      <w:r w:rsidRPr="006C6A65">
        <w:rPr>
          <w:b/>
          <w:sz w:val="16"/>
          <w:szCs w:val="16"/>
        </w:rPr>
        <w:t xml:space="preserve">Table </w:t>
      </w:r>
      <w:r w:rsidR="00B70FC9">
        <w:rPr>
          <w:b/>
          <w:sz w:val="16"/>
          <w:szCs w:val="16"/>
        </w:rPr>
        <w:t>28</w:t>
      </w:r>
      <w:r w:rsidRPr="006C6A65">
        <w:rPr>
          <w:b/>
          <w:sz w:val="16"/>
          <w:szCs w:val="16"/>
        </w:rPr>
        <w:t>:</w:t>
      </w:r>
      <w:r w:rsidRPr="006C6A65">
        <w:rPr>
          <w:sz w:val="16"/>
          <w:szCs w:val="16"/>
        </w:rPr>
        <w:t xml:space="preserve"> </w:t>
      </w:r>
      <w:r>
        <w:rPr>
          <w:sz w:val="16"/>
          <w:szCs w:val="16"/>
        </w:rPr>
        <w:t xml:space="preserve">FRC client population by gender and age </w:t>
      </w:r>
      <w:r w:rsidR="00F83C14">
        <w:rPr>
          <w:sz w:val="16"/>
          <w:szCs w:val="16"/>
        </w:rPr>
        <w:t xml:space="preserve">1 </w:t>
      </w:r>
      <w:r w:rsidR="000F408B">
        <w:rPr>
          <w:sz w:val="16"/>
          <w:szCs w:val="16"/>
        </w:rPr>
        <w:t>July</w:t>
      </w:r>
      <w:r w:rsidR="00415BC8">
        <w:rPr>
          <w:sz w:val="16"/>
          <w:szCs w:val="16"/>
        </w:rPr>
        <w:t xml:space="preserve"> 2022</w:t>
      </w:r>
      <w:r w:rsidR="00FC7F2E">
        <w:rPr>
          <w:sz w:val="16"/>
          <w:szCs w:val="16"/>
        </w:rPr>
        <w:t xml:space="preserve"> to </w:t>
      </w:r>
      <w:r w:rsidR="00DA70CA">
        <w:rPr>
          <w:sz w:val="16"/>
          <w:szCs w:val="16"/>
        </w:rPr>
        <w:t xml:space="preserve">30 </w:t>
      </w:r>
      <w:r w:rsidR="000F408B">
        <w:rPr>
          <w:sz w:val="16"/>
          <w:szCs w:val="16"/>
        </w:rPr>
        <w:t>September</w:t>
      </w:r>
      <w:r w:rsidR="001A5C4C">
        <w:rPr>
          <w:sz w:val="16"/>
          <w:szCs w:val="16"/>
        </w:rPr>
        <w:t xml:space="preserve"> 2022</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524E0B" w14:paraId="0C5B3812" w14:textId="77777777" w:rsidTr="00925DD5">
        <w:tc>
          <w:tcPr>
            <w:tcW w:w="5127" w:type="dxa"/>
          </w:tcPr>
          <w:p w14:paraId="465196A7" w14:textId="2741AD5F" w:rsidR="00524E0B" w:rsidRDefault="00524E0B" w:rsidP="00524E0B">
            <w:pPr>
              <w:spacing w:line="240" w:lineRule="auto"/>
            </w:pPr>
            <w:r>
              <w:t>Clients for whom a notice was received</w:t>
            </w:r>
            <w:r>
              <w:rPr>
                <w:rStyle w:val="FootnoteReference"/>
              </w:rPr>
              <w:footnoteReference w:id="11"/>
            </w:r>
          </w:p>
        </w:tc>
        <w:tc>
          <w:tcPr>
            <w:tcW w:w="1026" w:type="dxa"/>
            <w:vAlign w:val="center"/>
          </w:tcPr>
          <w:p w14:paraId="430D610E" w14:textId="40659855" w:rsidR="00524E0B" w:rsidRPr="00EF2D65" w:rsidRDefault="00524E0B" w:rsidP="00524E0B">
            <w:pPr>
              <w:spacing w:line="240" w:lineRule="auto"/>
              <w:jc w:val="right"/>
            </w:pPr>
            <w:r>
              <w:rPr>
                <w:rFonts w:cs="Arial"/>
              </w:rPr>
              <w:t>348</w:t>
            </w:r>
          </w:p>
        </w:tc>
        <w:tc>
          <w:tcPr>
            <w:tcW w:w="875" w:type="dxa"/>
            <w:vAlign w:val="center"/>
          </w:tcPr>
          <w:p w14:paraId="73512E80" w14:textId="1491C13C" w:rsidR="00524E0B" w:rsidRPr="00EF2D65" w:rsidRDefault="00524E0B" w:rsidP="00524E0B">
            <w:pPr>
              <w:spacing w:line="240" w:lineRule="auto"/>
              <w:jc w:val="right"/>
            </w:pPr>
            <w:r>
              <w:rPr>
                <w:rFonts w:cs="Arial"/>
              </w:rPr>
              <w:t>195</w:t>
            </w:r>
          </w:p>
        </w:tc>
        <w:tc>
          <w:tcPr>
            <w:tcW w:w="463" w:type="dxa"/>
            <w:vAlign w:val="center"/>
          </w:tcPr>
          <w:p w14:paraId="0C71CB3B" w14:textId="2EA4009C" w:rsidR="00524E0B" w:rsidRPr="00EF2D65" w:rsidRDefault="00524E0B" w:rsidP="00524E0B">
            <w:pPr>
              <w:spacing w:line="240" w:lineRule="auto"/>
              <w:jc w:val="right"/>
            </w:pPr>
          </w:p>
        </w:tc>
        <w:tc>
          <w:tcPr>
            <w:tcW w:w="1140" w:type="dxa"/>
            <w:vAlign w:val="center"/>
          </w:tcPr>
          <w:p w14:paraId="048E4B1D" w14:textId="07F28067" w:rsidR="00524E0B" w:rsidRPr="00EF2D65" w:rsidRDefault="00524E0B" w:rsidP="00524E0B">
            <w:pPr>
              <w:spacing w:line="240" w:lineRule="auto"/>
              <w:jc w:val="right"/>
            </w:pPr>
            <w:r>
              <w:rPr>
                <w:rFonts w:cs="Arial"/>
              </w:rPr>
              <w:t>38</w:t>
            </w:r>
          </w:p>
        </w:tc>
        <w:tc>
          <w:tcPr>
            <w:tcW w:w="1140" w:type="dxa"/>
            <w:vAlign w:val="center"/>
          </w:tcPr>
          <w:p w14:paraId="61E43F3F" w14:textId="7D349F72" w:rsidR="00524E0B" w:rsidRPr="00EF2D65" w:rsidRDefault="00524E0B" w:rsidP="00524E0B">
            <w:pPr>
              <w:spacing w:line="240" w:lineRule="auto"/>
              <w:jc w:val="right"/>
            </w:pPr>
            <w:r>
              <w:rPr>
                <w:rFonts w:cs="Arial"/>
              </w:rPr>
              <w:t>38</w:t>
            </w:r>
          </w:p>
        </w:tc>
      </w:tr>
      <w:tr w:rsidR="00524E0B" w14:paraId="0C43D4D1" w14:textId="77777777" w:rsidTr="00925DD5">
        <w:tc>
          <w:tcPr>
            <w:tcW w:w="5127" w:type="dxa"/>
          </w:tcPr>
          <w:p w14:paraId="2282B866" w14:textId="484D223C" w:rsidR="00524E0B" w:rsidRDefault="00524E0B" w:rsidP="00524E0B">
            <w:pPr>
              <w:spacing w:line="240" w:lineRule="auto"/>
            </w:pPr>
            <w:r>
              <w:t>Clients conferenced</w:t>
            </w:r>
            <w:r>
              <w:rPr>
                <w:rStyle w:val="FootnoteReference"/>
              </w:rPr>
              <w:footnoteReference w:id="12"/>
            </w:r>
          </w:p>
        </w:tc>
        <w:tc>
          <w:tcPr>
            <w:tcW w:w="1026" w:type="dxa"/>
            <w:vAlign w:val="center"/>
          </w:tcPr>
          <w:p w14:paraId="0BE8DAD4" w14:textId="36AED1CC" w:rsidR="00524E0B" w:rsidRPr="00143912" w:rsidRDefault="00524E0B" w:rsidP="00524E0B">
            <w:pPr>
              <w:spacing w:line="240" w:lineRule="auto"/>
              <w:jc w:val="right"/>
            </w:pPr>
            <w:r>
              <w:rPr>
                <w:rFonts w:cs="Arial"/>
              </w:rPr>
              <w:t>156</w:t>
            </w:r>
          </w:p>
        </w:tc>
        <w:tc>
          <w:tcPr>
            <w:tcW w:w="875" w:type="dxa"/>
            <w:vAlign w:val="center"/>
          </w:tcPr>
          <w:p w14:paraId="7F1FAC36" w14:textId="6BB33F05" w:rsidR="00524E0B" w:rsidRPr="00143912" w:rsidRDefault="00524E0B" w:rsidP="00524E0B">
            <w:pPr>
              <w:spacing w:line="240" w:lineRule="auto"/>
              <w:jc w:val="right"/>
            </w:pPr>
            <w:r>
              <w:rPr>
                <w:rFonts w:cs="Arial"/>
              </w:rPr>
              <w:t>87</w:t>
            </w:r>
          </w:p>
        </w:tc>
        <w:tc>
          <w:tcPr>
            <w:tcW w:w="463" w:type="dxa"/>
            <w:vAlign w:val="center"/>
          </w:tcPr>
          <w:p w14:paraId="7D1E9278" w14:textId="397F7627" w:rsidR="00524E0B" w:rsidRPr="00EF2D65" w:rsidRDefault="00524E0B" w:rsidP="00524E0B">
            <w:pPr>
              <w:spacing w:line="240" w:lineRule="auto"/>
              <w:jc w:val="right"/>
            </w:pPr>
          </w:p>
        </w:tc>
        <w:tc>
          <w:tcPr>
            <w:tcW w:w="1140" w:type="dxa"/>
            <w:vAlign w:val="center"/>
          </w:tcPr>
          <w:p w14:paraId="18E5F35E" w14:textId="66D5C2CF" w:rsidR="00524E0B" w:rsidRPr="00143912" w:rsidRDefault="00524E0B" w:rsidP="00524E0B">
            <w:pPr>
              <w:spacing w:line="240" w:lineRule="auto"/>
              <w:jc w:val="right"/>
            </w:pPr>
            <w:r>
              <w:rPr>
                <w:rFonts w:cs="Arial"/>
              </w:rPr>
              <w:t>37</w:t>
            </w:r>
          </w:p>
        </w:tc>
        <w:tc>
          <w:tcPr>
            <w:tcW w:w="1140" w:type="dxa"/>
            <w:vAlign w:val="center"/>
          </w:tcPr>
          <w:p w14:paraId="48B614AC" w14:textId="319F7CB5" w:rsidR="00524E0B" w:rsidRPr="00143912" w:rsidRDefault="00524E0B" w:rsidP="00524E0B">
            <w:pPr>
              <w:spacing w:line="240" w:lineRule="auto"/>
              <w:jc w:val="right"/>
            </w:pPr>
            <w:r>
              <w:rPr>
                <w:rFonts w:cs="Arial"/>
              </w:rPr>
              <w:t>37</w:t>
            </w:r>
          </w:p>
        </w:tc>
      </w:tr>
      <w:tr w:rsidR="00524E0B" w14:paraId="4205C91F" w14:textId="77777777" w:rsidTr="00925DD5">
        <w:tc>
          <w:tcPr>
            <w:tcW w:w="5127" w:type="dxa"/>
          </w:tcPr>
          <w:p w14:paraId="2820947A" w14:textId="0B2D1E31" w:rsidR="00524E0B" w:rsidRDefault="00524E0B" w:rsidP="00524E0B">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5685A0B2" w:rsidR="00524E0B" w:rsidRPr="00143912" w:rsidRDefault="00524E0B" w:rsidP="00524E0B">
            <w:pPr>
              <w:spacing w:line="240" w:lineRule="auto"/>
              <w:jc w:val="right"/>
            </w:pPr>
            <w:r>
              <w:rPr>
                <w:rFonts w:cs="Arial"/>
              </w:rPr>
              <w:t>65</w:t>
            </w:r>
          </w:p>
        </w:tc>
        <w:tc>
          <w:tcPr>
            <w:tcW w:w="875" w:type="dxa"/>
            <w:vAlign w:val="center"/>
          </w:tcPr>
          <w:p w14:paraId="09F9C19D" w14:textId="5F72AC7F" w:rsidR="00524E0B" w:rsidRPr="00143912" w:rsidRDefault="00524E0B" w:rsidP="00524E0B">
            <w:pPr>
              <w:spacing w:line="240" w:lineRule="auto"/>
              <w:jc w:val="right"/>
            </w:pPr>
            <w:r>
              <w:rPr>
                <w:rFonts w:cs="Arial"/>
              </w:rPr>
              <w:t>30</w:t>
            </w:r>
          </w:p>
        </w:tc>
        <w:tc>
          <w:tcPr>
            <w:tcW w:w="463" w:type="dxa"/>
            <w:vAlign w:val="center"/>
          </w:tcPr>
          <w:p w14:paraId="4D854BAC" w14:textId="77F78DC8" w:rsidR="00524E0B" w:rsidRPr="00EF2D65" w:rsidRDefault="00524E0B" w:rsidP="00524E0B">
            <w:pPr>
              <w:spacing w:line="240" w:lineRule="auto"/>
              <w:jc w:val="right"/>
            </w:pPr>
          </w:p>
        </w:tc>
        <w:tc>
          <w:tcPr>
            <w:tcW w:w="1140" w:type="dxa"/>
            <w:vAlign w:val="center"/>
          </w:tcPr>
          <w:p w14:paraId="0DB4E2B3" w14:textId="4E7FE8BF" w:rsidR="00524E0B" w:rsidRPr="00143912" w:rsidRDefault="00524E0B" w:rsidP="00524E0B">
            <w:pPr>
              <w:spacing w:line="240" w:lineRule="auto"/>
              <w:jc w:val="right"/>
            </w:pPr>
            <w:r>
              <w:rPr>
                <w:rFonts w:cs="Arial"/>
              </w:rPr>
              <w:t>37</w:t>
            </w:r>
          </w:p>
        </w:tc>
        <w:tc>
          <w:tcPr>
            <w:tcW w:w="1140" w:type="dxa"/>
            <w:vAlign w:val="center"/>
          </w:tcPr>
          <w:p w14:paraId="6F699F00" w14:textId="1C10BBAF" w:rsidR="00524E0B" w:rsidRPr="00143912" w:rsidRDefault="00524E0B" w:rsidP="00524E0B">
            <w:pPr>
              <w:spacing w:line="240" w:lineRule="auto"/>
              <w:jc w:val="right"/>
            </w:pPr>
            <w:r>
              <w:rPr>
                <w:rFonts w:cs="Arial"/>
              </w:rPr>
              <w:t>35</w:t>
            </w:r>
          </w:p>
        </w:tc>
      </w:tr>
      <w:tr w:rsidR="00524E0B" w14:paraId="70BB454E" w14:textId="77777777" w:rsidTr="00A242DD">
        <w:tc>
          <w:tcPr>
            <w:tcW w:w="5127" w:type="dxa"/>
          </w:tcPr>
          <w:p w14:paraId="5B5E85C7" w14:textId="7C85BD17" w:rsidR="00524E0B" w:rsidRPr="00C6538C" w:rsidRDefault="00524E0B" w:rsidP="00524E0B">
            <w:pPr>
              <w:spacing w:line="240" w:lineRule="auto"/>
            </w:pPr>
            <w:r w:rsidRPr="00423006">
              <w:t>Clients placed on CIM</w:t>
            </w:r>
            <w:r w:rsidRPr="00C6538C">
              <w:rPr>
                <w:rStyle w:val="FootnoteReference"/>
              </w:rPr>
              <w:footnoteReference w:id="14"/>
            </w:r>
          </w:p>
        </w:tc>
        <w:tc>
          <w:tcPr>
            <w:tcW w:w="1026" w:type="dxa"/>
            <w:vAlign w:val="center"/>
          </w:tcPr>
          <w:p w14:paraId="543F073F" w14:textId="4D506A30" w:rsidR="00524E0B" w:rsidRPr="00143912" w:rsidRDefault="00524E0B" w:rsidP="00524E0B">
            <w:pPr>
              <w:spacing w:line="240" w:lineRule="auto"/>
              <w:jc w:val="right"/>
              <w:rPr>
                <w:rFonts w:cs="Arial"/>
              </w:rPr>
            </w:pPr>
            <w:r>
              <w:rPr>
                <w:rFonts w:cs="Arial"/>
              </w:rPr>
              <w:t>10</w:t>
            </w:r>
          </w:p>
        </w:tc>
        <w:tc>
          <w:tcPr>
            <w:tcW w:w="875" w:type="dxa"/>
            <w:vAlign w:val="center"/>
          </w:tcPr>
          <w:p w14:paraId="1105ED08" w14:textId="21069C6A" w:rsidR="00524E0B" w:rsidRPr="00143912" w:rsidRDefault="00524E0B" w:rsidP="00524E0B">
            <w:pPr>
              <w:spacing w:line="240" w:lineRule="auto"/>
              <w:jc w:val="right"/>
              <w:rPr>
                <w:rFonts w:cs="Arial"/>
              </w:rPr>
            </w:pPr>
            <w:r>
              <w:rPr>
                <w:rFonts w:cs="Arial"/>
              </w:rPr>
              <w:t>3</w:t>
            </w:r>
          </w:p>
        </w:tc>
        <w:tc>
          <w:tcPr>
            <w:tcW w:w="463" w:type="dxa"/>
            <w:vAlign w:val="center"/>
          </w:tcPr>
          <w:p w14:paraId="2B630A06" w14:textId="4DFE1F0E" w:rsidR="00524E0B" w:rsidRPr="00EF2D65" w:rsidRDefault="00524E0B" w:rsidP="00524E0B">
            <w:pPr>
              <w:spacing w:line="240" w:lineRule="auto"/>
              <w:jc w:val="right"/>
              <w:rPr>
                <w:rFonts w:cs="Arial"/>
              </w:rPr>
            </w:pPr>
          </w:p>
        </w:tc>
        <w:tc>
          <w:tcPr>
            <w:tcW w:w="1140" w:type="dxa"/>
            <w:vAlign w:val="center"/>
          </w:tcPr>
          <w:p w14:paraId="118451EA" w14:textId="48FCE950" w:rsidR="00524E0B" w:rsidRPr="00143912" w:rsidRDefault="00524E0B" w:rsidP="00524E0B">
            <w:pPr>
              <w:spacing w:line="240" w:lineRule="auto"/>
              <w:jc w:val="right"/>
              <w:rPr>
                <w:rFonts w:cs="Arial"/>
              </w:rPr>
            </w:pPr>
            <w:r>
              <w:rPr>
                <w:rFonts w:cs="Arial"/>
              </w:rPr>
              <w:t>38</w:t>
            </w:r>
          </w:p>
        </w:tc>
        <w:tc>
          <w:tcPr>
            <w:tcW w:w="1140" w:type="dxa"/>
            <w:vAlign w:val="center"/>
          </w:tcPr>
          <w:p w14:paraId="1C47274C" w14:textId="298F7981" w:rsidR="00524E0B" w:rsidRPr="00143912" w:rsidRDefault="00524E0B" w:rsidP="00524E0B">
            <w:pPr>
              <w:spacing w:line="240" w:lineRule="auto"/>
              <w:jc w:val="right"/>
              <w:rPr>
                <w:rFonts w:cs="Arial"/>
              </w:rPr>
            </w:pPr>
            <w:r>
              <w:rPr>
                <w:rFonts w:cs="Arial"/>
              </w:rPr>
              <w:t>27</w:t>
            </w:r>
          </w:p>
        </w:tc>
      </w:tr>
      <w:tr w:rsidR="00524E0B" w14:paraId="5BC6E4C0" w14:textId="77777777" w:rsidTr="00DB33CA">
        <w:tc>
          <w:tcPr>
            <w:tcW w:w="5127" w:type="dxa"/>
          </w:tcPr>
          <w:p w14:paraId="1F3A9B4D" w14:textId="68F637B4" w:rsidR="00524E0B" w:rsidRDefault="00524E0B" w:rsidP="00524E0B">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15AB5458" w:rsidR="00524E0B" w:rsidRPr="00143912" w:rsidRDefault="00524E0B" w:rsidP="00524E0B">
            <w:pPr>
              <w:spacing w:line="240" w:lineRule="auto"/>
              <w:jc w:val="right"/>
            </w:pPr>
            <w:r>
              <w:rPr>
                <w:rFonts w:cs="Arial"/>
              </w:rPr>
              <w:t>4</w:t>
            </w:r>
          </w:p>
        </w:tc>
        <w:tc>
          <w:tcPr>
            <w:tcW w:w="875" w:type="dxa"/>
            <w:vAlign w:val="center"/>
          </w:tcPr>
          <w:p w14:paraId="7B755D8C" w14:textId="68CF7288" w:rsidR="00524E0B" w:rsidRPr="00143912" w:rsidRDefault="00524E0B" w:rsidP="00524E0B">
            <w:pPr>
              <w:spacing w:line="240" w:lineRule="auto"/>
              <w:jc w:val="right"/>
            </w:pPr>
            <w:r>
              <w:rPr>
                <w:rFonts w:cs="Arial"/>
              </w:rPr>
              <w:t>5</w:t>
            </w:r>
          </w:p>
        </w:tc>
        <w:tc>
          <w:tcPr>
            <w:tcW w:w="463" w:type="dxa"/>
            <w:vAlign w:val="center"/>
          </w:tcPr>
          <w:p w14:paraId="6092C81B" w14:textId="1737C7E0" w:rsidR="00524E0B" w:rsidRPr="00EF2D65" w:rsidRDefault="00524E0B" w:rsidP="00524E0B">
            <w:pPr>
              <w:spacing w:line="240" w:lineRule="auto"/>
              <w:jc w:val="right"/>
            </w:pPr>
          </w:p>
        </w:tc>
        <w:tc>
          <w:tcPr>
            <w:tcW w:w="1140" w:type="dxa"/>
            <w:vAlign w:val="center"/>
          </w:tcPr>
          <w:p w14:paraId="7A13A493" w14:textId="003522BC" w:rsidR="00524E0B" w:rsidRPr="00143912" w:rsidRDefault="00524E0B" w:rsidP="00524E0B">
            <w:pPr>
              <w:spacing w:line="240" w:lineRule="auto"/>
              <w:jc w:val="right"/>
            </w:pPr>
            <w:r>
              <w:rPr>
                <w:rFonts w:cs="Arial"/>
              </w:rPr>
              <w:t>43</w:t>
            </w:r>
          </w:p>
        </w:tc>
        <w:tc>
          <w:tcPr>
            <w:tcW w:w="1140" w:type="dxa"/>
            <w:vAlign w:val="center"/>
          </w:tcPr>
          <w:p w14:paraId="5E9D8367" w14:textId="118223BF" w:rsidR="00524E0B" w:rsidRPr="00143912" w:rsidRDefault="00524E0B" w:rsidP="00524E0B">
            <w:pPr>
              <w:spacing w:line="240" w:lineRule="auto"/>
              <w:jc w:val="right"/>
            </w:pPr>
            <w:r>
              <w:rPr>
                <w:rFonts w:cs="Arial"/>
              </w:rPr>
              <w:t>45</w:t>
            </w:r>
          </w:p>
        </w:tc>
      </w:tr>
      <w:tr w:rsidR="00524E0B" w14:paraId="323DBB29" w14:textId="77777777" w:rsidTr="00DB33CA">
        <w:tc>
          <w:tcPr>
            <w:tcW w:w="5127" w:type="dxa"/>
          </w:tcPr>
          <w:p w14:paraId="2B63FDBC" w14:textId="0B2D08D4" w:rsidR="00524E0B" w:rsidRDefault="00524E0B" w:rsidP="00524E0B">
            <w:pPr>
              <w:spacing w:line="240" w:lineRule="auto"/>
            </w:pPr>
            <w:r w:rsidRPr="00EB1F9E">
              <w:t>Clients who chose to participate in VIM</w:t>
            </w:r>
            <w:r>
              <w:rPr>
                <w:rStyle w:val="FootnoteReference"/>
              </w:rPr>
              <w:footnoteReference w:id="16"/>
            </w:r>
          </w:p>
        </w:tc>
        <w:tc>
          <w:tcPr>
            <w:tcW w:w="1026" w:type="dxa"/>
            <w:vAlign w:val="center"/>
          </w:tcPr>
          <w:p w14:paraId="3609E59F" w14:textId="7969BEF1" w:rsidR="00524E0B" w:rsidRPr="00143912" w:rsidRDefault="00524E0B" w:rsidP="00524E0B">
            <w:pPr>
              <w:spacing w:line="240" w:lineRule="auto"/>
              <w:jc w:val="right"/>
              <w:rPr>
                <w:rFonts w:cs="Arial"/>
              </w:rPr>
            </w:pPr>
            <w:r>
              <w:rPr>
                <w:rFonts w:cs="Arial"/>
              </w:rPr>
              <w:t>20</w:t>
            </w:r>
          </w:p>
        </w:tc>
        <w:tc>
          <w:tcPr>
            <w:tcW w:w="875" w:type="dxa"/>
            <w:vAlign w:val="center"/>
          </w:tcPr>
          <w:p w14:paraId="34BAD3D0" w14:textId="68CF2733" w:rsidR="00524E0B" w:rsidRPr="00143912" w:rsidRDefault="00524E0B" w:rsidP="00524E0B">
            <w:pPr>
              <w:spacing w:line="240" w:lineRule="auto"/>
              <w:jc w:val="right"/>
              <w:rPr>
                <w:rFonts w:cs="Arial"/>
              </w:rPr>
            </w:pPr>
            <w:r>
              <w:rPr>
                <w:rFonts w:cs="Arial"/>
              </w:rPr>
              <w:t>10</w:t>
            </w:r>
          </w:p>
        </w:tc>
        <w:tc>
          <w:tcPr>
            <w:tcW w:w="463" w:type="dxa"/>
            <w:vAlign w:val="center"/>
          </w:tcPr>
          <w:p w14:paraId="7E5C9E3D" w14:textId="7D460166" w:rsidR="00524E0B" w:rsidRPr="00EF2D65" w:rsidRDefault="00524E0B" w:rsidP="00524E0B">
            <w:pPr>
              <w:spacing w:line="240" w:lineRule="auto"/>
              <w:jc w:val="right"/>
            </w:pPr>
          </w:p>
        </w:tc>
        <w:tc>
          <w:tcPr>
            <w:tcW w:w="1140" w:type="dxa"/>
            <w:vAlign w:val="center"/>
          </w:tcPr>
          <w:p w14:paraId="422F7588" w14:textId="48A218A0" w:rsidR="00524E0B" w:rsidRPr="00143912" w:rsidRDefault="00524E0B" w:rsidP="00524E0B">
            <w:pPr>
              <w:spacing w:line="240" w:lineRule="auto"/>
              <w:jc w:val="right"/>
              <w:rPr>
                <w:rFonts w:cs="Arial"/>
              </w:rPr>
            </w:pPr>
            <w:r>
              <w:rPr>
                <w:rFonts w:cs="Arial"/>
              </w:rPr>
              <w:t>42</w:t>
            </w:r>
          </w:p>
        </w:tc>
        <w:tc>
          <w:tcPr>
            <w:tcW w:w="1140" w:type="dxa"/>
            <w:vAlign w:val="center"/>
          </w:tcPr>
          <w:p w14:paraId="31BCC77C" w14:textId="0D9789DA" w:rsidR="00524E0B" w:rsidRPr="00143912" w:rsidRDefault="00524E0B" w:rsidP="00524E0B">
            <w:pPr>
              <w:spacing w:line="240" w:lineRule="auto"/>
              <w:jc w:val="right"/>
              <w:rPr>
                <w:rFonts w:cs="Arial"/>
              </w:rPr>
            </w:pPr>
            <w:r>
              <w:rPr>
                <w:rFonts w:cs="Arial"/>
              </w:rPr>
              <w:t>45</w:t>
            </w:r>
          </w:p>
        </w:tc>
      </w:tr>
      <w:tr w:rsidR="00524E0B" w14:paraId="444AB815" w14:textId="77777777" w:rsidTr="00DB33CA">
        <w:tc>
          <w:tcPr>
            <w:tcW w:w="5127" w:type="dxa"/>
          </w:tcPr>
          <w:p w14:paraId="018D049C" w14:textId="2D915E58" w:rsidR="00524E0B" w:rsidRPr="00423006" w:rsidRDefault="00524E0B" w:rsidP="00524E0B">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6E1FAEE9" w:rsidR="00524E0B" w:rsidRPr="00143912" w:rsidRDefault="00524E0B" w:rsidP="00524E0B">
            <w:pPr>
              <w:spacing w:line="240" w:lineRule="auto"/>
              <w:jc w:val="right"/>
              <w:rPr>
                <w:rFonts w:cs="Arial"/>
              </w:rPr>
            </w:pPr>
            <w:r>
              <w:rPr>
                <w:rFonts w:cs="Arial"/>
              </w:rPr>
              <w:t>5</w:t>
            </w:r>
          </w:p>
        </w:tc>
        <w:tc>
          <w:tcPr>
            <w:tcW w:w="875" w:type="dxa"/>
            <w:vAlign w:val="center"/>
          </w:tcPr>
          <w:p w14:paraId="215C10C8" w14:textId="50860340" w:rsidR="00524E0B" w:rsidRPr="00143912" w:rsidRDefault="00524E0B" w:rsidP="00524E0B">
            <w:pPr>
              <w:spacing w:line="240" w:lineRule="auto"/>
              <w:jc w:val="right"/>
              <w:rPr>
                <w:rFonts w:cs="Arial"/>
              </w:rPr>
            </w:pPr>
            <w:r>
              <w:rPr>
                <w:rFonts w:cs="Arial"/>
              </w:rPr>
              <w:t>5</w:t>
            </w:r>
          </w:p>
        </w:tc>
        <w:tc>
          <w:tcPr>
            <w:tcW w:w="463" w:type="dxa"/>
            <w:vAlign w:val="center"/>
          </w:tcPr>
          <w:p w14:paraId="63FC96B1" w14:textId="02392BC7" w:rsidR="00524E0B" w:rsidRPr="00EF2D65" w:rsidRDefault="00524E0B" w:rsidP="00524E0B">
            <w:pPr>
              <w:spacing w:line="240" w:lineRule="auto"/>
              <w:jc w:val="right"/>
            </w:pPr>
          </w:p>
        </w:tc>
        <w:tc>
          <w:tcPr>
            <w:tcW w:w="1140" w:type="dxa"/>
            <w:vAlign w:val="center"/>
          </w:tcPr>
          <w:p w14:paraId="6C2DF82D" w14:textId="09902014" w:rsidR="00524E0B" w:rsidRPr="00143912" w:rsidRDefault="00524E0B" w:rsidP="00524E0B">
            <w:pPr>
              <w:spacing w:line="240" w:lineRule="auto"/>
              <w:jc w:val="right"/>
              <w:rPr>
                <w:rFonts w:cs="Arial"/>
              </w:rPr>
            </w:pPr>
            <w:r>
              <w:rPr>
                <w:rFonts w:cs="Arial"/>
              </w:rPr>
              <w:t>40</w:t>
            </w:r>
          </w:p>
        </w:tc>
        <w:tc>
          <w:tcPr>
            <w:tcW w:w="1140" w:type="dxa"/>
            <w:vAlign w:val="center"/>
          </w:tcPr>
          <w:p w14:paraId="3A96BFD9" w14:textId="792B555C" w:rsidR="00524E0B" w:rsidRPr="00143912" w:rsidRDefault="00524E0B" w:rsidP="00524E0B">
            <w:pPr>
              <w:spacing w:line="240" w:lineRule="auto"/>
              <w:jc w:val="right"/>
              <w:rPr>
                <w:rFonts w:cs="Arial"/>
              </w:rPr>
            </w:pPr>
            <w:r>
              <w:rPr>
                <w:rFonts w:cs="Arial"/>
              </w:rPr>
              <w:t>59</w:t>
            </w:r>
          </w:p>
        </w:tc>
      </w:tr>
    </w:tbl>
    <w:p w14:paraId="0E8FF706" w14:textId="78D57602" w:rsidR="003C5234" w:rsidRPr="00C029A0" w:rsidRDefault="003C5234" w:rsidP="00C029A0">
      <w:pPr>
        <w:spacing w:line="240" w:lineRule="auto"/>
        <w:ind w:left="-142" w:right="-425"/>
        <w:jc w:val="both"/>
      </w:pPr>
    </w:p>
    <w:p w14:paraId="0EE0119D" w14:textId="06837E45" w:rsidR="00F500CF" w:rsidRPr="00F500CF" w:rsidRDefault="00F500CF" w:rsidP="00091CFE">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2596C64E"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786</w:t>
      </w:r>
      <w:r w:rsidR="00587B7C" w:rsidRPr="008E7494">
        <w:t xml:space="preserve"> </w:t>
      </w:r>
      <w:r w:rsidR="00F500CF" w:rsidRPr="008E7494">
        <w:t xml:space="preserve">people as at 30 June </w:t>
      </w:r>
      <w:bookmarkStart w:id="21" w:name="_Ref362343764"/>
      <w:bookmarkStart w:id="22" w:name="_Ref459716764"/>
      <w:r w:rsidR="00F500CF" w:rsidRPr="008E7494">
        <w:t>20</w:t>
      </w:r>
      <w:r w:rsidR="00C673E7">
        <w:t>2</w:t>
      </w:r>
      <w:r w:rsidR="00587B7C">
        <w:t>1</w:t>
      </w:r>
      <w:bookmarkStart w:id="23" w:name="_Ref64367928"/>
      <w:r w:rsidR="00F500CF" w:rsidRPr="00F500CF">
        <w:rPr>
          <w:vertAlign w:val="superscript"/>
        </w:rPr>
        <w:footnoteReference w:id="18"/>
      </w:r>
      <w:bookmarkEnd w:id="21"/>
      <w:bookmarkEnd w:id="22"/>
      <w:bookmarkEnd w:id="23"/>
      <w:r w:rsidR="00F500CF" w:rsidRPr="00F500CF">
        <w:rPr>
          <w:vertAlign w:val="superscript"/>
        </w:rPr>
        <w:t>,</w:t>
      </w:r>
      <w:bookmarkStart w:id="24" w:name="_Ref459716829"/>
      <w:r w:rsidR="00F500CF" w:rsidRPr="00F500CF">
        <w:rPr>
          <w:vertAlign w:val="superscript"/>
        </w:rPr>
        <w:footnoteReference w:id="19"/>
      </w:r>
      <w:bookmarkEnd w:id="24"/>
      <w:r w:rsidR="00F500CF" w:rsidRPr="008E7494">
        <w:t>.</w:t>
      </w:r>
    </w:p>
    <w:p w14:paraId="1D1F7E14" w14:textId="77777777" w:rsidR="00F500CF" w:rsidRDefault="00F500CF" w:rsidP="00EC14C1">
      <w:pPr>
        <w:spacing w:line="240" w:lineRule="auto"/>
        <w:ind w:left="-142" w:right="-425"/>
        <w:jc w:val="both"/>
      </w:pPr>
    </w:p>
    <w:p w14:paraId="5C34875A" w14:textId="68446F4C"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5" w:name="_Ref459717187"/>
      <w:r w:rsidR="00587B7C">
        <w:t>182</w:t>
      </w:r>
      <w:r w:rsidR="00587B7C" w:rsidRPr="008E7494">
        <w:t xml:space="preserve"> </w:t>
      </w:r>
      <w:r w:rsidR="00F500CF" w:rsidRPr="008E7494">
        <w:t>people as at 30 June 20</w:t>
      </w:r>
      <w:r w:rsidR="00C673E7">
        <w:t>2</w:t>
      </w:r>
      <w:r w:rsidR="00587B7C">
        <w:t>1</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5B0C2D">
        <w:rPr>
          <w:vertAlign w:val="superscript"/>
        </w:rPr>
        <w:t>17</w:t>
      </w:r>
      <w:r w:rsidR="003D357C">
        <w:rPr>
          <w:vertAlign w:val="superscript"/>
        </w:rPr>
        <w:fldChar w:fldCharType="end"/>
      </w:r>
      <w:r w:rsidR="00F500CF" w:rsidRPr="00F500CF">
        <w:rPr>
          <w:vertAlign w:val="superscript"/>
        </w:rPr>
        <w:t>,</w:t>
      </w:r>
      <w:bookmarkStart w:id="26" w:name="_Ref74754871"/>
      <w:r w:rsidR="00F500CF" w:rsidRPr="00F500CF">
        <w:rPr>
          <w:vertAlign w:val="superscript"/>
        </w:rPr>
        <w:footnoteReference w:id="20"/>
      </w:r>
      <w:bookmarkEnd w:id="25"/>
      <w:bookmarkEnd w:id="26"/>
      <w:r w:rsidR="00F500CF" w:rsidRPr="008E7494">
        <w:t>.</w:t>
      </w:r>
    </w:p>
    <w:p w14:paraId="6639697A" w14:textId="77777777" w:rsidR="00F500CF" w:rsidRDefault="00F500CF" w:rsidP="00EC14C1">
      <w:pPr>
        <w:spacing w:line="240" w:lineRule="auto"/>
        <w:ind w:left="-142" w:right="-425"/>
        <w:jc w:val="both"/>
      </w:pPr>
    </w:p>
    <w:p w14:paraId="439048BC" w14:textId="72F7567D"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933</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B0C2D">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B0C2D">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4083FE8E"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660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B0C2D">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B0C2D">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2052D7A6"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B0C2D">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27" w:name="_Toc39657992"/>
      <w:r w:rsidRPr="00E34093">
        <w:lastRenderedPageBreak/>
        <w:t>2.  Future Direction</w:t>
      </w:r>
      <w:bookmarkEnd w:id="17"/>
      <w:bookmarkEnd w:id="18"/>
      <w:bookmarkEnd w:id="19"/>
      <w:bookmarkEnd w:id="20"/>
      <w:r w:rsidRPr="00E34093">
        <w:t xml:space="preserve"> and Challenges</w:t>
      </w:r>
      <w:bookmarkEnd w:id="27"/>
    </w:p>
    <w:p w14:paraId="66A68EAB" w14:textId="1D2F2EAE" w:rsidR="005A5B78" w:rsidRDefault="005A5B78" w:rsidP="005A5B78">
      <w:pPr>
        <w:ind w:left="-142" w:right="-425"/>
        <w:jc w:val="both"/>
        <w:rPr>
          <w:rFonts w:cs="Arial"/>
          <w:b/>
          <w:sz w:val="16"/>
          <w:szCs w:val="16"/>
        </w:rPr>
      </w:pPr>
    </w:p>
    <w:p w14:paraId="10EC529D" w14:textId="49C4F2B3" w:rsidR="000C1478" w:rsidRPr="009A1196" w:rsidRDefault="000C1478" w:rsidP="000C1478">
      <w:pPr>
        <w:ind w:left="-142" w:right="-425"/>
        <w:jc w:val="both"/>
        <w:rPr>
          <w:rFonts w:cs="Arial"/>
          <w:b/>
          <w:bCs/>
        </w:rPr>
      </w:pPr>
      <w:r w:rsidRPr="009A1196">
        <w:rPr>
          <w:rFonts w:cs="Arial"/>
          <w:b/>
          <w:bCs/>
        </w:rPr>
        <w:t>Repeal of the Cashless Debit Card</w:t>
      </w:r>
    </w:p>
    <w:p w14:paraId="5C098599" w14:textId="6D385460" w:rsidR="000C1478" w:rsidRDefault="00AC7151" w:rsidP="0006102A">
      <w:pPr>
        <w:ind w:left="-142" w:right="-425"/>
        <w:jc w:val="both"/>
        <w:rPr>
          <w:rFonts w:cs="Arial"/>
          <w:lang w:val="en-US"/>
        </w:rPr>
      </w:pPr>
      <w:r>
        <w:rPr>
          <w:rFonts w:cs="Arial"/>
        </w:rPr>
        <w:t>A priority</w:t>
      </w:r>
      <w:r w:rsidR="0006102A">
        <w:rPr>
          <w:rFonts w:cs="Arial"/>
        </w:rPr>
        <w:t xml:space="preserve"> focus</w:t>
      </w:r>
      <w:r>
        <w:rPr>
          <w:rFonts w:cs="Arial"/>
        </w:rPr>
        <w:t xml:space="preserve"> for the FRC</w:t>
      </w:r>
      <w:r w:rsidR="0006102A">
        <w:rPr>
          <w:rFonts w:cs="Arial"/>
        </w:rPr>
        <w:t xml:space="preserve"> during quarter 57 </w:t>
      </w:r>
      <w:r w:rsidR="00A66C7B">
        <w:rPr>
          <w:rFonts w:cs="Arial"/>
        </w:rPr>
        <w:t>was</w:t>
      </w:r>
      <w:r w:rsidR="0006102A">
        <w:rPr>
          <w:rFonts w:cs="Arial"/>
        </w:rPr>
        <w:t xml:space="preserve"> the introduction and passage of legislation through the Australian Parliament to repeal the Cashless Debit Card (</w:t>
      </w:r>
      <w:r w:rsidR="0006102A" w:rsidRPr="009A1196">
        <w:rPr>
          <w:rFonts w:cs="Arial"/>
          <w:b/>
          <w:bCs/>
        </w:rPr>
        <w:t>CDC</w:t>
      </w:r>
      <w:r w:rsidR="0006102A">
        <w:rPr>
          <w:rFonts w:cs="Arial"/>
        </w:rPr>
        <w:t xml:space="preserve">) program. </w:t>
      </w:r>
      <w:r w:rsidR="00176697">
        <w:rPr>
          <w:rFonts w:cs="Arial"/>
        </w:rPr>
        <w:t>T</w:t>
      </w:r>
      <w:r w:rsidR="000C1478" w:rsidRPr="000C1478">
        <w:rPr>
          <w:rFonts w:cs="Arial"/>
          <w:lang w:val="en-US"/>
        </w:rPr>
        <w:t>he Social Security (Administration) Amendment (Repeal of Cashless Debit Card and Other Measures) Bill (</w:t>
      </w:r>
      <w:r w:rsidR="000C1478" w:rsidRPr="000C1478">
        <w:rPr>
          <w:rFonts w:cs="Arial"/>
          <w:b/>
          <w:bCs/>
          <w:lang w:val="en-US"/>
        </w:rPr>
        <w:t>the Bill</w:t>
      </w:r>
      <w:r w:rsidR="000C1478" w:rsidRPr="000C1478">
        <w:rPr>
          <w:rFonts w:cs="Arial"/>
          <w:lang w:val="en-US"/>
        </w:rPr>
        <w:t>) was introduced in the House of Representatives</w:t>
      </w:r>
      <w:r w:rsidR="00176697">
        <w:rPr>
          <w:rFonts w:cs="Arial"/>
          <w:lang w:val="en-US"/>
        </w:rPr>
        <w:t xml:space="preserve"> on 27 July 2022</w:t>
      </w:r>
      <w:r w:rsidR="000C1478">
        <w:rPr>
          <w:rFonts w:cs="Arial"/>
          <w:lang w:val="en-US"/>
        </w:rPr>
        <w:t xml:space="preserve">. </w:t>
      </w:r>
      <w:r w:rsidR="0006102A">
        <w:rPr>
          <w:rFonts w:cs="Arial"/>
          <w:lang w:val="en-US"/>
        </w:rPr>
        <w:t xml:space="preserve">The Bill was passed in </w:t>
      </w:r>
      <w:r w:rsidR="0051204E">
        <w:rPr>
          <w:rFonts w:cs="Arial"/>
          <w:lang w:val="en-US"/>
        </w:rPr>
        <w:t>the House of Representatives</w:t>
      </w:r>
      <w:r w:rsidR="0006102A">
        <w:rPr>
          <w:rFonts w:cs="Arial"/>
          <w:lang w:val="en-US"/>
        </w:rPr>
        <w:t xml:space="preserve"> and introduced in the Senate on 3 August 2022.</w:t>
      </w:r>
    </w:p>
    <w:p w14:paraId="6D033753" w14:textId="2F6E648A" w:rsidR="00AC7151" w:rsidRDefault="00AC7151" w:rsidP="0006102A">
      <w:pPr>
        <w:ind w:left="-142" w:right="-425"/>
        <w:jc w:val="both"/>
        <w:rPr>
          <w:rFonts w:cs="Arial"/>
          <w:lang w:val="en-US"/>
        </w:rPr>
      </w:pPr>
    </w:p>
    <w:p w14:paraId="3913BF80" w14:textId="3F5C538C" w:rsidR="00AC7151" w:rsidRDefault="0051204E" w:rsidP="0006102A">
      <w:pPr>
        <w:ind w:left="-142" w:right="-425"/>
        <w:jc w:val="both"/>
        <w:rPr>
          <w:rFonts w:cs="Arial"/>
          <w:lang w:val="en-US"/>
        </w:rPr>
      </w:pPr>
      <w:r>
        <w:rPr>
          <w:rFonts w:cs="Arial"/>
          <w:lang w:val="en-US"/>
        </w:rPr>
        <w:t>The Bill raised s</w:t>
      </w:r>
      <w:r w:rsidR="00AC7151">
        <w:rPr>
          <w:rFonts w:cs="Arial"/>
          <w:lang w:val="en-US"/>
        </w:rPr>
        <w:t xml:space="preserve">everal issues of concern </w:t>
      </w:r>
      <w:r>
        <w:rPr>
          <w:rFonts w:cs="Arial"/>
          <w:lang w:val="en-US"/>
        </w:rPr>
        <w:t>for the FRC as some of the proposed amendments appeared to undermine the independence of the FRC</w:t>
      </w:r>
      <w:r w:rsidR="00176697">
        <w:rPr>
          <w:rFonts w:cs="Arial"/>
          <w:lang w:val="en-US"/>
        </w:rPr>
        <w:t>’s</w:t>
      </w:r>
      <w:r w:rsidR="00DA5CD9">
        <w:rPr>
          <w:rFonts w:cs="Arial"/>
          <w:lang w:val="en-US"/>
        </w:rPr>
        <w:t xml:space="preserve"> decision-making functions</w:t>
      </w:r>
      <w:r>
        <w:rPr>
          <w:rFonts w:cs="Arial"/>
          <w:lang w:val="en-US"/>
        </w:rPr>
        <w:t xml:space="preserve">. </w:t>
      </w:r>
      <w:r w:rsidR="00176697">
        <w:rPr>
          <w:rFonts w:cs="Arial"/>
          <w:lang w:val="en-US"/>
        </w:rPr>
        <w:t>During the short time between the introduction of the Bill and its passage to the Senate, t</w:t>
      </w:r>
      <w:r>
        <w:rPr>
          <w:rFonts w:cs="Arial"/>
          <w:lang w:val="en-US"/>
        </w:rPr>
        <w:t>he FRC began discussions with the Department of Social Services about potential impact</w:t>
      </w:r>
      <w:r w:rsidR="00DA5CD9">
        <w:rPr>
          <w:rFonts w:cs="Arial"/>
          <w:lang w:val="en-US"/>
        </w:rPr>
        <w:t>s</w:t>
      </w:r>
      <w:r>
        <w:rPr>
          <w:rFonts w:cs="Arial"/>
          <w:lang w:val="en-US"/>
        </w:rPr>
        <w:t xml:space="preserve"> </w:t>
      </w:r>
      <w:r w:rsidR="00DA5CD9">
        <w:rPr>
          <w:rFonts w:cs="Arial"/>
          <w:lang w:val="en-US"/>
        </w:rPr>
        <w:t>for</w:t>
      </w:r>
      <w:r w:rsidR="00176697">
        <w:rPr>
          <w:rFonts w:cs="Arial"/>
          <w:lang w:val="en-US"/>
        </w:rPr>
        <w:t xml:space="preserve"> the FRC if the Bill was passed as drafted</w:t>
      </w:r>
      <w:r w:rsidR="003B42ED">
        <w:rPr>
          <w:rFonts w:cs="Arial"/>
          <w:lang w:val="en-US"/>
        </w:rPr>
        <w:t>.</w:t>
      </w:r>
      <w:r>
        <w:rPr>
          <w:rFonts w:cs="Arial"/>
          <w:lang w:val="en-US"/>
        </w:rPr>
        <w:t xml:space="preserve"> The Bill was referred to the Senate Standing Committee</w:t>
      </w:r>
      <w:r w:rsidR="003B42ED">
        <w:rPr>
          <w:rFonts w:cs="Arial"/>
          <w:lang w:val="en-US"/>
        </w:rPr>
        <w:t xml:space="preserve"> on Community Affairs</w:t>
      </w:r>
      <w:r w:rsidR="00A66C7B">
        <w:rPr>
          <w:rFonts w:cs="Arial"/>
          <w:lang w:val="en-US"/>
        </w:rPr>
        <w:t>, and the FRC</w:t>
      </w:r>
      <w:r w:rsidR="007202D1">
        <w:rPr>
          <w:rFonts w:cs="Arial"/>
          <w:lang w:val="en-US"/>
        </w:rPr>
        <w:t xml:space="preserve"> was invited to </w:t>
      </w:r>
      <w:r w:rsidR="00E323DD">
        <w:rPr>
          <w:rFonts w:cs="Arial"/>
          <w:lang w:val="en-US"/>
        </w:rPr>
        <w:t xml:space="preserve">participate in the </w:t>
      </w:r>
      <w:r w:rsidR="00C943F4">
        <w:rPr>
          <w:rFonts w:cs="Arial"/>
          <w:lang w:val="en-US"/>
        </w:rPr>
        <w:t>Committee’s inquiry into the Bill</w:t>
      </w:r>
      <w:r w:rsidR="00C728BA">
        <w:rPr>
          <w:rFonts w:cs="Arial"/>
          <w:lang w:val="en-US"/>
        </w:rPr>
        <w:t>.</w:t>
      </w:r>
    </w:p>
    <w:p w14:paraId="3E344AB8" w14:textId="77234E74" w:rsidR="00C943F4" w:rsidRDefault="00C943F4" w:rsidP="0006102A">
      <w:pPr>
        <w:ind w:left="-142" w:right="-425"/>
        <w:jc w:val="both"/>
        <w:rPr>
          <w:rFonts w:cs="Arial"/>
          <w:lang w:val="en-US"/>
        </w:rPr>
      </w:pPr>
    </w:p>
    <w:p w14:paraId="349BDF59" w14:textId="18116486" w:rsidR="004D7FB7" w:rsidRDefault="00DA517F" w:rsidP="004D7FB7">
      <w:pPr>
        <w:ind w:left="-142" w:right="-425"/>
        <w:jc w:val="both"/>
        <w:rPr>
          <w:rFonts w:cs="Arial"/>
          <w:lang w:val="en-US"/>
        </w:rPr>
      </w:pPr>
      <w:r>
        <w:rPr>
          <w:rFonts w:cs="Arial"/>
          <w:lang w:val="en-US"/>
        </w:rPr>
        <w:t xml:space="preserve">During the week beginning 8 August 2022, the FRC hosted </w:t>
      </w:r>
      <w:r w:rsidR="00C758E4">
        <w:rPr>
          <w:rFonts w:cs="Arial"/>
          <w:lang w:val="en-US"/>
        </w:rPr>
        <w:t>m</w:t>
      </w:r>
      <w:r>
        <w:rPr>
          <w:rFonts w:cs="Arial"/>
          <w:lang w:val="en-US"/>
        </w:rPr>
        <w:t xml:space="preserve">inisterial delegations in Aurukun and Cairns as part of </w:t>
      </w:r>
      <w:r w:rsidR="007202D1">
        <w:rPr>
          <w:rFonts w:cs="Arial"/>
          <w:lang w:val="en-US"/>
        </w:rPr>
        <w:t>community consultation being undertaken on the repeal of the CDC. Assistant Minister for Social Services, the Hon Justine Elliott MP</w:t>
      </w:r>
      <w:r w:rsidR="00C728BA">
        <w:rPr>
          <w:rFonts w:cs="Arial"/>
          <w:lang w:val="en-US"/>
        </w:rPr>
        <w:t>,</w:t>
      </w:r>
      <w:r w:rsidR="007202D1">
        <w:rPr>
          <w:rFonts w:cs="Arial"/>
          <w:lang w:val="en-US"/>
        </w:rPr>
        <w:t xml:space="preserve"> along with staff of the Department of Social Services travelled to Aurukun and witnessed an FRC conference. </w:t>
      </w:r>
      <w:r w:rsidR="00DE5513">
        <w:rPr>
          <w:rFonts w:cs="Arial"/>
          <w:lang w:val="en-US"/>
        </w:rPr>
        <w:t xml:space="preserve">Unfortunately, the </w:t>
      </w:r>
      <w:r w:rsidR="00C758E4">
        <w:rPr>
          <w:rFonts w:cs="Arial"/>
          <w:lang w:val="en-US"/>
        </w:rPr>
        <w:t>m</w:t>
      </w:r>
      <w:r w:rsidR="00DE5513">
        <w:rPr>
          <w:rFonts w:cs="Arial"/>
          <w:lang w:val="en-US"/>
        </w:rPr>
        <w:t xml:space="preserve">inisterial visit to Mossman Gorge was cancelled because of </w:t>
      </w:r>
      <w:r w:rsidR="00C728BA">
        <w:rPr>
          <w:rFonts w:cs="Arial"/>
          <w:lang w:val="en-US"/>
        </w:rPr>
        <w:t xml:space="preserve">Sorry </w:t>
      </w:r>
      <w:r w:rsidR="00B11068">
        <w:rPr>
          <w:rFonts w:cs="Arial"/>
          <w:lang w:val="en-US"/>
        </w:rPr>
        <w:t>B</w:t>
      </w:r>
      <w:r w:rsidR="00C728BA">
        <w:rPr>
          <w:rFonts w:cs="Arial"/>
          <w:lang w:val="en-US"/>
        </w:rPr>
        <w:t>usines</w:t>
      </w:r>
      <w:r w:rsidR="00CA1770">
        <w:rPr>
          <w:rFonts w:cs="Arial"/>
          <w:lang w:val="en-US"/>
        </w:rPr>
        <w:t>s</w:t>
      </w:r>
      <w:r w:rsidR="00C728BA">
        <w:rPr>
          <w:rFonts w:cs="Arial"/>
          <w:lang w:val="en-US"/>
        </w:rPr>
        <w:t xml:space="preserve"> and</w:t>
      </w:r>
      <w:r w:rsidR="00CA1770">
        <w:rPr>
          <w:rFonts w:cs="Arial"/>
          <w:lang w:val="en-US"/>
        </w:rPr>
        <w:t xml:space="preserve"> COVID</w:t>
      </w:r>
      <w:r w:rsidR="00DE5513">
        <w:rPr>
          <w:rFonts w:cs="Arial"/>
          <w:lang w:val="en-US"/>
        </w:rPr>
        <w:t xml:space="preserve">. </w:t>
      </w:r>
      <w:r w:rsidR="009B56E9">
        <w:rPr>
          <w:rFonts w:cs="Arial"/>
          <w:lang w:val="en-US"/>
        </w:rPr>
        <w:t>T</w:t>
      </w:r>
      <w:r w:rsidR="00C728BA">
        <w:rPr>
          <w:rFonts w:cs="Arial"/>
          <w:lang w:val="en-US"/>
        </w:rPr>
        <w:t xml:space="preserve">he Minister for Social Services, the </w:t>
      </w:r>
      <w:r w:rsidR="00176697">
        <w:rPr>
          <w:rFonts w:cs="Arial"/>
          <w:lang w:val="en-US"/>
        </w:rPr>
        <w:t xml:space="preserve">Hon </w:t>
      </w:r>
      <w:r w:rsidR="00C728BA">
        <w:rPr>
          <w:rFonts w:cs="Arial"/>
          <w:lang w:val="en-US"/>
        </w:rPr>
        <w:t xml:space="preserve">Amanda Rishworth MP, travelled to Cairns and met with </w:t>
      </w:r>
      <w:r w:rsidR="001E6FED">
        <w:rPr>
          <w:rFonts w:cs="Arial"/>
          <w:lang w:val="en-US"/>
        </w:rPr>
        <w:t>Local Commissioners from Doomadgee</w:t>
      </w:r>
      <w:r w:rsidR="00485541">
        <w:rPr>
          <w:rFonts w:cs="Arial"/>
          <w:lang w:val="en-US"/>
        </w:rPr>
        <w:t xml:space="preserve">, </w:t>
      </w:r>
      <w:r w:rsidR="00485541" w:rsidRPr="00B11068">
        <w:rPr>
          <w:rFonts w:cs="Arial"/>
          <w:lang w:val="en-US"/>
        </w:rPr>
        <w:t>Deputy Commissioner Curtin</w:t>
      </w:r>
      <w:r w:rsidR="00485541">
        <w:rPr>
          <w:rFonts w:cs="Arial"/>
          <w:lang w:val="en-US"/>
        </w:rPr>
        <w:t xml:space="preserve"> and registry staff.</w:t>
      </w:r>
    </w:p>
    <w:p w14:paraId="2EAD0247" w14:textId="77777777" w:rsidR="005C2362" w:rsidRDefault="005C2362" w:rsidP="0006102A">
      <w:pPr>
        <w:ind w:left="-142" w:right="-425"/>
        <w:jc w:val="both"/>
        <w:rPr>
          <w:rFonts w:cs="Arial"/>
          <w:lang w:val="en-US"/>
        </w:rPr>
      </w:pPr>
    </w:p>
    <w:p w14:paraId="2085C1A3" w14:textId="2FE71102" w:rsidR="00C943F4" w:rsidRPr="00050961" w:rsidRDefault="0035479B" w:rsidP="0006102A">
      <w:pPr>
        <w:ind w:left="-142" w:right="-425"/>
        <w:jc w:val="both"/>
        <w:rPr>
          <w:rFonts w:cs="Arial"/>
          <w:lang w:val="en-US"/>
        </w:rPr>
      </w:pPr>
      <w:r>
        <w:rPr>
          <w:rFonts w:cs="Arial"/>
          <w:lang w:val="en-US"/>
        </w:rPr>
        <w:t>The Local Commissioners of Aurukun</w:t>
      </w:r>
      <w:r w:rsidR="00DE5513">
        <w:rPr>
          <w:rFonts w:cs="Arial"/>
          <w:lang w:val="en-US"/>
        </w:rPr>
        <w:t>,</w:t>
      </w:r>
      <w:r>
        <w:rPr>
          <w:rFonts w:cs="Arial"/>
          <w:lang w:val="en-US"/>
        </w:rPr>
        <w:t xml:space="preserve"> Doomadgee</w:t>
      </w:r>
      <w:r w:rsidR="00DE5513">
        <w:rPr>
          <w:rFonts w:cs="Arial"/>
          <w:lang w:val="en-US"/>
        </w:rPr>
        <w:t xml:space="preserve"> and Mossman Gorge</w:t>
      </w:r>
      <w:r w:rsidR="005C2362">
        <w:rPr>
          <w:rFonts w:cs="Arial"/>
          <w:lang w:val="en-US"/>
        </w:rPr>
        <w:t xml:space="preserve"> also</w:t>
      </w:r>
      <w:r>
        <w:rPr>
          <w:rFonts w:cs="Arial"/>
          <w:lang w:val="en-US"/>
        </w:rPr>
        <w:t xml:space="preserve"> </w:t>
      </w:r>
      <w:r w:rsidR="005C2362">
        <w:rPr>
          <w:rFonts w:cs="Arial"/>
          <w:lang w:val="en-US"/>
        </w:rPr>
        <w:t>prepared written submission</w:t>
      </w:r>
      <w:r w:rsidR="0060759E">
        <w:rPr>
          <w:rFonts w:cs="Arial"/>
          <w:lang w:val="en-US"/>
        </w:rPr>
        <w:t>s</w:t>
      </w:r>
      <w:r w:rsidR="005C2362">
        <w:rPr>
          <w:rFonts w:cs="Arial"/>
          <w:lang w:val="en-US"/>
        </w:rPr>
        <w:t xml:space="preserve"> for the </w:t>
      </w:r>
      <w:r w:rsidR="00C758E4">
        <w:rPr>
          <w:rFonts w:cs="Arial"/>
          <w:lang w:val="en-US"/>
        </w:rPr>
        <w:t>m</w:t>
      </w:r>
      <w:r>
        <w:rPr>
          <w:rFonts w:cs="Arial"/>
          <w:lang w:val="en-US"/>
        </w:rPr>
        <w:t>inisterial delegation</w:t>
      </w:r>
      <w:r w:rsidR="005C2362">
        <w:rPr>
          <w:rFonts w:cs="Arial"/>
          <w:lang w:val="en-US"/>
        </w:rPr>
        <w:t xml:space="preserve"> to consider</w:t>
      </w:r>
      <w:r>
        <w:rPr>
          <w:rFonts w:cs="Arial"/>
          <w:lang w:val="en-US"/>
        </w:rPr>
        <w:t xml:space="preserve"> </w:t>
      </w:r>
      <w:r w:rsidR="005C2362">
        <w:rPr>
          <w:rFonts w:cs="Arial"/>
          <w:lang w:val="en-US"/>
        </w:rPr>
        <w:t>which outlined the reasons for the</w:t>
      </w:r>
      <w:r>
        <w:rPr>
          <w:rFonts w:cs="Arial"/>
          <w:lang w:val="en-US"/>
        </w:rPr>
        <w:t xml:space="preserve"> </w:t>
      </w:r>
      <w:r w:rsidR="005C2362">
        <w:rPr>
          <w:rFonts w:cs="Arial"/>
          <w:lang w:val="en-US"/>
        </w:rPr>
        <w:t>c</w:t>
      </w:r>
      <w:r>
        <w:rPr>
          <w:rFonts w:cs="Arial"/>
          <w:lang w:val="en-US"/>
        </w:rPr>
        <w:t>ontinuation of income management in their communities, and the benefits of the CDC to their remote communities, when compared with the BasicsCard.</w:t>
      </w:r>
    </w:p>
    <w:p w14:paraId="1BD640C7" w14:textId="057FD9C7" w:rsidR="000C1478" w:rsidRDefault="000C1478" w:rsidP="000C1478">
      <w:pPr>
        <w:ind w:left="-142" w:right="-425"/>
        <w:jc w:val="both"/>
        <w:rPr>
          <w:rFonts w:cs="Arial"/>
          <w:lang w:val="en-US"/>
        </w:rPr>
      </w:pPr>
    </w:p>
    <w:p w14:paraId="14D265B6" w14:textId="768C2829" w:rsidR="000C1478" w:rsidRDefault="00176697" w:rsidP="00616E62">
      <w:pPr>
        <w:ind w:left="-142" w:right="-425"/>
        <w:jc w:val="both"/>
        <w:rPr>
          <w:rFonts w:cs="Arial"/>
          <w:lang w:val="en-US"/>
        </w:rPr>
      </w:pPr>
      <w:r>
        <w:rPr>
          <w:rFonts w:cs="Arial"/>
          <w:lang w:val="en-US"/>
        </w:rPr>
        <w:t>The FRC pr</w:t>
      </w:r>
      <w:r w:rsidR="00616E62">
        <w:rPr>
          <w:rFonts w:cs="Arial"/>
          <w:lang w:val="en-US"/>
        </w:rPr>
        <w:t>ovided</w:t>
      </w:r>
      <w:r>
        <w:rPr>
          <w:rFonts w:cs="Arial"/>
          <w:lang w:val="en-US"/>
        </w:rPr>
        <w:t xml:space="preserve"> a comprehensive w</w:t>
      </w:r>
      <w:r w:rsidR="00C728BA">
        <w:rPr>
          <w:rFonts w:cs="Arial"/>
          <w:lang w:val="en-US"/>
        </w:rPr>
        <w:t>ritten submission</w:t>
      </w:r>
      <w:r w:rsidR="00616E62">
        <w:rPr>
          <w:rFonts w:cs="Arial"/>
          <w:lang w:val="en-US"/>
        </w:rPr>
        <w:t xml:space="preserve"> to the Senate Standing Committee on Community Affairs on 15 August 2022. The submission</w:t>
      </w:r>
      <w:r>
        <w:rPr>
          <w:rFonts w:cs="Arial"/>
          <w:lang w:val="en-US"/>
        </w:rPr>
        <w:t xml:space="preserve"> </w:t>
      </w:r>
      <w:r w:rsidR="00616E62">
        <w:rPr>
          <w:rFonts w:cs="Arial"/>
          <w:lang w:val="en-US"/>
        </w:rPr>
        <w:t xml:space="preserve">explained </w:t>
      </w:r>
      <w:r w:rsidR="00616E62" w:rsidRPr="00050961">
        <w:rPr>
          <w:rFonts w:cs="Arial"/>
          <w:lang w:val="en-US"/>
        </w:rPr>
        <w:t>the FRC’s</w:t>
      </w:r>
      <w:r w:rsidRPr="00050961">
        <w:rPr>
          <w:rFonts w:cs="Arial"/>
          <w:lang w:val="en-US"/>
        </w:rPr>
        <w:t xml:space="preserve"> unique model of income management, </w:t>
      </w:r>
      <w:r w:rsidR="00616E62" w:rsidRPr="00050961">
        <w:rPr>
          <w:rFonts w:cs="Arial"/>
          <w:lang w:val="en-US"/>
        </w:rPr>
        <w:t>highlighted our</w:t>
      </w:r>
      <w:r w:rsidRPr="00050961">
        <w:rPr>
          <w:rFonts w:cs="Arial"/>
          <w:lang w:val="en-US"/>
        </w:rPr>
        <w:t xml:space="preserve"> performance record</w:t>
      </w:r>
      <w:r w:rsidR="00616E62" w:rsidRPr="00050961">
        <w:rPr>
          <w:rFonts w:cs="Arial"/>
          <w:lang w:val="en-US"/>
        </w:rPr>
        <w:t xml:space="preserve">, and raised concerns that the Bill, as drafted, </w:t>
      </w:r>
      <w:r w:rsidRPr="00050961">
        <w:rPr>
          <w:rFonts w:cs="Arial"/>
          <w:lang w:val="en-US"/>
        </w:rPr>
        <w:t>may adversely impact the Commission’s</w:t>
      </w:r>
      <w:r w:rsidR="00616E62" w:rsidRPr="00050961">
        <w:rPr>
          <w:rFonts w:cs="Arial"/>
          <w:lang w:val="en-US"/>
        </w:rPr>
        <w:t xml:space="preserve"> </w:t>
      </w:r>
      <w:r w:rsidRPr="00050961">
        <w:rPr>
          <w:rFonts w:cs="Arial"/>
          <w:lang w:val="en-US"/>
        </w:rPr>
        <w:t>operations and the wellbeing of our most vulnerable clients.</w:t>
      </w:r>
      <w:r w:rsidR="00616E62" w:rsidRPr="00050961">
        <w:rPr>
          <w:rFonts w:cs="Arial"/>
          <w:lang w:val="en-US"/>
        </w:rPr>
        <w:t xml:space="preserve"> Commissioner Williams and Anne Crampton (Manager, Case Management and Monitoring) travelled to Bundaberg to </w:t>
      </w:r>
      <w:r w:rsidR="00616E62">
        <w:rPr>
          <w:rFonts w:cs="Arial"/>
          <w:lang w:val="en-US"/>
        </w:rPr>
        <w:t xml:space="preserve">give </w:t>
      </w:r>
      <w:r w:rsidR="00C728BA">
        <w:rPr>
          <w:rFonts w:cs="Arial"/>
          <w:lang w:val="en-US"/>
        </w:rPr>
        <w:t xml:space="preserve">evidence in person at a hearing </w:t>
      </w:r>
      <w:r w:rsidR="00616E62">
        <w:rPr>
          <w:rFonts w:cs="Arial"/>
          <w:lang w:val="en-US"/>
        </w:rPr>
        <w:t xml:space="preserve">of the Senate Committee </w:t>
      </w:r>
      <w:r w:rsidR="00C728BA">
        <w:rPr>
          <w:rFonts w:cs="Arial"/>
          <w:lang w:val="en-US"/>
        </w:rPr>
        <w:t>on 16 August 2022.</w:t>
      </w:r>
    </w:p>
    <w:p w14:paraId="0AB6F308" w14:textId="27961DCC" w:rsidR="00616E62" w:rsidRDefault="00616E62" w:rsidP="00616E62">
      <w:pPr>
        <w:ind w:left="-142" w:right="-425"/>
        <w:jc w:val="both"/>
        <w:rPr>
          <w:rFonts w:cs="Arial"/>
          <w:lang w:val="en-US"/>
        </w:rPr>
      </w:pPr>
    </w:p>
    <w:p w14:paraId="4501F52C" w14:textId="2019CE8F" w:rsidR="00616E62" w:rsidRPr="00CC07DA" w:rsidRDefault="00616E62" w:rsidP="00CC07DA">
      <w:pPr>
        <w:ind w:left="-142" w:right="-425"/>
        <w:jc w:val="both"/>
        <w:rPr>
          <w:rFonts w:cs="Arial"/>
          <w:lang w:val="en-US"/>
        </w:rPr>
      </w:pPr>
      <w:r w:rsidRPr="00CC07DA">
        <w:rPr>
          <w:rFonts w:cs="Arial"/>
          <w:lang w:val="en-US"/>
        </w:rPr>
        <w:t xml:space="preserve">The recommendations made in the </w:t>
      </w:r>
      <w:r w:rsidR="00CC3F94" w:rsidRPr="00CC07DA">
        <w:rPr>
          <w:rFonts w:cs="Arial"/>
          <w:lang w:val="en-US"/>
        </w:rPr>
        <w:t>FRC’s submission, and echoed at the hearing in Bundaberg, were that:</w:t>
      </w:r>
    </w:p>
    <w:p w14:paraId="74B36226" w14:textId="20C952AE" w:rsidR="00CC3F94" w:rsidRPr="00CC07DA" w:rsidRDefault="00CC3F94" w:rsidP="00CC07DA">
      <w:pPr>
        <w:ind w:left="-142" w:right="-425"/>
        <w:jc w:val="both"/>
        <w:rPr>
          <w:rFonts w:cs="Arial"/>
          <w:lang w:val="en-US"/>
        </w:rPr>
      </w:pPr>
    </w:p>
    <w:p w14:paraId="23A410C0" w14:textId="77777777" w:rsidR="00CC3F94" w:rsidRPr="00CC07DA" w:rsidRDefault="00CC3F94" w:rsidP="00CC07DA">
      <w:pPr>
        <w:pStyle w:val="ListParagraph"/>
        <w:numPr>
          <w:ilvl w:val="0"/>
          <w:numId w:val="37"/>
        </w:numPr>
        <w:spacing w:line="288" w:lineRule="auto"/>
        <w:ind w:right="-425"/>
        <w:jc w:val="both"/>
        <w:rPr>
          <w:rFonts w:ascii="Verdana" w:hAnsi="Verdana" w:cs="Arial"/>
          <w:sz w:val="20"/>
          <w:szCs w:val="20"/>
          <w:lang w:val="en-US"/>
        </w:rPr>
      </w:pPr>
      <w:r w:rsidRPr="00CC07DA">
        <w:rPr>
          <w:rFonts w:ascii="Verdana" w:hAnsi="Verdana" w:cs="Arial"/>
          <w:sz w:val="20"/>
          <w:szCs w:val="20"/>
          <w:lang w:val="en-US"/>
        </w:rPr>
        <w:t>The CDC be retained; or in the alternative:</w:t>
      </w:r>
    </w:p>
    <w:p w14:paraId="044C94AE" w14:textId="77777777" w:rsidR="00CC3F94" w:rsidRPr="00CC07DA" w:rsidRDefault="00CC3F94" w:rsidP="00CC07DA">
      <w:pPr>
        <w:pStyle w:val="ListParagraph"/>
        <w:numPr>
          <w:ilvl w:val="1"/>
          <w:numId w:val="37"/>
        </w:numPr>
        <w:spacing w:line="288" w:lineRule="auto"/>
        <w:ind w:right="-425"/>
        <w:jc w:val="both"/>
        <w:rPr>
          <w:rFonts w:ascii="Verdana" w:hAnsi="Verdana" w:cs="Arial"/>
          <w:sz w:val="20"/>
          <w:szCs w:val="20"/>
          <w:lang w:val="en-US"/>
        </w:rPr>
      </w:pPr>
      <w:r w:rsidRPr="00CC07DA">
        <w:rPr>
          <w:rFonts w:ascii="Verdana" w:hAnsi="Verdana" w:cs="Arial"/>
          <w:sz w:val="20"/>
          <w:szCs w:val="20"/>
          <w:lang w:val="en-US"/>
        </w:rPr>
        <w:t>Should CDC be replaced by a different card it must have at least the same functionality as the CDC</w:t>
      </w:r>
    </w:p>
    <w:p w14:paraId="5D534965" w14:textId="3A577CDC" w:rsidR="00CC3F94" w:rsidRPr="00CC07DA" w:rsidRDefault="00CC3F94" w:rsidP="00CC07DA">
      <w:pPr>
        <w:pStyle w:val="ListParagraph"/>
        <w:numPr>
          <w:ilvl w:val="1"/>
          <w:numId w:val="37"/>
        </w:numPr>
        <w:spacing w:line="288" w:lineRule="auto"/>
        <w:ind w:right="-425"/>
        <w:jc w:val="both"/>
        <w:rPr>
          <w:rFonts w:ascii="Verdana" w:hAnsi="Verdana" w:cs="Arial"/>
          <w:sz w:val="20"/>
          <w:szCs w:val="20"/>
          <w:lang w:val="en-US"/>
        </w:rPr>
      </w:pPr>
      <w:r w:rsidRPr="00CC07DA">
        <w:rPr>
          <w:rFonts w:ascii="Verdana" w:hAnsi="Verdana" w:cs="Arial"/>
          <w:sz w:val="20"/>
          <w:szCs w:val="20"/>
          <w:lang w:val="en-US"/>
        </w:rPr>
        <w:t xml:space="preserve">The transition from CDC to </w:t>
      </w:r>
      <w:r w:rsidR="00963350">
        <w:rPr>
          <w:rFonts w:ascii="Verdana" w:hAnsi="Verdana" w:cs="Arial"/>
          <w:sz w:val="20"/>
          <w:szCs w:val="20"/>
          <w:lang w:val="en-US"/>
        </w:rPr>
        <w:t xml:space="preserve">a </w:t>
      </w:r>
      <w:r w:rsidRPr="00CC07DA">
        <w:rPr>
          <w:rFonts w:ascii="Verdana" w:hAnsi="Verdana" w:cs="Arial"/>
          <w:sz w:val="20"/>
          <w:szCs w:val="20"/>
          <w:lang w:val="en-US"/>
        </w:rPr>
        <w:t>replacement card be delayed and not occur until such card can be activated immediately upon cessation of the CDC; and</w:t>
      </w:r>
    </w:p>
    <w:p w14:paraId="5F339C81" w14:textId="732090FD" w:rsidR="00CC3F94" w:rsidRPr="00CC07DA" w:rsidRDefault="00CC3F94" w:rsidP="00CC07DA">
      <w:pPr>
        <w:pStyle w:val="ListParagraph"/>
        <w:numPr>
          <w:ilvl w:val="0"/>
          <w:numId w:val="37"/>
        </w:numPr>
        <w:spacing w:line="288" w:lineRule="auto"/>
        <w:ind w:right="-425"/>
        <w:jc w:val="both"/>
        <w:rPr>
          <w:rFonts w:ascii="Verdana" w:hAnsi="Verdana" w:cs="Arial"/>
          <w:sz w:val="20"/>
          <w:szCs w:val="20"/>
        </w:rPr>
      </w:pPr>
      <w:r w:rsidRPr="00CC07DA">
        <w:rPr>
          <w:rFonts w:ascii="Verdana" w:hAnsi="Verdana" w:cs="Arial"/>
          <w:sz w:val="20"/>
          <w:szCs w:val="20"/>
          <w:lang w:val="en-US"/>
        </w:rPr>
        <w:t>The Bill be amended to allow the FRC to continue its operations unchanged</w:t>
      </w:r>
      <w:r w:rsidR="0035479B" w:rsidRPr="00CC07DA">
        <w:rPr>
          <w:rFonts w:ascii="Verdana" w:hAnsi="Verdana" w:cs="Arial"/>
          <w:sz w:val="20"/>
          <w:szCs w:val="20"/>
          <w:lang w:val="en-US"/>
        </w:rPr>
        <w:t>.</w:t>
      </w:r>
    </w:p>
    <w:p w14:paraId="66759A6D" w14:textId="77777777" w:rsidR="00CC3F94" w:rsidRPr="00CC07DA" w:rsidRDefault="00CC3F94" w:rsidP="00CC07DA">
      <w:pPr>
        <w:ind w:left="-142" w:right="-425"/>
        <w:jc w:val="both"/>
        <w:rPr>
          <w:rFonts w:cs="Arial"/>
        </w:rPr>
      </w:pPr>
    </w:p>
    <w:p w14:paraId="07FDB28F" w14:textId="77777777" w:rsidR="00B77504" w:rsidRDefault="00B77504">
      <w:pPr>
        <w:spacing w:line="240" w:lineRule="auto"/>
        <w:rPr>
          <w:rFonts w:cs="Arial"/>
          <w:lang w:val="en-US"/>
        </w:rPr>
      </w:pPr>
      <w:r>
        <w:rPr>
          <w:rFonts w:cs="Arial"/>
          <w:lang w:val="en-US"/>
        </w:rPr>
        <w:br w:type="page"/>
      </w:r>
    </w:p>
    <w:p w14:paraId="6EC79429" w14:textId="6FD98CDB" w:rsidR="00EE6E70" w:rsidRDefault="00CC3F94" w:rsidP="00CC07DA">
      <w:pPr>
        <w:ind w:left="-142" w:right="-425"/>
        <w:jc w:val="both"/>
        <w:rPr>
          <w:rFonts w:cs="Arial"/>
          <w:lang w:val="en-US"/>
        </w:rPr>
      </w:pPr>
      <w:bookmarkStart w:id="28" w:name="_Hlk122355055"/>
      <w:r>
        <w:rPr>
          <w:rFonts w:cs="Arial"/>
          <w:lang w:val="en-US"/>
        </w:rPr>
        <w:lastRenderedPageBreak/>
        <w:t xml:space="preserve">The </w:t>
      </w:r>
      <w:r w:rsidR="000C1478" w:rsidRPr="000C1478">
        <w:rPr>
          <w:rFonts w:cs="Arial"/>
          <w:lang w:val="en-US"/>
        </w:rPr>
        <w:t xml:space="preserve">Senate </w:t>
      </w:r>
      <w:r>
        <w:rPr>
          <w:rFonts w:cs="Arial"/>
          <w:lang w:val="en-US"/>
        </w:rPr>
        <w:t xml:space="preserve">Standing </w:t>
      </w:r>
      <w:r w:rsidR="000C1478" w:rsidRPr="000C1478">
        <w:rPr>
          <w:rFonts w:cs="Arial"/>
          <w:lang w:val="en-US"/>
        </w:rPr>
        <w:t>Committee handed down its report on 31 August 2022.</w:t>
      </w:r>
      <w:r w:rsidR="00EE6E70">
        <w:rPr>
          <w:rFonts w:cs="Arial"/>
          <w:lang w:val="en-US"/>
        </w:rPr>
        <w:t xml:space="preserve"> </w:t>
      </w:r>
      <w:r w:rsidR="00914A7D">
        <w:rPr>
          <w:rFonts w:cs="Arial"/>
          <w:lang w:val="en-US"/>
        </w:rPr>
        <w:t xml:space="preserve">The Senate Committee’s report affirmed the role of the FRC as a community-led model of self-determination. </w:t>
      </w:r>
      <w:r w:rsidR="00EE6E70">
        <w:rPr>
          <w:rFonts w:cs="Arial"/>
          <w:lang w:val="en-US"/>
        </w:rPr>
        <w:t>The Report recommended that the Bill be passed, subject to only one other recommendation:</w:t>
      </w:r>
    </w:p>
    <w:p w14:paraId="06CDBD98" w14:textId="77777777" w:rsidR="00EE6E70" w:rsidRDefault="00EE6E70" w:rsidP="00CC07DA">
      <w:pPr>
        <w:ind w:left="-142" w:right="-425"/>
        <w:jc w:val="both"/>
        <w:rPr>
          <w:rFonts w:cs="Arial"/>
          <w:lang w:val="en-US"/>
        </w:rPr>
      </w:pPr>
    </w:p>
    <w:p w14:paraId="0FC3B760" w14:textId="67D38DA2" w:rsidR="00EE6E70" w:rsidRPr="0010361D" w:rsidRDefault="0060759E" w:rsidP="0010361D">
      <w:pPr>
        <w:ind w:left="567" w:right="141"/>
        <w:jc w:val="both"/>
        <w:rPr>
          <w:rFonts w:cs="Arial"/>
          <w:bCs/>
          <w:i/>
          <w:iCs/>
          <w:lang w:val="en"/>
        </w:rPr>
      </w:pPr>
      <w:r w:rsidRPr="0010361D">
        <w:rPr>
          <w:rFonts w:cs="Arial"/>
          <w:bCs/>
          <w:i/>
          <w:iCs/>
          <w:lang w:val="en"/>
        </w:rPr>
        <w:t>“</w:t>
      </w:r>
      <w:r w:rsidR="00EE6E70" w:rsidRPr="0010361D">
        <w:rPr>
          <w:rFonts w:cs="Arial"/>
          <w:bCs/>
          <w:i/>
          <w:iCs/>
          <w:lang w:val="en"/>
        </w:rPr>
        <w:t>…that the Commonwealth Government work with the Queensland Family Responsibilities Commission to address the concerns raised, including considering possible amendments to the bill, to ensure that the Commission can continue to operate effectively in accordance with its statutory responsibilities.</w:t>
      </w:r>
      <w:r w:rsidRPr="0010361D">
        <w:rPr>
          <w:rFonts w:cs="Arial"/>
          <w:bCs/>
          <w:i/>
          <w:iCs/>
          <w:lang w:val="en"/>
        </w:rPr>
        <w:t>”</w:t>
      </w:r>
    </w:p>
    <w:p w14:paraId="1F09867D" w14:textId="77777777" w:rsidR="00EE6E70" w:rsidRPr="009A1196" w:rsidRDefault="00EE6E70" w:rsidP="009A1196">
      <w:pPr>
        <w:ind w:left="-142" w:right="-425"/>
        <w:jc w:val="both"/>
        <w:rPr>
          <w:rFonts w:cs="Arial"/>
          <w:bCs/>
          <w:lang w:val="en"/>
        </w:rPr>
      </w:pPr>
    </w:p>
    <w:p w14:paraId="768340FA" w14:textId="077959F9" w:rsidR="0035479B" w:rsidRPr="009A1196" w:rsidRDefault="003C70B2" w:rsidP="009A1196">
      <w:pPr>
        <w:ind w:left="-142" w:right="-425"/>
        <w:jc w:val="both"/>
        <w:rPr>
          <w:rFonts w:cs="Arial"/>
          <w:bCs/>
          <w:lang w:val="en"/>
        </w:rPr>
      </w:pPr>
      <w:r w:rsidRPr="009A1196">
        <w:rPr>
          <w:rFonts w:cs="Arial"/>
          <w:bCs/>
          <w:lang w:val="en"/>
        </w:rPr>
        <w:t xml:space="preserve">The Australian Government drafted further amendments to the Bill, </w:t>
      </w:r>
      <w:r w:rsidR="00714E18" w:rsidRPr="009A1196">
        <w:rPr>
          <w:rFonts w:cs="Arial"/>
          <w:bCs/>
          <w:lang w:val="en"/>
        </w:rPr>
        <w:t xml:space="preserve">consulting with the FRC prior to the introduction of the amendments in the Senate on 27 September 2022. </w:t>
      </w:r>
      <w:r w:rsidR="00914A7D" w:rsidRPr="009A1196">
        <w:rPr>
          <w:rFonts w:cs="Arial"/>
          <w:bCs/>
          <w:lang w:val="en"/>
        </w:rPr>
        <w:t xml:space="preserve">The </w:t>
      </w:r>
      <w:r w:rsidR="0035479B" w:rsidRPr="009A1196">
        <w:rPr>
          <w:rFonts w:cs="Arial"/>
          <w:bCs/>
          <w:lang w:val="en"/>
        </w:rPr>
        <w:t xml:space="preserve">legislative issues raised in the FRC’s submission to the Senate Standing Committee impacting on our operations </w:t>
      </w:r>
      <w:r w:rsidR="00914A7D" w:rsidRPr="009A1196">
        <w:rPr>
          <w:rFonts w:cs="Arial"/>
          <w:bCs/>
          <w:lang w:val="en"/>
        </w:rPr>
        <w:t xml:space="preserve">were </w:t>
      </w:r>
      <w:r w:rsidR="0035479B" w:rsidRPr="009A1196">
        <w:rPr>
          <w:rFonts w:cs="Arial"/>
          <w:bCs/>
          <w:lang w:val="en"/>
        </w:rPr>
        <w:t>satisfactorily addressed</w:t>
      </w:r>
      <w:r w:rsidR="00914A7D" w:rsidRPr="009A1196">
        <w:rPr>
          <w:rFonts w:cs="Arial"/>
          <w:bCs/>
          <w:lang w:val="en"/>
        </w:rPr>
        <w:t xml:space="preserve"> by the amendments</w:t>
      </w:r>
      <w:r w:rsidR="0035479B" w:rsidRPr="009A1196">
        <w:rPr>
          <w:rFonts w:cs="Arial"/>
          <w:bCs/>
          <w:lang w:val="en"/>
        </w:rPr>
        <w:t xml:space="preserve">. </w:t>
      </w:r>
      <w:r w:rsidR="00914A7D" w:rsidRPr="009A1196">
        <w:rPr>
          <w:rFonts w:cs="Arial"/>
          <w:bCs/>
          <w:lang w:val="en"/>
        </w:rPr>
        <w:t xml:space="preserve">The amendments also introduced the Enhanced Income Management regime, which </w:t>
      </w:r>
      <w:r w:rsidR="00BE11F5" w:rsidRPr="009A1196">
        <w:rPr>
          <w:rFonts w:cs="Arial"/>
          <w:bCs/>
          <w:lang w:val="en"/>
        </w:rPr>
        <w:t xml:space="preserve">is designed to ensure that a product with the same technological capabilities as the CDC will be made available to clients </w:t>
      </w:r>
      <w:r w:rsidR="00C16FB4">
        <w:rPr>
          <w:rFonts w:cs="Arial"/>
          <w:bCs/>
          <w:lang w:val="en"/>
        </w:rPr>
        <w:t xml:space="preserve">remaining </w:t>
      </w:r>
      <w:r w:rsidR="00BE11F5" w:rsidRPr="009A1196">
        <w:rPr>
          <w:rFonts w:cs="Arial"/>
          <w:bCs/>
          <w:lang w:val="en"/>
        </w:rPr>
        <w:t>on income management.</w:t>
      </w:r>
    </w:p>
    <w:p w14:paraId="0DC68E92" w14:textId="540D328F" w:rsidR="00BE11F5" w:rsidRDefault="00BE11F5" w:rsidP="009A1196">
      <w:pPr>
        <w:ind w:left="-142" w:right="-425"/>
        <w:jc w:val="both"/>
        <w:rPr>
          <w:rFonts w:cs="Arial"/>
          <w:bCs/>
          <w:lang w:val="en"/>
        </w:rPr>
      </w:pPr>
    </w:p>
    <w:p w14:paraId="3F382B7E" w14:textId="46E30915" w:rsidR="00614597" w:rsidRDefault="005C2362" w:rsidP="00E2375D">
      <w:pPr>
        <w:ind w:left="-142" w:right="-425"/>
        <w:jc w:val="both"/>
        <w:rPr>
          <w:rFonts w:cs="Arial"/>
          <w:bCs/>
          <w:lang w:val="en"/>
        </w:rPr>
      </w:pPr>
      <w:r>
        <w:rPr>
          <w:rFonts w:cs="Arial"/>
          <w:bCs/>
          <w:lang w:val="en"/>
        </w:rPr>
        <w:t>The Explanatory Memorandum noted the compat</w:t>
      </w:r>
      <w:r w:rsidR="00614597">
        <w:rPr>
          <w:rFonts w:cs="Arial"/>
          <w:bCs/>
          <w:lang w:val="en"/>
        </w:rPr>
        <w:t>ibility of the FRC model with human rights and the right to self-determination pursuant to Article 1 of the International Covenant on Economic, Social and Cultural Rights (ICESCR).</w:t>
      </w:r>
    </w:p>
    <w:p w14:paraId="0EE040BA" w14:textId="77777777" w:rsidR="00E2375D" w:rsidRDefault="00E2375D" w:rsidP="00E2375D">
      <w:pPr>
        <w:ind w:left="-142" w:right="-425"/>
        <w:jc w:val="both"/>
        <w:rPr>
          <w:rFonts w:cs="Arial"/>
          <w:bCs/>
          <w:lang w:val="en"/>
        </w:rPr>
      </w:pPr>
    </w:p>
    <w:p w14:paraId="5A743426" w14:textId="1FAD98D8" w:rsidR="00614597" w:rsidRPr="00BF7649" w:rsidRDefault="008E46D0" w:rsidP="00E2375D">
      <w:pPr>
        <w:ind w:left="567" w:right="141"/>
        <w:jc w:val="both"/>
        <w:rPr>
          <w:rFonts w:cs="Arial"/>
          <w:bCs/>
          <w:i/>
          <w:iCs/>
          <w:lang w:val="en"/>
        </w:rPr>
      </w:pPr>
      <w:r>
        <w:rPr>
          <w:rFonts w:cs="Arial"/>
          <w:bCs/>
          <w:i/>
          <w:iCs/>
          <w:lang w:val="en"/>
        </w:rPr>
        <w:t>“</w:t>
      </w:r>
      <w:r w:rsidR="00614597" w:rsidRPr="00BF7649">
        <w:rPr>
          <w:rFonts w:cs="Arial"/>
          <w:bCs/>
          <w:i/>
          <w:iCs/>
          <w:lang w:val="en"/>
        </w:rPr>
        <w:t xml:space="preserve">By ensuring the continuation of the FRC referral model, the amendments ensure that IM in prescribed community areas can continue as intended to address and curtail passive welfare, antisocial behaviour and entrenched disadvantage. FRC [C]ommissioners will be able to determine how much a participant’s payment should be qualified, based on an assessment of the participant’s holistic situation. A [C]ommissioner can also vary the qualified portion if required which allows for a level </w:t>
      </w:r>
      <w:r>
        <w:rPr>
          <w:rFonts w:cs="Arial"/>
          <w:bCs/>
          <w:i/>
          <w:iCs/>
          <w:lang w:val="en"/>
        </w:rPr>
        <w:t>o</w:t>
      </w:r>
      <w:r w:rsidR="00614597" w:rsidRPr="00BF7649">
        <w:rPr>
          <w:rFonts w:cs="Arial"/>
          <w:bCs/>
          <w:i/>
          <w:iCs/>
          <w:lang w:val="en"/>
        </w:rPr>
        <w:t>f discretion, as opposed to a ‘one</w:t>
      </w:r>
      <w:r w:rsidR="00BF7649" w:rsidRPr="00BF7649">
        <w:rPr>
          <w:rFonts w:cs="Arial"/>
          <w:bCs/>
          <w:i/>
          <w:iCs/>
          <w:lang w:val="en"/>
        </w:rPr>
        <w:t xml:space="preserve"> size fits all’ approach. </w:t>
      </w:r>
      <w:r w:rsidR="00BF7649" w:rsidRPr="00BF7649">
        <w:rPr>
          <w:rFonts w:cs="Arial"/>
          <w:b/>
          <w:i/>
          <w:iCs/>
          <w:lang w:val="en"/>
        </w:rPr>
        <w:t>Therefore, self-determination is maintained as this a community-endorsed model to address concerns relating to those most vulnerable to social harms</w:t>
      </w:r>
      <w:r w:rsidR="00BF7649" w:rsidRPr="00BF7649">
        <w:rPr>
          <w:rFonts w:cs="Arial"/>
          <w:bCs/>
          <w:i/>
          <w:iCs/>
          <w:lang w:val="en"/>
        </w:rPr>
        <w:t>’ [emphasis added].</w:t>
      </w:r>
      <w:r>
        <w:rPr>
          <w:rFonts w:cs="Arial"/>
          <w:bCs/>
          <w:i/>
          <w:iCs/>
          <w:lang w:val="en"/>
        </w:rPr>
        <w:t>”</w:t>
      </w:r>
      <w:r w:rsidR="00BF7649">
        <w:rPr>
          <w:rStyle w:val="FootnoteReference"/>
          <w:bCs/>
          <w:i/>
          <w:iCs/>
          <w:lang w:val="en"/>
        </w:rPr>
        <w:footnoteReference w:id="22"/>
      </w:r>
    </w:p>
    <w:p w14:paraId="473E1797" w14:textId="77777777" w:rsidR="005C2362" w:rsidRPr="009A1196" w:rsidRDefault="005C2362" w:rsidP="009A1196">
      <w:pPr>
        <w:ind w:left="-142" w:right="-425"/>
        <w:jc w:val="both"/>
        <w:rPr>
          <w:rFonts w:cs="Arial"/>
          <w:bCs/>
          <w:lang w:val="en"/>
        </w:rPr>
      </w:pPr>
    </w:p>
    <w:p w14:paraId="1F3A5565" w14:textId="683F99C0" w:rsidR="00C16FB4" w:rsidRDefault="00BE11F5" w:rsidP="00E2375D">
      <w:pPr>
        <w:ind w:left="-142" w:right="-425"/>
        <w:jc w:val="both"/>
        <w:rPr>
          <w:rFonts w:cs="Arial"/>
          <w:bCs/>
          <w:lang w:val="en"/>
        </w:rPr>
      </w:pPr>
      <w:r w:rsidRPr="009A1196">
        <w:rPr>
          <w:rFonts w:cs="Arial"/>
          <w:bCs/>
          <w:lang w:val="en"/>
        </w:rPr>
        <w:t xml:space="preserve">The passing of the legislation means that CDC participants in trial sites (that is, those CDC sites other than the Northern Territory and the FRC communities), can now opt-out of CDC, or continue voluntarily. On 6 March 2023, FRC communities and the Northern Territory will transition </w:t>
      </w:r>
      <w:r w:rsidR="00997517" w:rsidRPr="009A1196">
        <w:rPr>
          <w:rFonts w:cs="Arial"/>
          <w:bCs/>
          <w:lang w:val="en"/>
        </w:rPr>
        <w:t>to Enhanced Income Management</w:t>
      </w:r>
      <w:r w:rsidR="00E2375D">
        <w:rPr>
          <w:rFonts w:cs="Arial"/>
          <w:bCs/>
          <w:lang w:val="en"/>
        </w:rPr>
        <w:t xml:space="preserve"> (IM)</w:t>
      </w:r>
      <w:r w:rsidR="00997517" w:rsidRPr="009A1196">
        <w:rPr>
          <w:rFonts w:cs="Arial"/>
          <w:bCs/>
          <w:lang w:val="en"/>
        </w:rPr>
        <w:t>.</w:t>
      </w:r>
      <w:r w:rsidRPr="009A1196">
        <w:rPr>
          <w:rFonts w:cs="Arial"/>
          <w:bCs/>
          <w:lang w:val="en"/>
        </w:rPr>
        <w:t xml:space="preserve"> </w:t>
      </w:r>
      <w:r w:rsidR="00997517" w:rsidRPr="009A1196">
        <w:rPr>
          <w:rFonts w:cs="Arial"/>
          <w:bCs/>
          <w:lang w:val="en"/>
        </w:rPr>
        <w:t>From 6 March 2023 anyone still on the CDC in the other trial sites will also transition to Enhanced IM</w:t>
      </w:r>
      <w:r w:rsidR="00396B69">
        <w:rPr>
          <w:rFonts w:cs="Arial"/>
          <w:bCs/>
          <w:lang w:val="en"/>
        </w:rPr>
        <w:t>.</w:t>
      </w:r>
      <w:r w:rsidR="00E2375D">
        <w:rPr>
          <w:rFonts w:cs="Arial"/>
          <w:bCs/>
          <w:lang w:val="en"/>
        </w:rPr>
        <w:t xml:space="preserve"> </w:t>
      </w:r>
      <w:r w:rsidR="00C16FB4">
        <w:rPr>
          <w:rFonts w:cs="Arial"/>
          <w:bCs/>
          <w:lang w:val="en"/>
        </w:rPr>
        <w:t>The FRC are already working with the Department of Social Services and Services Australia to ensure the transition to Enhanced I</w:t>
      </w:r>
      <w:r w:rsidR="00E2375D">
        <w:rPr>
          <w:rFonts w:cs="Arial"/>
          <w:bCs/>
          <w:lang w:val="en"/>
        </w:rPr>
        <w:t xml:space="preserve">M </w:t>
      </w:r>
      <w:r w:rsidR="00C16FB4">
        <w:rPr>
          <w:rFonts w:cs="Arial"/>
          <w:bCs/>
          <w:lang w:val="en"/>
        </w:rPr>
        <w:t>is as smooth as possible.</w:t>
      </w:r>
    </w:p>
    <w:p w14:paraId="64447070" w14:textId="309A5D18" w:rsidR="00C16FB4" w:rsidRDefault="00C16FB4" w:rsidP="00997517">
      <w:pPr>
        <w:ind w:left="-142" w:right="-425"/>
        <w:jc w:val="both"/>
        <w:rPr>
          <w:rFonts w:cs="Arial"/>
          <w:bCs/>
          <w:lang w:val="en"/>
        </w:rPr>
      </w:pPr>
    </w:p>
    <w:p w14:paraId="2CF2247B" w14:textId="1D3646E3" w:rsidR="00C16FB4" w:rsidRPr="009A1196" w:rsidRDefault="00C16FB4" w:rsidP="009A1196">
      <w:pPr>
        <w:ind w:left="-142" w:right="-425"/>
        <w:jc w:val="both"/>
        <w:rPr>
          <w:rFonts w:cs="Arial"/>
          <w:bCs/>
          <w:lang w:val="en"/>
        </w:rPr>
      </w:pPr>
      <w:r>
        <w:rPr>
          <w:rFonts w:cs="Arial"/>
          <w:bCs/>
          <w:lang w:val="en"/>
        </w:rPr>
        <w:t xml:space="preserve">During the consultations, briefings and submissions to </w:t>
      </w:r>
      <w:r w:rsidR="00D372B6">
        <w:rPr>
          <w:rFonts w:cs="Arial"/>
          <w:bCs/>
          <w:lang w:val="en"/>
        </w:rPr>
        <w:t>the Parliamentary process,</w:t>
      </w:r>
      <w:r>
        <w:rPr>
          <w:rFonts w:cs="Arial"/>
          <w:bCs/>
          <w:lang w:val="en"/>
        </w:rPr>
        <w:t xml:space="preserve"> </w:t>
      </w:r>
      <w:r w:rsidR="003308CE">
        <w:rPr>
          <w:rFonts w:cs="Arial"/>
          <w:bCs/>
          <w:lang w:val="en"/>
        </w:rPr>
        <w:t>the F</w:t>
      </w:r>
      <w:r>
        <w:rPr>
          <w:rFonts w:cs="Arial"/>
          <w:bCs/>
          <w:lang w:val="en"/>
        </w:rPr>
        <w:t>RC was pleased to be able to demonstrate the uniqueness</w:t>
      </w:r>
      <w:r w:rsidR="003308CE">
        <w:rPr>
          <w:rFonts w:cs="Arial"/>
          <w:bCs/>
          <w:lang w:val="en"/>
        </w:rPr>
        <w:t xml:space="preserve"> and success</w:t>
      </w:r>
      <w:r>
        <w:rPr>
          <w:rFonts w:cs="Arial"/>
          <w:bCs/>
          <w:lang w:val="en"/>
        </w:rPr>
        <w:t xml:space="preserve"> of the FRC’s income management model</w:t>
      </w:r>
      <w:r w:rsidR="003308CE">
        <w:rPr>
          <w:rFonts w:cs="Arial"/>
          <w:bCs/>
          <w:lang w:val="en"/>
        </w:rPr>
        <w:t>, and to advocate for changes to legislation which would otherwise have impacted on the most vulnerable of the FRC’s clients. During this process, the ongoing value of the FRC, and</w:t>
      </w:r>
      <w:r w:rsidR="00D372B6">
        <w:rPr>
          <w:rFonts w:cs="Arial"/>
          <w:bCs/>
          <w:lang w:val="en"/>
        </w:rPr>
        <w:t>,</w:t>
      </w:r>
      <w:r w:rsidR="003308CE">
        <w:rPr>
          <w:rFonts w:cs="Arial"/>
          <w:bCs/>
          <w:lang w:val="en"/>
        </w:rPr>
        <w:t xml:space="preserve"> in particular the work of Local Commissioners, was recognised by the Australian Parliament.</w:t>
      </w:r>
    </w:p>
    <w:p w14:paraId="0D7DAD3E" w14:textId="296BD401" w:rsidR="00FD5EDB" w:rsidRDefault="00FD5EDB" w:rsidP="001C4518">
      <w:pPr>
        <w:ind w:left="-142" w:right="-425"/>
        <w:jc w:val="both"/>
        <w:rPr>
          <w:rFonts w:cs="Arial"/>
        </w:rPr>
      </w:pPr>
    </w:p>
    <w:bookmarkEnd w:id="28"/>
    <w:p w14:paraId="07FBEEDA" w14:textId="77777777" w:rsidR="003A12C6" w:rsidRDefault="003A12C6" w:rsidP="003A12C6">
      <w:pPr>
        <w:ind w:left="-142" w:right="-425"/>
        <w:jc w:val="both"/>
        <w:rPr>
          <w:rFonts w:cs="Arial"/>
          <w:b/>
          <w:lang w:val="en"/>
        </w:rPr>
      </w:pPr>
      <w:r>
        <w:rPr>
          <w:rFonts w:cs="Arial"/>
          <w:b/>
          <w:lang w:val="en"/>
        </w:rPr>
        <w:t xml:space="preserve">FRC </w:t>
      </w:r>
      <w:r w:rsidRPr="00AE610F">
        <w:rPr>
          <w:rFonts w:cs="Arial"/>
          <w:b/>
          <w:lang w:val="en"/>
        </w:rPr>
        <w:t>Future Directions Review</w:t>
      </w:r>
    </w:p>
    <w:p w14:paraId="6706E84D" w14:textId="2509E834" w:rsidR="003A12C6" w:rsidRPr="003A12C6" w:rsidRDefault="003A12C6" w:rsidP="003A12C6">
      <w:pPr>
        <w:ind w:left="-142" w:right="-425"/>
        <w:jc w:val="both"/>
        <w:rPr>
          <w:rFonts w:cs="Arial"/>
          <w:bCs/>
          <w:lang w:val="en"/>
        </w:rPr>
      </w:pPr>
      <w:r>
        <w:rPr>
          <w:rFonts w:cs="Arial"/>
          <w:bCs/>
          <w:lang w:val="en"/>
        </w:rPr>
        <w:t xml:space="preserve">The FRC understands that the Final Report on the FRC Future Directions review, prepared by Abt Associates, was due to be provided to the Department of </w:t>
      </w:r>
      <w:r w:rsidR="00997517">
        <w:rPr>
          <w:rFonts w:cs="Arial"/>
          <w:bCs/>
          <w:lang w:val="en"/>
        </w:rPr>
        <w:t>Seniors, Disability</w:t>
      </w:r>
      <w:r w:rsidR="00396B69">
        <w:rPr>
          <w:rFonts w:cs="Arial"/>
          <w:bCs/>
          <w:lang w:val="en"/>
        </w:rPr>
        <w:t xml:space="preserve"> Services and Aboriginal and Torres Strait Islander Partnerships </w:t>
      </w:r>
      <w:r w:rsidR="00396B69" w:rsidRPr="00491D58">
        <w:rPr>
          <w:rFonts w:cs="Arial"/>
          <w:bCs/>
          <w:lang w:val="en"/>
        </w:rPr>
        <w:t>in July</w:t>
      </w:r>
      <w:r>
        <w:rPr>
          <w:rFonts w:cs="Arial"/>
          <w:bCs/>
          <w:lang w:val="en"/>
        </w:rPr>
        <w:t>. To date, the FRC has not received information about the outcome of the review.</w:t>
      </w:r>
    </w:p>
    <w:p w14:paraId="59FA8724" w14:textId="55F36592" w:rsidR="005A5B78" w:rsidRPr="00E34093" w:rsidRDefault="005A5B78" w:rsidP="005A5B78">
      <w:pPr>
        <w:pStyle w:val="Heading1"/>
        <w:ind w:left="-142" w:right="-426"/>
      </w:pPr>
      <w:bookmarkStart w:id="29" w:name="RANGE!A4:I20"/>
      <w:bookmarkStart w:id="30" w:name="_Toc39657993"/>
      <w:bookmarkEnd w:id="29"/>
      <w:r w:rsidRPr="00E34093">
        <w:lastRenderedPageBreak/>
        <w:t xml:space="preserve">3.  </w:t>
      </w:r>
      <w:r w:rsidR="000541CA">
        <w:t>Governance</w:t>
      </w:r>
      <w:bookmarkEnd w:id="3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091CFE">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6315DF2B" w:rsidR="00281E73" w:rsidRPr="00A42E2F" w:rsidRDefault="00B04535" w:rsidP="00FC008A">
      <w:pPr>
        <w:pStyle w:val="ListBullet"/>
        <w:ind w:left="2863" w:hanging="3005"/>
      </w:pPr>
      <w:r>
        <w:t>Ms Jody Broun</w:t>
      </w:r>
      <w:r w:rsidR="00A42E2F" w:rsidRPr="00A42E2F">
        <w:tab/>
      </w:r>
      <w:r w:rsidR="00A42E2F" w:rsidRPr="00A42E2F">
        <w:tab/>
      </w:r>
      <w:r w:rsidR="00A42E2F" w:rsidRPr="00A42E2F">
        <w:tab/>
      </w:r>
      <w:r>
        <w:t>CEO, National Indigenous Australians Agency</w:t>
      </w:r>
    </w:p>
    <w:p w14:paraId="57D8A012" w14:textId="6E5E7BC4" w:rsidR="00A42E2F" w:rsidRDefault="0057512A" w:rsidP="00CF3AF9">
      <w:pPr>
        <w:pStyle w:val="ListBullet"/>
        <w:ind w:left="2835" w:hanging="2977"/>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CF3AF9">
      <w:pPr>
        <w:pStyle w:val="ListBullet"/>
        <w:numPr>
          <w:ilvl w:val="0"/>
          <w:numId w:val="0"/>
        </w:numPr>
        <w:ind w:left="3600"/>
      </w:pPr>
      <w:r>
        <w:t xml:space="preserve">Cape York </w:t>
      </w:r>
      <w:r w:rsidR="00751CB6">
        <w:t>Institute</w:t>
      </w:r>
      <w:r w:rsidR="0057512A">
        <w:t>.</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091CFE">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1" w:name="_Toc39657994"/>
      <w:r>
        <w:lastRenderedPageBreak/>
        <w:t>4</w:t>
      </w:r>
      <w:r w:rsidRPr="00E34093">
        <w:t>.  Financial Operations</w:t>
      </w:r>
      <w:bookmarkEnd w:id="31"/>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CF3AF9">
      <w:pPr>
        <w:pStyle w:val="Heading2"/>
      </w:pPr>
      <w:r w:rsidRPr="00BF1639">
        <w:t>Income:</w:t>
      </w:r>
    </w:p>
    <w:p w14:paraId="6D17618C" w14:textId="11B8EEA4" w:rsidR="009F0A67" w:rsidRPr="008E6DBA" w:rsidRDefault="009F0A67" w:rsidP="00FC008A">
      <w:pPr>
        <w:pStyle w:val="ListBullet"/>
        <w:ind w:left="215" w:hanging="357"/>
      </w:pPr>
      <w:r w:rsidRPr="008E6DBA">
        <w:t xml:space="preserve">Income </w:t>
      </w:r>
      <w:r w:rsidR="00266AAA">
        <w:t xml:space="preserve">of the </w:t>
      </w:r>
      <w:r w:rsidRPr="008E6DBA">
        <w:t xml:space="preserve">Commission </w:t>
      </w:r>
      <w:r w:rsidR="00266AAA">
        <w:t xml:space="preserve">attributable to </w:t>
      </w:r>
      <w:r w:rsidRPr="008E6DBA">
        <w:t xml:space="preserve">the </w:t>
      </w:r>
      <w:r w:rsidR="00266AAA">
        <w:t>quarter (</w:t>
      </w:r>
      <w:r w:rsidR="00F83C14">
        <w:t xml:space="preserve">1 </w:t>
      </w:r>
      <w:r w:rsidR="000F408B">
        <w:t>July</w:t>
      </w:r>
      <w:r w:rsidR="00415BC8">
        <w:t xml:space="preserve"> 2022</w:t>
      </w:r>
      <w:r w:rsidRPr="008E6DBA">
        <w:t xml:space="preserve"> to </w:t>
      </w:r>
      <w:r w:rsidR="00DA70CA">
        <w:t xml:space="preserve">30 </w:t>
      </w:r>
      <w:r w:rsidR="000F408B">
        <w:t>September</w:t>
      </w:r>
      <w:r w:rsidR="001A5C4C">
        <w:t xml:space="preserve"> 2022</w:t>
      </w:r>
      <w:r w:rsidR="00266AAA">
        <w:t>)</w:t>
      </w:r>
      <w:r w:rsidRPr="008E6DBA">
        <w:t xml:space="preserve"> totalled $</w:t>
      </w:r>
      <w:r w:rsidR="00D83D2C" w:rsidRPr="00266AAA">
        <w:t>1,</w:t>
      </w:r>
      <w:r w:rsidR="00AA1E7E" w:rsidRPr="00266AAA">
        <w:t>0</w:t>
      </w:r>
      <w:r w:rsidR="00266AAA" w:rsidRPr="00266AAA">
        <w:t>99</w:t>
      </w:r>
      <w:r w:rsidR="00D83D2C" w:rsidRPr="00266AAA">
        <w:t>,</w:t>
      </w:r>
      <w:r w:rsidR="00266AAA" w:rsidRPr="00266AAA">
        <w:t>280</w:t>
      </w:r>
      <w:r w:rsidR="00A504A2" w:rsidRPr="00266AAA">
        <w:t>.</w:t>
      </w:r>
      <w:r w:rsidR="00CE6E33" w:rsidRPr="008E6DBA">
        <w:t xml:space="preserve"> </w:t>
      </w:r>
      <w:r w:rsidRPr="008E6DBA">
        <w:t>This income consisted of:</w:t>
      </w:r>
    </w:p>
    <w:p w14:paraId="350616B8" w14:textId="7DAE41FE" w:rsidR="009F0A67" w:rsidRPr="00D83D2C" w:rsidRDefault="009F0A67" w:rsidP="009F0A67">
      <w:pPr>
        <w:pStyle w:val="ListBullet2"/>
      </w:pPr>
      <w:r w:rsidRPr="00D83D2C">
        <w:t>$</w:t>
      </w:r>
      <w:r w:rsidR="001C1C0C" w:rsidRPr="00AA1E7E">
        <w:t>6</w:t>
      </w:r>
      <w:r w:rsidR="00266AAA">
        <w:t>19</w:t>
      </w:r>
      <w:r w:rsidR="001C1C0C" w:rsidRPr="00AA1E7E">
        <w:t>,</w:t>
      </w:r>
      <w:r w:rsidR="00266AAA">
        <w:t>75</w:t>
      </w:r>
      <w:r w:rsidR="001C1C0C" w:rsidRPr="00AA1E7E">
        <w:t>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41CDBE11" w:rsidR="009F0A67" w:rsidRDefault="009F0A67" w:rsidP="009F0A67">
      <w:pPr>
        <w:pStyle w:val="ListBullet2"/>
      </w:pPr>
      <w:r w:rsidRPr="00850051">
        <w:t>$</w:t>
      </w:r>
      <w:r w:rsidR="00266AAA" w:rsidRPr="00266AAA">
        <w:t>28</w:t>
      </w:r>
      <w:r w:rsidR="00813E5B" w:rsidRPr="00266AAA">
        <w:t>,</w:t>
      </w:r>
      <w:r w:rsidR="00266AAA" w:rsidRPr="00266AAA">
        <w:t>463</w:t>
      </w:r>
      <w:r w:rsidR="00CF1D2E">
        <w:t xml:space="preserve"> </w:t>
      </w:r>
      <w:r w:rsidRPr="00850051">
        <w:t>interest received</w:t>
      </w:r>
    </w:p>
    <w:p w14:paraId="1FD7CA72" w14:textId="3D10FB2E" w:rsidR="009F3C63" w:rsidRPr="00850051" w:rsidRDefault="009F3C63" w:rsidP="009F0A67">
      <w:pPr>
        <w:pStyle w:val="ListBullet2"/>
      </w:pPr>
      <w:r>
        <w:t>$</w:t>
      </w:r>
      <w:r w:rsidR="00266AAA">
        <w:t>1,067</w:t>
      </w:r>
      <w:r>
        <w:t xml:space="preserve"> sundry income</w:t>
      </w:r>
    </w:p>
    <w:p w14:paraId="1CA5343F" w14:textId="5AAD612C" w:rsidR="00266AAA" w:rsidRDefault="00266AAA" w:rsidP="009F0A67">
      <w:pPr>
        <w:ind w:left="-142" w:right="-425"/>
        <w:jc w:val="both"/>
        <w:rPr>
          <w:rFonts w:cs="Arial"/>
        </w:rPr>
      </w:pPr>
      <w:r>
        <w:rPr>
          <w:rFonts w:cs="Arial"/>
        </w:rPr>
        <w:t xml:space="preserve">The Commission also received a total of $1,069,750 being income </w:t>
      </w:r>
      <w:r w:rsidR="00FA676F">
        <w:rPr>
          <w:rFonts w:cs="Arial"/>
        </w:rPr>
        <w:t xml:space="preserve">from the Queensland and Australian Governments </w:t>
      </w:r>
      <w:r>
        <w:rPr>
          <w:rFonts w:cs="Arial"/>
        </w:rPr>
        <w:t>attributable to following quarter (Quarter 58 – 1 October 2022 to 31 December 2022)</w:t>
      </w:r>
      <w:r w:rsidR="00FA676F">
        <w:rPr>
          <w:rFonts w:cs="Arial"/>
        </w:rPr>
        <w:t xml:space="preserve"> broken down as above.</w:t>
      </w:r>
    </w:p>
    <w:p w14:paraId="7F7D4816" w14:textId="77777777" w:rsidR="00266AAA" w:rsidRDefault="00266AAA" w:rsidP="009F0A67">
      <w:pPr>
        <w:ind w:left="-142" w:right="-425"/>
        <w:jc w:val="both"/>
        <w:rPr>
          <w:rFonts w:cs="Arial"/>
        </w:rPr>
      </w:pPr>
    </w:p>
    <w:p w14:paraId="63A91431" w14:textId="7B4CEEC7" w:rsidR="009F0A67" w:rsidRDefault="009F0A67" w:rsidP="009F0A67">
      <w:pPr>
        <w:ind w:left="-142" w:right="-425"/>
        <w:jc w:val="both"/>
        <w:rPr>
          <w:rFonts w:cs="Arial"/>
        </w:rPr>
      </w:pPr>
      <w:r w:rsidRPr="0073709D">
        <w:rPr>
          <w:rFonts w:cs="Arial"/>
        </w:rPr>
        <w:t xml:space="preserve">The balance of available funds in the bank as at </w:t>
      </w:r>
      <w:r w:rsidR="00DA70CA">
        <w:rPr>
          <w:rFonts w:cs="Arial"/>
        </w:rPr>
        <w:t xml:space="preserve">30 </w:t>
      </w:r>
      <w:r w:rsidR="000F408B">
        <w:rPr>
          <w:rFonts w:cs="Arial"/>
        </w:rPr>
        <w:t>September</w:t>
      </w:r>
      <w:r w:rsidR="001A5C4C">
        <w:rPr>
          <w:rFonts w:cs="Arial"/>
        </w:rPr>
        <w:t xml:space="preserve"> 2022</w:t>
      </w:r>
      <w:r w:rsidRPr="0073709D">
        <w:rPr>
          <w:rFonts w:cs="Arial"/>
        </w:rPr>
        <w:t xml:space="preserve"> </w:t>
      </w:r>
      <w:r w:rsidRPr="008E6DBA">
        <w:rPr>
          <w:rFonts w:cs="Arial"/>
        </w:rPr>
        <w:t>is $</w:t>
      </w:r>
      <w:r w:rsidR="00FA676F">
        <w:rPr>
          <w:rFonts w:cs="Arial"/>
        </w:rPr>
        <w:t>4,918,078</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F3AF9">
      <w:pPr>
        <w:pStyle w:val="Heading2"/>
      </w:pPr>
      <w:r w:rsidRPr="00BF1639">
        <w:t>Expenditure:</w:t>
      </w:r>
    </w:p>
    <w:p w14:paraId="1DC8DF62" w14:textId="4A1F3E5A" w:rsidR="00C74BF5" w:rsidRPr="001720D5" w:rsidRDefault="00C74BF5" w:rsidP="00C74BF5">
      <w:pPr>
        <w:pStyle w:val="ListBullet"/>
        <w:ind w:left="2863" w:hanging="3005"/>
      </w:pPr>
      <w:r w:rsidRPr="00BD380A">
        <w:t xml:space="preserve">Expenditure for the </w:t>
      </w:r>
      <w:r w:rsidR="00FA676F">
        <w:t>quarter (</w:t>
      </w:r>
      <w:r w:rsidR="00F83C14">
        <w:t xml:space="preserve">1 </w:t>
      </w:r>
      <w:r w:rsidR="000F408B">
        <w:t>July</w:t>
      </w:r>
      <w:r w:rsidR="00415BC8">
        <w:t xml:space="preserve"> 2022</w:t>
      </w:r>
      <w:r w:rsidRPr="00BD380A">
        <w:t xml:space="preserve"> to </w:t>
      </w:r>
      <w:r w:rsidR="00DA70CA">
        <w:t xml:space="preserve">30 </w:t>
      </w:r>
      <w:r w:rsidR="000F408B">
        <w:t>September</w:t>
      </w:r>
      <w:r w:rsidR="001A5C4C">
        <w:t xml:space="preserve"> 2022</w:t>
      </w:r>
      <w:r w:rsidR="00FA676F">
        <w:t>)</w:t>
      </w:r>
      <w:r w:rsidRPr="00BD380A">
        <w:t xml:space="preserve"> was </w:t>
      </w:r>
      <w:r w:rsidRPr="002B45D3">
        <w:t>$</w:t>
      </w:r>
      <w:r w:rsidR="0023383B" w:rsidRPr="00FA676F">
        <w:t>1,0</w:t>
      </w:r>
      <w:r w:rsidR="00FA676F" w:rsidRPr="00FA676F">
        <w:t>80</w:t>
      </w:r>
      <w:r w:rsidR="0023383B" w:rsidRPr="00FA676F">
        <w:t>,</w:t>
      </w:r>
      <w:r w:rsidR="00FA676F" w:rsidRPr="00FA676F">
        <w:t>787</w:t>
      </w:r>
      <w:r>
        <w:t>.</w:t>
      </w:r>
    </w:p>
    <w:p w14:paraId="4555CA86" w14:textId="07475910" w:rsidR="00D840DE" w:rsidRDefault="00D840DE" w:rsidP="009F0A67">
      <w:pPr>
        <w:ind w:left="-142" w:right="-425"/>
        <w:jc w:val="both"/>
        <w:rPr>
          <w:rFonts w:cs="Arial"/>
        </w:rPr>
      </w:pPr>
    </w:p>
    <w:p w14:paraId="40442581" w14:textId="6CC8A10A" w:rsidR="00EB0526" w:rsidRDefault="00EB0526" w:rsidP="009D766A">
      <w:pPr>
        <w:ind w:left="-142" w:right="-425"/>
        <w:jc w:val="both"/>
        <w:rPr>
          <w:rFonts w:cs="Arial"/>
          <w:sz w:val="16"/>
          <w:szCs w:val="16"/>
        </w:rPr>
      </w:pPr>
      <w:r w:rsidRPr="009D766A">
        <w:rPr>
          <w:rFonts w:cs="Arial"/>
          <w:b/>
          <w:sz w:val="16"/>
          <w:szCs w:val="16"/>
        </w:rPr>
        <w:t xml:space="preserve">Table </w:t>
      </w:r>
      <w:r w:rsidR="005E628C">
        <w:rPr>
          <w:rFonts w:cs="Arial"/>
          <w:b/>
          <w:sz w:val="16"/>
          <w:szCs w:val="16"/>
        </w:rPr>
        <w:t>29</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0F408B">
        <w:rPr>
          <w:rFonts w:cs="Arial"/>
          <w:sz w:val="16"/>
          <w:szCs w:val="16"/>
        </w:rPr>
        <w:t>57</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00B7C19C" w:rsidR="009F0A67" w:rsidRPr="00872CBA" w:rsidRDefault="00F83C14" w:rsidP="009F55E0">
            <w:pPr>
              <w:pStyle w:val="StyleTableTextBoldCentered"/>
              <w:rPr>
                <w:lang w:eastAsia="en-AU"/>
              </w:rPr>
            </w:pPr>
            <w:r>
              <w:rPr>
                <w:lang w:eastAsia="en-AU"/>
              </w:rPr>
              <w:t xml:space="preserve">1 </w:t>
            </w:r>
            <w:r w:rsidR="000F408B">
              <w:rPr>
                <w:lang w:eastAsia="en-AU"/>
              </w:rPr>
              <w:t>July</w:t>
            </w:r>
            <w:r w:rsidR="00415BC8">
              <w:rPr>
                <w:lang w:eastAsia="en-AU"/>
              </w:rPr>
              <w:t xml:space="preserve"> 2022</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00D8B646" w:rsidR="009F0A67" w:rsidRPr="00872CBA" w:rsidRDefault="00F83C14" w:rsidP="009F55E0">
            <w:pPr>
              <w:pStyle w:val="StyleTableTextBoldCentered"/>
              <w:rPr>
                <w:lang w:eastAsia="en-AU"/>
              </w:rPr>
            </w:pPr>
            <w:r>
              <w:rPr>
                <w:lang w:eastAsia="en-AU"/>
              </w:rPr>
              <w:t xml:space="preserve">1 </w:t>
            </w:r>
            <w:r w:rsidR="000F408B">
              <w:rPr>
                <w:lang w:eastAsia="en-AU"/>
              </w:rPr>
              <w:t>July</w:t>
            </w:r>
            <w:r w:rsidR="00415BC8">
              <w:rPr>
                <w:lang w:eastAsia="en-AU"/>
              </w:rPr>
              <w:t xml:space="preserve"> 2022</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248B2576" w:rsidR="009F0A67" w:rsidRPr="00872CBA" w:rsidRDefault="00DA70CA" w:rsidP="009F55E0">
            <w:pPr>
              <w:pStyle w:val="StyleTableTextBoldCentered"/>
              <w:rPr>
                <w:lang w:eastAsia="en-AU"/>
              </w:rPr>
            </w:pPr>
            <w:r>
              <w:rPr>
                <w:lang w:eastAsia="en-AU"/>
              </w:rPr>
              <w:t xml:space="preserve">30 </w:t>
            </w:r>
            <w:r w:rsidR="000F408B">
              <w:rPr>
                <w:lang w:eastAsia="en-AU"/>
              </w:rPr>
              <w:t>September</w:t>
            </w:r>
            <w:r w:rsidR="001A5C4C">
              <w:rPr>
                <w:lang w:eastAsia="en-AU"/>
              </w:rPr>
              <w:t xml:space="preserve"> 2022</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0928E4A8" w:rsidR="009F0A67" w:rsidRPr="00872CBA" w:rsidRDefault="009F0A67" w:rsidP="004F7197">
            <w:pPr>
              <w:pStyle w:val="StyleTableTextBoldCentered"/>
              <w:rPr>
                <w:lang w:eastAsia="en-AU"/>
              </w:rPr>
            </w:pPr>
            <w:r w:rsidRPr="00872CBA">
              <w:rPr>
                <w:lang w:eastAsia="en-AU"/>
              </w:rPr>
              <w:t xml:space="preserve">Qtr </w:t>
            </w:r>
            <w:r w:rsidR="000F408B">
              <w:rPr>
                <w:lang w:eastAsia="en-AU"/>
              </w:rPr>
              <w:t>57</w:t>
            </w:r>
          </w:p>
        </w:tc>
        <w:tc>
          <w:tcPr>
            <w:tcW w:w="2552" w:type="dxa"/>
            <w:tcBorders>
              <w:top w:val="nil"/>
              <w:left w:val="nil"/>
              <w:bottom w:val="nil"/>
              <w:right w:val="single" w:sz="4" w:space="0" w:color="FFFFFF"/>
            </w:tcBorders>
            <w:shd w:val="clear" w:color="auto" w:fill="000000"/>
            <w:noWrap/>
            <w:vAlign w:val="bottom"/>
          </w:tcPr>
          <w:p w14:paraId="7FB7D45D" w14:textId="14D53DDD" w:rsidR="009F0A67" w:rsidRPr="00872CBA" w:rsidRDefault="00DA70CA" w:rsidP="009F55E0">
            <w:pPr>
              <w:pStyle w:val="StyleTableTextBoldCentered"/>
              <w:rPr>
                <w:lang w:eastAsia="en-AU"/>
              </w:rPr>
            </w:pPr>
            <w:r>
              <w:rPr>
                <w:lang w:eastAsia="en-AU"/>
              </w:rPr>
              <w:t xml:space="preserve">30 </w:t>
            </w:r>
            <w:r w:rsidR="000F408B">
              <w:rPr>
                <w:lang w:eastAsia="en-AU"/>
              </w:rPr>
              <w:t>September</w:t>
            </w:r>
            <w:r w:rsidR="001A5C4C">
              <w:rPr>
                <w:lang w:eastAsia="en-AU"/>
              </w:rPr>
              <w:t xml:space="preserve"> 2022</w:t>
            </w:r>
          </w:p>
        </w:tc>
        <w:tc>
          <w:tcPr>
            <w:tcW w:w="1701" w:type="dxa"/>
            <w:tcBorders>
              <w:top w:val="nil"/>
              <w:left w:val="nil"/>
              <w:bottom w:val="nil"/>
              <w:right w:val="nil"/>
            </w:tcBorders>
            <w:shd w:val="clear" w:color="auto" w:fill="000000"/>
            <w:noWrap/>
            <w:vAlign w:val="bottom"/>
          </w:tcPr>
          <w:p w14:paraId="4A5AEAEC" w14:textId="53B2F960" w:rsidR="009F0A67" w:rsidRPr="00872CBA" w:rsidRDefault="009F0A67" w:rsidP="004F7197">
            <w:pPr>
              <w:pStyle w:val="StyleTableTextBoldCentered"/>
              <w:rPr>
                <w:lang w:eastAsia="en-AU"/>
              </w:rPr>
            </w:pPr>
            <w:r w:rsidRPr="00872CBA">
              <w:rPr>
                <w:lang w:eastAsia="en-AU"/>
              </w:rPr>
              <w:t xml:space="preserve">Qtr </w:t>
            </w:r>
            <w:r w:rsidR="000F408B">
              <w:rPr>
                <w:lang w:eastAsia="en-AU"/>
              </w:rPr>
              <w:t>57</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7B8FB3D9" w:rsidR="009F0A67" w:rsidRPr="00D027FD" w:rsidRDefault="00FA676F" w:rsidP="002E59A0">
            <w:pPr>
              <w:jc w:val="right"/>
            </w:pPr>
            <w:r>
              <w:t>585,730</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7D9C3430" w:rsidR="009F0A67" w:rsidRPr="00D027FD" w:rsidRDefault="00FA676F" w:rsidP="002E59A0">
            <w:pPr>
              <w:jc w:val="right"/>
            </w:pPr>
            <w:r>
              <w:t>59,425</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41804737" w:rsidR="009F0A67" w:rsidRPr="00D027FD" w:rsidRDefault="00FA676F" w:rsidP="002E59A0">
            <w:pPr>
              <w:jc w:val="right"/>
            </w:pPr>
            <w:r>
              <w:t>96,175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516AA256" w:rsidR="009F0A67" w:rsidRPr="00D027FD" w:rsidRDefault="00FA676F" w:rsidP="002E59A0">
            <w:pPr>
              <w:jc w:val="right"/>
            </w:pPr>
            <w:r>
              <w:t>12,151</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0F606DD6" w:rsidR="009F0A67" w:rsidRPr="00D027FD" w:rsidRDefault="00FA676F" w:rsidP="002E59A0">
            <w:pPr>
              <w:jc w:val="right"/>
            </w:pPr>
            <w:r>
              <w:t>103,561</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7FCE895F" w:rsidR="009F0A67" w:rsidRPr="00D027FD" w:rsidRDefault="00FA676F" w:rsidP="002E59A0">
            <w:pPr>
              <w:jc w:val="right"/>
            </w:pPr>
            <w:r>
              <w:t>60,187</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796AAEAB" w:rsidR="009F0A67" w:rsidRPr="00D027FD" w:rsidRDefault="00FA676F" w:rsidP="002E59A0">
            <w:pPr>
              <w:jc w:val="right"/>
            </w:pPr>
            <w:r>
              <w:t>15,292</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3EFC876F" w:rsidR="009F0A67" w:rsidRPr="00D027FD" w:rsidRDefault="00FA676F" w:rsidP="002E59A0">
            <w:pPr>
              <w:jc w:val="right"/>
            </w:pPr>
            <w:r>
              <w:t>74,951</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74F1657D" w:rsidR="009F0A67" w:rsidRPr="00D027FD" w:rsidRDefault="00FA676F" w:rsidP="002E59A0">
            <w:pPr>
              <w:jc w:val="right"/>
            </w:pPr>
            <w:r>
              <w:t>33,658</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7B8DEC44" w:rsidR="009F0A67" w:rsidRPr="00D027FD" w:rsidRDefault="00FA676F" w:rsidP="002E59A0">
            <w:pPr>
              <w:jc w:val="right"/>
            </w:pPr>
            <w:r>
              <w:t>24,090</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50ACB5BD" w:rsidR="007966F3" w:rsidRPr="00D027FD" w:rsidRDefault="00FA676F" w:rsidP="002E59A0">
            <w:pPr>
              <w:jc w:val="right"/>
            </w:pPr>
            <w:r>
              <w:t>3,586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0DA35924" w:rsidR="007966F3" w:rsidRPr="00D027FD" w:rsidRDefault="00FA676F" w:rsidP="002E59A0">
            <w:pPr>
              <w:jc w:val="right"/>
            </w:pPr>
            <w:r>
              <w:t>11,981</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7773BDF0" w:rsidR="009F0A67" w:rsidRPr="00D027FD" w:rsidRDefault="00FA676F" w:rsidP="002E59A0">
            <w:pPr>
              <w:jc w:val="right"/>
              <w:rPr>
                <w:b/>
                <w:highlight w:val="cyan"/>
              </w:rPr>
            </w:pPr>
            <w:r w:rsidRPr="00FA676F">
              <w:rPr>
                <w:b/>
              </w:rPr>
              <w:t>1,080,787</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331081" w:rsidRDefault="00331081" w:rsidP="00CD4DBB">
      <w:pPr>
        <w:pStyle w:val="ListParagraph"/>
        <w:numPr>
          <w:ilvl w:val="0"/>
          <w:numId w:val="9"/>
        </w:numPr>
        <w:spacing w:after="120"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including the operational expenses </w:t>
      </w:r>
      <w:r w:rsidRPr="00331081">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agreements and orders.</w:t>
      </w:r>
    </w:p>
    <w:p w14:paraId="6C2BB238"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
          <w:sz w:val="20"/>
          <w:szCs w:val="20"/>
        </w:rPr>
      </w:pPr>
      <w:r w:rsidRPr="00331081">
        <w:rPr>
          <w:rFonts w:ascii="Verdana" w:hAnsi="Verdana" w:cs="Arial"/>
          <w:b/>
          <w:sz w:val="20"/>
          <w:szCs w:val="20"/>
        </w:rPr>
        <w:t xml:space="preserve">Support and facilitation expenses </w:t>
      </w:r>
      <w:r w:rsidRPr="00331081">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where considered necessary.</w:t>
      </w:r>
    </w:p>
    <w:p w14:paraId="6360FB36" w14:textId="77777777" w:rsidR="00331081" w:rsidRPr="00331081" w:rsidRDefault="00331081" w:rsidP="00331081">
      <w:pPr>
        <w:pStyle w:val="ListParagraph"/>
        <w:numPr>
          <w:ilvl w:val="0"/>
          <w:numId w:val="9"/>
        </w:numPr>
        <w:spacing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Corporate governance </w:t>
      </w:r>
      <w:r w:rsidRPr="00331081">
        <w:rPr>
          <w:rFonts w:ascii="Verdana" w:hAnsi="Verdana" w:cs="Arial"/>
          <w:bCs/>
          <w:sz w:val="20"/>
          <w:szCs w:val="20"/>
        </w:rPr>
        <w:t>includes finance, statistical reporting, corporate governance,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w:t>
      </w:r>
      <w:r w:rsidRPr="0020608D">
        <w:rPr>
          <w:rFonts w:cs="Arial"/>
        </w:rPr>
        <w:lastRenderedPageBreak/>
        <w:t xml:space="preserve">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1EB258B6" w:rsidR="00C14FC9" w:rsidRDefault="00B156C7" w:rsidP="0020608D">
      <w:pPr>
        <w:ind w:left="-142" w:right="-425"/>
        <w:jc w:val="both"/>
        <w:rPr>
          <w:rFonts w:cs="Arial"/>
        </w:rPr>
      </w:pPr>
      <w:r>
        <w:rPr>
          <w:rFonts w:cs="Arial"/>
        </w:rPr>
        <w:t xml:space="preserve">As can be observed in </w:t>
      </w:r>
      <w:r w:rsidR="00BC2403">
        <w:rPr>
          <w:rFonts w:cs="Arial"/>
        </w:rPr>
        <w:t>table 30</w:t>
      </w:r>
      <w:r>
        <w:rPr>
          <w:rFonts w:cs="Arial"/>
        </w:rPr>
        <w:t xml:space="preserve"> 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0F408B">
        <w:rPr>
          <w:rFonts w:cs="Arial"/>
        </w:rPr>
        <w:t>57</w:t>
      </w:r>
      <w:r>
        <w:rPr>
          <w:rFonts w:cs="Arial"/>
        </w:rPr>
        <w:t xml:space="preserve">, the largest allocation during the reporting period is in relation to </w:t>
      </w:r>
      <w:r w:rsidR="00B01B37">
        <w:rPr>
          <w:rFonts w:cs="Arial"/>
        </w:rPr>
        <w:t xml:space="preserve">community </w:t>
      </w:r>
      <w:r w:rsidR="00B01B37" w:rsidRPr="00FA676F">
        <w:rPr>
          <w:rFonts w:cs="Arial"/>
        </w:rPr>
        <w:t>operations</w:t>
      </w:r>
      <w:r w:rsidRPr="00FA676F">
        <w:rPr>
          <w:rFonts w:cs="Arial"/>
        </w:rPr>
        <w:t xml:space="preserve"> (</w:t>
      </w:r>
      <w:r w:rsidR="00CD4DBB" w:rsidRPr="00FA676F">
        <w:rPr>
          <w:rFonts w:cs="Arial"/>
        </w:rPr>
        <w:t>7</w:t>
      </w:r>
      <w:r w:rsidR="00FA676F" w:rsidRPr="00FA676F">
        <w:rPr>
          <w:rFonts w:cs="Arial"/>
        </w:rPr>
        <w:t>0</w:t>
      </w:r>
      <w:r w:rsidR="00651739" w:rsidRPr="00FA676F">
        <w:rPr>
          <w:rFonts w:cs="Arial"/>
        </w:rPr>
        <w:t>.</w:t>
      </w:r>
      <w:r w:rsidR="00FA676F" w:rsidRPr="00FA676F">
        <w:rPr>
          <w:rFonts w:cs="Arial"/>
        </w:rPr>
        <w:t>2</w:t>
      </w:r>
      <w:r>
        <w:rPr>
          <w:rFonts w:cs="Arial"/>
        </w:rPr>
        <w:t xml:space="preserve"> percent).</w:t>
      </w:r>
    </w:p>
    <w:p w14:paraId="3AF1152B" w14:textId="4CCF96A1" w:rsidR="00FA676F" w:rsidRDefault="00FA676F" w:rsidP="0020608D">
      <w:pPr>
        <w:ind w:left="-142" w:right="-425"/>
        <w:jc w:val="both"/>
        <w:rPr>
          <w:rFonts w:cs="Arial"/>
        </w:rPr>
      </w:pPr>
    </w:p>
    <w:p w14:paraId="72477EB0" w14:textId="0171B198" w:rsidR="005E628C" w:rsidRPr="00E37B61" w:rsidRDefault="005E628C" w:rsidP="005E628C">
      <w:pPr>
        <w:pStyle w:val="TableCaption"/>
        <w:spacing w:before="0"/>
        <w:ind w:left="0" w:right="-425"/>
        <w:rPr>
          <w:b/>
          <w:i w:val="0"/>
          <w:sz w:val="16"/>
        </w:rPr>
      </w:pPr>
      <w:r w:rsidRPr="00E37B61">
        <w:rPr>
          <w:b/>
          <w:i w:val="0"/>
          <w:sz w:val="16"/>
        </w:rPr>
        <w:t xml:space="preserve">Table </w:t>
      </w:r>
      <w:r>
        <w:rPr>
          <w:b/>
          <w:i w:val="0"/>
          <w:sz w:val="16"/>
        </w:rPr>
        <w:t>30</w:t>
      </w:r>
      <w:r w:rsidRPr="00E37B61">
        <w:rPr>
          <w:b/>
          <w:i w:val="0"/>
          <w:sz w:val="16"/>
        </w:rPr>
        <w:t xml:space="preserve">: </w:t>
      </w:r>
      <w:r>
        <w:rPr>
          <w:i w:val="0"/>
          <w:sz w:val="16"/>
        </w:rPr>
        <w:t>Allocation of expenses</w:t>
      </w:r>
      <w:r w:rsidRPr="00E37B61">
        <w:rPr>
          <w:i w:val="0"/>
          <w:sz w:val="16"/>
        </w:rPr>
        <w:t xml:space="preserve"> 1 </w:t>
      </w:r>
      <w:r>
        <w:rPr>
          <w:i w:val="0"/>
          <w:sz w:val="16"/>
        </w:rPr>
        <w:t xml:space="preserve">July 2022 to 30 September </w:t>
      </w:r>
      <w:r w:rsidRPr="00E37B61">
        <w:rPr>
          <w:i w:val="0"/>
          <w:sz w:val="16"/>
        </w:rPr>
        <w:t>20</w:t>
      </w:r>
      <w:r>
        <w:rPr>
          <w:i w:val="0"/>
          <w:sz w:val="16"/>
        </w:rPr>
        <w:t>22</w:t>
      </w:r>
    </w:p>
    <w:tbl>
      <w:tblPr>
        <w:tblW w:w="5431" w:type="dxa"/>
        <w:tblInd w:w="93" w:type="dxa"/>
        <w:tblLook w:val="04A0" w:firstRow="1" w:lastRow="0" w:firstColumn="1" w:lastColumn="0" w:noHBand="0" w:noVBand="1"/>
      </w:tblPr>
      <w:tblGrid>
        <w:gridCol w:w="3871"/>
        <w:gridCol w:w="1560"/>
      </w:tblGrid>
      <w:tr w:rsidR="005E628C" w:rsidRPr="00920636" w14:paraId="35CC3BD9" w14:textId="77777777" w:rsidTr="006A327F">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3BD42C82" w14:textId="77777777" w:rsidR="005E628C" w:rsidRPr="000F130C" w:rsidRDefault="005E628C" w:rsidP="006A327F">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55BC59C2" w14:textId="77777777" w:rsidR="005E628C" w:rsidRDefault="005E628C" w:rsidP="006A327F">
            <w:pPr>
              <w:pStyle w:val="TableText"/>
              <w:jc w:val="right"/>
              <w:rPr>
                <w:b/>
                <w:lang w:eastAsia="en-AU"/>
              </w:rPr>
            </w:pPr>
            <w:r>
              <w:rPr>
                <w:b/>
                <w:lang w:eastAsia="en-AU"/>
              </w:rPr>
              <w:t>Percentage of Allocated Expenses</w:t>
            </w:r>
          </w:p>
        </w:tc>
      </w:tr>
      <w:tr w:rsidR="005E628C" w:rsidRPr="00920636" w14:paraId="2731EB62" w14:textId="77777777" w:rsidTr="006A327F">
        <w:trPr>
          <w:trHeight w:val="255"/>
        </w:trPr>
        <w:tc>
          <w:tcPr>
            <w:tcW w:w="3871" w:type="dxa"/>
            <w:tcBorders>
              <w:top w:val="nil"/>
              <w:left w:val="single" w:sz="4" w:space="0" w:color="auto"/>
              <w:bottom w:val="single" w:sz="4" w:space="0" w:color="auto"/>
              <w:right w:val="single" w:sz="4" w:space="0" w:color="auto"/>
            </w:tcBorders>
            <w:noWrap/>
          </w:tcPr>
          <w:p w14:paraId="7720BB89" w14:textId="77777777" w:rsidR="005E628C" w:rsidRPr="00E72DFB" w:rsidRDefault="005E628C" w:rsidP="006A327F">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3DC77074" w14:textId="39592DD0" w:rsidR="005E628C" w:rsidRDefault="005E628C" w:rsidP="006A327F">
            <w:pPr>
              <w:pStyle w:val="TableText"/>
              <w:jc w:val="right"/>
              <w:rPr>
                <w:lang w:eastAsia="en-AU"/>
              </w:rPr>
            </w:pPr>
            <w:r>
              <w:rPr>
                <w:lang w:eastAsia="en-AU"/>
              </w:rPr>
              <w:t>29.8%</w:t>
            </w:r>
          </w:p>
        </w:tc>
      </w:tr>
      <w:tr w:rsidR="005E628C" w:rsidRPr="00920636" w14:paraId="44016DE1" w14:textId="77777777" w:rsidTr="006A327F">
        <w:trPr>
          <w:trHeight w:val="255"/>
        </w:trPr>
        <w:tc>
          <w:tcPr>
            <w:tcW w:w="3871" w:type="dxa"/>
            <w:tcBorders>
              <w:top w:val="nil"/>
              <w:left w:val="single" w:sz="4" w:space="0" w:color="auto"/>
              <w:bottom w:val="single" w:sz="4" w:space="0" w:color="auto"/>
              <w:right w:val="single" w:sz="4" w:space="0" w:color="auto"/>
            </w:tcBorders>
            <w:noWrap/>
            <w:hideMark/>
          </w:tcPr>
          <w:p w14:paraId="411FCEE4" w14:textId="77777777" w:rsidR="005E628C" w:rsidRPr="00E72DFB" w:rsidRDefault="005E628C" w:rsidP="006A327F">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7C50D4D2" w14:textId="665184C5" w:rsidR="005E628C" w:rsidRDefault="005E628C" w:rsidP="006A327F">
            <w:pPr>
              <w:pStyle w:val="TableText"/>
              <w:jc w:val="right"/>
              <w:rPr>
                <w:lang w:eastAsia="en-AU"/>
              </w:rPr>
            </w:pPr>
            <w:r>
              <w:rPr>
                <w:lang w:eastAsia="en-AU"/>
              </w:rPr>
              <w:t>70.2%</w:t>
            </w:r>
          </w:p>
        </w:tc>
      </w:tr>
      <w:tr w:rsidR="005E628C" w:rsidRPr="00920636" w14:paraId="54300285" w14:textId="77777777" w:rsidTr="006A327F">
        <w:trPr>
          <w:trHeight w:val="255"/>
        </w:trPr>
        <w:tc>
          <w:tcPr>
            <w:tcW w:w="3871" w:type="dxa"/>
            <w:tcBorders>
              <w:top w:val="nil"/>
              <w:left w:val="single" w:sz="4" w:space="0" w:color="auto"/>
              <w:bottom w:val="single" w:sz="4" w:space="0" w:color="auto"/>
              <w:right w:val="single" w:sz="4" w:space="0" w:color="auto"/>
            </w:tcBorders>
            <w:noWrap/>
            <w:hideMark/>
          </w:tcPr>
          <w:p w14:paraId="05E138AB" w14:textId="77777777" w:rsidR="005E628C" w:rsidRPr="000F130C" w:rsidRDefault="005E628C" w:rsidP="006A327F">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2C47A920" w14:textId="77777777" w:rsidR="005E628C" w:rsidRDefault="005E628C" w:rsidP="006A327F">
            <w:pPr>
              <w:pStyle w:val="TableText"/>
              <w:jc w:val="right"/>
              <w:rPr>
                <w:b/>
                <w:lang w:eastAsia="en-AU"/>
              </w:rPr>
            </w:pPr>
            <w:r>
              <w:rPr>
                <w:b/>
                <w:lang w:eastAsia="en-AU"/>
              </w:rPr>
              <w:t>100.0%</w:t>
            </w:r>
          </w:p>
        </w:tc>
      </w:tr>
    </w:tbl>
    <w:p w14:paraId="52D28BBC" w14:textId="77777777" w:rsidR="005E628C" w:rsidRDefault="005E628C" w:rsidP="0020608D">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3DDA6DE8" w14:textId="5BC7CB8E" w:rsidR="003536A6" w:rsidRDefault="003536A6" w:rsidP="00994941">
      <w:pPr>
        <w:ind w:left="-142" w:right="-425"/>
        <w:jc w:val="both"/>
        <w:rPr>
          <w:rFonts w:cs="Arial"/>
        </w:rPr>
      </w:pPr>
    </w:p>
    <w:p w14:paraId="0CD8EAC4" w14:textId="485E9C46" w:rsidR="005E628C" w:rsidRPr="00E37B61" w:rsidRDefault="005E628C" w:rsidP="005E628C">
      <w:pPr>
        <w:pStyle w:val="TableCaption"/>
        <w:spacing w:before="0"/>
        <w:ind w:left="0" w:right="-425"/>
        <w:rPr>
          <w:b/>
          <w:i w:val="0"/>
          <w:sz w:val="16"/>
        </w:rPr>
      </w:pPr>
      <w:r w:rsidRPr="00E37B61">
        <w:rPr>
          <w:b/>
          <w:i w:val="0"/>
          <w:sz w:val="16"/>
        </w:rPr>
        <w:t xml:space="preserve">Table </w:t>
      </w:r>
      <w:r>
        <w:rPr>
          <w:b/>
          <w:i w:val="0"/>
          <w:sz w:val="16"/>
        </w:rPr>
        <w:t>31</w:t>
      </w:r>
      <w:r w:rsidRPr="00E37B61">
        <w:rPr>
          <w:b/>
          <w:i w:val="0"/>
          <w:sz w:val="16"/>
        </w:rPr>
        <w:t xml:space="preserve">: </w:t>
      </w:r>
      <w:r w:rsidRPr="00E37B61">
        <w:rPr>
          <w:i w:val="0"/>
          <w:sz w:val="16"/>
        </w:rPr>
        <w:t xml:space="preserve">Operating costs by remote location 1 </w:t>
      </w:r>
      <w:r>
        <w:rPr>
          <w:i w:val="0"/>
          <w:sz w:val="16"/>
        </w:rPr>
        <w:t xml:space="preserve">July 2021 to 30 September </w:t>
      </w:r>
      <w:r w:rsidRPr="00E37B61">
        <w:rPr>
          <w:i w:val="0"/>
          <w:sz w:val="16"/>
        </w:rPr>
        <w:t>20</w:t>
      </w:r>
      <w:r>
        <w:rPr>
          <w:i w:val="0"/>
          <w:sz w:val="16"/>
        </w:rPr>
        <w:t>22</w:t>
      </w: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5E628C" w:rsidRPr="000F130C" w14:paraId="7B857BCD" w14:textId="77777777" w:rsidTr="006A327F">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8B31068" w14:textId="77777777" w:rsidR="005E628C" w:rsidRPr="000F130C" w:rsidRDefault="005E628C" w:rsidP="005E628C">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08895042" w14:textId="02FF6CA9" w:rsidR="005E628C" w:rsidRDefault="005E628C" w:rsidP="005E628C">
            <w:pPr>
              <w:pStyle w:val="TableText"/>
              <w:jc w:val="right"/>
              <w:rPr>
                <w:b/>
                <w:lang w:eastAsia="en-AU"/>
              </w:rPr>
            </w:pPr>
            <w:r>
              <w:rPr>
                <w:b/>
                <w:lang w:eastAsia="en-AU"/>
              </w:rPr>
              <w:t>Qtr 53</w:t>
            </w:r>
          </w:p>
        </w:tc>
        <w:tc>
          <w:tcPr>
            <w:tcW w:w="1242" w:type="dxa"/>
            <w:tcBorders>
              <w:top w:val="single" w:sz="4" w:space="0" w:color="auto"/>
              <w:left w:val="nil"/>
              <w:bottom w:val="single" w:sz="4" w:space="0" w:color="auto"/>
              <w:right w:val="single" w:sz="4" w:space="0" w:color="auto"/>
            </w:tcBorders>
          </w:tcPr>
          <w:p w14:paraId="16D8ABCD" w14:textId="1ED0EF30" w:rsidR="005E628C" w:rsidRDefault="005E628C" w:rsidP="005E628C">
            <w:pPr>
              <w:pStyle w:val="TableText"/>
              <w:jc w:val="right"/>
              <w:rPr>
                <w:b/>
                <w:lang w:eastAsia="en-AU"/>
              </w:rPr>
            </w:pPr>
            <w:r>
              <w:rPr>
                <w:b/>
                <w:lang w:eastAsia="en-AU"/>
              </w:rPr>
              <w:t>Qtr 54</w:t>
            </w:r>
          </w:p>
        </w:tc>
        <w:tc>
          <w:tcPr>
            <w:tcW w:w="1242" w:type="dxa"/>
            <w:tcBorders>
              <w:top w:val="single" w:sz="4" w:space="0" w:color="auto"/>
              <w:left w:val="nil"/>
              <w:bottom w:val="single" w:sz="4" w:space="0" w:color="auto"/>
              <w:right w:val="single" w:sz="4" w:space="0" w:color="auto"/>
            </w:tcBorders>
          </w:tcPr>
          <w:p w14:paraId="11439751" w14:textId="2ACE6604" w:rsidR="005E628C" w:rsidRDefault="005E628C" w:rsidP="005E628C">
            <w:pPr>
              <w:pStyle w:val="TableText"/>
              <w:jc w:val="right"/>
              <w:rPr>
                <w:b/>
                <w:lang w:eastAsia="en-AU"/>
              </w:rPr>
            </w:pPr>
            <w:r>
              <w:rPr>
                <w:b/>
                <w:lang w:eastAsia="en-AU"/>
              </w:rPr>
              <w:t>Qtr 55</w:t>
            </w:r>
          </w:p>
        </w:tc>
        <w:tc>
          <w:tcPr>
            <w:tcW w:w="1242" w:type="dxa"/>
            <w:tcBorders>
              <w:top w:val="single" w:sz="4" w:space="0" w:color="auto"/>
              <w:left w:val="nil"/>
              <w:bottom w:val="single" w:sz="4" w:space="0" w:color="auto"/>
              <w:right w:val="single" w:sz="4" w:space="0" w:color="auto"/>
            </w:tcBorders>
          </w:tcPr>
          <w:p w14:paraId="6910A89C" w14:textId="018EF848" w:rsidR="005E628C" w:rsidRDefault="005E628C" w:rsidP="005E628C">
            <w:pPr>
              <w:pStyle w:val="TableText"/>
              <w:jc w:val="right"/>
              <w:rPr>
                <w:b/>
                <w:lang w:eastAsia="en-AU"/>
              </w:rPr>
            </w:pPr>
            <w:r>
              <w:rPr>
                <w:b/>
                <w:lang w:eastAsia="en-AU"/>
              </w:rPr>
              <w:t>Qtr 56</w:t>
            </w:r>
          </w:p>
        </w:tc>
        <w:tc>
          <w:tcPr>
            <w:tcW w:w="1242" w:type="dxa"/>
            <w:tcBorders>
              <w:top w:val="single" w:sz="4" w:space="0" w:color="auto"/>
              <w:left w:val="nil"/>
              <w:bottom w:val="single" w:sz="4" w:space="0" w:color="auto"/>
              <w:right w:val="single" w:sz="4" w:space="0" w:color="auto"/>
            </w:tcBorders>
          </w:tcPr>
          <w:p w14:paraId="3F214CA0" w14:textId="5BC9BFF8" w:rsidR="005E628C" w:rsidRDefault="005E628C" w:rsidP="005E628C">
            <w:pPr>
              <w:pStyle w:val="TableText"/>
              <w:jc w:val="right"/>
              <w:rPr>
                <w:b/>
                <w:lang w:eastAsia="en-AU"/>
              </w:rPr>
            </w:pPr>
            <w:r>
              <w:rPr>
                <w:b/>
                <w:lang w:eastAsia="en-AU"/>
              </w:rPr>
              <w:t>Qtr 57</w:t>
            </w:r>
          </w:p>
        </w:tc>
      </w:tr>
      <w:tr w:rsidR="005E628C" w:rsidRPr="000F130C" w14:paraId="079C4F86" w14:textId="77777777" w:rsidTr="00524450">
        <w:trPr>
          <w:trHeight w:val="255"/>
        </w:trPr>
        <w:tc>
          <w:tcPr>
            <w:tcW w:w="2596" w:type="dxa"/>
            <w:tcBorders>
              <w:top w:val="nil"/>
              <w:left w:val="single" w:sz="4" w:space="0" w:color="auto"/>
              <w:bottom w:val="single" w:sz="4" w:space="0" w:color="auto"/>
              <w:right w:val="single" w:sz="4" w:space="0" w:color="auto"/>
            </w:tcBorders>
            <w:noWrap/>
            <w:hideMark/>
          </w:tcPr>
          <w:p w14:paraId="4AEB53F8" w14:textId="77777777" w:rsidR="005E628C" w:rsidRPr="000F130C" w:rsidRDefault="005E628C" w:rsidP="005E628C">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vAlign w:val="bottom"/>
          </w:tcPr>
          <w:p w14:paraId="41012B88" w14:textId="3C9FE485" w:rsidR="005E628C" w:rsidRDefault="005E628C" w:rsidP="005E628C">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64EFE376" w14:textId="1130E2BF" w:rsidR="005E628C" w:rsidRPr="00346120" w:rsidRDefault="005E628C" w:rsidP="005E628C">
            <w:pPr>
              <w:pStyle w:val="TableText"/>
              <w:jc w:val="right"/>
              <w:rPr>
                <w:lang w:eastAsia="en-AU"/>
              </w:rPr>
            </w:pPr>
            <w:r>
              <w:rPr>
                <w:rFonts w:cs="Calibri"/>
                <w:color w:val="000000"/>
              </w:rPr>
              <w:t>$93K</w:t>
            </w:r>
          </w:p>
        </w:tc>
        <w:tc>
          <w:tcPr>
            <w:tcW w:w="1242" w:type="dxa"/>
            <w:tcBorders>
              <w:top w:val="nil"/>
              <w:left w:val="nil"/>
              <w:bottom w:val="single" w:sz="4" w:space="0" w:color="auto"/>
              <w:right w:val="single" w:sz="4" w:space="0" w:color="auto"/>
            </w:tcBorders>
          </w:tcPr>
          <w:p w14:paraId="61F604A6" w14:textId="4F982BF5" w:rsidR="005E628C" w:rsidRPr="00705863" w:rsidRDefault="005E628C" w:rsidP="005E628C">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361D4BE4" w14:textId="42B603EB" w:rsidR="005E628C" w:rsidRDefault="005E628C" w:rsidP="005E628C">
            <w:pPr>
              <w:pStyle w:val="TableText"/>
              <w:jc w:val="right"/>
              <w:rPr>
                <w:rFonts w:cs="Calibri"/>
                <w:color w:val="000000"/>
              </w:rPr>
            </w:pPr>
            <w:r>
              <w:rPr>
                <w:rFonts w:cs="Calibri"/>
                <w:color w:val="000000"/>
              </w:rPr>
              <w:t>$118K</w:t>
            </w:r>
          </w:p>
        </w:tc>
        <w:tc>
          <w:tcPr>
            <w:tcW w:w="1242" w:type="dxa"/>
            <w:tcBorders>
              <w:top w:val="nil"/>
              <w:left w:val="nil"/>
              <w:bottom w:val="single" w:sz="4" w:space="0" w:color="auto"/>
              <w:right w:val="single" w:sz="4" w:space="0" w:color="auto"/>
            </w:tcBorders>
          </w:tcPr>
          <w:p w14:paraId="1CF53FC6" w14:textId="0915E2D7" w:rsidR="005E628C" w:rsidRDefault="005E628C" w:rsidP="005E628C">
            <w:pPr>
              <w:pStyle w:val="TableText"/>
              <w:jc w:val="right"/>
              <w:rPr>
                <w:rFonts w:cs="Calibri"/>
                <w:color w:val="000000"/>
              </w:rPr>
            </w:pPr>
            <w:r>
              <w:rPr>
                <w:rFonts w:cs="Calibri"/>
                <w:color w:val="000000"/>
              </w:rPr>
              <w:t>$98K</w:t>
            </w:r>
          </w:p>
        </w:tc>
      </w:tr>
      <w:tr w:rsidR="005E628C" w:rsidRPr="000F130C" w14:paraId="3A86A122" w14:textId="77777777" w:rsidTr="00524450">
        <w:trPr>
          <w:trHeight w:val="255"/>
        </w:trPr>
        <w:tc>
          <w:tcPr>
            <w:tcW w:w="2596" w:type="dxa"/>
            <w:tcBorders>
              <w:top w:val="nil"/>
              <w:left w:val="single" w:sz="4" w:space="0" w:color="auto"/>
              <w:bottom w:val="single" w:sz="4" w:space="0" w:color="auto"/>
              <w:right w:val="single" w:sz="4" w:space="0" w:color="auto"/>
            </w:tcBorders>
            <w:noWrap/>
            <w:hideMark/>
          </w:tcPr>
          <w:p w14:paraId="12A36AD3" w14:textId="77777777" w:rsidR="005E628C" w:rsidRPr="000F130C" w:rsidRDefault="005E628C" w:rsidP="005E628C">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vAlign w:val="bottom"/>
          </w:tcPr>
          <w:p w14:paraId="2245DB66" w14:textId="1A14099B" w:rsidR="005E628C" w:rsidRDefault="005E628C" w:rsidP="005E628C">
            <w:pPr>
              <w:pStyle w:val="TableText"/>
              <w:jc w:val="right"/>
              <w:rPr>
                <w:lang w:eastAsia="en-AU"/>
              </w:rPr>
            </w:pPr>
            <w:r>
              <w:rPr>
                <w:rFonts w:cs="Calibri"/>
                <w:color w:val="000000"/>
              </w:rPr>
              <w:t>$24</w:t>
            </w:r>
            <w:r w:rsidRPr="00705863">
              <w:rPr>
                <w:rFonts w:cs="Calibri"/>
                <w:color w:val="000000"/>
              </w:rPr>
              <w:t>K</w:t>
            </w:r>
          </w:p>
        </w:tc>
        <w:tc>
          <w:tcPr>
            <w:tcW w:w="1242" w:type="dxa"/>
            <w:tcBorders>
              <w:top w:val="nil"/>
              <w:left w:val="nil"/>
              <w:bottom w:val="single" w:sz="4" w:space="0" w:color="auto"/>
              <w:right w:val="single" w:sz="4" w:space="0" w:color="auto"/>
            </w:tcBorders>
          </w:tcPr>
          <w:p w14:paraId="6CFE9B1D" w14:textId="48D44E89" w:rsidR="005E628C" w:rsidRPr="00346120" w:rsidRDefault="005E628C" w:rsidP="005E628C">
            <w:pPr>
              <w:pStyle w:val="TableText"/>
              <w:jc w:val="right"/>
              <w:rPr>
                <w:lang w:eastAsia="en-AU"/>
              </w:rPr>
            </w:pPr>
            <w:r>
              <w:rPr>
                <w:rFonts w:cs="Calibri"/>
                <w:color w:val="000000"/>
              </w:rPr>
              <w:t>$32K</w:t>
            </w:r>
          </w:p>
        </w:tc>
        <w:tc>
          <w:tcPr>
            <w:tcW w:w="1242" w:type="dxa"/>
            <w:tcBorders>
              <w:top w:val="nil"/>
              <w:left w:val="nil"/>
              <w:bottom w:val="single" w:sz="4" w:space="0" w:color="auto"/>
              <w:right w:val="single" w:sz="4" w:space="0" w:color="auto"/>
            </w:tcBorders>
          </w:tcPr>
          <w:p w14:paraId="7E91972D" w14:textId="0850B497" w:rsidR="005E628C" w:rsidRPr="00705863" w:rsidRDefault="005E628C" w:rsidP="005E628C">
            <w:pPr>
              <w:pStyle w:val="TableText"/>
              <w:jc w:val="right"/>
              <w:rPr>
                <w:color w:val="000000"/>
              </w:rPr>
            </w:pPr>
            <w:r>
              <w:rPr>
                <w:rFonts w:cs="Calibri"/>
                <w:color w:val="000000"/>
              </w:rPr>
              <w:t>$21K</w:t>
            </w:r>
          </w:p>
        </w:tc>
        <w:tc>
          <w:tcPr>
            <w:tcW w:w="1242" w:type="dxa"/>
            <w:tcBorders>
              <w:top w:val="nil"/>
              <w:left w:val="nil"/>
              <w:bottom w:val="single" w:sz="4" w:space="0" w:color="auto"/>
              <w:right w:val="single" w:sz="4" w:space="0" w:color="auto"/>
            </w:tcBorders>
          </w:tcPr>
          <w:p w14:paraId="32618C10" w14:textId="1DAE264B" w:rsidR="005E628C" w:rsidRDefault="005E628C" w:rsidP="005E628C">
            <w:pPr>
              <w:pStyle w:val="TableText"/>
              <w:jc w:val="right"/>
              <w:rPr>
                <w:rFonts w:cs="Calibri"/>
                <w:color w:val="000000"/>
              </w:rPr>
            </w:pPr>
            <w:r>
              <w:rPr>
                <w:rFonts w:cs="Calibri"/>
                <w:color w:val="000000"/>
              </w:rPr>
              <w:t>$47K</w:t>
            </w:r>
          </w:p>
        </w:tc>
        <w:tc>
          <w:tcPr>
            <w:tcW w:w="1242" w:type="dxa"/>
            <w:tcBorders>
              <w:top w:val="nil"/>
              <w:left w:val="nil"/>
              <w:bottom w:val="single" w:sz="4" w:space="0" w:color="auto"/>
              <w:right w:val="single" w:sz="4" w:space="0" w:color="auto"/>
            </w:tcBorders>
          </w:tcPr>
          <w:p w14:paraId="63471F3F" w14:textId="4A627A71" w:rsidR="005E628C" w:rsidRDefault="005E628C" w:rsidP="005E628C">
            <w:pPr>
              <w:pStyle w:val="TableText"/>
              <w:jc w:val="right"/>
              <w:rPr>
                <w:rFonts w:cs="Calibri"/>
                <w:color w:val="000000"/>
              </w:rPr>
            </w:pPr>
            <w:r>
              <w:rPr>
                <w:rFonts w:cs="Calibri"/>
                <w:color w:val="000000"/>
              </w:rPr>
              <w:t>$</w:t>
            </w:r>
            <w:r w:rsidR="00835600">
              <w:rPr>
                <w:rFonts w:cs="Calibri"/>
                <w:color w:val="000000"/>
              </w:rPr>
              <w:t>22</w:t>
            </w:r>
            <w:r>
              <w:rPr>
                <w:rFonts w:cs="Calibri"/>
                <w:color w:val="000000"/>
              </w:rPr>
              <w:t>K</w:t>
            </w:r>
          </w:p>
        </w:tc>
      </w:tr>
      <w:tr w:rsidR="005E628C" w:rsidRPr="000F130C" w14:paraId="211EFA88" w14:textId="77777777" w:rsidTr="00524450">
        <w:trPr>
          <w:trHeight w:val="255"/>
        </w:trPr>
        <w:tc>
          <w:tcPr>
            <w:tcW w:w="2596" w:type="dxa"/>
            <w:tcBorders>
              <w:top w:val="nil"/>
              <w:left w:val="single" w:sz="4" w:space="0" w:color="auto"/>
              <w:bottom w:val="single" w:sz="4" w:space="0" w:color="auto"/>
              <w:right w:val="single" w:sz="4" w:space="0" w:color="auto"/>
            </w:tcBorders>
            <w:noWrap/>
          </w:tcPr>
          <w:p w14:paraId="59E068BF" w14:textId="77777777" w:rsidR="005E628C" w:rsidRPr="000F130C" w:rsidRDefault="005E628C" w:rsidP="005E628C">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vAlign w:val="bottom"/>
          </w:tcPr>
          <w:p w14:paraId="111F4799" w14:textId="3EB6DDAB" w:rsidR="005E628C" w:rsidRDefault="005E628C" w:rsidP="005E628C">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780A74BF" w14:textId="4CB38D82" w:rsidR="005E628C" w:rsidRPr="00346120" w:rsidRDefault="005E628C" w:rsidP="005E628C">
            <w:pPr>
              <w:pStyle w:val="TableText"/>
              <w:jc w:val="right"/>
              <w:rPr>
                <w:lang w:eastAsia="en-AU"/>
              </w:rPr>
            </w:pPr>
            <w:r>
              <w:rPr>
                <w:rFonts w:cs="Calibri"/>
                <w:color w:val="000000"/>
              </w:rPr>
              <w:t>$110K</w:t>
            </w:r>
          </w:p>
        </w:tc>
        <w:tc>
          <w:tcPr>
            <w:tcW w:w="1242" w:type="dxa"/>
            <w:tcBorders>
              <w:top w:val="nil"/>
              <w:left w:val="nil"/>
              <w:bottom w:val="single" w:sz="4" w:space="0" w:color="auto"/>
              <w:right w:val="single" w:sz="4" w:space="0" w:color="auto"/>
            </w:tcBorders>
          </w:tcPr>
          <w:p w14:paraId="442DBE1F" w14:textId="3F1CE13A" w:rsidR="005E628C" w:rsidRPr="00705863" w:rsidRDefault="005E628C" w:rsidP="005E628C">
            <w:pPr>
              <w:pStyle w:val="TableText"/>
              <w:jc w:val="right"/>
              <w:rPr>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29E3731F" w14:textId="60856721" w:rsidR="005E628C" w:rsidRDefault="005E628C" w:rsidP="005E628C">
            <w:pPr>
              <w:pStyle w:val="TableText"/>
              <w:jc w:val="right"/>
              <w:rPr>
                <w:rFonts w:cs="Calibri"/>
                <w:color w:val="000000"/>
              </w:rPr>
            </w:pPr>
            <w:r>
              <w:rPr>
                <w:rFonts w:cs="Calibri"/>
                <w:color w:val="000000"/>
              </w:rPr>
              <w:t>$139K</w:t>
            </w:r>
          </w:p>
        </w:tc>
        <w:tc>
          <w:tcPr>
            <w:tcW w:w="1242" w:type="dxa"/>
            <w:tcBorders>
              <w:top w:val="nil"/>
              <w:left w:val="nil"/>
              <w:bottom w:val="single" w:sz="4" w:space="0" w:color="auto"/>
              <w:right w:val="single" w:sz="4" w:space="0" w:color="auto"/>
            </w:tcBorders>
          </w:tcPr>
          <w:p w14:paraId="15C42729" w14:textId="585CE6F5" w:rsidR="005E628C" w:rsidRDefault="005E628C" w:rsidP="005E628C">
            <w:pPr>
              <w:pStyle w:val="TableText"/>
              <w:jc w:val="right"/>
              <w:rPr>
                <w:rFonts w:cs="Calibri"/>
                <w:color w:val="000000"/>
              </w:rPr>
            </w:pPr>
            <w:r>
              <w:rPr>
                <w:rFonts w:cs="Calibri"/>
                <w:color w:val="000000"/>
              </w:rPr>
              <w:t>$1</w:t>
            </w:r>
            <w:r w:rsidR="00835600">
              <w:rPr>
                <w:rFonts w:cs="Calibri"/>
                <w:color w:val="000000"/>
              </w:rPr>
              <w:t>23</w:t>
            </w:r>
            <w:r>
              <w:rPr>
                <w:rFonts w:cs="Calibri"/>
                <w:color w:val="000000"/>
              </w:rPr>
              <w:t>K</w:t>
            </w:r>
          </w:p>
        </w:tc>
      </w:tr>
      <w:tr w:rsidR="005E628C" w:rsidRPr="000F130C" w14:paraId="5F127A29" w14:textId="77777777" w:rsidTr="00524450">
        <w:trPr>
          <w:trHeight w:val="255"/>
        </w:trPr>
        <w:tc>
          <w:tcPr>
            <w:tcW w:w="2596" w:type="dxa"/>
            <w:tcBorders>
              <w:top w:val="nil"/>
              <w:left w:val="single" w:sz="4" w:space="0" w:color="auto"/>
              <w:bottom w:val="single" w:sz="4" w:space="0" w:color="auto"/>
              <w:right w:val="single" w:sz="4" w:space="0" w:color="auto"/>
            </w:tcBorders>
            <w:noWrap/>
            <w:hideMark/>
          </w:tcPr>
          <w:p w14:paraId="3C7DF472" w14:textId="77777777" w:rsidR="005E628C" w:rsidRPr="000F130C" w:rsidRDefault="005E628C" w:rsidP="005E628C">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vAlign w:val="bottom"/>
          </w:tcPr>
          <w:p w14:paraId="4717865E" w14:textId="35EF9945" w:rsidR="005E628C" w:rsidRDefault="005E628C" w:rsidP="005E628C">
            <w:pPr>
              <w:pStyle w:val="TableText"/>
              <w:jc w:val="right"/>
              <w:rPr>
                <w:lang w:eastAsia="en-AU"/>
              </w:rPr>
            </w:pPr>
            <w:r>
              <w:rPr>
                <w:rFonts w:cs="Calibri"/>
                <w:color w:val="000000"/>
              </w:rPr>
              <w:t>$65</w:t>
            </w:r>
            <w:r w:rsidRPr="00705863">
              <w:rPr>
                <w:rFonts w:cs="Calibri"/>
                <w:color w:val="000000"/>
              </w:rPr>
              <w:t>K</w:t>
            </w:r>
          </w:p>
        </w:tc>
        <w:tc>
          <w:tcPr>
            <w:tcW w:w="1242" w:type="dxa"/>
            <w:tcBorders>
              <w:top w:val="nil"/>
              <w:left w:val="nil"/>
              <w:bottom w:val="single" w:sz="4" w:space="0" w:color="auto"/>
              <w:right w:val="single" w:sz="4" w:space="0" w:color="auto"/>
            </w:tcBorders>
          </w:tcPr>
          <w:p w14:paraId="6C8A8C87" w14:textId="49121878" w:rsidR="005E628C" w:rsidRPr="00346120" w:rsidRDefault="005E628C" w:rsidP="005E628C">
            <w:pPr>
              <w:pStyle w:val="TableText"/>
              <w:jc w:val="right"/>
              <w:rPr>
                <w:lang w:eastAsia="en-AU"/>
              </w:rPr>
            </w:pPr>
            <w:r>
              <w:rPr>
                <w:rFonts w:cs="Calibri"/>
                <w:color w:val="000000"/>
              </w:rPr>
              <w:t>$67K</w:t>
            </w:r>
          </w:p>
        </w:tc>
        <w:tc>
          <w:tcPr>
            <w:tcW w:w="1242" w:type="dxa"/>
            <w:tcBorders>
              <w:top w:val="nil"/>
              <w:left w:val="nil"/>
              <w:bottom w:val="single" w:sz="4" w:space="0" w:color="auto"/>
              <w:right w:val="single" w:sz="4" w:space="0" w:color="auto"/>
            </w:tcBorders>
          </w:tcPr>
          <w:p w14:paraId="1A3E02B8" w14:textId="2B9C6FD8" w:rsidR="005E628C" w:rsidRPr="00705863" w:rsidRDefault="005E628C" w:rsidP="005E628C">
            <w:pPr>
              <w:pStyle w:val="TableText"/>
              <w:jc w:val="right"/>
              <w:rPr>
                <w:color w:val="000000"/>
              </w:rPr>
            </w:pPr>
            <w:r>
              <w:rPr>
                <w:rFonts w:cs="Calibri"/>
                <w:color w:val="000000"/>
              </w:rPr>
              <w:t>$60K</w:t>
            </w:r>
          </w:p>
        </w:tc>
        <w:tc>
          <w:tcPr>
            <w:tcW w:w="1242" w:type="dxa"/>
            <w:tcBorders>
              <w:top w:val="nil"/>
              <w:left w:val="nil"/>
              <w:bottom w:val="single" w:sz="4" w:space="0" w:color="auto"/>
              <w:right w:val="single" w:sz="4" w:space="0" w:color="auto"/>
            </w:tcBorders>
          </w:tcPr>
          <w:p w14:paraId="57FB0111" w14:textId="39E1D24F" w:rsidR="005E628C" w:rsidRDefault="005E628C" w:rsidP="005E628C">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5364DA2B" w14:textId="67DFDB0E" w:rsidR="005E628C" w:rsidRDefault="005E628C" w:rsidP="005E628C">
            <w:pPr>
              <w:pStyle w:val="TableText"/>
              <w:jc w:val="right"/>
              <w:rPr>
                <w:rFonts w:cs="Calibri"/>
                <w:color w:val="000000"/>
              </w:rPr>
            </w:pPr>
            <w:r>
              <w:rPr>
                <w:rFonts w:cs="Calibri"/>
                <w:color w:val="000000"/>
              </w:rPr>
              <w:t>$8</w:t>
            </w:r>
            <w:r w:rsidR="00835600">
              <w:rPr>
                <w:rFonts w:cs="Calibri"/>
                <w:color w:val="000000"/>
              </w:rPr>
              <w:t>5</w:t>
            </w:r>
            <w:r>
              <w:rPr>
                <w:rFonts w:cs="Calibri"/>
                <w:color w:val="000000"/>
              </w:rPr>
              <w:t>K</w:t>
            </w:r>
          </w:p>
        </w:tc>
      </w:tr>
      <w:tr w:rsidR="005E628C" w:rsidRPr="000F130C" w14:paraId="18EC45C2" w14:textId="77777777" w:rsidTr="00524450">
        <w:trPr>
          <w:trHeight w:val="255"/>
        </w:trPr>
        <w:tc>
          <w:tcPr>
            <w:tcW w:w="2596" w:type="dxa"/>
            <w:tcBorders>
              <w:top w:val="nil"/>
              <w:left w:val="single" w:sz="4" w:space="0" w:color="auto"/>
              <w:bottom w:val="single" w:sz="4" w:space="0" w:color="auto"/>
              <w:right w:val="single" w:sz="4" w:space="0" w:color="auto"/>
            </w:tcBorders>
            <w:noWrap/>
            <w:hideMark/>
          </w:tcPr>
          <w:p w14:paraId="62E56F3A" w14:textId="77777777" w:rsidR="005E628C" w:rsidRPr="000F130C" w:rsidRDefault="005E628C" w:rsidP="005E628C">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vAlign w:val="bottom"/>
          </w:tcPr>
          <w:p w14:paraId="16E8F956" w14:textId="7391A8D2" w:rsidR="005E628C" w:rsidRDefault="005E628C" w:rsidP="005E628C">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tcPr>
          <w:p w14:paraId="02B215FD" w14:textId="331D2C47" w:rsidR="005E628C" w:rsidRPr="00346120" w:rsidRDefault="005E628C" w:rsidP="005E628C">
            <w:pPr>
              <w:pStyle w:val="TableText"/>
              <w:jc w:val="right"/>
              <w:rPr>
                <w:lang w:eastAsia="en-AU"/>
              </w:rPr>
            </w:pPr>
            <w:r>
              <w:rPr>
                <w:rFonts w:cs="Calibri"/>
                <w:color w:val="000000"/>
              </w:rPr>
              <w:t>$24K</w:t>
            </w:r>
          </w:p>
        </w:tc>
        <w:tc>
          <w:tcPr>
            <w:tcW w:w="1242" w:type="dxa"/>
            <w:tcBorders>
              <w:top w:val="nil"/>
              <w:left w:val="nil"/>
              <w:bottom w:val="single" w:sz="4" w:space="0" w:color="auto"/>
              <w:right w:val="single" w:sz="4" w:space="0" w:color="auto"/>
            </w:tcBorders>
          </w:tcPr>
          <w:p w14:paraId="050231CD" w14:textId="6F82234E" w:rsidR="005E628C" w:rsidRPr="00705863" w:rsidRDefault="005E628C" w:rsidP="005E628C">
            <w:pPr>
              <w:pStyle w:val="TableText"/>
              <w:jc w:val="right"/>
              <w:rPr>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403D435E" w14:textId="5860F752" w:rsidR="005E628C" w:rsidRDefault="005E628C" w:rsidP="005E628C">
            <w:pPr>
              <w:pStyle w:val="TableText"/>
              <w:jc w:val="right"/>
              <w:rPr>
                <w:rFonts w:cs="Calibri"/>
                <w:color w:val="000000"/>
              </w:rPr>
            </w:pPr>
            <w:r>
              <w:rPr>
                <w:rFonts w:cs="Calibri"/>
                <w:color w:val="000000"/>
              </w:rPr>
              <w:t>$33K</w:t>
            </w:r>
          </w:p>
        </w:tc>
        <w:tc>
          <w:tcPr>
            <w:tcW w:w="1242" w:type="dxa"/>
            <w:tcBorders>
              <w:top w:val="nil"/>
              <w:left w:val="nil"/>
              <w:bottom w:val="single" w:sz="4" w:space="0" w:color="auto"/>
              <w:right w:val="single" w:sz="4" w:space="0" w:color="auto"/>
            </w:tcBorders>
          </w:tcPr>
          <w:p w14:paraId="094E38F8" w14:textId="16323488" w:rsidR="005E628C" w:rsidRDefault="005E628C" w:rsidP="005E628C">
            <w:pPr>
              <w:pStyle w:val="TableText"/>
              <w:jc w:val="right"/>
              <w:rPr>
                <w:rFonts w:cs="Calibri"/>
                <w:color w:val="000000"/>
              </w:rPr>
            </w:pPr>
            <w:r>
              <w:rPr>
                <w:rFonts w:cs="Calibri"/>
                <w:color w:val="000000"/>
              </w:rPr>
              <w:t>$</w:t>
            </w:r>
            <w:r w:rsidR="00835600">
              <w:rPr>
                <w:rFonts w:cs="Calibri"/>
                <w:color w:val="000000"/>
              </w:rPr>
              <w:t>47</w:t>
            </w:r>
            <w:r>
              <w:rPr>
                <w:rFonts w:cs="Calibri"/>
                <w:color w:val="000000"/>
              </w:rPr>
              <w:t>K</w:t>
            </w:r>
          </w:p>
        </w:tc>
      </w:tr>
      <w:tr w:rsidR="005E628C" w:rsidRPr="000F130C" w14:paraId="4A1287D9" w14:textId="77777777" w:rsidTr="00524450">
        <w:trPr>
          <w:trHeight w:val="255"/>
        </w:trPr>
        <w:tc>
          <w:tcPr>
            <w:tcW w:w="2596" w:type="dxa"/>
            <w:tcBorders>
              <w:top w:val="nil"/>
              <w:left w:val="single" w:sz="4" w:space="0" w:color="auto"/>
              <w:bottom w:val="single" w:sz="4" w:space="0" w:color="auto"/>
              <w:right w:val="single" w:sz="4" w:space="0" w:color="auto"/>
            </w:tcBorders>
            <w:noWrap/>
            <w:hideMark/>
          </w:tcPr>
          <w:p w14:paraId="3B3CD7C7" w14:textId="77777777" w:rsidR="005E628C" w:rsidRPr="000F130C" w:rsidRDefault="005E628C" w:rsidP="005E628C">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vAlign w:val="bottom"/>
          </w:tcPr>
          <w:p w14:paraId="282EBEE4" w14:textId="7400C09F" w:rsidR="005E628C" w:rsidRDefault="005E628C" w:rsidP="005E628C">
            <w:pPr>
              <w:pStyle w:val="TableText"/>
              <w:jc w:val="right"/>
              <w:rPr>
                <w:b/>
                <w:lang w:eastAsia="en-AU"/>
              </w:rPr>
            </w:pPr>
            <w:r>
              <w:rPr>
                <w:rFonts w:cs="Calibri"/>
                <w:b/>
                <w:bCs/>
                <w:color w:val="000000"/>
              </w:rPr>
              <w:t>$336</w:t>
            </w:r>
            <w:r w:rsidRPr="00705863">
              <w:rPr>
                <w:rFonts w:cs="Calibri"/>
                <w:b/>
                <w:bCs/>
                <w:color w:val="000000"/>
              </w:rPr>
              <w:t>K</w:t>
            </w:r>
          </w:p>
        </w:tc>
        <w:tc>
          <w:tcPr>
            <w:tcW w:w="1242" w:type="dxa"/>
            <w:tcBorders>
              <w:top w:val="nil"/>
              <w:left w:val="nil"/>
              <w:bottom w:val="single" w:sz="4" w:space="0" w:color="auto"/>
              <w:right w:val="single" w:sz="4" w:space="0" w:color="auto"/>
            </w:tcBorders>
          </w:tcPr>
          <w:p w14:paraId="245E0340" w14:textId="4DFF61B9" w:rsidR="005E628C" w:rsidRPr="00346120" w:rsidRDefault="005E628C" w:rsidP="005E628C">
            <w:pPr>
              <w:pStyle w:val="TableText"/>
              <w:jc w:val="right"/>
              <w:rPr>
                <w:b/>
                <w:bCs/>
                <w:lang w:eastAsia="en-AU"/>
              </w:rPr>
            </w:pPr>
            <w:r>
              <w:rPr>
                <w:rFonts w:cs="Calibri"/>
                <w:b/>
                <w:bCs/>
                <w:color w:val="000000"/>
              </w:rPr>
              <w:t>$326K</w:t>
            </w:r>
          </w:p>
        </w:tc>
        <w:tc>
          <w:tcPr>
            <w:tcW w:w="1242" w:type="dxa"/>
            <w:tcBorders>
              <w:top w:val="nil"/>
              <w:left w:val="nil"/>
              <w:bottom w:val="single" w:sz="4" w:space="0" w:color="auto"/>
              <w:right w:val="single" w:sz="4" w:space="0" w:color="auto"/>
            </w:tcBorders>
          </w:tcPr>
          <w:p w14:paraId="45AF8099" w14:textId="265C46EC" w:rsidR="005E628C" w:rsidRPr="00705863" w:rsidRDefault="005E628C" w:rsidP="005E628C">
            <w:pPr>
              <w:pStyle w:val="TableText"/>
              <w:jc w:val="right"/>
              <w:rPr>
                <w:b/>
                <w:bCs/>
                <w:color w:val="000000"/>
              </w:rPr>
            </w:pPr>
            <w:r>
              <w:rPr>
                <w:rFonts w:cs="Calibri"/>
                <w:b/>
                <w:bCs/>
                <w:color w:val="000000"/>
              </w:rPr>
              <w:t>$283K</w:t>
            </w:r>
          </w:p>
        </w:tc>
        <w:tc>
          <w:tcPr>
            <w:tcW w:w="1242" w:type="dxa"/>
            <w:tcBorders>
              <w:top w:val="nil"/>
              <w:left w:val="nil"/>
              <w:bottom w:val="single" w:sz="4" w:space="0" w:color="auto"/>
              <w:right w:val="single" w:sz="4" w:space="0" w:color="auto"/>
            </w:tcBorders>
          </w:tcPr>
          <w:p w14:paraId="78E538F5" w14:textId="16A7E6FD" w:rsidR="005E628C" w:rsidRDefault="005E628C" w:rsidP="005E628C">
            <w:pPr>
              <w:pStyle w:val="TableText"/>
              <w:jc w:val="right"/>
              <w:rPr>
                <w:rFonts w:cs="Calibri"/>
                <w:b/>
                <w:bCs/>
                <w:color w:val="000000"/>
              </w:rPr>
            </w:pPr>
            <w:r>
              <w:rPr>
                <w:rFonts w:cs="Calibri"/>
                <w:b/>
                <w:bCs/>
                <w:color w:val="000000"/>
              </w:rPr>
              <w:t>$420K</w:t>
            </w:r>
          </w:p>
        </w:tc>
        <w:tc>
          <w:tcPr>
            <w:tcW w:w="1242" w:type="dxa"/>
            <w:tcBorders>
              <w:top w:val="nil"/>
              <w:left w:val="nil"/>
              <w:bottom w:val="single" w:sz="4" w:space="0" w:color="auto"/>
              <w:right w:val="single" w:sz="4" w:space="0" w:color="auto"/>
            </w:tcBorders>
          </w:tcPr>
          <w:p w14:paraId="0CC704DF" w14:textId="1E3EE640" w:rsidR="005E628C" w:rsidRDefault="005E628C" w:rsidP="005E628C">
            <w:pPr>
              <w:pStyle w:val="TableText"/>
              <w:jc w:val="right"/>
              <w:rPr>
                <w:rFonts w:cs="Calibri"/>
                <w:b/>
                <w:bCs/>
                <w:color w:val="000000"/>
              </w:rPr>
            </w:pPr>
            <w:r>
              <w:rPr>
                <w:rFonts w:cs="Calibri"/>
                <w:b/>
                <w:bCs/>
                <w:color w:val="000000"/>
              </w:rPr>
              <w:t>$</w:t>
            </w:r>
            <w:r w:rsidR="00BC2403">
              <w:rPr>
                <w:rFonts w:cs="Calibri"/>
                <w:b/>
                <w:bCs/>
                <w:color w:val="000000"/>
              </w:rPr>
              <w:t>375</w:t>
            </w:r>
            <w:r>
              <w:rPr>
                <w:rFonts w:cs="Calibri"/>
                <w:b/>
                <w:bCs/>
                <w:color w:val="000000"/>
              </w:rPr>
              <w:t>K</w:t>
            </w:r>
          </w:p>
        </w:tc>
      </w:tr>
    </w:tbl>
    <w:p w14:paraId="43F26972" w14:textId="77777777" w:rsidR="005E628C" w:rsidRDefault="005E628C" w:rsidP="005E628C">
      <w:pPr>
        <w:ind w:left="-142" w:right="-425"/>
        <w:jc w:val="both"/>
        <w:rPr>
          <w:rFonts w:cs="Arial"/>
        </w:rPr>
      </w:pPr>
    </w:p>
    <w:p w14:paraId="1F933F3B" w14:textId="3455F455"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0F408B">
        <w:rPr>
          <w:rFonts w:cs="Arial"/>
        </w:rPr>
        <w:t>57</w:t>
      </w:r>
      <w:r w:rsidR="007914E0">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27CE45F2" w14:textId="77777777" w:rsidR="00835600" w:rsidRDefault="00835600" w:rsidP="00835600">
      <w:pPr>
        <w:ind w:left="-142" w:right="-425"/>
        <w:jc w:val="both"/>
        <w:rPr>
          <w:rFonts w:cs="Arial"/>
        </w:rPr>
      </w:pPr>
    </w:p>
    <w:p w14:paraId="2F5E240A" w14:textId="31AB6E5A" w:rsidR="00835600" w:rsidRPr="00E37B61" w:rsidRDefault="00835600" w:rsidP="00835600">
      <w:pPr>
        <w:pStyle w:val="TableCaption"/>
        <w:spacing w:before="0"/>
        <w:ind w:left="0" w:right="-425"/>
        <w:rPr>
          <w:b/>
          <w:i w:val="0"/>
          <w:sz w:val="16"/>
        </w:rPr>
      </w:pPr>
      <w:r w:rsidRPr="00E37B61">
        <w:rPr>
          <w:b/>
          <w:i w:val="0"/>
          <w:sz w:val="16"/>
        </w:rPr>
        <w:t xml:space="preserve">Table </w:t>
      </w:r>
      <w:r>
        <w:rPr>
          <w:b/>
          <w:i w:val="0"/>
          <w:sz w:val="16"/>
        </w:rPr>
        <w:t>32</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 xml:space="preserve">July 2021 to 30 September </w:t>
      </w:r>
      <w:r w:rsidRPr="00E37B61">
        <w:rPr>
          <w:i w:val="0"/>
          <w:sz w:val="16"/>
        </w:rPr>
        <w:t>20</w:t>
      </w:r>
      <w:r>
        <w:rPr>
          <w:i w:val="0"/>
          <w:sz w:val="16"/>
        </w:rPr>
        <w:t>22</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835600" w:rsidRPr="00920636" w14:paraId="28D5FA3C" w14:textId="77777777" w:rsidTr="006A327F">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9996647" w14:textId="77777777" w:rsidR="00835600" w:rsidRPr="000F130C" w:rsidRDefault="00835600" w:rsidP="00835600">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1CF5990C" w14:textId="37FC1235" w:rsidR="00835600" w:rsidRDefault="00835600" w:rsidP="00835600">
            <w:pPr>
              <w:pStyle w:val="TableText"/>
              <w:jc w:val="right"/>
              <w:rPr>
                <w:b/>
                <w:lang w:eastAsia="en-AU"/>
              </w:rPr>
            </w:pPr>
            <w:r>
              <w:rPr>
                <w:b/>
                <w:lang w:eastAsia="en-AU"/>
              </w:rPr>
              <w:t>Qtr 53</w:t>
            </w:r>
          </w:p>
        </w:tc>
        <w:tc>
          <w:tcPr>
            <w:tcW w:w="1250" w:type="dxa"/>
            <w:tcBorders>
              <w:top w:val="single" w:sz="4" w:space="0" w:color="auto"/>
              <w:left w:val="nil"/>
              <w:bottom w:val="single" w:sz="4" w:space="0" w:color="auto"/>
              <w:right w:val="single" w:sz="4" w:space="0" w:color="auto"/>
            </w:tcBorders>
          </w:tcPr>
          <w:p w14:paraId="14FD2061" w14:textId="01C9845B" w:rsidR="00835600" w:rsidRDefault="00835600" w:rsidP="00835600">
            <w:pPr>
              <w:pStyle w:val="TableText"/>
              <w:jc w:val="right"/>
              <w:rPr>
                <w:b/>
                <w:lang w:eastAsia="en-AU"/>
              </w:rPr>
            </w:pPr>
            <w:r>
              <w:rPr>
                <w:b/>
                <w:lang w:eastAsia="en-AU"/>
              </w:rPr>
              <w:t>Qtr 54</w:t>
            </w:r>
          </w:p>
        </w:tc>
        <w:tc>
          <w:tcPr>
            <w:tcW w:w="1250" w:type="dxa"/>
            <w:tcBorders>
              <w:top w:val="single" w:sz="4" w:space="0" w:color="auto"/>
              <w:left w:val="nil"/>
              <w:bottom w:val="single" w:sz="4" w:space="0" w:color="auto"/>
              <w:right w:val="single" w:sz="4" w:space="0" w:color="auto"/>
            </w:tcBorders>
          </w:tcPr>
          <w:p w14:paraId="4DCFD37F" w14:textId="04882DF1" w:rsidR="00835600" w:rsidRDefault="00835600" w:rsidP="00835600">
            <w:pPr>
              <w:pStyle w:val="TableText"/>
              <w:jc w:val="right"/>
              <w:rPr>
                <w:b/>
                <w:lang w:eastAsia="en-AU"/>
              </w:rPr>
            </w:pPr>
            <w:r>
              <w:rPr>
                <w:b/>
                <w:lang w:eastAsia="en-AU"/>
              </w:rPr>
              <w:t>Qtr 55</w:t>
            </w:r>
          </w:p>
        </w:tc>
        <w:tc>
          <w:tcPr>
            <w:tcW w:w="1250" w:type="dxa"/>
            <w:tcBorders>
              <w:top w:val="single" w:sz="4" w:space="0" w:color="auto"/>
              <w:left w:val="nil"/>
              <w:bottom w:val="single" w:sz="4" w:space="0" w:color="auto"/>
              <w:right w:val="single" w:sz="4" w:space="0" w:color="auto"/>
            </w:tcBorders>
          </w:tcPr>
          <w:p w14:paraId="38F19A0F" w14:textId="65A96393" w:rsidR="00835600" w:rsidRDefault="00835600" w:rsidP="00835600">
            <w:pPr>
              <w:pStyle w:val="TableText"/>
              <w:jc w:val="right"/>
              <w:rPr>
                <w:b/>
                <w:lang w:eastAsia="en-AU"/>
              </w:rPr>
            </w:pPr>
            <w:r>
              <w:rPr>
                <w:b/>
                <w:lang w:eastAsia="en-AU"/>
              </w:rPr>
              <w:t>Qtr 56</w:t>
            </w:r>
          </w:p>
        </w:tc>
        <w:tc>
          <w:tcPr>
            <w:tcW w:w="1250" w:type="dxa"/>
            <w:tcBorders>
              <w:top w:val="single" w:sz="4" w:space="0" w:color="auto"/>
              <w:left w:val="nil"/>
              <w:bottom w:val="single" w:sz="4" w:space="0" w:color="auto"/>
              <w:right w:val="single" w:sz="4" w:space="0" w:color="auto"/>
            </w:tcBorders>
          </w:tcPr>
          <w:p w14:paraId="27B01302" w14:textId="2DACBA82" w:rsidR="00835600" w:rsidRDefault="00835600" w:rsidP="00835600">
            <w:pPr>
              <w:pStyle w:val="TableText"/>
              <w:jc w:val="right"/>
              <w:rPr>
                <w:b/>
                <w:lang w:eastAsia="en-AU"/>
              </w:rPr>
            </w:pPr>
            <w:r>
              <w:rPr>
                <w:b/>
                <w:lang w:eastAsia="en-AU"/>
              </w:rPr>
              <w:t>Qtr 57</w:t>
            </w:r>
          </w:p>
        </w:tc>
      </w:tr>
      <w:tr w:rsidR="00835600" w:rsidRPr="00920636" w14:paraId="1D62C338" w14:textId="77777777" w:rsidTr="00A45272">
        <w:trPr>
          <w:trHeight w:val="255"/>
        </w:trPr>
        <w:tc>
          <w:tcPr>
            <w:tcW w:w="2596" w:type="dxa"/>
            <w:tcBorders>
              <w:top w:val="nil"/>
              <w:left w:val="single" w:sz="4" w:space="0" w:color="auto"/>
              <w:bottom w:val="single" w:sz="4" w:space="0" w:color="auto"/>
              <w:right w:val="single" w:sz="4" w:space="0" w:color="auto"/>
            </w:tcBorders>
            <w:noWrap/>
          </w:tcPr>
          <w:p w14:paraId="33EDA6B7" w14:textId="77777777" w:rsidR="00835600" w:rsidRPr="00E72DFB" w:rsidRDefault="00835600" w:rsidP="00835600">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3F2188EE" w14:textId="65BB6077" w:rsidR="00835600" w:rsidRDefault="00835600" w:rsidP="00835600">
            <w:pPr>
              <w:pStyle w:val="TableText"/>
              <w:jc w:val="right"/>
              <w:rPr>
                <w:lang w:eastAsia="en-AU"/>
              </w:rPr>
            </w:pPr>
            <w:r>
              <w:rPr>
                <w:rFonts w:cs="Arial"/>
              </w:rPr>
              <w:t>$</w:t>
            </w:r>
            <w:r w:rsidRPr="0074086C">
              <w:rPr>
                <w:rFonts w:cs="Arial"/>
              </w:rPr>
              <w:t>2</w:t>
            </w:r>
            <w:r>
              <w:rPr>
                <w:rFonts w:cs="Arial"/>
              </w:rPr>
              <w:t>55</w:t>
            </w:r>
            <w:r w:rsidRPr="0074086C">
              <w:rPr>
                <w:rFonts w:cs="Arial"/>
              </w:rPr>
              <w:t>K</w:t>
            </w:r>
          </w:p>
        </w:tc>
        <w:tc>
          <w:tcPr>
            <w:tcW w:w="1250" w:type="dxa"/>
            <w:tcBorders>
              <w:top w:val="nil"/>
              <w:left w:val="nil"/>
              <w:bottom w:val="single" w:sz="4" w:space="0" w:color="auto"/>
              <w:right w:val="single" w:sz="4" w:space="0" w:color="auto"/>
            </w:tcBorders>
          </w:tcPr>
          <w:p w14:paraId="048EF31F" w14:textId="594A35EB" w:rsidR="00835600" w:rsidRDefault="00835600" w:rsidP="00835600">
            <w:pPr>
              <w:pStyle w:val="TableText"/>
              <w:jc w:val="right"/>
              <w:rPr>
                <w:lang w:eastAsia="en-AU"/>
              </w:rPr>
            </w:pPr>
            <w:r>
              <w:rPr>
                <w:rFonts w:cs="Arial"/>
              </w:rPr>
              <w:t>$295K</w:t>
            </w:r>
          </w:p>
        </w:tc>
        <w:tc>
          <w:tcPr>
            <w:tcW w:w="1250" w:type="dxa"/>
            <w:tcBorders>
              <w:top w:val="nil"/>
              <w:left w:val="nil"/>
              <w:bottom w:val="single" w:sz="4" w:space="0" w:color="auto"/>
              <w:right w:val="single" w:sz="4" w:space="0" w:color="auto"/>
            </w:tcBorders>
          </w:tcPr>
          <w:p w14:paraId="7B11ABDF" w14:textId="0CF738FC" w:rsidR="00835600" w:rsidRPr="0074086C" w:rsidRDefault="00835600" w:rsidP="00835600">
            <w:pPr>
              <w:pStyle w:val="TableText"/>
              <w:jc w:val="right"/>
              <w:rPr>
                <w:lang w:eastAsia="en-AU"/>
              </w:rPr>
            </w:pPr>
            <w:r>
              <w:rPr>
                <w:rFonts w:cs="Arial"/>
              </w:rPr>
              <w:t>$270K</w:t>
            </w:r>
          </w:p>
        </w:tc>
        <w:tc>
          <w:tcPr>
            <w:tcW w:w="1250" w:type="dxa"/>
            <w:tcBorders>
              <w:top w:val="nil"/>
              <w:left w:val="nil"/>
              <w:bottom w:val="single" w:sz="4" w:space="0" w:color="auto"/>
              <w:right w:val="single" w:sz="4" w:space="0" w:color="auto"/>
            </w:tcBorders>
          </w:tcPr>
          <w:p w14:paraId="6FFB9261" w14:textId="72DC3DBB" w:rsidR="00835600" w:rsidRDefault="00835600" w:rsidP="00835600">
            <w:pPr>
              <w:pStyle w:val="TableText"/>
              <w:jc w:val="right"/>
              <w:rPr>
                <w:rFonts w:cs="Arial"/>
              </w:rPr>
            </w:pPr>
            <w:r>
              <w:rPr>
                <w:rFonts w:cs="Arial"/>
              </w:rPr>
              <w:t>$289K</w:t>
            </w:r>
          </w:p>
        </w:tc>
        <w:tc>
          <w:tcPr>
            <w:tcW w:w="1250" w:type="dxa"/>
            <w:tcBorders>
              <w:top w:val="nil"/>
              <w:left w:val="nil"/>
              <w:bottom w:val="single" w:sz="4" w:space="0" w:color="auto"/>
              <w:right w:val="single" w:sz="4" w:space="0" w:color="auto"/>
            </w:tcBorders>
          </w:tcPr>
          <w:p w14:paraId="212B838F" w14:textId="76C7BECF" w:rsidR="00835600" w:rsidRDefault="00835600" w:rsidP="00835600">
            <w:pPr>
              <w:pStyle w:val="TableText"/>
              <w:jc w:val="right"/>
              <w:rPr>
                <w:rFonts w:cs="Arial"/>
              </w:rPr>
            </w:pPr>
            <w:r>
              <w:rPr>
                <w:rFonts w:cs="Arial"/>
              </w:rPr>
              <w:t>$322K</w:t>
            </w:r>
          </w:p>
        </w:tc>
      </w:tr>
      <w:tr w:rsidR="00835600" w:rsidRPr="00920636" w14:paraId="285729EE" w14:textId="77777777" w:rsidTr="00A45272">
        <w:trPr>
          <w:trHeight w:val="255"/>
        </w:trPr>
        <w:tc>
          <w:tcPr>
            <w:tcW w:w="2596" w:type="dxa"/>
            <w:tcBorders>
              <w:top w:val="nil"/>
              <w:left w:val="single" w:sz="4" w:space="0" w:color="auto"/>
              <w:bottom w:val="single" w:sz="4" w:space="0" w:color="auto"/>
              <w:right w:val="single" w:sz="4" w:space="0" w:color="auto"/>
            </w:tcBorders>
            <w:noWrap/>
            <w:hideMark/>
          </w:tcPr>
          <w:p w14:paraId="70E7ECA5" w14:textId="77777777" w:rsidR="00835600" w:rsidRPr="00E72DFB" w:rsidRDefault="00835600" w:rsidP="00835600">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0C6E63B7" w14:textId="58EF501D" w:rsidR="00835600" w:rsidRDefault="00835600" w:rsidP="00835600">
            <w:pPr>
              <w:pStyle w:val="TableText"/>
              <w:jc w:val="right"/>
              <w:rPr>
                <w:lang w:eastAsia="en-AU"/>
              </w:rPr>
            </w:pPr>
            <w:r>
              <w:rPr>
                <w:rFonts w:cs="Arial"/>
              </w:rPr>
              <w:t>$376</w:t>
            </w:r>
            <w:r w:rsidRPr="0074086C">
              <w:rPr>
                <w:rFonts w:cs="Arial"/>
              </w:rPr>
              <w:t>K</w:t>
            </w:r>
          </w:p>
        </w:tc>
        <w:tc>
          <w:tcPr>
            <w:tcW w:w="1250" w:type="dxa"/>
            <w:tcBorders>
              <w:top w:val="nil"/>
              <w:left w:val="nil"/>
              <w:bottom w:val="single" w:sz="4" w:space="0" w:color="auto"/>
              <w:right w:val="single" w:sz="4" w:space="0" w:color="auto"/>
            </w:tcBorders>
          </w:tcPr>
          <w:p w14:paraId="01F41B02" w14:textId="3453D9A7" w:rsidR="00835600" w:rsidRDefault="00835600" w:rsidP="00835600">
            <w:pPr>
              <w:pStyle w:val="TableText"/>
              <w:jc w:val="right"/>
              <w:rPr>
                <w:lang w:eastAsia="en-AU"/>
              </w:rPr>
            </w:pPr>
            <w:r>
              <w:rPr>
                <w:rFonts w:cs="Arial"/>
              </w:rPr>
              <w:t>$371K</w:t>
            </w:r>
          </w:p>
        </w:tc>
        <w:tc>
          <w:tcPr>
            <w:tcW w:w="1250" w:type="dxa"/>
            <w:tcBorders>
              <w:top w:val="nil"/>
              <w:left w:val="nil"/>
              <w:bottom w:val="single" w:sz="4" w:space="0" w:color="auto"/>
              <w:right w:val="single" w:sz="4" w:space="0" w:color="auto"/>
            </w:tcBorders>
          </w:tcPr>
          <w:p w14:paraId="0CBCBFB2" w14:textId="7B7D8A46" w:rsidR="00835600" w:rsidRPr="0074086C" w:rsidRDefault="00835600" w:rsidP="00835600">
            <w:pPr>
              <w:pStyle w:val="TableText"/>
              <w:jc w:val="right"/>
              <w:rPr>
                <w:lang w:eastAsia="en-AU"/>
              </w:rPr>
            </w:pPr>
            <w:r>
              <w:rPr>
                <w:rFonts w:cs="Arial"/>
              </w:rPr>
              <w:t>$373K</w:t>
            </w:r>
          </w:p>
        </w:tc>
        <w:tc>
          <w:tcPr>
            <w:tcW w:w="1250" w:type="dxa"/>
            <w:tcBorders>
              <w:top w:val="nil"/>
              <w:left w:val="nil"/>
              <w:bottom w:val="single" w:sz="4" w:space="0" w:color="auto"/>
              <w:right w:val="single" w:sz="4" w:space="0" w:color="auto"/>
            </w:tcBorders>
          </w:tcPr>
          <w:p w14:paraId="4012CA56" w14:textId="09921CE5" w:rsidR="00835600" w:rsidRDefault="00835600" w:rsidP="00835600">
            <w:pPr>
              <w:pStyle w:val="TableText"/>
              <w:jc w:val="right"/>
              <w:rPr>
                <w:rFonts w:cs="Arial"/>
              </w:rPr>
            </w:pPr>
            <w:r>
              <w:rPr>
                <w:rFonts w:cs="Arial"/>
              </w:rPr>
              <w:t>$371K</w:t>
            </w:r>
          </w:p>
        </w:tc>
        <w:tc>
          <w:tcPr>
            <w:tcW w:w="1250" w:type="dxa"/>
            <w:tcBorders>
              <w:top w:val="nil"/>
              <w:left w:val="nil"/>
              <w:bottom w:val="single" w:sz="4" w:space="0" w:color="auto"/>
              <w:right w:val="single" w:sz="4" w:space="0" w:color="auto"/>
            </w:tcBorders>
          </w:tcPr>
          <w:p w14:paraId="2BE91854" w14:textId="6F61DCF4" w:rsidR="00835600" w:rsidRDefault="00835600" w:rsidP="00835600">
            <w:pPr>
              <w:pStyle w:val="TableText"/>
              <w:jc w:val="right"/>
              <w:rPr>
                <w:rFonts w:cs="Arial"/>
              </w:rPr>
            </w:pPr>
            <w:r>
              <w:rPr>
                <w:rFonts w:cs="Arial"/>
              </w:rPr>
              <w:t>$384K</w:t>
            </w:r>
          </w:p>
        </w:tc>
      </w:tr>
      <w:tr w:rsidR="00835600" w:rsidRPr="00920636" w14:paraId="7756A120" w14:textId="77777777" w:rsidTr="00A45272">
        <w:trPr>
          <w:trHeight w:val="255"/>
        </w:trPr>
        <w:tc>
          <w:tcPr>
            <w:tcW w:w="2596" w:type="dxa"/>
            <w:tcBorders>
              <w:top w:val="nil"/>
              <w:left w:val="single" w:sz="4" w:space="0" w:color="auto"/>
              <w:bottom w:val="single" w:sz="4" w:space="0" w:color="auto"/>
              <w:right w:val="single" w:sz="4" w:space="0" w:color="auto"/>
            </w:tcBorders>
            <w:noWrap/>
            <w:hideMark/>
          </w:tcPr>
          <w:p w14:paraId="32F05A04" w14:textId="77777777" w:rsidR="00835600" w:rsidRPr="000F130C" w:rsidRDefault="00835600" w:rsidP="00835600">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49BA1B07" w14:textId="3D9E31A1" w:rsidR="00835600" w:rsidRDefault="00835600" w:rsidP="00835600">
            <w:pPr>
              <w:pStyle w:val="TableText"/>
              <w:jc w:val="right"/>
              <w:rPr>
                <w:b/>
                <w:lang w:eastAsia="en-AU"/>
              </w:rPr>
            </w:pPr>
            <w:r>
              <w:rPr>
                <w:rFonts w:cs="Arial"/>
                <w:b/>
                <w:bCs/>
              </w:rPr>
              <w:t>$631K</w:t>
            </w:r>
          </w:p>
        </w:tc>
        <w:tc>
          <w:tcPr>
            <w:tcW w:w="1250" w:type="dxa"/>
            <w:tcBorders>
              <w:top w:val="nil"/>
              <w:left w:val="nil"/>
              <w:bottom w:val="single" w:sz="4" w:space="0" w:color="auto"/>
              <w:right w:val="single" w:sz="4" w:space="0" w:color="auto"/>
            </w:tcBorders>
          </w:tcPr>
          <w:p w14:paraId="03ABB1A4" w14:textId="2C7EF04A" w:rsidR="00835600" w:rsidRPr="00EB7A8F" w:rsidRDefault="00835600" w:rsidP="00835600">
            <w:pPr>
              <w:pStyle w:val="TableText"/>
              <w:jc w:val="right"/>
              <w:rPr>
                <w:b/>
                <w:bCs/>
                <w:lang w:eastAsia="en-AU"/>
              </w:rPr>
            </w:pPr>
            <w:r>
              <w:rPr>
                <w:rFonts w:cs="Arial"/>
                <w:b/>
                <w:bCs/>
              </w:rPr>
              <w:t>$666K</w:t>
            </w:r>
          </w:p>
        </w:tc>
        <w:tc>
          <w:tcPr>
            <w:tcW w:w="1250" w:type="dxa"/>
            <w:tcBorders>
              <w:top w:val="nil"/>
              <w:left w:val="nil"/>
              <w:bottom w:val="single" w:sz="4" w:space="0" w:color="auto"/>
              <w:right w:val="single" w:sz="4" w:space="0" w:color="auto"/>
            </w:tcBorders>
          </w:tcPr>
          <w:p w14:paraId="6CCA88BD" w14:textId="3281227D" w:rsidR="00835600" w:rsidRPr="0074086C" w:rsidRDefault="00835600" w:rsidP="00835600">
            <w:pPr>
              <w:pStyle w:val="TableText"/>
              <w:jc w:val="right"/>
              <w:rPr>
                <w:b/>
                <w:bCs/>
                <w:lang w:eastAsia="en-AU"/>
              </w:rPr>
            </w:pPr>
            <w:r>
              <w:rPr>
                <w:rFonts w:cs="Arial"/>
                <w:b/>
                <w:bCs/>
              </w:rPr>
              <w:t>$643K</w:t>
            </w:r>
          </w:p>
        </w:tc>
        <w:tc>
          <w:tcPr>
            <w:tcW w:w="1250" w:type="dxa"/>
            <w:tcBorders>
              <w:top w:val="nil"/>
              <w:left w:val="nil"/>
              <w:bottom w:val="single" w:sz="4" w:space="0" w:color="auto"/>
              <w:right w:val="single" w:sz="4" w:space="0" w:color="auto"/>
            </w:tcBorders>
          </w:tcPr>
          <w:p w14:paraId="30ECA24A" w14:textId="0233B007" w:rsidR="00835600" w:rsidRDefault="00835600" w:rsidP="00835600">
            <w:pPr>
              <w:pStyle w:val="TableText"/>
              <w:jc w:val="right"/>
              <w:rPr>
                <w:rFonts w:cs="Arial"/>
                <w:b/>
                <w:bCs/>
              </w:rPr>
            </w:pPr>
            <w:r>
              <w:rPr>
                <w:rFonts w:cs="Arial"/>
                <w:b/>
                <w:bCs/>
              </w:rPr>
              <w:t>$660K</w:t>
            </w:r>
          </w:p>
        </w:tc>
        <w:tc>
          <w:tcPr>
            <w:tcW w:w="1250" w:type="dxa"/>
            <w:tcBorders>
              <w:top w:val="nil"/>
              <w:left w:val="nil"/>
              <w:bottom w:val="single" w:sz="4" w:space="0" w:color="auto"/>
              <w:right w:val="single" w:sz="4" w:space="0" w:color="auto"/>
            </w:tcBorders>
          </w:tcPr>
          <w:p w14:paraId="011AAC74" w14:textId="4FCFDCC4" w:rsidR="00835600" w:rsidRDefault="00835600" w:rsidP="00835600">
            <w:pPr>
              <w:pStyle w:val="TableText"/>
              <w:jc w:val="right"/>
              <w:rPr>
                <w:rFonts w:cs="Arial"/>
                <w:b/>
                <w:bCs/>
              </w:rPr>
            </w:pPr>
            <w:r>
              <w:rPr>
                <w:rFonts w:cs="Arial"/>
                <w:b/>
                <w:bCs/>
              </w:rPr>
              <w:t>$</w:t>
            </w:r>
            <w:r w:rsidR="00BC2403">
              <w:rPr>
                <w:rFonts w:cs="Arial"/>
                <w:b/>
                <w:bCs/>
              </w:rPr>
              <w:t>706</w:t>
            </w:r>
            <w:r>
              <w:rPr>
                <w:rFonts w:cs="Arial"/>
                <w:b/>
                <w:bCs/>
              </w:rPr>
              <w:t>K</w:t>
            </w:r>
          </w:p>
        </w:tc>
      </w:tr>
    </w:tbl>
    <w:p w14:paraId="5170314D" w14:textId="77777777" w:rsidR="00835600" w:rsidRDefault="00835600" w:rsidP="00835600">
      <w:pPr>
        <w:ind w:left="-142" w:right="-425"/>
        <w:jc w:val="both"/>
        <w:rPr>
          <w:rFonts w:cs="Arial"/>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28754099"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62CAB42D"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11256D">
              <w:rPr>
                <w:rFonts w:ascii="Arial" w:hAnsi="Arial" w:cs="Arial"/>
                <w:b/>
                <w:bCs/>
                <w:noProof/>
                <w:lang w:val="en-US"/>
              </w:rPr>
              <w:t xml:space="preserve">July </w:t>
            </w:r>
            <w:r>
              <w:rPr>
                <w:rFonts w:ascii="Arial" w:hAnsi="Arial" w:cs="Arial"/>
                <w:b/>
                <w:bCs/>
                <w:noProof/>
                <w:lang w:val="en-US"/>
              </w:rPr>
              <w:t>202</w:t>
            </w:r>
            <w:r w:rsidR="00C22830">
              <w:rPr>
                <w:rFonts w:ascii="Arial" w:hAnsi="Arial" w:cs="Arial"/>
                <w:b/>
                <w:bCs/>
                <w:noProof/>
                <w:lang w:val="en-US"/>
              </w:rPr>
              <w:t>2</w:t>
            </w:r>
            <w:r>
              <w:rPr>
                <w:rFonts w:ascii="Arial" w:hAnsi="Arial" w:cs="Arial"/>
                <w:b/>
                <w:bCs/>
                <w:noProof/>
                <w:lang w:val="en-US"/>
              </w:rPr>
              <w:t xml:space="preserve"> to 3</w:t>
            </w:r>
            <w:r w:rsidR="0011256D">
              <w:rPr>
                <w:rFonts w:ascii="Arial" w:hAnsi="Arial" w:cs="Arial"/>
                <w:b/>
                <w:bCs/>
                <w:noProof/>
                <w:lang w:val="en-US"/>
              </w:rPr>
              <w:t>1 December</w:t>
            </w:r>
            <w:r w:rsidR="007552AD">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p>
        </w:tc>
        <w:tc>
          <w:tcPr>
            <w:tcW w:w="1817" w:type="dxa"/>
            <w:tcBorders>
              <w:top w:val="nil"/>
              <w:left w:val="nil"/>
              <w:bottom w:val="single" w:sz="18" w:space="0" w:color="auto"/>
              <w:right w:val="nil"/>
            </w:tcBorders>
            <w:shd w:val="clear" w:color="auto" w:fill="auto"/>
            <w:vAlign w:val="center"/>
          </w:tcPr>
          <w:p w14:paraId="79EDD674" w14:textId="353C01BA"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CA4D07">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BD8A33A" w:rsidR="00EB0D94" w:rsidRPr="00A634FA" w:rsidRDefault="0011256D" w:rsidP="00EB0D94">
            <w:pPr>
              <w:jc w:val="center"/>
              <w:rPr>
                <w:rFonts w:ascii="Arial Narrow" w:hAnsi="Arial Narrow" w:cs="Arial"/>
                <w:sz w:val="16"/>
                <w:szCs w:val="16"/>
              </w:rPr>
            </w:pPr>
            <w:r>
              <w:rPr>
                <w:rFonts w:ascii="Arial Narrow" w:hAnsi="Arial Narrow" w:cs="Arial"/>
                <w:sz w:val="16"/>
                <w:szCs w:val="16"/>
              </w:rPr>
              <w:t>4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7928A208" w:rsidR="00EB0D94" w:rsidRPr="008805E5" w:rsidRDefault="00EB0D94" w:rsidP="00EB0D94">
            <w:pPr>
              <w:jc w:val="center"/>
              <w:rPr>
                <w:rFonts w:ascii="Arial Narrow" w:hAnsi="Arial Narrow"/>
                <w:color w:val="31849B"/>
                <w:sz w:val="16"/>
                <w:szCs w:val="16"/>
              </w:rPr>
            </w:pPr>
          </w:p>
        </w:tc>
      </w:tr>
      <w:tr w:rsidR="006801DA" w:rsidRPr="00BC2C5D" w14:paraId="7C66C142" w14:textId="77777777" w:rsidTr="00AA40BA">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115879E" w:rsidR="006801DA" w:rsidRPr="00A634FA" w:rsidRDefault="006801DA" w:rsidP="00EB0D94">
            <w:pPr>
              <w:jc w:val="center"/>
              <w:rPr>
                <w:rFonts w:ascii="Arial Narrow" w:hAnsi="Arial Narrow" w:cs="Arial"/>
                <w:sz w:val="16"/>
                <w:szCs w:val="16"/>
              </w:rPr>
            </w:pPr>
            <w:r>
              <w:rPr>
                <w:rFonts w:ascii="Arial Narrow" w:hAnsi="Arial Narrow" w:cs="Arial"/>
                <w:sz w:val="16"/>
                <w:szCs w:val="16"/>
              </w:rPr>
              <w:t>1</w:t>
            </w:r>
            <w:r w:rsidR="0011256D">
              <w:rPr>
                <w:rFonts w:ascii="Arial Narrow" w:hAnsi="Arial Narrow" w:cs="Arial"/>
                <w:sz w:val="16"/>
                <w:szCs w:val="16"/>
              </w:rPr>
              <w:t>1 July</w:t>
            </w:r>
          </w:p>
        </w:tc>
        <w:tc>
          <w:tcPr>
            <w:tcW w:w="1051" w:type="dxa"/>
            <w:tcBorders>
              <w:top w:val="single" w:sz="18" w:space="0" w:color="C0C0C0"/>
              <w:left w:val="single" w:sz="18" w:space="0" w:color="C0C0C0"/>
              <w:right w:val="single" w:sz="18" w:space="0" w:color="C0C0C0"/>
            </w:tcBorders>
            <w:shd w:val="clear" w:color="auto" w:fill="auto"/>
            <w:vAlign w:val="center"/>
          </w:tcPr>
          <w:p w14:paraId="7FB8E453"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FF00"/>
            <w:vAlign w:val="center"/>
          </w:tcPr>
          <w:p w14:paraId="731C4540" w14:textId="362D1403" w:rsidR="006801DA" w:rsidRPr="00391855" w:rsidRDefault="00391855" w:rsidP="00EB0D94">
            <w:pPr>
              <w:jc w:val="center"/>
              <w:rPr>
                <w:rFonts w:ascii="Arial Narrow" w:hAnsi="Arial Narrow" w:cs="Arial"/>
                <w:b/>
                <w:bCs/>
                <w:sz w:val="16"/>
                <w:szCs w:val="16"/>
              </w:rPr>
            </w:pPr>
            <w:r>
              <w:rPr>
                <w:rFonts w:ascii="Arial Narrow" w:hAnsi="Arial Narrow" w:cs="Arial"/>
                <w:b/>
                <w:bCs/>
                <w:sz w:val="16"/>
                <w:szCs w:val="16"/>
              </w:rPr>
              <w:t>12</w:t>
            </w:r>
          </w:p>
        </w:tc>
        <w:tc>
          <w:tcPr>
            <w:tcW w:w="1162" w:type="dxa"/>
            <w:tcBorders>
              <w:top w:val="single" w:sz="18" w:space="0" w:color="C0C0C0"/>
              <w:left w:val="single" w:sz="18" w:space="0" w:color="BFBFBF"/>
              <w:right w:val="single" w:sz="18" w:space="0" w:color="C0C0C0"/>
            </w:tcBorders>
            <w:shd w:val="clear" w:color="auto" w:fill="FF0000"/>
            <w:vAlign w:val="center"/>
          </w:tcPr>
          <w:p w14:paraId="1E99A741" w14:textId="21C9D66D" w:rsidR="006801DA" w:rsidRPr="00391855" w:rsidRDefault="00391855" w:rsidP="00EB0D94">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13</w:t>
            </w:r>
          </w:p>
        </w:tc>
        <w:tc>
          <w:tcPr>
            <w:tcW w:w="1162" w:type="dxa"/>
            <w:tcBorders>
              <w:top w:val="single" w:sz="18" w:space="0" w:color="C0C0C0"/>
              <w:left w:val="single" w:sz="18" w:space="0" w:color="C0C0C0"/>
              <w:right w:val="single" w:sz="18" w:space="0" w:color="C0C0C0"/>
            </w:tcBorders>
            <w:shd w:val="clear" w:color="auto" w:fill="FF0000"/>
            <w:vAlign w:val="center"/>
          </w:tcPr>
          <w:p w14:paraId="07B23DF6" w14:textId="79156DD0" w:rsidR="006801DA" w:rsidRPr="00391855" w:rsidRDefault="00391855" w:rsidP="00EB0D94">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14</w:t>
            </w:r>
          </w:p>
        </w:tc>
        <w:tc>
          <w:tcPr>
            <w:tcW w:w="1162" w:type="dxa"/>
            <w:tcBorders>
              <w:top w:val="single" w:sz="18" w:space="0" w:color="C0C0C0"/>
              <w:left w:val="single" w:sz="18" w:space="0" w:color="C0C0C0"/>
              <w:right w:val="single" w:sz="18" w:space="0" w:color="auto"/>
            </w:tcBorders>
            <w:shd w:val="clear" w:color="auto" w:fill="auto"/>
            <w:vAlign w:val="center"/>
          </w:tcPr>
          <w:p w14:paraId="5BFFB592" w14:textId="73D95E24" w:rsidR="006801DA" w:rsidRPr="00236E17" w:rsidRDefault="00236E17" w:rsidP="00EB0D94">
            <w:pPr>
              <w:jc w:val="center"/>
              <w:rPr>
                <w:rFonts w:ascii="Arial Narrow" w:hAnsi="Arial Narrow" w:cs="Arial"/>
                <w:b/>
                <w:bCs/>
                <w:sz w:val="16"/>
                <w:szCs w:val="16"/>
              </w:rPr>
            </w:pPr>
            <w:r w:rsidRPr="00236E17">
              <w:rPr>
                <w:rFonts w:ascii="Arial Narrow" w:hAnsi="Arial Narrow" w:cs="Arial"/>
                <w:b/>
                <w:bCs/>
                <w:sz w:val="16"/>
                <w:szCs w:val="16"/>
              </w:rPr>
              <w:t>Public Holiday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7FEE766" w14:textId="77777777" w:rsidR="008D6D06" w:rsidRPr="007E2969" w:rsidRDefault="008D6D06" w:rsidP="008D6D06">
            <w:pPr>
              <w:jc w:val="center"/>
              <w:rPr>
                <w:rFonts w:ascii="Arial Narrow" w:hAnsi="Arial Narrow" w:cs="Arial"/>
                <w:b/>
                <w:bCs/>
                <w:sz w:val="16"/>
                <w:szCs w:val="16"/>
              </w:rPr>
            </w:pPr>
            <w:r w:rsidRPr="007E2969">
              <w:rPr>
                <w:rFonts w:ascii="Arial Narrow" w:hAnsi="Arial Narrow" w:cs="Arial"/>
                <w:b/>
                <w:bCs/>
                <w:sz w:val="16"/>
                <w:szCs w:val="16"/>
              </w:rPr>
              <w:t>Fri 15th - Cairns Show Day</w:t>
            </w:r>
          </w:p>
          <w:p w14:paraId="77022EBA" w14:textId="77777777"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304C5BB3" w14:textId="29C78D75" w:rsidR="006801DA" w:rsidRPr="00DC638E"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91855" w:rsidRPr="00BC2C5D" w14:paraId="5BA53CBD" w14:textId="77777777" w:rsidTr="00CC69CF">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2AFF27D9" w:rsidR="00391855" w:rsidRPr="00A634FA" w:rsidRDefault="00391855" w:rsidP="00C344F6">
            <w:pPr>
              <w:jc w:val="center"/>
              <w:rPr>
                <w:rFonts w:ascii="Arial Narrow" w:hAnsi="Arial Narrow" w:cs="Arial"/>
                <w:sz w:val="16"/>
                <w:szCs w:val="16"/>
              </w:rPr>
            </w:pPr>
            <w:r>
              <w:rPr>
                <w:rFonts w:ascii="Arial Narrow" w:hAnsi="Arial Narrow" w:cs="Arial"/>
                <w:sz w:val="16"/>
                <w:szCs w:val="16"/>
              </w:rPr>
              <w:t>18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030DF612" w:rsidR="00391855" w:rsidRPr="00DC638E" w:rsidRDefault="00391855" w:rsidP="00C344F6">
            <w:pPr>
              <w:jc w:val="center"/>
              <w:rPr>
                <w:rFonts w:ascii="Arial Narrow" w:hAnsi="Arial Narrow" w:cs="Arial"/>
                <w:sz w:val="16"/>
                <w:szCs w:val="16"/>
              </w:rPr>
            </w:pPr>
            <w:r w:rsidRPr="00236E17">
              <w:rPr>
                <w:rFonts w:ascii="Arial Narrow" w:hAnsi="Arial Narrow" w:cs="Arial"/>
                <w:b/>
                <w:bCs/>
                <w:sz w:val="16"/>
                <w:szCs w:val="16"/>
              </w:rPr>
              <w:t>Public Holiday</w:t>
            </w:r>
            <w:r>
              <w:rPr>
                <w:rFonts w:ascii="Arial Narrow" w:hAnsi="Arial Narrow" w:cs="Arial"/>
                <w:b/>
                <w:bCs/>
                <w:sz w:val="16"/>
                <w:szCs w:val="16"/>
              </w:rPr>
              <w:t xml:space="preserve"> – MG Only</w:t>
            </w:r>
          </w:p>
        </w:tc>
        <w:tc>
          <w:tcPr>
            <w:tcW w:w="1162" w:type="dxa"/>
            <w:vMerge w:val="restart"/>
            <w:tcBorders>
              <w:top w:val="single" w:sz="18" w:space="0" w:color="BFBFBF"/>
              <w:left w:val="single" w:sz="18" w:space="0" w:color="C0C0C0"/>
              <w:right w:val="single" w:sz="18" w:space="0" w:color="BFBFBF"/>
              <w:tr2bl w:val="nil"/>
            </w:tcBorders>
            <w:shd w:val="clear" w:color="auto" w:fill="auto"/>
            <w:vAlign w:val="center"/>
          </w:tcPr>
          <w:p w14:paraId="346AA547" w14:textId="5F476F3E" w:rsidR="00391855" w:rsidRPr="00DC638E" w:rsidRDefault="00391855" w:rsidP="00C344F6">
            <w:pPr>
              <w:jc w:val="center"/>
              <w:rPr>
                <w:rFonts w:ascii="Arial Narrow" w:hAnsi="Arial Narrow" w:cs="Arial"/>
                <w:sz w:val="16"/>
                <w:szCs w:val="16"/>
              </w:rPr>
            </w:pPr>
          </w:p>
        </w:tc>
        <w:tc>
          <w:tcPr>
            <w:tcW w:w="1162" w:type="dxa"/>
            <w:tcBorders>
              <w:top w:val="single" w:sz="18" w:space="0" w:color="BFBFBF"/>
              <w:left w:val="single" w:sz="18" w:space="0" w:color="BFBFBF"/>
              <w:bottom w:val="nil"/>
              <w:right w:val="single" w:sz="18" w:space="0" w:color="C0C0C0"/>
            </w:tcBorders>
            <w:shd w:val="clear" w:color="auto" w:fill="A972A9"/>
            <w:vAlign w:val="center"/>
          </w:tcPr>
          <w:p w14:paraId="7A536749" w14:textId="00545C25" w:rsidR="00391855" w:rsidRPr="00391855" w:rsidRDefault="00391855" w:rsidP="00C344F6">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20</w:t>
            </w:r>
          </w:p>
        </w:tc>
        <w:tc>
          <w:tcPr>
            <w:tcW w:w="1162" w:type="dxa"/>
            <w:tcBorders>
              <w:top w:val="single" w:sz="18" w:space="0" w:color="BFBFBF"/>
              <w:left w:val="single" w:sz="18" w:space="0" w:color="C0C0C0"/>
              <w:bottom w:val="nil"/>
              <w:right w:val="single" w:sz="18" w:space="0" w:color="C0C0C0"/>
            </w:tcBorders>
            <w:shd w:val="clear" w:color="auto" w:fill="A972A9"/>
            <w:vAlign w:val="center"/>
          </w:tcPr>
          <w:p w14:paraId="6CAE5B32" w14:textId="5204E3E0" w:rsidR="00391855" w:rsidRPr="00391855" w:rsidRDefault="00391855" w:rsidP="00C344F6">
            <w:pPr>
              <w:jc w:val="center"/>
              <w:rPr>
                <w:rFonts w:ascii="Arial Narrow" w:hAnsi="Arial Narrow" w:cs="Arial"/>
                <w:b/>
                <w:bCs/>
                <w:color w:val="FFFFFF" w:themeColor="background1"/>
                <w:sz w:val="16"/>
                <w:szCs w:val="16"/>
              </w:rPr>
            </w:pPr>
            <w:r w:rsidRPr="00391855">
              <w:rPr>
                <w:rFonts w:ascii="Arial Narrow" w:hAnsi="Arial Narrow" w:cs="Arial"/>
                <w:b/>
                <w:bCs/>
                <w:color w:val="FFFFFF" w:themeColor="background1"/>
                <w:sz w:val="16"/>
                <w:szCs w:val="16"/>
              </w:rPr>
              <w:t>21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F79FB51"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54B762C" w14:textId="77777777" w:rsidR="00391855" w:rsidRPr="007E2969" w:rsidRDefault="00391855" w:rsidP="008D6D06">
            <w:pPr>
              <w:jc w:val="center"/>
              <w:rPr>
                <w:rFonts w:ascii="Arial Narrow" w:hAnsi="Arial Narrow" w:cs="Arial"/>
                <w:b/>
                <w:bCs/>
                <w:sz w:val="16"/>
                <w:szCs w:val="16"/>
              </w:rPr>
            </w:pPr>
            <w:r w:rsidRPr="007E2969">
              <w:rPr>
                <w:rFonts w:ascii="Arial Narrow" w:hAnsi="Arial Narrow" w:cs="Arial"/>
                <w:b/>
                <w:bCs/>
                <w:sz w:val="16"/>
                <w:szCs w:val="16"/>
              </w:rPr>
              <w:t>Mon 18th - Mossman Show Day</w:t>
            </w:r>
          </w:p>
          <w:p w14:paraId="6C8C40F7" w14:textId="78EFD534" w:rsidR="00391855" w:rsidRPr="00DC638E" w:rsidRDefault="00E52A73" w:rsidP="008D6D06">
            <w:pPr>
              <w:jc w:val="center"/>
              <w:rPr>
                <w:rFonts w:ascii="Arial Narrow" w:hAnsi="Arial Narrow"/>
                <w:sz w:val="16"/>
                <w:szCs w:val="16"/>
              </w:rPr>
            </w:pPr>
            <w:r w:rsidRPr="008805E5">
              <w:rPr>
                <w:rFonts w:ascii="Arial Narrow" w:hAnsi="Arial Narrow"/>
                <w:color w:val="31849B"/>
                <w:sz w:val="16"/>
                <w:szCs w:val="16"/>
              </w:rPr>
              <w:t>Aurukun Cape B &amp; Coen Cape A Circuit</w:t>
            </w:r>
          </w:p>
        </w:tc>
      </w:tr>
      <w:tr w:rsidR="00391855" w:rsidRPr="00BC2C5D" w14:paraId="24F2CAD9" w14:textId="77777777" w:rsidTr="00CC69CF">
        <w:trPr>
          <w:trHeight w:val="284"/>
        </w:trPr>
        <w:tc>
          <w:tcPr>
            <w:tcW w:w="1526" w:type="dxa"/>
            <w:vMerge/>
            <w:tcBorders>
              <w:left w:val="single" w:sz="18" w:space="0" w:color="auto"/>
              <w:right w:val="single" w:sz="18" w:space="0" w:color="C0C0C0"/>
            </w:tcBorders>
            <w:shd w:val="clear" w:color="auto" w:fill="auto"/>
            <w:vAlign w:val="center"/>
          </w:tcPr>
          <w:p w14:paraId="2B8AFE85" w14:textId="77777777" w:rsidR="00391855" w:rsidRDefault="00391855" w:rsidP="00391855">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E52FF19" w14:textId="77777777" w:rsidR="00391855" w:rsidRPr="00236E17" w:rsidRDefault="00391855" w:rsidP="00391855">
            <w:pPr>
              <w:jc w:val="center"/>
              <w:rPr>
                <w:rFonts w:ascii="Arial Narrow" w:hAnsi="Arial Narrow" w:cs="Arial"/>
                <w:b/>
                <w:bCs/>
                <w:sz w:val="16"/>
                <w:szCs w:val="16"/>
              </w:rPr>
            </w:pPr>
          </w:p>
        </w:tc>
        <w:tc>
          <w:tcPr>
            <w:tcW w:w="1162" w:type="dxa"/>
            <w:vMerge/>
            <w:tcBorders>
              <w:left w:val="single" w:sz="18" w:space="0" w:color="C0C0C0"/>
              <w:right w:val="single" w:sz="18" w:space="0" w:color="BFBFBF"/>
              <w:tr2bl w:val="nil"/>
            </w:tcBorders>
            <w:shd w:val="clear" w:color="auto" w:fill="auto"/>
            <w:vAlign w:val="center"/>
          </w:tcPr>
          <w:p w14:paraId="21112033" w14:textId="77777777" w:rsidR="00391855" w:rsidRPr="00DC638E" w:rsidRDefault="00391855" w:rsidP="00391855">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BFBFBF"/>
            </w:tcBorders>
            <w:shd w:val="clear" w:color="auto" w:fill="769250"/>
            <w:vAlign w:val="center"/>
          </w:tcPr>
          <w:p w14:paraId="290D0E42" w14:textId="7F60CAFC" w:rsidR="00391855" w:rsidRPr="00391855" w:rsidRDefault="00391855" w:rsidP="00391855">
            <w:pPr>
              <w:jc w:val="center"/>
              <w:rPr>
                <w:rFonts w:ascii="Arial Narrow" w:hAnsi="Arial Narrow" w:cs="Arial"/>
                <w:color w:val="FFFFFF" w:themeColor="background1"/>
                <w:sz w:val="16"/>
                <w:szCs w:val="16"/>
              </w:rPr>
            </w:pPr>
            <w:r w:rsidRPr="00391855">
              <w:rPr>
                <w:rFonts w:ascii="Arial Narrow" w:hAnsi="Arial Narrow" w:cs="Arial"/>
                <w:b/>
                <w:bCs/>
                <w:color w:val="FFFFFF" w:themeColor="background1"/>
                <w:sz w:val="16"/>
                <w:szCs w:val="16"/>
              </w:rPr>
              <w:t>20</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4E8C99F" w14:textId="3F58205B" w:rsidR="00391855" w:rsidRPr="00391855" w:rsidRDefault="00391855" w:rsidP="00391855">
            <w:pPr>
              <w:jc w:val="center"/>
              <w:rPr>
                <w:rFonts w:ascii="Arial Narrow" w:hAnsi="Arial Narrow" w:cs="Arial"/>
                <w:color w:val="FFFFFF" w:themeColor="background1"/>
                <w:sz w:val="16"/>
                <w:szCs w:val="16"/>
              </w:rPr>
            </w:pPr>
            <w:r w:rsidRPr="00391855">
              <w:rPr>
                <w:rFonts w:ascii="Arial Narrow" w:hAnsi="Arial Narrow" w:cs="Arial"/>
                <w:b/>
                <w:bCs/>
                <w:color w:val="FFFFFF" w:themeColor="background1"/>
                <w:sz w:val="16"/>
                <w:szCs w:val="16"/>
              </w:rPr>
              <w:t>21</w:t>
            </w:r>
          </w:p>
        </w:tc>
        <w:tc>
          <w:tcPr>
            <w:tcW w:w="1162" w:type="dxa"/>
            <w:vMerge/>
            <w:tcBorders>
              <w:left w:val="single" w:sz="18" w:space="0" w:color="C0C0C0"/>
              <w:right w:val="single" w:sz="18" w:space="0" w:color="auto"/>
            </w:tcBorders>
            <w:shd w:val="clear" w:color="auto" w:fill="auto"/>
            <w:vAlign w:val="center"/>
          </w:tcPr>
          <w:p w14:paraId="218BDC30" w14:textId="77777777" w:rsidR="00391855" w:rsidRPr="00DC638E" w:rsidRDefault="00391855" w:rsidP="00391855">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D8AE7FF" w14:textId="77777777" w:rsidR="00391855" w:rsidRPr="008D6D06" w:rsidRDefault="00391855" w:rsidP="00391855">
            <w:pPr>
              <w:jc w:val="center"/>
              <w:rPr>
                <w:rFonts w:ascii="Arial Narrow" w:hAnsi="Arial Narrow" w:cs="Arial"/>
                <w:b/>
                <w:bCs/>
                <w:color w:val="244061"/>
                <w:sz w:val="16"/>
                <w:szCs w:val="16"/>
              </w:rPr>
            </w:pPr>
          </w:p>
        </w:tc>
      </w:tr>
      <w:tr w:rsidR="006801DA" w:rsidRPr="00BC2C5D" w14:paraId="3FC520FE" w14:textId="77777777" w:rsidTr="00694B49">
        <w:trPr>
          <w:trHeight w:val="567"/>
        </w:trPr>
        <w:tc>
          <w:tcPr>
            <w:tcW w:w="1526" w:type="dxa"/>
            <w:tcBorders>
              <w:top w:val="single" w:sz="18" w:space="0" w:color="BFBFBF"/>
              <w:left w:val="single" w:sz="18" w:space="0" w:color="auto"/>
              <w:bottom w:val="single" w:sz="18" w:space="0" w:color="auto"/>
              <w:right w:val="single" w:sz="18" w:space="0" w:color="C0C0C0"/>
            </w:tcBorders>
            <w:shd w:val="clear" w:color="auto" w:fill="auto"/>
            <w:vAlign w:val="center"/>
          </w:tcPr>
          <w:p w14:paraId="6D1805FC" w14:textId="4B68C252" w:rsidR="006801DA" w:rsidRPr="00A634FA" w:rsidRDefault="006801DA" w:rsidP="00C344F6">
            <w:pPr>
              <w:jc w:val="center"/>
              <w:rPr>
                <w:rFonts w:ascii="Arial Narrow" w:hAnsi="Arial Narrow" w:cs="Arial"/>
                <w:sz w:val="16"/>
                <w:szCs w:val="16"/>
              </w:rPr>
            </w:pPr>
            <w:r>
              <w:rPr>
                <w:rFonts w:ascii="Arial Narrow" w:hAnsi="Arial Narrow" w:cs="Arial"/>
                <w:sz w:val="16"/>
                <w:szCs w:val="16"/>
              </w:rPr>
              <w:t>2</w:t>
            </w:r>
            <w:r w:rsidR="0011256D">
              <w:rPr>
                <w:rFonts w:ascii="Arial Narrow" w:hAnsi="Arial Narrow" w:cs="Arial"/>
                <w:sz w:val="16"/>
                <w:szCs w:val="16"/>
              </w:rPr>
              <w:t>5 July</w:t>
            </w:r>
          </w:p>
        </w:tc>
        <w:tc>
          <w:tcPr>
            <w:tcW w:w="1051" w:type="dxa"/>
            <w:tcBorders>
              <w:top w:val="single" w:sz="18" w:space="0" w:color="BFBFBF"/>
              <w:left w:val="single" w:sz="18" w:space="0" w:color="C0C0C0"/>
              <w:bottom w:val="single" w:sz="18" w:space="0" w:color="auto"/>
              <w:right w:val="single" w:sz="18" w:space="0" w:color="C0C0C0"/>
            </w:tcBorders>
            <w:shd w:val="clear" w:color="auto" w:fill="auto"/>
            <w:vAlign w:val="center"/>
          </w:tcPr>
          <w:p w14:paraId="4DAA80E5" w14:textId="4D14B982"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BFBFBF"/>
              <w:tr2bl w:val="nil"/>
            </w:tcBorders>
            <w:shd w:val="clear" w:color="auto" w:fill="auto"/>
            <w:vAlign w:val="center"/>
          </w:tcPr>
          <w:p w14:paraId="211F9DD8" w14:textId="18561EA9"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auto"/>
              <w:right w:val="single" w:sz="18" w:space="0" w:color="C0C0C0"/>
            </w:tcBorders>
            <w:shd w:val="clear" w:color="auto" w:fill="auto"/>
            <w:vAlign w:val="center"/>
          </w:tcPr>
          <w:p w14:paraId="54F73A57" w14:textId="49B30526"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auto"/>
              <w:right w:val="single" w:sz="18" w:space="0" w:color="C0C0C0"/>
            </w:tcBorders>
            <w:shd w:val="clear" w:color="auto" w:fill="auto"/>
            <w:vAlign w:val="center"/>
          </w:tcPr>
          <w:p w14:paraId="2B85F166" w14:textId="3C2550B1"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bottom w:val="single" w:sz="18" w:space="0" w:color="auto"/>
              <w:right w:val="single" w:sz="18" w:space="0" w:color="auto"/>
            </w:tcBorders>
            <w:shd w:val="clear" w:color="auto" w:fill="auto"/>
            <w:vAlign w:val="center"/>
          </w:tcPr>
          <w:p w14:paraId="4C8AAF12" w14:textId="6BB98184"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bottom w:val="single" w:sz="18" w:space="0" w:color="auto"/>
              <w:right w:val="single" w:sz="18" w:space="0" w:color="auto"/>
            </w:tcBorders>
            <w:shd w:val="clear" w:color="auto" w:fill="auto"/>
            <w:vAlign w:val="center"/>
          </w:tcPr>
          <w:p w14:paraId="54FCC955" w14:textId="77777777" w:rsidR="008D6D06"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29-30 Quamby Rodeo</w:t>
            </w:r>
          </w:p>
          <w:p w14:paraId="4A692BE1" w14:textId="00C49AF9" w:rsidR="006801DA" w:rsidRPr="008D6D06" w:rsidRDefault="008D6D06" w:rsidP="008D6D06">
            <w:pPr>
              <w:jc w:val="center"/>
              <w:rPr>
                <w:rFonts w:ascii="Arial Narrow" w:hAnsi="Arial Narrow" w:cs="Arial"/>
                <w:sz w:val="16"/>
                <w:szCs w:val="16"/>
              </w:rPr>
            </w:pPr>
            <w:r w:rsidRPr="008D6D06">
              <w:rPr>
                <w:rFonts w:ascii="Arial Narrow" w:hAnsi="Arial Narrow" w:cs="Arial"/>
                <w:color w:val="FF0000"/>
                <w:sz w:val="16"/>
                <w:szCs w:val="16"/>
              </w:rPr>
              <w:t>Estimates: Tuesday 26/07/2021 – Friday 29/07/2021</w:t>
            </w:r>
          </w:p>
        </w:tc>
      </w:tr>
      <w:tr w:rsidR="00391855" w:rsidRPr="00BC2C5D" w14:paraId="2A3C72E2" w14:textId="77777777" w:rsidTr="00694B49">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2C84293E" w14:textId="58AEA903" w:rsidR="00391855" w:rsidRDefault="00391855" w:rsidP="00C344F6">
            <w:pPr>
              <w:jc w:val="center"/>
              <w:rPr>
                <w:rFonts w:ascii="Arial Narrow" w:hAnsi="Arial Narrow" w:cs="Arial"/>
                <w:sz w:val="16"/>
                <w:szCs w:val="16"/>
              </w:rPr>
            </w:pPr>
            <w:r>
              <w:rPr>
                <w:rFonts w:ascii="Arial Narrow" w:hAnsi="Arial Narrow" w:cs="Arial"/>
                <w:sz w:val="16"/>
                <w:szCs w:val="16"/>
              </w:rPr>
              <w:t>1 August</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52F01DE" w14:textId="77777777" w:rsidR="00391855" w:rsidRPr="00DC638E" w:rsidRDefault="00391855" w:rsidP="00C344F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r2bl w:val="nil"/>
            </w:tcBorders>
            <w:shd w:val="clear" w:color="auto" w:fill="FFFF00"/>
            <w:vAlign w:val="center"/>
          </w:tcPr>
          <w:p w14:paraId="57679363" w14:textId="5EAAE6FD" w:rsidR="00391855"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2</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3B8E32D4" w14:textId="5D6C7135"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val="restart"/>
            <w:tcBorders>
              <w:top w:val="single" w:sz="18" w:space="0" w:color="auto"/>
              <w:left w:val="single" w:sz="18" w:space="0" w:color="C0C0C0"/>
              <w:right w:val="single" w:sz="18" w:space="0" w:color="C0C0C0"/>
            </w:tcBorders>
            <w:shd w:val="clear" w:color="auto" w:fill="A972A9"/>
            <w:vAlign w:val="center"/>
          </w:tcPr>
          <w:p w14:paraId="5940BE24" w14:textId="44375584"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4</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23CB3DBA" w14:textId="77777777"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6DEDA2B7" w14:textId="77777777" w:rsidR="00391855" w:rsidRPr="007E2969" w:rsidRDefault="00391855" w:rsidP="008D6D06">
            <w:pPr>
              <w:jc w:val="center"/>
              <w:rPr>
                <w:rFonts w:ascii="Arial Narrow" w:hAnsi="Arial Narrow" w:cs="Arial"/>
                <w:b/>
                <w:bCs/>
                <w:sz w:val="16"/>
                <w:szCs w:val="16"/>
              </w:rPr>
            </w:pPr>
            <w:r w:rsidRPr="007E2969">
              <w:rPr>
                <w:rFonts w:ascii="Arial Narrow" w:hAnsi="Arial Narrow" w:cs="Arial"/>
                <w:b/>
                <w:bCs/>
                <w:sz w:val="16"/>
                <w:szCs w:val="16"/>
              </w:rPr>
              <w:t>Thu 4th – Aurukun Day Public Holiday</w:t>
            </w:r>
          </w:p>
          <w:p w14:paraId="470BC975" w14:textId="50884868" w:rsidR="00391855" w:rsidRPr="008D6D06" w:rsidRDefault="00391855" w:rsidP="008D6D06">
            <w:pPr>
              <w:jc w:val="center"/>
              <w:rPr>
                <w:rFonts w:ascii="Arial Narrow" w:hAnsi="Arial Narrow"/>
                <w:color w:val="31849B"/>
                <w:sz w:val="16"/>
                <w:szCs w:val="16"/>
              </w:rPr>
            </w:pPr>
            <w:r w:rsidRPr="008D6D06">
              <w:rPr>
                <w:rFonts w:ascii="Arial Narrow" w:hAnsi="Arial Narrow" w:cs="Arial"/>
                <w:color w:val="FF0000"/>
                <w:sz w:val="16"/>
                <w:szCs w:val="16"/>
              </w:rPr>
              <w:t>Estimates: Tuesday 2/08/2021 – Thursday 4/08/2021</w:t>
            </w:r>
          </w:p>
        </w:tc>
      </w:tr>
      <w:tr w:rsidR="00391855" w:rsidRPr="00BC2C5D" w14:paraId="611BFD1A" w14:textId="77777777" w:rsidTr="00694B49">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41AE0FFE"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4DA853F8" w14:textId="77777777" w:rsidR="00391855" w:rsidRPr="00DC638E"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BFBFBF"/>
              <w:tr2bl w:val="nil"/>
            </w:tcBorders>
            <w:shd w:val="clear" w:color="auto" w:fill="FFFF00"/>
            <w:vAlign w:val="center"/>
          </w:tcPr>
          <w:p w14:paraId="4DAA42FC" w14:textId="77777777" w:rsidR="00391855" w:rsidRPr="00DC638E" w:rsidRDefault="00391855" w:rsidP="00C344F6">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17D89AFC" w14:textId="243FF218"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tcBorders>
              <w:left w:val="single" w:sz="18" w:space="0" w:color="C0C0C0"/>
              <w:bottom w:val="single" w:sz="18" w:space="0" w:color="BFBFBF" w:themeColor="background1" w:themeShade="BF"/>
              <w:right w:val="single" w:sz="18" w:space="0" w:color="C0C0C0"/>
            </w:tcBorders>
            <w:shd w:val="clear" w:color="auto" w:fill="A972A9"/>
            <w:vAlign w:val="center"/>
          </w:tcPr>
          <w:p w14:paraId="6BBE7C6D" w14:textId="77777777" w:rsidR="00391855" w:rsidRPr="00DC638E"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5B85B5C" w14:textId="77777777" w:rsidR="00391855" w:rsidRPr="00DC638E" w:rsidRDefault="00391855" w:rsidP="00C344F6">
            <w:pPr>
              <w:jc w:val="center"/>
              <w:rPr>
                <w:rFonts w:ascii="Arial Narrow" w:hAnsi="Arial Narrow" w:cs="Arial"/>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0C959258" w14:textId="77777777" w:rsidR="00391855" w:rsidRPr="008D6D06" w:rsidRDefault="00391855" w:rsidP="008D6D06">
            <w:pPr>
              <w:jc w:val="center"/>
              <w:rPr>
                <w:rFonts w:ascii="Arial Narrow" w:hAnsi="Arial Narrow" w:cs="Arial"/>
                <w:b/>
                <w:bCs/>
                <w:color w:val="244061"/>
                <w:sz w:val="16"/>
                <w:szCs w:val="16"/>
              </w:rPr>
            </w:pPr>
          </w:p>
        </w:tc>
      </w:tr>
      <w:tr w:rsidR="00C344F6" w:rsidRPr="00BC2C5D" w14:paraId="20327535" w14:textId="77777777" w:rsidTr="00694B49">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088F8A57" w14:textId="5A0F3F36" w:rsidR="00C344F6" w:rsidRPr="00A634FA" w:rsidRDefault="0011256D" w:rsidP="00C344F6">
            <w:pPr>
              <w:jc w:val="center"/>
              <w:rPr>
                <w:rFonts w:ascii="Arial Narrow" w:hAnsi="Arial Narrow" w:cs="Arial"/>
                <w:sz w:val="16"/>
                <w:szCs w:val="16"/>
              </w:rPr>
            </w:pPr>
            <w:r>
              <w:rPr>
                <w:rFonts w:ascii="Arial Narrow" w:hAnsi="Arial Narrow" w:cs="Arial"/>
                <w:sz w:val="16"/>
                <w:szCs w:val="16"/>
              </w:rPr>
              <w:t>8 August</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auto"/>
            <w:vAlign w:val="center"/>
          </w:tcPr>
          <w:p w14:paraId="05BAEBD3" w14:textId="77777777" w:rsidR="00C344F6" w:rsidRPr="00DC638E"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BFBFBF"/>
            </w:tcBorders>
            <w:shd w:val="clear" w:color="auto" w:fill="auto"/>
            <w:vAlign w:val="center"/>
          </w:tcPr>
          <w:p w14:paraId="6EF5A450" w14:textId="3386BF16" w:rsidR="00C344F6" w:rsidRPr="00DC638E" w:rsidRDefault="00C344F6" w:rsidP="00C344F6">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themeColor="background1" w:themeShade="BF"/>
              <w:right w:val="single" w:sz="18" w:space="0" w:color="C0C0C0"/>
            </w:tcBorders>
            <w:shd w:val="clear" w:color="auto" w:fill="FF0000"/>
            <w:vAlign w:val="center"/>
          </w:tcPr>
          <w:p w14:paraId="60AD86C6" w14:textId="2077EA6E" w:rsidR="00C344F6" w:rsidRPr="00372CF9" w:rsidRDefault="00372CF9" w:rsidP="00DC638E">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10</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FF0000"/>
            <w:vAlign w:val="center"/>
          </w:tcPr>
          <w:p w14:paraId="7C18418D" w14:textId="6A1553C2" w:rsidR="00C344F6"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11</w:t>
            </w: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auto"/>
            <w:vAlign w:val="center"/>
          </w:tcPr>
          <w:p w14:paraId="4997C671" w14:textId="77777777" w:rsidR="00C344F6" w:rsidRPr="00DC638E" w:rsidRDefault="00C344F6"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444728EB" w14:textId="41C1414A" w:rsidR="008D6D06"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11-14 Mount Isa Mines Rodeo</w:t>
            </w:r>
          </w:p>
          <w:p w14:paraId="087087AD" w14:textId="7CCC4A31"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71568B7F" w14:textId="6011AA93" w:rsidR="00C344F6" w:rsidRPr="008805E5"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391855" w:rsidRPr="00BC2C5D" w14:paraId="34AF6A84" w14:textId="77777777" w:rsidTr="00694B49">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21E246CA" w:rsidR="00391855" w:rsidRDefault="00391855" w:rsidP="00C344F6">
            <w:pPr>
              <w:jc w:val="center"/>
              <w:rPr>
                <w:rFonts w:ascii="Arial Narrow" w:hAnsi="Arial Narrow" w:cs="Arial"/>
                <w:sz w:val="16"/>
                <w:szCs w:val="16"/>
              </w:rPr>
            </w:pPr>
            <w:r>
              <w:rPr>
                <w:rFonts w:ascii="Arial Narrow" w:hAnsi="Arial Narrow" w:cs="Arial"/>
                <w:sz w:val="16"/>
                <w:szCs w:val="16"/>
              </w:rPr>
              <w:t>15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391855" w:rsidRPr="00DC638E" w:rsidRDefault="00391855" w:rsidP="00C344F6">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auto"/>
            <w:vAlign w:val="center"/>
          </w:tcPr>
          <w:p w14:paraId="34B4531E" w14:textId="4AC99C87" w:rsidR="00391855" w:rsidRPr="00DC638E" w:rsidRDefault="00391855" w:rsidP="00DC638E">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2D8EACCF"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17</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667635B7"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391855" w:rsidRPr="00DC638E" w:rsidRDefault="00391855"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424271F1" w:rsidR="00391855" w:rsidRPr="008805E5" w:rsidRDefault="00391855"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372CF9" w:rsidRPr="00BC2C5D" w14:paraId="60C3B73D"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7CC50F0A" w14:textId="77777777" w:rsidR="00372CF9" w:rsidRDefault="00372CF9" w:rsidP="00372CF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DEF862" w14:textId="77777777" w:rsidR="00372CF9" w:rsidRPr="00DC638E" w:rsidRDefault="00372CF9" w:rsidP="00372CF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3AEB83EB" w14:textId="77777777" w:rsidR="00372CF9" w:rsidRPr="00DC638E" w:rsidRDefault="00372CF9" w:rsidP="00372CF9">
            <w:pPr>
              <w:jc w:val="center"/>
              <w:rPr>
                <w:rFonts w:ascii="Arial Narrow" w:hAnsi="Arial Narrow" w:cs="Arial"/>
                <w:sz w:val="16"/>
                <w:szCs w:val="16"/>
              </w:rPr>
            </w:pPr>
          </w:p>
        </w:tc>
        <w:tc>
          <w:tcPr>
            <w:tcW w:w="1162" w:type="dxa"/>
            <w:tcBorders>
              <w:top w:val="nil"/>
              <w:left w:val="single" w:sz="18" w:space="0" w:color="BFBFBF"/>
              <w:bottom w:val="single" w:sz="18" w:space="0" w:color="C0C0C0"/>
              <w:right w:val="single" w:sz="18" w:space="0" w:color="BFBFBF"/>
            </w:tcBorders>
            <w:shd w:val="clear" w:color="auto" w:fill="769250"/>
            <w:vAlign w:val="center"/>
          </w:tcPr>
          <w:p w14:paraId="7830B0AD" w14:textId="4B7FD692" w:rsidR="00372CF9" w:rsidRPr="00372CF9" w:rsidRDefault="00372CF9" w:rsidP="00372CF9">
            <w:pPr>
              <w:jc w:val="center"/>
              <w:rPr>
                <w:rFonts w:ascii="Arial Narrow" w:hAnsi="Arial Narrow" w:cs="Arial"/>
                <w:color w:val="FFFFFF" w:themeColor="background1"/>
                <w:sz w:val="16"/>
                <w:szCs w:val="16"/>
              </w:rPr>
            </w:pPr>
            <w:r w:rsidRPr="00372CF9">
              <w:rPr>
                <w:rFonts w:ascii="Arial Narrow" w:hAnsi="Arial Narrow" w:cs="Arial"/>
                <w:b/>
                <w:bCs/>
                <w:color w:val="FFFFFF" w:themeColor="background1"/>
                <w:sz w:val="16"/>
                <w:szCs w:val="16"/>
              </w:rPr>
              <w:t>17</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EF6C2AC" w14:textId="02576A45" w:rsidR="00372CF9" w:rsidRPr="00372CF9" w:rsidRDefault="00372CF9" w:rsidP="00372CF9">
            <w:pPr>
              <w:jc w:val="center"/>
              <w:rPr>
                <w:rFonts w:ascii="Arial Narrow" w:hAnsi="Arial Narrow" w:cs="Arial"/>
                <w:color w:val="FFFFFF" w:themeColor="background1"/>
                <w:sz w:val="16"/>
                <w:szCs w:val="16"/>
              </w:rPr>
            </w:pPr>
            <w:r w:rsidRPr="00372CF9">
              <w:rPr>
                <w:rFonts w:ascii="Arial Narrow" w:hAnsi="Arial Narrow" w:cs="Arial"/>
                <w:b/>
                <w:bCs/>
                <w:color w:val="FFFFFF" w:themeColor="background1"/>
                <w:sz w:val="16"/>
                <w:szCs w:val="16"/>
              </w:rPr>
              <w:t>18</w:t>
            </w:r>
          </w:p>
        </w:tc>
        <w:tc>
          <w:tcPr>
            <w:tcW w:w="1162" w:type="dxa"/>
            <w:vMerge/>
            <w:tcBorders>
              <w:left w:val="single" w:sz="18" w:space="0" w:color="C0C0C0"/>
              <w:right w:val="single" w:sz="18" w:space="0" w:color="auto"/>
            </w:tcBorders>
            <w:shd w:val="clear" w:color="auto" w:fill="auto"/>
            <w:vAlign w:val="center"/>
          </w:tcPr>
          <w:p w14:paraId="5B973AFE" w14:textId="77777777" w:rsidR="00372CF9" w:rsidRPr="00DC638E" w:rsidRDefault="00372CF9" w:rsidP="00372CF9">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53BEFB83" w14:textId="77777777" w:rsidR="00372CF9" w:rsidRPr="008805E5" w:rsidRDefault="00372CF9" w:rsidP="00372CF9">
            <w:pPr>
              <w:jc w:val="center"/>
              <w:rPr>
                <w:rFonts w:ascii="Arial Narrow" w:hAnsi="Arial Narrow"/>
                <w:color w:val="31849B"/>
                <w:sz w:val="16"/>
                <w:szCs w:val="16"/>
              </w:rPr>
            </w:pPr>
          </w:p>
        </w:tc>
      </w:tr>
      <w:tr w:rsidR="00F512E5" w:rsidRPr="00BC2C5D" w14:paraId="2980BC10" w14:textId="77777777" w:rsidTr="00694B49">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7846428E" w:rsidR="00F512E5" w:rsidRPr="00A634FA" w:rsidRDefault="006B0D6C" w:rsidP="00C344F6">
            <w:pPr>
              <w:jc w:val="center"/>
              <w:rPr>
                <w:rFonts w:ascii="Arial Narrow" w:hAnsi="Arial Narrow" w:cs="Arial"/>
                <w:sz w:val="16"/>
                <w:szCs w:val="16"/>
              </w:rPr>
            </w:pPr>
            <w:r>
              <w:rPr>
                <w:rFonts w:ascii="Arial Narrow" w:hAnsi="Arial Narrow" w:cs="Arial"/>
                <w:sz w:val="16"/>
                <w:szCs w:val="16"/>
              </w:rPr>
              <w:t>22</w:t>
            </w:r>
            <w:r w:rsidR="0011256D">
              <w:rPr>
                <w:rFonts w:ascii="Arial Narrow" w:hAnsi="Arial Narrow" w:cs="Arial"/>
                <w:sz w:val="16"/>
                <w:szCs w:val="16"/>
              </w:rPr>
              <w:t xml:space="preserve"> August</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FFFF00"/>
            <w:vAlign w:val="center"/>
          </w:tcPr>
          <w:p w14:paraId="61BD711E" w14:textId="55FCE9DB" w:rsidR="00F512E5"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23</w:t>
            </w:r>
          </w:p>
        </w:tc>
        <w:tc>
          <w:tcPr>
            <w:tcW w:w="1162" w:type="dxa"/>
            <w:tcBorders>
              <w:top w:val="single" w:sz="18" w:space="0" w:color="C0C0C0"/>
              <w:left w:val="single" w:sz="18" w:space="0" w:color="BFBFBF"/>
              <w:right w:val="single" w:sz="18" w:space="0" w:color="C0C0C0"/>
            </w:tcBorders>
            <w:shd w:val="clear" w:color="auto" w:fill="FF0000"/>
            <w:vAlign w:val="center"/>
          </w:tcPr>
          <w:p w14:paraId="3BA986A2" w14:textId="56F1D09A" w:rsidR="00F512E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24</w:t>
            </w:r>
          </w:p>
        </w:tc>
        <w:tc>
          <w:tcPr>
            <w:tcW w:w="1162" w:type="dxa"/>
            <w:tcBorders>
              <w:top w:val="single" w:sz="18" w:space="0" w:color="C0C0C0"/>
              <w:left w:val="single" w:sz="18" w:space="0" w:color="C0C0C0"/>
              <w:right w:val="single" w:sz="18" w:space="0" w:color="C0C0C0"/>
            </w:tcBorders>
            <w:shd w:val="clear" w:color="auto" w:fill="FF0000"/>
            <w:vAlign w:val="center"/>
          </w:tcPr>
          <w:p w14:paraId="719EBC8E" w14:textId="487BC68D" w:rsidR="00F512E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25</w:t>
            </w: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531AF98C" w:rsidR="00F512E5" w:rsidRPr="00DC638E" w:rsidRDefault="00236E17" w:rsidP="00C344F6">
            <w:pPr>
              <w:jc w:val="center"/>
              <w:rPr>
                <w:rFonts w:ascii="Arial Narrow" w:hAnsi="Arial Narrow" w:cs="Arial"/>
                <w:sz w:val="16"/>
                <w:szCs w:val="16"/>
              </w:rPr>
            </w:pPr>
            <w:r w:rsidRPr="00236E17">
              <w:rPr>
                <w:rFonts w:ascii="Arial Narrow" w:hAnsi="Arial Narrow" w:cs="Arial"/>
                <w:b/>
                <w:bCs/>
                <w:sz w:val="16"/>
                <w:szCs w:val="16"/>
              </w:rPr>
              <w:t>Public Holiday</w:t>
            </w:r>
            <w:r>
              <w:rPr>
                <w:rFonts w:ascii="Arial Narrow" w:hAnsi="Arial Narrow" w:cs="Arial"/>
                <w:b/>
                <w:bCs/>
                <w:sz w:val="16"/>
                <w:szCs w:val="16"/>
              </w:rPr>
              <w:t xml:space="preserve"> – DM Only</w:t>
            </w:r>
          </w:p>
        </w:tc>
        <w:tc>
          <w:tcPr>
            <w:tcW w:w="3633" w:type="dxa"/>
            <w:gridSpan w:val="2"/>
            <w:tcBorders>
              <w:top w:val="single" w:sz="18" w:space="0" w:color="C0C0C0"/>
              <w:left w:val="single" w:sz="18" w:space="0" w:color="auto"/>
              <w:right w:val="single" w:sz="18" w:space="0" w:color="auto"/>
            </w:tcBorders>
            <w:shd w:val="clear" w:color="auto" w:fill="auto"/>
            <w:vAlign w:val="center"/>
          </w:tcPr>
          <w:p w14:paraId="68FA1CF0" w14:textId="77777777" w:rsidR="008D6D06" w:rsidRPr="007E2969" w:rsidRDefault="008D6D06" w:rsidP="008D6D06">
            <w:pPr>
              <w:jc w:val="center"/>
              <w:rPr>
                <w:rFonts w:ascii="Arial Narrow" w:hAnsi="Arial Narrow" w:cs="Arial"/>
                <w:b/>
                <w:bCs/>
                <w:sz w:val="16"/>
                <w:szCs w:val="16"/>
              </w:rPr>
            </w:pPr>
            <w:r w:rsidRPr="007E2969">
              <w:rPr>
                <w:rFonts w:ascii="Arial Narrow" w:hAnsi="Arial Narrow" w:cs="Arial"/>
                <w:b/>
                <w:bCs/>
                <w:sz w:val="16"/>
                <w:szCs w:val="16"/>
              </w:rPr>
              <w:t>Fri 26th - Doomadgee Day Public Holiday</w:t>
            </w:r>
          </w:p>
          <w:p w14:paraId="369C694F" w14:textId="5E3511C8" w:rsidR="00F512E5" w:rsidRPr="008D6D06" w:rsidRDefault="008D6D06" w:rsidP="008D6D06">
            <w:pPr>
              <w:jc w:val="center"/>
              <w:rPr>
                <w:rFonts w:ascii="Arial Narrow" w:hAnsi="Arial Narrow" w:cs="Arial"/>
                <w:color w:val="244061"/>
                <w:sz w:val="16"/>
                <w:szCs w:val="16"/>
              </w:rPr>
            </w:pPr>
            <w:r w:rsidRPr="008D6D06">
              <w:rPr>
                <w:rFonts w:ascii="Arial Narrow" w:hAnsi="Arial Narrow" w:cs="Arial"/>
                <w:color w:val="244061"/>
                <w:sz w:val="16"/>
                <w:szCs w:val="16"/>
              </w:rPr>
              <w:t>26-28 Camooweal Drovers Camp Festival</w:t>
            </w:r>
          </w:p>
        </w:tc>
      </w:tr>
      <w:tr w:rsidR="00391855" w:rsidRPr="00BC2C5D" w14:paraId="3066009B"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3E58BA89" w:rsidR="00391855" w:rsidRPr="00A634FA" w:rsidRDefault="00391855" w:rsidP="00C344F6">
            <w:pPr>
              <w:jc w:val="center"/>
              <w:rPr>
                <w:rFonts w:ascii="Arial Narrow" w:hAnsi="Arial Narrow" w:cs="Arial"/>
                <w:sz w:val="16"/>
                <w:szCs w:val="16"/>
              </w:rPr>
            </w:pPr>
            <w:r>
              <w:rPr>
                <w:rFonts w:ascii="Arial Narrow" w:hAnsi="Arial Narrow" w:cs="Arial"/>
                <w:sz w:val="16"/>
                <w:szCs w:val="16"/>
              </w:rPr>
              <w:t>29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391855" w:rsidRPr="00236E17" w:rsidRDefault="00391855" w:rsidP="00C344F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BFBFBF"/>
            </w:tcBorders>
            <w:shd w:val="clear" w:color="auto" w:fill="auto"/>
            <w:vAlign w:val="center"/>
          </w:tcPr>
          <w:p w14:paraId="63E8B25A" w14:textId="4FF7A11D" w:rsidR="00391855" w:rsidRPr="00236E17" w:rsidRDefault="00391855" w:rsidP="00C344F6">
            <w:pPr>
              <w:jc w:val="center"/>
              <w:rPr>
                <w:rFonts w:ascii="Arial Narrow" w:hAnsi="Arial Narrow" w:cs="Arial"/>
                <w:sz w:val="16"/>
                <w:szCs w:val="16"/>
              </w:rPr>
            </w:pPr>
          </w:p>
        </w:tc>
        <w:tc>
          <w:tcPr>
            <w:tcW w:w="1162" w:type="dxa"/>
            <w:tcBorders>
              <w:top w:val="single" w:sz="18" w:space="0" w:color="BFBFBF"/>
              <w:left w:val="single" w:sz="18" w:space="0" w:color="BFBFBF"/>
              <w:bottom w:val="nil"/>
              <w:right w:val="single" w:sz="18" w:space="0" w:color="C0C0C0"/>
            </w:tcBorders>
            <w:shd w:val="clear" w:color="auto" w:fill="A972A9"/>
            <w:vAlign w:val="center"/>
          </w:tcPr>
          <w:p w14:paraId="710F20E7" w14:textId="068A168A"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31</w:t>
            </w:r>
          </w:p>
        </w:tc>
        <w:tc>
          <w:tcPr>
            <w:tcW w:w="1162" w:type="dxa"/>
            <w:vMerge w:val="restart"/>
            <w:tcBorders>
              <w:top w:val="single" w:sz="18" w:space="0" w:color="C0C0C0"/>
              <w:left w:val="single" w:sz="18" w:space="0" w:color="C0C0C0"/>
              <w:right w:val="single" w:sz="18" w:space="0" w:color="C0C0C0"/>
            </w:tcBorders>
            <w:shd w:val="clear" w:color="auto" w:fill="A972A9"/>
            <w:vAlign w:val="center"/>
          </w:tcPr>
          <w:p w14:paraId="6C6E2192" w14:textId="21FAB7E3"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w:t>
            </w:r>
          </w:p>
        </w:tc>
        <w:tc>
          <w:tcPr>
            <w:tcW w:w="1162" w:type="dxa"/>
            <w:vMerge w:val="restart"/>
            <w:tcBorders>
              <w:top w:val="single" w:sz="18" w:space="0" w:color="C0C0C0"/>
              <w:left w:val="single" w:sz="18" w:space="0" w:color="C0C0C0"/>
              <w:right w:val="single" w:sz="18" w:space="0" w:color="auto"/>
            </w:tcBorders>
            <w:shd w:val="clear" w:color="auto" w:fill="D9D9D9"/>
            <w:vAlign w:val="center"/>
          </w:tcPr>
          <w:p w14:paraId="580ACE5B" w14:textId="17AF0F66" w:rsidR="00391855" w:rsidRPr="00236E17" w:rsidRDefault="00391855" w:rsidP="00C344F6">
            <w:pPr>
              <w:jc w:val="center"/>
              <w:rPr>
                <w:rFonts w:ascii="Arial Narrow" w:hAnsi="Arial Narrow" w:cs="Arial"/>
                <w:sz w:val="16"/>
                <w:szCs w:val="16"/>
              </w:rPr>
            </w:pPr>
            <w:r>
              <w:rPr>
                <w:rFonts w:ascii="Arial Narrow" w:hAnsi="Arial Narrow" w:cs="Arial"/>
                <w:sz w:val="16"/>
                <w:szCs w:val="16"/>
              </w:rPr>
              <w:t>Student Free 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5D991A9C" w:rsidR="00391855" w:rsidRPr="008D6D06" w:rsidRDefault="00391855" w:rsidP="00C344F6">
            <w:pPr>
              <w:jc w:val="center"/>
              <w:rPr>
                <w:rFonts w:ascii="Arial Narrow" w:hAnsi="Arial Narrow"/>
                <w:sz w:val="16"/>
                <w:szCs w:val="16"/>
              </w:rPr>
            </w:pPr>
          </w:p>
        </w:tc>
      </w:tr>
      <w:tr w:rsidR="00391855" w:rsidRPr="00BC2C5D" w14:paraId="3E62E35D"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31ABF4C9"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CDA827C"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55CCA31E" w14:textId="77777777" w:rsidR="00391855" w:rsidRPr="00236E17" w:rsidRDefault="00391855" w:rsidP="00C344F6">
            <w:pPr>
              <w:jc w:val="center"/>
              <w:rPr>
                <w:rFonts w:ascii="Arial Narrow" w:hAnsi="Arial Narrow" w:cs="Arial"/>
                <w:sz w:val="16"/>
                <w:szCs w:val="16"/>
              </w:rPr>
            </w:pPr>
          </w:p>
        </w:tc>
        <w:tc>
          <w:tcPr>
            <w:tcW w:w="1162" w:type="dxa"/>
            <w:tcBorders>
              <w:top w:val="nil"/>
              <w:left w:val="single" w:sz="18" w:space="0" w:color="BFBFBF"/>
              <w:bottom w:val="single" w:sz="18" w:space="0" w:color="auto"/>
              <w:right w:val="single" w:sz="18" w:space="0" w:color="C0C0C0"/>
            </w:tcBorders>
            <w:shd w:val="clear" w:color="auto" w:fill="769250"/>
            <w:vAlign w:val="center"/>
          </w:tcPr>
          <w:p w14:paraId="269A8819" w14:textId="6998B23D"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31</w:t>
            </w:r>
          </w:p>
        </w:tc>
        <w:tc>
          <w:tcPr>
            <w:tcW w:w="1162" w:type="dxa"/>
            <w:vMerge/>
            <w:tcBorders>
              <w:left w:val="single" w:sz="18" w:space="0" w:color="C0C0C0"/>
              <w:right w:val="single" w:sz="18" w:space="0" w:color="C0C0C0"/>
            </w:tcBorders>
            <w:shd w:val="clear" w:color="auto" w:fill="A972A9"/>
            <w:vAlign w:val="center"/>
          </w:tcPr>
          <w:p w14:paraId="1163E487"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D9D9D9"/>
            <w:vAlign w:val="center"/>
          </w:tcPr>
          <w:p w14:paraId="4042C06C" w14:textId="77777777" w:rsidR="00391855" w:rsidRDefault="00391855"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5BDCBD9C" w14:textId="77777777" w:rsidR="00391855" w:rsidRPr="008D6D06" w:rsidRDefault="00391855" w:rsidP="00C344F6">
            <w:pPr>
              <w:jc w:val="center"/>
              <w:rPr>
                <w:rFonts w:ascii="Arial Narrow" w:hAnsi="Arial Narrow"/>
                <w:sz w:val="16"/>
                <w:szCs w:val="16"/>
              </w:rPr>
            </w:pPr>
          </w:p>
        </w:tc>
      </w:tr>
      <w:tr w:rsidR="00236E17" w:rsidRPr="00BC2C5D" w14:paraId="4F42726F" w14:textId="77777777" w:rsidTr="00CC69CF">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547AAE0E" w14:textId="4462C3C0" w:rsidR="00236E17" w:rsidRPr="00A634FA" w:rsidRDefault="00236E17" w:rsidP="00C344F6">
            <w:pPr>
              <w:jc w:val="center"/>
              <w:rPr>
                <w:rFonts w:ascii="Arial Narrow" w:hAnsi="Arial Narrow" w:cs="Arial"/>
                <w:sz w:val="16"/>
                <w:szCs w:val="16"/>
              </w:rPr>
            </w:pPr>
            <w:r>
              <w:rPr>
                <w:rFonts w:ascii="Arial Narrow" w:hAnsi="Arial Narrow" w:cs="Arial"/>
                <w:sz w:val="16"/>
                <w:szCs w:val="16"/>
              </w:rPr>
              <w:t>5 September</w:t>
            </w:r>
          </w:p>
        </w:tc>
        <w:tc>
          <w:tcPr>
            <w:tcW w:w="1051" w:type="dxa"/>
            <w:tcBorders>
              <w:top w:val="single" w:sz="18" w:space="0" w:color="auto"/>
              <w:left w:val="single" w:sz="18" w:space="0" w:color="C0C0C0"/>
              <w:right w:val="single" w:sz="18" w:space="0" w:color="C0C0C0"/>
            </w:tcBorders>
            <w:shd w:val="clear" w:color="auto" w:fill="auto"/>
            <w:vAlign w:val="center"/>
          </w:tcPr>
          <w:p w14:paraId="01743E49" w14:textId="77777777" w:rsidR="00236E17" w:rsidRPr="00236E17" w:rsidRDefault="00236E17"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38618E9" w14:textId="69ECB37E" w:rsidR="00236E17" w:rsidRPr="00236E17" w:rsidRDefault="00236E17"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2A768ACC" w14:textId="1254E3A1" w:rsidR="00236E17" w:rsidRPr="00236E17" w:rsidRDefault="00236E17" w:rsidP="00236E17">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20B7857C" w14:textId="6804FABE" w:rsidR="00236E17" w:rsidRPr="00236E17" w:rsidRDefault="00236E17"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3B88A390" w14:textId="77777777" w:rsidR="00236E17" w:rsidRPr="00236E17" w:rsidRDefault="00236E17"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1408BA65" w14:textId="77777777" w:rsidR="008D6D06" w:rsidRDefault="008D6D06" w:rsidP="008D6D06">
            <w:pPr>
              <w:jc w:val="center"/>
              <w:rPr>
                <w:rFonts w:ascii="Arial Narrow" w:hAnsi="Arial Narrow"/>
                <w:color w:val="31849B"/>
                <w:sz w:val="16"/>
                <w:szCs w:val="16"/>
              </w:rPr>
            </w:pPr>
            <w:r w:rsidRPr="008D6D06">
              <w:rPr>
                <w:rFonts w:ascii="Arial Narrow" w:hAnsi="Arial Narrow"/>
                <w:color w:val="31849B"/>
                <w:sz w:val="16"/>
                <w:szCs w:val="16"/>
              </w:rPr>
              <w:t>Cooktown – Circuit</w:t>
            </w:r>
          </w:p>
          <w:p w14:paraId="03F7AA07" w14:textId="2DE36A44" w:rsidR="008D6D06" w:rsidRPr="00CA4D07" w:rsidRDefault="008D6D06" w:rsidP="008D6D0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A40BA" w:rsidRPr="00BC2C5D" w14:paraId="1709D6A1"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1BF0A00" w14:textId="581C8824" w:rsidR="00AA40BA" w:rsidRPr="00390B39" w:rsidRDefault="00AA40BA" w:rsidP="00C344F6">
            <w:pPr>
              <w:jc w:val="center"/>
              <w:rPr>
                <w:rFonts w:ascii="Arial Narrow" w:hAnsi="Arial Narrow" w:cs="Arial"/>
                <w:sz w:val="16"/>
                <w:szCs w:val="16"/>
              </w:rPr>
            </w:pPr>
            <w:r>
              <w:rPr>
                <w:rFonts w:ascii="Arial Narrow" w:hAnsi="Arial Narrow" w:cs="Arial"/>
                <w:sz w:val="16"/>
                <w:szCs w:val="16"/>
              </w:rPr>
              <w:t>12 September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AA40BA" w:rsidRPr="00236E17" w:rsidRDefault="00AA40BA"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FF00"/>
            <w:vAlign w:val="center"/>
          </w:tcPr>
          <w:p w14:paraId="06EA5338" w14:textId="3D8D9C5D" w:rsidR="00AA40BA" w:rsidRPr="00372CF9" w:rsidRDefault="00372CF9" w:rsidP="00C344F6">
            <w:pPr>
              <w:jc w:val="center"/>
              <w:rPr>
                <w:rFonts w:ascii="Arial Narrow" w:hAnsi="Arial Narrow" w:cs="Arial"/>
                <w:b/>
                <w:bCs/>
                <w:sz w:val="16"/>
                <w:szCs w:val="16"/>
              </w:rPr>
            </w:pPr>
            <w:r w:rsidRPr="00372CF9">
              <w:rPr>
                <w:rFonts w:ascii="Arial Narrow" w:hAnsi="Arial Narrow" w:cs="Arial"/>
                <w:b/>
                <w:bCs/>
                <w:sz w:val="16"/>
                <w:szCs w:val="16"/>
              </w:rPr>
              <w:t>13</w:t>
            </w: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66874CFB" w14:textId="5D7DB261"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14</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6FA11784" w14:textId="47787957"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0E52BC2E" w14:textId="54953C73" w:rsidR="00AA40BA" w:rsidRPr="008805E5" w:rsidRDefault="00AA40BA" w:rsidP="00C344F6">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AA40BA" w:rsidRPr="00BC2C5D" w14:paraId="2DDBCE70"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03F0FCDA" w14:textId="77777777" w:rsidR="00AA40BA" w:rsidRDefault="00AA40BA"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F20D8EA" w14:textId="77777777" w:rsidR="00AA40BA" w:rsidRPr="00236E17" w:rsidRDefault="00AA40BA"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0000"/>
            <w:vAlign w:val="center"/>
          </w:tcPr>
          <w:p w14:paraId="3A2E58CF" w14:textId="30E65A3F"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tcBorders>
              <w:top w:val="nil"/>
              <w:left w:val="single" w:sz="18" w:space="0" w:color="C0C0C0"/>
              <w:bottom w:val="single" w:sz="18" w:space="0" w:color="BFBFBF" w:themeColor="background1" w:themeShade="BF"/>
              <w:right w:val="single" w:sz="18" w:space="0" w:color="C0C0C0"/>
            </w:tcBorders>
            <w:shd w:val="clear" w:color="auto" w:fill="FF0000"/>
            <w:vAlign w:val="center"/>
          </w:tcPr>
          <w:p w14:paraId="1F11C1D6" w14:textId="069BCC45"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14</w:t>
            </w: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0745F0E8" w14:textId="22C70C35"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15</w:t>
            </w:r>
          </w:p>
        </w:tc>
        <w:tc>
          <w:tcPr>
            <w:tcW w:w="1162" w:type="dxa"/>
            <w:vMerge/>
            <w:tcBorders>
              <w:left w:val="single" w:sz="18" w:space="0" w:color="BFBFBF"/>
              <w:right w:val="single" w:sz="18" w:space="0" w:color="auto"/>
            </w:tcBorders>
            <w:shd w:val="clear" w:color="auto" w:fill="auto"/>
            <w:vAlign w:val="center"/>
          </w:tcPr>
          <w:p w14:paraId="2137B6AC"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71679569" w14:textId="77777777" w:rsidR="00AA40BA" w:rsidRPr="008805E5" w:rsidRDefault="00AA40BA" w:rsidP="00C344F6">
            <w:pPr>
              <w:jc w:val="center"/>
              <w:rPr>
                <w:rFonts w:ascii="Arial Narrow" w:hAnsi="Arial Narrow"/>
                <w:color w:val="31849B"/>
                <w:sz w:val="16"/>
                <w:szCs w:val="16"/>
              </w:rPr>
            </w:pPr>
          </w:p>
        </w:tc>
      </w:tr>
      <w:tr w:rsidR="00236E17" w:rsidRPr="00BC2C5D" w14:paraId="73DF2101" w14:textId="77777777" w:rsidTr="00CC69CF">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1E15EA0B" w:rsidR="00236E17" w:rsidRPr="00390B39" w:rsidRDefault="00236E17" w:rsidP="00C344F6">
            <w:pPr>
              <w:jc w:val="center"/>
              <w:rPr>
                <w:rFonts w:ascii="Arial Narrow" w:hAnsi="Arial Narrow" w:cs="Arial"/>
                <w:sz w:val="16"/>
                <w:szCs w:val="16"/>
              </w:rPr>
            </w:pPr>
            <w:r>
              <w:rPr>
                <w:rFonts w:ascii="Arial Narrow" w:hAnsi="Arial Narrow" w:cs="Arial"/>
                <w:sz w:val="16"/>
                <w:szCs w:val="16"/>
              </w:rPr>
              <w:t>19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72174859" w14:textId="77777777"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023F7BD7" w14:textId="2380740F"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587EA42C" w14:textId="47FB184A"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D9D9D9"/>
            <w:vAlign w:val="center"/>
          </w:tcPr>
          <w:p w14:paraId="0D6D0741" w14:textId="4E724634"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ABBF5DF" w14:textId="77777777" w:rsidR="00236E17" w:rsidRPr="008D6D06" w:rsidRDefault="00236E17"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07D43AC4" w14:textId="0D6465C6" w:rsidR="00236E17" w:rsidRPr="008D6D06" w:rsidRDefault="00236E17" w:rsidP="00C344F6">
            <w:pPr>
              <w:jc w:val="center"/>
              <w:rPr>
                <w:rFonts w:ascii="Arial Narrow" w:hAnsi="Arial Narrow"/>
                <w:sz w:val="16"/>
                <w:szCs w:val="16"/>
              </w:rPr>
            </w:pPr>
          </w:p>
        </w:tc>
      </w:tr>
      <w:tr w:rsidR="00236E17" w:rsidRPr="00BC2C5D" w14:paraId="307A9FC1" w14:textId="77777777" w:rsidTr="00CC69CF">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4C848D30" w:rsidR="00236E17" w:rsidRPr="00390B39" w:rsidRDefault="00236E17" w:rsidP="00C344F6">
            <w:pPr>
              <w:jc w:val="center"/>
              <w:rPr>
                <w:rFonts w:ascii="Arial Narrow" w:hAnsi="Arial Narrow" w:cs="Arial"/>
                <w:sz w:val="16"/>
                <w:szCs w:val="16"/>
              </w:rPr>
            </w:pPr>
            <w:r>
              <w:rPr>
                <w:rFonts w:ascii="Arial Narrow" w:hAnsi="Arial Narrow" w:cs="Arial"/>
                <w:sz w:val="16"/>
                <w:szCs w:val="16"/>
              </w:rPr>
              <w:t>26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B552431" w14:textId="77777777"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left w:val="single" w:sz="18" w:space="0" w:color="C0C0C0"/>
              <w:right w:val="single" w:sz="18" w:space="0" w:color="BFBFBF"/>
            </w:tcBorders>
            <w:shd w:val="clear" w:color="auto" w:fill="D9D9D9"/>
            <w:vAlign w:val="center"/>
          </w:tcPr>
          <w:p w14:paraId="7C5A4051" w14:textId="381E69BE"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2D625F6F" w14:textId="340DC316" w:rsidR="00236E17" w:rsidRPr="008D6D06" w:rsidRDefault="00236E17"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31F3F07A" w14:textId="4EB1172F" w:rsidR="00236E17" w:rsidRPr="008D6D06" w:rsidRDefault="00236E17" w:rsidP="00236E17">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77777777" w:rsidR="00236E17" w:rsidRPr="008D6D06" w:rsidRDefault="00236E17"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7636D447" w14:textId="42568CCD" w:rsidR="00236E17" w:rsidRPr="008D6D06" w:rsidRDefault="00236E17" w:rsidP="00C344F6">
            <w:pPr>
              <w:jc w:val="center"/>
              <w:rPr>
                <w:rFonts w:ascii="Arial Narrow" w:hAnsi="Arial Narrow"/>
                <w:sz w:val="16"/>
                <w:szCs w:val="16"/>
              </w:rPr>
            </w:pPr>
          </w:p>
        </w:tc>
      </w:tr>
      <w:tr w:rsidR="00C344F6" w:rsidRPr="00BC2C5D" w14:paraId="04B98309" w14:textId="77777777" w:rsidTr="00CC69CF">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1861D586" w:rsidR="00C344F6" w:rsidRPr="00390B39" w:rsidRDefault="006B0D6C" w:rsidP="00C344F6">
            <w:pPr>
              <w:jc w:val="center"/>
              <w:rPr>
                <w:rFonts w:ascii="Arial Narrow" w:hAnsi="Arial Narrow" w:cs="Arial"/>
                <w:sz w:val="16"/>
                <w:szCs w:val="16"/>
              </w:rPr>
            </w:pPr>
            <w:r>
              <w:rPr>
                <w:rFonts w:ascii="Arial Narrow" w:hAnsi="Arial Narrow" w:cs="Arial"/>
                <w:sz w:val="16"/>
                <w:szCs w:val="16"/>
              </w:rPr>
              <w:t>3 October</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4F3EC6F0" w:rsidR="00C344F6" w:rsidRPr="00236E17" w:rsidRDefault="00236E17" w:rsidP="00C344F6">
            <w:pPr>
              <w:jc w:val="center"/>
              <w:rPr>
                <w:rFonts w:ascii="Arial Narrow" w:hAnsi="Arial Narrow" w:cs="Arial"/>
                <w:color w:val="000000"/>
                <w:sz w:val="16"/>
                <w:szCs w:val="16"/>
              </w:rPr>
            </w:pPr>
            <w:r w:rsidRPr="00236E17">
              <w:rPr>
                <w:rFonts w:ascii="Arial Narrow" w:hAnsi="Arial Narrow" w:cs="Arial"/>
                <w:b/>
                <w:bCs/>
                <w:sz w:val="16"/>
                <w:szCs w:val="16"/>
              </w:rPr>
              <w:t>Public Holiday</w:t>
            </w:r>
          </w:p>
        </w:tc>
        <w:tc>
          <w:tcPr>
            <w:tcW w:w="1162" w:type="dxa"/>
            <w:tcBorders>
              <w:top w:val="single" w:sz="18" w:space="0" w:color="auto"/>
              <w:left w:val="single" w:sz="18" w:space="0" w:color="C0C0C0"/>
              <w:bottom w:val="single" w:sz="18" w:space="0" w:color="C0C0C0"/>
              <w:right w:val="single" w:sz="18" w:space="0" w:color="BFBFBF"/>
            </w:tcBorders>
            <w:shd w:val="clear" w:color="auto" w:fill="auto"/>
            <w:vAlign w:val="center"/>
          </w:tcPr>
          <w:p w14:paraId="0A7AAF2C" w14:textId="7AD33B1D"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BFBFBF"/>
              <w:bottom w:val="single" w:sz="18" w:space="0" w:color="C0C0C0"/>
              <w:right w:val="single" w:sz="18" w:space="0" w:color="C0C0C0"/>
            </w:tcBorders>
            <w:shd w:val="clear" w:color="auto" w:fill="auto"/>
            <w:vAlign w:val="center"/>
          </w:tcPr>
          <w:p w14:paraId="1F9ED47F" w14:textId="01CB8248"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auto"/>
            <w:vAlign w:val="center"/>
          </w:tcPr>
          <w:p w14:paraId="2B4AD7BE" w14:textId="77777777" w:rsidR="00C344F6" w:rsidRPr="00236E17"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auto"/>
            <w:vAlign w:val="center"/>
          </w:tcPr>
          <w:p w14:paraId="71435210" w14:textId="40AD0C44" w:rsidR="00C344F6" w:rsidRPr="00236E17"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auto"/>
            <w:vAlign w:val="center"/>
          </w:tcPr>
          <w:p w14:paraId="46CF9B42" w14:textId="77777777" w:rsidR="00236E17" w:rsidRPr="007E2969" w:rsidRDefault="00236E17" w:rsidP="00236E17">
            <w:pPr>
              <w:jc w:val="center"/>
              <w:rPr>
                <w:rFonts w:ascii="Arial Narrow" w:hAnsi="Arial Narrow" w:cs="Arial"/>
                <w:b/>
                <w:bCs/>
                <w:sz w:val="16"/>
                <w:szCs w:val="16"/>
              </w:rPr>
            </w:pPr>
            <w:r w:rsidRPr="007E2969">
              <w:rPr>
                <w:rFonts w:ascii="Arial Narrow" w:hAnsi="Arial Narrow" w:cs="Arial"/>
                <w:b/>
                <w:bCs/>
                <w:sz w:val="16"/>
                <w:szCs w:val="16"/>
              </w:rPr>
              <w:t>Mon 3rd - Queen’s Birthday</w:t>
            </w:r>
          </w:p>
          <w:p w14:paraId="3EB018F0" w14:textId="25842086" w:rsidR="00C344F6" w:rsidRPr="000857D8" w:rsidRDefault="00236E17" w:rsidP="00236E17">
            <w:pPr>
              <w:jc w:val="center"/>
              <w:rPr>
                <w:rFonts w:ascii="Arial Narrow" w:hAnsi="Arial Narrow"/>
                <w:color w:val="31849B"/>
                <w:sz w:val="16"/>
                <w:szCs w:val="16"/>
              </w:rPr>
            </w:pPr>
            <w:r w:rsidRPr="008D6D06">
              <w:rPr>
                <w:rFonts w:ascii="Arial Narrow" w:hAnsi="Arial Narrow"/>
                <w:color w:val="31849B"/>
                <w:sz w:val="16"/>
                <w:szCs w:val="16"/>
              </w:rPr>
              <w:t>Cooktown – Circuit</w:t>
            </w:r>
          </w:p>
        </w:tc>
      </w:tr>
      <w:tr w:rsidR="00372CF9" w:rsidRPr="00BC2C5D" w14:paraId="1920F1D5" w14:textId="77777777" w:rsidTr="00694B49">
        <w:trPr>
          <w:trHeight w:val="143"/>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79CA0660" w14:textId="5AD0A022" w:rsidR="00372CF9" w:rsidRPr="00A634FA" w:rsidRDefault="00372CF9" w:rsidP="00C344F6">
            <w:pPr>
              <w:jc w:val="center"/>
              <w:rPr>
                <w:rFonts w:ascii="Arial Narrow" w:hAnsi="Arial Narrow" w:cs="Arial"/>
                <w:sz w:val="16"/>
                <w:szCs w:val="16"/>
              </w:rPr>
            </w:pPr>
            <w:r>
              <w:rPr>
                <w:rFonts w:ascii="Arial Narrow" w:hAnsi="Arial Narrow" w:cs="Arial"/>
                <w:sz w:val="16"/>
                <w:szCs w:val="16"/>
              </w:rPr>
              <w:t>10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6638F21" w14:textId="6B9136FB" w:rsidR="00372CF9" w:rsidRPr="00236E17" w:rsidRDefault="00372CF9"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4476C160" w14:textId="2B2CF496" w:rsidR="00372CF9" w:rsidRPr="00372CF9" w:rsidRDefault="00372CF9" w:rsidP="00C344F6">
            <w:pPr>
              <w:jc w:val="center"/>
              <w:rPr>
                <w:rFonts w:ascii="Arial Narrow" w:hAnsi="Arial Narrow" w:cs="Arial"/>
                <w:b/>
                <w:bCs/>
                <w:color w:val="000000"/>
                <w:sz w:val="16"/>
                <w:szCs w:val="16"/>
              </w:rPr>
            </w:pPr>
            <w:r w:rsidRPr="00372CF9">
              <w:rPr>
                <w:rFonts w:ascii="Arial Narrow" w:hAnsi="Arial Narrow" w:cs="Arial"/>
                <w:b/>
                <w:bCs/>
                <w:color w:val="000000"/>
                <w:sz w:val="16"/>
                <w:szCs w:val="16"/>
              </w:rPr>
              <w:t>11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AE5584B" w14:textId="569D54A5"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12</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B78F59B" w14:textId="072B1B1A"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A733CA3" w14:textId="0748470A" w:rsidR="00372CF9" w:rsidRPr="00236E17" w:rsidRDefault="00372CF9"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A9A9803" w14:textId="77777777" w:rsidR="00372CF9" w:rsidRDefault="00372CF9" w:rsidP="00ED4568">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51EA0079" w14:textId="37C65C78" w:rsidR="00372CF9" w:rsidRPr="00ED4568" w:rsidRDefault="00372CF9" w:rsidP="00ED4568">
            <w:pPr>
              <w:jc w:val="center"/>
              <w:rPr>
                <w:rFonts w:ascii="Arial Narrow" w:hAnsi="Arial Narrow" w:cs="Arial"/>
                <w:color w:val="244061"/>
                <w:sz w:val="16"/>
                <w:szCs w:val="16"/>
              </w:rPr>
            </w:pPr>
            <w:r w:rsidRPr="008805E5">
              <w:rPr>
                <w:rFonts w:ascii="Arial Narrow" w:hAnsi="Arial Narrow"/>
                <w:color w:val="31849B"/>
                <w:sz w:val="16"/>
                <w:szCs w:val="16"/>
              </w:rPr>
              <w:t>Doomadgee – Gulf Circuit</w:t>
            </w:r>
          </w:p>
        </w:tc>
      </w:tr>
      <w:tr w:rsidR="00372CF9" w:rsidRPr="00BC2C5D" w14:paraId="6BF3AD01" w14:textId="77777777" w:rsidTr="00694B49">
        <w:trPr>
          <w:trHeight w:val="142"/>
        </w:trPr>
        <w:tc>
          <w:tcPr>
            <w:tcW w:w="1526" w:type="dxa"/>
            <w:vMerge/>
            <w:tcBorders>
              <w:left w:val="single" w:sz="18" w:space="0" w:color="auto"/>
              <w:right w:val="single" w:sz="18" w:space="0" w:color="C0C0C0"/>
            </w:tcBorders>
            <w:shd w:val="clear" w:color="auto" w:fill="auto"/>
            <w:vAlign w:val="center"/>
          </w:tcPr>
          <w:p w14:paraId="565A5878" w14:textId="77777777" w:rsidR="00372CF9" w:rsidRDefault="00372CF9"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300D5AC" w14:textId="77777777" w:rsidR="00372CF9" w:rsidRPr="00236E17" w:rsidRDefault="00372CF9"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BFBFBF"/>
            </w:tcBorders>
            <w:shd w:val="clear" w:color="auto" w:fill="FFFF00"/>
            <w:vAlign w:val="center"/>
          </w:tcPr>
          <w:p w14:paraId="32121EC5" w14:textId="77777777" w:rsidR="00372CF9" w:rsidRPr="00372CF9" w:rsidRDefault="00372CF9" w:rsidP="00C344F6">
            <w:pPr>
              <w:jc w:val="center"/>
              <w:rPr>
                <w:rFonts w:ascii="Arial Narrow" w:hAnsi="Arial Narrow" w:cs="Arial"/>
                <w:b/>
                <w:bCs/>
                <w:color w:val="000000"/>
                <w:sz w:val="16"/>
                <w:szCs w:val="16"/>
              </w:rPr>
            </w:pPr>
          </w:p>
        </w:tc>
        <w:tc>
          <w:tcPr>
            <w:tcW w:w="1162" w:type="dxa"/>
            <w:vMerge/>
            <w:tcBorders>
              <w:left w:val="single" w:sz="18" w:space="0" w:color="BFBFBF"/>
              <w:bottom w:val="nil"/>
              <w:right w:val="single" w:sz="18" w:space="0" w:color="C0C0C0"/>
            </w:tcBorders>
            <w:shd w:val="clear" w:color="auto" w:fill="FF0000"/>
            <w:vAlign w:val="center"/>
          </w:tcPr>
          <w:p w14:paraId="7C334BFF" w14:textId="77777777" w:rsidR="00372CF9" w:rsidRPr="00372CF9" w:rsidRDefault="00372CF9" w:rsidP="00C344F6">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A972A9"/>
            <w:vAlign w:val="center"/>
          </w:tcPr>
          <w:p w14:paraId="56F76D12" w14:textId="73B5DA54" w:rsidR="00372CF9" w:rsidRPr="00372CF9" w:rsidRDefault="00372CF9" w:rsidP="00C344F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162" w:type="dxa"/>
            <w:vMerge/>
            <w:tcBorders>
              <w:left w:val="single" w:sz="18" w:space="0" w:color="C0C0C0"/>
              <w:right w:val="single" w:sz="18" w:space="0" w:color="auto"/>
            </w:tcBorders>
            <w:shd w:val="clear" w:color="auto" w:fill="auto"/>
            <w:vAlign w:val="center"/>
          </w:tcPr>
          <w:p w14:paraId="6D203A0E" w14:textId="77777777" w:rsidR="00372CF9" w:rsidRPr="00236E17" w:rsidRDefault="00372CF9"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8602838" w14:textId="77777777" w:rsidR="00372CF9" w:rsidRPr="008805E5" w:rsidRDefault="00372CF9" w:rsidP="00ED4568">
            <w:pPr>
              <w:jc w:val="center"/>
              <w:rPr>
                <w:rFonts w:ascii="Arial Narrow" w:hAnsi="Arial Narrow"/>
                <w:color w:val="31849B"/>
                <w:sz w:val="16"/>
                <w:szCs w:val="16"/>
              </w:rPr>
            </w:pPr>
          </w:p>
        </w:tc>
      </w:tr>
      <w:tr w:rsidR="00372CF9" w:rsidRPr="00BC2C5D" w14:paraId="18126F8E" w14:textId="77777777" w:rsidTr="00694B49">
        <w:trPr>
          <w:trHeight w:val="285"/>
        </w:trPr>
        <w:tc>
          <w:tcPr>
            <w:tcW w:w="1526" w:type="dxa"/>
            <w:vMerge/>
            <w:tcBorders>
              <w:left w:val="single" w:sz="18" w:space="0" w:color="auto"/>
              <w:right w:val="single" w:sz="18" w:space="0" w:color="C0C0C0"/>
            </w:tcBorders>
            <w:shd w:val="clear" w:color="auto" w:fill="auto"/>
            <w:vAlign w:val="center"/>
          </w:tcPr>
          <w:p w14:paraId="61EADF95" w14:textId="77777777" w:rsidR="00372CF9" w:rsidRDefault="00372CF9"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A902FE3" w14:textId="77777777" w:rsidR="00372CF9" w:rsidRPr="00236E17" w:rsidRDefault="00372CF9"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C0C0C0"/>
            </w:tcBorders>
            <w:shd w:val="clear" w:color="auto" w:fill="FFFF00"/>
            <w:vAlign w:val="center"/>
          </w:tcPr>
          <w:p w14:paraId="5889BDAD" w14:textId="77777777" w:rsidR="00372CF9" w:rsidRPr="00236E17" w:rsidRDefault="00372CF9"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A972A9"/>
            <w:vAlign w:val="center"/>
          </w:tcPr>
          <w:p w14:paraId="373E881D" w14:textId="64333707"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12</w:t>
            </w: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74F89A72" w14:textId="7E3B69AA" w:rsidR="00372CF9"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13</w:t>
            </w:r>
          </w:p>
        </w:tc>
        <w:tc>
          <w:tcPr>
            <w:tcW w:w="1162" w:type="dxa"/>
            <w:vMerge/>
            <w:tcBorders>
              <w:left w:val="single" w:sz="18" w:space="0" w:color="C0C0C0"/>
              <w:right w:val="single" w:sz="18" w:space="0" w:color="auto"/>
            </w:tcBorders>
            <w:shd w:val="clear" w:color="auto" w:fill="auto"/>
            <w:vAlign w:val="center"/>
          </w:tcPr>
          <w:p w14:paraId="004A066C" w14:textId="77777777" w:rsidR="00372CF9" w:rsidRPr="00236E17" w:rsidRDefault="00372CF9"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32E50C37" w14:textId="77777777" w:rsidR="00372CF9" w:rsidRPr="008805E5" w:rsidRDefault="00372CF9" w:rsidP="00ED4568">
            <w:pPr>
              <w:jc w:val="center"/>
              <w:rPr>
                <w:rFonts w:ascii="Arial Narrow" w:hAnsi="Arial Narrow"/>
                <w:color w:val="31849B"/>
                <w:sz w:val="16"/>
                <w:szCs w:val="16"/>
              </w:rPr>
            </w:pPr>
          </w:p>
        </w:tc>
      </w:tr>
      <w:tr w:rsidR="00F512E5" w:rsidRPr="00BC2C5D" w14:paraId="3D55130B" w14:textId="77777777" w:rsidTr="00694B49">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50A09688" w14:textId="3793BBA8" w:rsidR="00F512E5" w:rsidRPr="00A634FA" w:rsidRDefault="006B0D6C" w:rsidP="00C344F6">
            <w:pPr>
              <w:jc w:val="center"/>
              <w:rPr>
                <w:rFonts w:ascii="Arial Narrow" w:hAnsi="Arial Narrow" w:cs="Arial"/>
                <w:sz w:val="16"/>
                <w:szCs w:val="16"/>
              </w:rPr>
            </w:pPr>
            <w:r>
              <w:rPr>
                <w:rFonts w:ascii="Arial Narrow" w:hAnsi="Arial Narrow" w:cs="Arial"/>
                <w:sz w:val="16"/>
                <w:szCs w:val="16"/>
              </w:rPr>
              <w:t>17 October</w:t>
            </w:r>
          </w:p>
        </w:tc>
        <w:tc>
          <w:tcPr>
            <w:tcW w:w="1051" w:type="dxa"/>
            <w:tcBorders>
              <w:top w:val="single" w:sz="18" w:space="0" w:color="C0C0C0"/>
              <w:left w:val="single" w:sz="18" w:space="0" w:color="C0C0C0"/>
              <w:bottom w:val="single" w:sz="18" w:space="0" w:color="C0C0C0"/>
              <w:right w:val="single" w:sz="18" w:space="0" w:color="C0C0C0"/>
            </w:tcBorders>
            <w:shd w:val="clear" w:color="auto" w:fill="53D2FF"/>
            <w:vAlign w:val="center"/>
          </w:tcPr>
          <w:p w14:paraId="3BBBD21F" w14:textId="65239E46" w:rsidR="00F512E5" w:rsidRPr="00236E17"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53D2FF"/>
            <w:vAlign w:val="center"/>
          </w:tcPr>
          <w:p w14:paraId="2F78CCA0" w14:textId="4718794F" w:rsidR="00F512E5" w:rsidRPr="00227C0F" w:rsidRDefault="00227C0F" w:rsidP="00C344F6">
            <w:pPr>
              <w:jc w:val="center"/>
              <w:rPr>
                <w:rFonts w:ascii="Arial Narrow" w:hAnsi="Arial Narrow" w:cs="Arial"/>
                <w:b/>
                <w:bCs/>
                <w:sz w:val="16"/>
                <w:szCs w:val="16"/>
              </w:rPr>
            </w:pPr>
            <w:r w:rsidRPr="00227C0F">
              <w:rPr>
                <w:rFonts w:ascii="Arial Narrow" w:hAnsi="Arial Narrow" w:cs="Arial"/>
                <w:b/>
                <w:bCs/>
                <w:sz w:val="16"/>
                <w:szCs w:val="16"/>
              </w:rPr>
              <w:t>18</w:t>
            </w:r>
          </w:p>
        </w:tc>
        <w:tc>
          <w:tcPr>
            <w:tcW w:w="1162" w:type="dxa"/>
            <w:tcBorders>
              <w:top w:val="single" w:sz="18" w:space="0" w:color="BFBFBF" w:themeColor="background1" w:themeShade="BF"/>
              <w:left w:val="single" w:sz="18" w:space="0" w:color="BFBFBF"/>
              <w:bottom w:val="single" w:sz="18" w:space="0" w:color="C0C0C0"/>
              <w:right w:val="single" w:sz="18" w:space="0" w:color="C0C0C0"/>
            </w:tcBorders>
            <w:shd w:val="clear" w:color="auto" w:fill="53D2FF"/>
            <w:vAlign w:val="center"/>
          </w:tcPr>
          <w:p w14:paraId="484ED60A" w14:textId="47C290EF" w:rsidR="00F512E5" w:rsidRPr="00227C0F" w:rsidRDefault="00227C0F" w:rsidP="00C344F6">
            <w:pPr>
              <w:jc w:val="center"/>
              <w:rPr>
                <w:rFonts w:ascii="Arial Narrow" w:hAnsi="Arial Narrow" w:cs="Arial"/>
                <w:b/>
                <w:bCs/>
                <w:color w:val="000000"/>
                <w:sz w:val="16"/>
                <w:szCs w:val="16"/>
              </w:rPr>
            </w:pPr>
            <w:r w:rsidRPr="00227C0F">
              <w:rPr>
                <w:rFonts w:ascii="Arial Narrow" w:hAnsi="Arial Narrow" w:cs="Arial"/>
                <w:b/>
                <w:bCs/>
                <w:color w:val="000000"/>
                <w:sz w:val="16"/>
                <w:szCs w:val="16"/>
              </w:rPr>
              <w:t>19</w:t>
            </w:r>
          </w:p>
        </w:tc>
        <w:tc>
          <w:tcPr>
            <w:tcW w:w="1162" w:type="dxa"/>
            <w:tcBorders>
              <w:top w:val="single" w:sz="18" w:space="0" w:color="C0C0C0"/>
              <w:left w:val="single" w:sz="18" w:space="0" w:color="C0C0C0"/>
              <w:bottom w:val="single" w:sz="18" w:space="0" w:color="C0C0C0"/>
              <w:right w:val="single" w:sz="18" w:space="0" w:color="C0C0C0"/>
            </w:tcBorders>
            <w:shd w:val="clear" w:color="auto" w:fill="53D2FF"/>
            <w:vAlign w:val="center"/>
          </w:tcPr>
          <w:p w14:paraId="13761527" w14:textId="70D63837" w:rsidR="00F512E5" w:rsidRPr="00236E17"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53D2FF"/>
            <w:vAlign w:val="center"/>
          </w:tcPr>
          <w:p w14:paraId="341632A4" w14:textId="77777777" w:rsidR="00F512E5" w:rsidRPr="00236E17"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auto"/>
            <w:vAlign w:val="center"/>
          </w:tcPr>
          <w:p w14:paraId="184F82AE" w14:textId="6E5DA5F0" w:rsidR="00F512E5" w:rsidRPr="008805E5" w:rsidRDefault="008D6D06" w:rsidP="00C344F6">
            <w:pPr>
              <w:jc w:val="center"/>
              <w:rPr>
                <w:rFonts w:ascii="Arial Narrow" w:hAnsi="Arial Narrow"/>
                <w:sz w:val="16"/>
                <w:szCs w:val="16"/>
              </w:rPr>
            </w:pPr>
            <w:r>
              <w:rPr>
                <w:rFonts w:ascii="Arial Narrow" w:hAnsi="Arial Narrow" w:cs="Arial"/>
                <w:color w:val="244061"/>
                <w:sz w:val="16"/>
                <w:szCs w:val="16"/>
              </w:rPr>
              <w:t>New Local Commissioner Training Week</w:t>
            </w:r>
          </w:p>
        </w:tc>
      </w:tr>
      <w:tr w:rsidR="00391855" w:rsidRPr="00BC2C5D" w14:paraId="172CB696" w14:textId="77777777" w:rsidTr="00CC69CF">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325AD13C" w:rsidR="00391855" w:rsidRPr="00A634FA" w:rsidRDefault="00391855" w:rsidP="00C344F6">
            <w:pPr>
              <w:jc w:val="center"/>
              <w:rPr>
                <w:rFonts w:ascii="Arial Narrow" w:hAnsi="Arial Narrow" w:cs="Arial"/>
                <w:sz w:val="16"/>
                <w:szCs w:val="16"/>
              </w:rPr>
            </w:pPr>
            <w:r>
              <w:rPr>
                <w:rFonts w:ascii="Arial Narrow" w:hAnsi="Arial Narrow" w:cs="Arial"/>
                <w:sz w:val="16"/>
                <w:szCs w:val="16"/>
              </w:rPr>
              <w:t>24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48222CE7" w:rsidR="00391855" w:rsidRPr="00236E17" w:rsidRDefault="00391855" w:rsidP="00C344F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auto"/>
            <w:vAlign w:val="center"/>
          </w:tcPr>
          <w:p w14:paraId="6A7880B7" w14:textId="6BDD04BF" w:rsidR="00391855" w:rsidRPr="00236E17" w:rsidRDefault="00391855"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BEECBCA" w14:textId="4BFF5C3F" w:rsidR="00391855" w:rsidRPr="00372CF9" w:rsidRDefault="00372CF9" w:rsidP="00236E17">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26</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30CE006" w14:textId="1AC50B6C"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27</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91855" w:rsidRPr="00236E17" w:rsidRDefault="00391855"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19B3EB2A" w:rsidR="00391855" w:rsidRPr="009E4A93" w:rsidRDefault="00391855" w:rsidP="00C344F6">
            <w:pPr>
              <w:jc w:val="center"/>
              <w:rPr>
                <w:rFonts w:ascii="Arial Narrow" w:hAnsi="Arial Narrow" w:cs="Arial"/>
                <w:sz w:val="16"/>
                <w:szCs w:val="16"/>
              </w:rPr>
            </w:pPr>
          </w:p>
        </w:tc>
      </w:tr>
      <w:tr w:rsidR="00391855" w:rsidRPr="00BC2C5D" w14:paraId="3A60D0B3" w14:textId="77777777" w:rsidTr="00CC69CF">
        <w:trPr>
          <w:trHeight w:val="284"/>
        </w:trPr>
        <w:tc>
          <w:tcPr>
            <w:tcW w:w="1526" w:type="dxa"/>
            <w:vMerge/>
            <w:tcBorders>
              <w:left w:val="single" w:sz="18" w:space="0" w:color="auto"/>
              <w:bottom w:val="single" w:sz="18" w:space="0" w:color="C0C0C0"/>
              <w:right w:val="single" w:sz="18" w:space="0" w:color="C0C0C0"/>
            </w:tcBorders>
            <w:shd w:val="clear" w:color="auto" w:fill="auto"/>
            <w:vAlign w:val="center"/>
          </w:tcPr>
          <w:p w14:paraId="0DF42F54" w14:textId="77777777" w:rsidR="00391855" w:rsidRDefault="00391855" w:rsidP="00C344F6">
            <w:pPr>
              <w:jc w:val="center"/>
              <w:rPr>
                <w:rFonts w:ascii="Arial Narrow" w:hAnsi="Arial Narrow" w:cs="Arial"/>
                <w:sz w:val="16"/>
                <w:szCs w:val="16"/>
              </w:rPr>
            </w:pPr>
          </w:p>
        </w:tc>
        <w:tc>
          <w:tcPr>
            <w:tcW w:w="1051" w:type="dxa"/>
            <w:vMerge/>
            <w:tcBorders>
              <w:left w:val="single" w:sz="18" w:space="0" w:color="C0C0C0"/>
              <w:bottom w:val="single" w:sz="18" w:space="0" w:color="C0C0C0"/>
              <w:right w:val="single" w:sz="18" w:space="0" w:color="C0C0C0"/>
            </w:tcBorders>
            <w:shd w:val="clear" w:color="auto" w:fill="auto"/>
            <w:vAlign w:val="center"/>
          </w:tcPr>
          <w:p w14:paraId="6BC85353" w14:textId="77777777" w:rsidR="00391855" w:rsidRPr="00236E17" w:rsidRDefault="00391855" w:rsidP="00C344F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BFBFBF"/>
            </w:tcBorders>
            <w:shd w:val="clear" w:color="auto" w:fill="auto"/>
            <w:vAlign w:val="center"/>
          </w:tcPr>
          <w:p w14:paraId="7F317EA0" w14:textId="77777777" w:rsidR="00391855" w:rsidRPr="00236E17" w:rsidRDefault="00391855" w:rsidP="00C344F6">
            <w:pPr>
              <w:jc w:val="center"/>
              <w:rPr>
                <w:rFonts w:ascii="Arial Narrow" w:hAnsi="Arial Narrow" w:cs="Arial"/>
                <w:color w:val="000000"/>
                <w:sz w:val="16"/>
                <w:szCs w:val="16"/>
              </w:rPr>
            </w:pPr>
          </w:p>
        </w:tc>
        <w:tc>
          <w:tcPr>
            <w:tcW w:w="1162" w:type="dxa"/>
            <w:vMerge/>
            <w:tcBorders>
              <w:left w:val="single" w:sz="18" w:space="0" w:color="BFBFBF"/>
              <w:bottom w:val="single" w:sz="18" w:space="0" w:color="C0C0C0"/>
              <w:right w:val="single" w:sz="18" w:space="0" w:color="C0C0C0"/>
            </w:tcBorders>
            <w:shd w:val="clear" w:color="auto" w:fill="A972A9"/>
            <w:vAlign w:val="center"/>
          </w:tcPr>
          <w:p w14:paraId="28D3BA7C" w14:textId="77777777" w:rsidR="00391855" w:rsidRPr="00372CF9" w:rsidRDefault="00391855" w:rsidP="00236E17">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769250"/>
            <w:vAlign w:val="center"/>
          </w:tcPr>
          <w:p w14:paraId="5DA5F259" w14:textId="725CE566" w:rsidR="00391855"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27</w:t>
            </w:r>
          </w:p>
        </w:tc>
        <w:tc>
          <w:tcPr>
            <w:tcW w:w="1162" w:type="dxa"/>
            <w:vMerge/>
            <w:tcBorders>
              <w:left w:val="single" w:sz="18" w:space="0" w:color="BFBFBF"/>
              <w:bottom w:val="single" w:sz="18" w:space="0" w:color="C0C0C0"/>
              <w:right w:val="single" w:sz="18" w:space="0" w:color="auto"/>
            </w:tcBorders>
            <w:shd w:val="clear" w:color="auto" w:fill="auto"/>
            <w:vAlign w:val="center"/>
          </w:tcPr>
          <w:p w14:paraId="424F2F3A" w14:textId="77777777" w:rsidR="00391855" w:rsidRPr="00236E17" w:rsidRDefault="00391855"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72D39750" w14:textId="77777777" w:rsidR="00391855" w:rsidRPr="009E4A93" w:rsidRDefault="00391855" w:rsidP="00C344F6">
            <w:pPr>
              <w:jc w:val="center"/>
              <w:rPr>
                <w:rFonts w:ascii="Arial Narrow" w:hAnsi="Arial Narrow" w:cs="Arial"/>
                <w:sz w:val="16"/>
                <w:szCs w:val="16"/>
              </w:rPr>
            </w:pPr>
          </w:p>
        </w:tc>
      </w:tr>
      <w:tr w:rsidR="00AA40BA" w:rsidRPr="00BC2C5D" w14:paraId="512E60FF" w14:textId="77777777" w:rsidTr="00694B49">
        <w:trPr>
          <w:trHeight w:val="285"/>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0EA42D4" w14:textId="3FCEF3CF" w:rsidR="00AA40BA" w:rsidRPr="00A634FA" w:rsidRDefault="00AA40BA" w:rsidP="00C344F6">
            <w:pPr>
              <w:jc w:val="center"/>
              <w:rPr>
                <w:rFonts w:ascii="Arial Narrow" w:hAnsi="Arial Narrow" w:cs="Arial"/>
                <w:sz w:val="16"/>
                <w:szCs w:val="16"/>
              </w:rPr>
            </w:pPr>
            <w:r>
              <w:rPr>
                <w:rFonts w:ascii="Arial Narrow" w:hAnsi="Arial Narrow" w:cs="Arial"/>
                <w:sz w:val="16"/>
                <w:szCs w:val="16"/>
              </w:rPr>
              <w:t>31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7612969B" w14:textId="62216EA9" w:rsidR="00AA40BA" w:rsidRPr="00236E17" w:rsidRDefault="00AA40BA"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FF00"/>
            <w:vAlign w:val="center"/>
          </w:tcPr>
          <w:p w14:paraId="42289F1C" w14:textId="4FEE6A3A" w:rsidR="00AA40BA" w:rsidRPr="00372CF9" w:rsidRDefault="00372CF9" w:rsidP="00C344F6">
            <w:pPr>
              <w:ind w:left="1440" w:hanging="1440"/>
              <w:jc w:val="center"/>
              <w:rPr>
                <w:rFonts w:ascii="Arial Narrow" w:hAnsi="Arial Narrow" w:cs="Arial"/>
                <w:b/>
                <w:bCs/>
                <w:sz w:val="16"/>
                <w:szCs w:val="16"/>
              </w:rPr>
            </w:pPr>
            <w:r w:rsidRPr="00372CF9">
              <w:rPr>
                <w:rFonts w:ascii="Arial Narrow" w:hAnsi="Arial Narrow" w:cs="Arial"/>
                <w:b/>
                <w:bCs/>
                <w:sz w:val="16"/>
                <w:szCs w:val="16"/>
              </w:rPr>
              <w:t>1</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6CD71B" w14:textId="02CF42DA" w:rsidR="00AA40BA" w:rsidRPr="00372CF9" w:rsidRDefault="00372CF9" w:rsidP="00C344F6">
            <w:pPr>
              <w:ind w:left="1440" w:hanging="1440"/>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2</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0984E9CC" w14:textId="64445EAA" w:rsidR="00AA40BA" w:rsidRPr="00372CF9" w:rsidRDefault="00372CF9" w:rsidP="00C344F6">
            <w:pPr>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4B09F96C"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58B2748E" w14:textId="156AEEC4" w:rsidR="00AA40BA" w:rsidRPr="009E4A93" w:rsidRDefault="00AA40BA" w:rsidP="00C344F6">
            <w:pPr>
              <w:jc w:val="center"/>
              <w:rPr>
                <w:rFonts w:ascii="Arial Narrow" w:hAnsi="Arial Narrow" w:cs="Arial"/>
                <w:sz w:val="16"/>
                <w:szCs w:val="16"/>
              </w:rPr>
            </w:pPr>
            <w:r w:rsidRPr="008D6D06">
              <w:rPr>
                <w:rFonts w:ascii="Arial Narrow" w:hAnsi="Arial Narrow"/>
                <w:color w:val="31849B"/>
                <w:sz w:val="16"/>
                <w:szCs w:val="16"/>
              </w:rPr>
              <w:t>Cooktown – Circuit</w:t>
            </w:r>
          </w:p>
        </w:tc>
      </w:tr>
      <w:tr w:rsidR="00AA40BA" w:rsidRPr="00BC2C5D" w14:paraId="4ECFEFD1" w14:textId="77777777" w:rsidTr="00694B49">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6A131896" w14:textId="77777777" w:rsidR="00AA40BA" w:rsidRDefault="00AA40BA" w:rsidP="00C344F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79A31911" w14:textId="77777777" w:rsidR="00AA40BA" w:rsidRPr="00236E17" w:rsidRDefault="00AA40BA" w:rsidP="00C344F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FF0000"/>
            <w:vAlign w:val="center"/>
          </w:tcPr>
          <w:p w14:paraId="01059492" w14:textId="086E195A" w:rsidR="00AA40BA" w:rsidRPr="00372CF9" w:rsidRDefault="00372CF9" w:rsidP="00C344F6">
            <w:pPr>
              <w:ind w:left="1440" w:hanging="1440"/>
              <w:jc w:val="center"/>
              <w:rPr>
                <w:rFonts w:ascii="Arial Narrow" w:hAnsi="Arial Narrow" w:cs="Arial"/>
                <w:b/>
                <w:bCs/>
                <w:color w:val="FFFFFF" w:themeColor="background1"/>
                <w:sz w:val="16"/>
                <w:szCs w:val="16"/>
              </w:rPr>
            </w:pPr>
            <w:r w:rsidRPr="00372CF9">
              <w:rPr>
                <w:rFonts w:ascii="Arial Narrow" w:hAnsi="Arial Narrow" w:cs="Arial"/>
                <w:b/>
                <w:bCs/>
                <w:color w:val="FFFFFF" w:themeColor="background1"/>
                <w:sz w:val="16"/>
                <w:szCs w:val="16"/>
              </w:rPr>
              <w:t>1</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4E214E06" w14:textId="77777777" w:rsidR="00AA40BA" w:rsidRPr="00236E17" w:rsidRDefault="00AA40BA" w:rsidP="00C344F6">
            <w:pPr>
              <w:ind w:left="1440" w:hanging="1440"/>
              <w:jc w:val="center"/>
              <w:rPr>
                <w:rFonts w:ascii="Arial Narrow" w:hAnsi="Arial Narrow" w:cs="Arial"/>
                <w:sz w:val="16"/>
                <w:szCs w:val="16"/>
              </w:rPr>
            </w:pPr>
          </w:p>
        </w:tc>
        <w:tc>
          <w:tcPr>
            <w:tcW w:w="1162" w:type="dxa"/>
            <w:vMerge/>
            <w:tcBorders>
              <w:left w:val="single" w:sz="18" w:space="0" w:color="C0C0C0"/>
              <w:bottom w:val="single" w:sz="18" w:space="0" w:color="auto"/>
              <w:right w:val="single" w:sz="18" w:space="0" w:color="C0C0C0"/>
            </w:tcBorders>
            <w:shd w:val="clear" w:color="auto" w:fill="FF0000"/>
            <w:vAlign w:val="center"/>
          </w:tcPr>
          <w:p w14:paraId="6EBB23BB" w14:textId="77777777" w:rsidR="00AA40BA" w:rsidRPr="00236E17" w:rsidRDefault="00AA40BA"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auto"/>
              <w:right w:val="single" w:sz="18" w:space="0" w:color="auto"/>
            </w:tcBorders>
            <w:shd w:val="clear" w:color="auto" w:fill="auto"/>
            <w:vAlign w:val="center"/>
          </w:tcPr>
          <w:p w14:paraId="1C56A34A" w14:textId="77777777" w:rsidR="00AA40BA" w:rsidRPr="00236E17" w:rsidRDefault="00AA40BA"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42C30627" w14:textId="77777777" w:rsidR="00AA40BA" w:rsidRPr="008D6D06" w:rsidRDefault="00AA40BA" w:rsidP="00C344F6">
            <w:pPr>
              <w:jc w:val="center"/>
              <w:rPr>
                <w:rFonts w:ascii="Arial Narrow" w:hAnsi="Arial Narrow"/>
                <w:color w:val="31849B"/>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395"/>
        <w:gridCol w:w="1134"/>
        <w:gridCol w:w="1210"/>
        <w:gridCol w:w="1162"/>
        <w:gridCol w:w="1162"/>
        <w:gridCol w:w="1162"/>
        <w:gridCol w:w="3633"/>
      </w:tblGrid>
      <w:tr w:rsidR="00C5507C" w:rsidRPr="00BC2C5D" w14:paraId="57F3478D" w14:textId="77777777" w:rsidTr="00CA7C6A">
        <w:trPr>
          <w:trHeight w:val="567"/>
        </w:trPr>
        <w:tc>
          <w:tcPr>
            <w:tcW w:w="1395"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210"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620F76" w:rsidRPr="00BC2C5D" w14:paraId="0CE321A3" w14:textId="77777777" w:rsidTr="00694B49">
        <w:trPr>
          <w:trHeight w:val="158"/>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696DAD36" w14:textId="74D79DE2" w:rsidR="00620F76" w:rsidRPr="00390B39" w:rsidRDefault="00620F76" w:rsidP="00C5507C">
            <w:pPr>
              <w:jc w:val="center"/>
              <w:rPr>
                <w:rFonts w:ascii="Arial Narrow" w:hAnsi="Arial Narrow" w:cs="Arial"/>
                <w:sz w:val="16"/>
                <w:szCs w:val="16"/>
              </w:rPr>
            </w:pPr>
            <w:r>
              <w:rPr>
                <w:rFonts w:ascii="Arial Narrow" w:hAnsi="Arial Narrow" w:cs="Arial"/>
                <w:sz w:val="16"/>
                <w:szCs w:val="16"/>
              </w:rPr>
              <w:t>7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620F76" w:rsidRPr="00C344F6" w:rsidRDefault="00620F76" w:rsidP="00C5507C">
            <w:pPr>
              <w:jc w:val="center"/>
              <w:rPr>
                <w:rFonts w:ascii="Arial Narrow" w:hAnsi="Arial Narrow" w:cs="Arial"/>
                <w:sz w:val="16"/>
                <w:szCs w:val="16"/>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65468345" w14:textId="7E492D19" w:rsidR="00620F76" w:rsidRPr="00CA7C6A" w:rsidRDefault="00620F76" w:rsidP="00193311">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5D26E3A1" w14:textId="3186EA91"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9</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37F7711A" w14:textId="2B7221F9"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620F76" w:rsidRPr="00CA7C6A" w:rsidRDefault="00620F76"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9A8E7D7" w14:textId="77777777" w:rsidR="00620F76" w:rsidRDefault="00620F76" w:rsidP="00B61391">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5CA04E27" w14:textId="7FD2E317" w:rsidR="00620F76" w:rsidRPr="008805E5" w:rsidRDefault="00620F76" w:rsidP="00B61391">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620F76" w:rsidRPr="00BC2C5D" w14:paraId="181CB78F" w14:textId="77777777" w:rsidTr="00694B49">
        <w:trPr>
          <w:trHeight w:val="157"/>
        </w:trPr>
        <w:tc>
          <w:tcPr>
            <w:tcW w:w="1395" w:type="dxa"/>
            <w:vMerge/>
            <w:tcBorders>
              <w:left w:val="single" w:sz="18" w:space="0" w:color="auto"/>
              <w:right w:val="single" w:sz="18" w:space="0" w:color="C0C0C0"/>
            </w:tcBorders>
            <w:shd w:val="clear" w:color="auto" w:fill="auto"/>
            <w:vAlign w:val="center"/>
          </w:tcPr>
          <w:p w14:paraId="78073AC5" w14:textId="77777777" w:rsidR="00620F76" w:rsidRDefault="00620F76"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8669B4A" w14:textId="77777777" w:rsidR="00620F76" w:rsidRPr="00C344F6" w:rsidRDefault="00620F76" w:rsidP="00C5507C">
            <w:pPr>
              <w:jc w:val="center"/>
              <w:rPr>
                <w:rFonts w:ascii="Arial Narrow" w:hAnsi="Arial Narrow" w:cs="Arial"/>
                <w:sz w:val="16"/>
                <w:szCs w:val="16"/>
              </w:rPr>
            </w:pPr>
          </w:p>
        </w:tc>
        <w:tc>
          <w:tcPr>
            <w:tcW w:w="1210" w:type="dxa"/>
            <w:vMerge/>
            <w:tcBorders>
              <w:left w:val="single" w:sz="18" w:space="0" w:color="C0C0C0"/>
              <w:right w:val="single" w:sz="18" w:space="0" w:color="BFBFBF"/>
            </w:tcBorders>
            <w:shd w:val="clear" w:color="auto" w:fill="auto"/>
            <w:vAlign w:val="center"/>
          </w:tcPr>
          <w:p w14:paraId="23604C50" w14:textId="77777777" w:rsidR="00620F76" w:rsidRPr="00CA7C6A" w:rsidRDefault="00620F76"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405C5827" w14:textId="77777777" w:rsidR="00620F76" w:rsidRPr="00620F76" w:rsidRDefault="00620F76" w:rsidP="00CA7C6A">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nil"/>
              <w:right w:val="single" w:sz="18" w:space="0" w:color="C0C0C0"/>
            </w:tcBorders>
            <w:shd w:val="clear" w:color="auto" w:fill="769250"/>
            <w:vAlign w:val="center"/>
          </w:tcPr>
          <w:p w14:paraId="31AEA7C3" w14:textId="6A1F3BF4"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tcBorders>
              <w:left w:val="single" w:sz="18" w:space="0" w:color="C0C0C0"/>
              <w:right w:val="single" w:sz="18" w:space="0" w:color="auto"/>
            </w:tcBorders>
            <w:shd w:val="clear" w:color="auto" w:fill="auto"/>
            <w:vAlign w:val="center"/>
          </w:tcPr>
          <w:p w14:paraId="1466A448" w14:textId="77777777" w:rsidR="00620F76" w:rsidRPr="00CA7C6A" w:rsidRDefault="00620F76"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40B919B9" w14:textId="77777777" w:rsidR="00620F76" w:rsidRPr="008805E5" w:rsidRDefault="00620F76" w:rsidP="00B61391">
            <w:pPr>
              <w:jc w:val="center"/>
              <w:rPr>
                <w:rFonts w:ascii="Arial Narrow" w:hAnsi="Arial Narrow"/>
                <w:color w:val="31849B"/>
                <w:sz w:val="16"/>
                <w:szCs w:val="16"/>
              </w:rPr>
            </w:pPr>
          </w:p>
        </w:tc>
      </w:tr>
      <w:tr w:rsidR="00620F76" w:rsidRPr="00BC2C5D" w14:paraId="0FCBB6DF" w14:textId="77777777" w:rsidTr="00694B49">
        <w:trPr>
          <w:trHeight w:val="307"/>
        </w:trPr>
        <w:tc>
          <w:tcPr>
            <w:tcW w:w="1395" w:type="dxa"/>
            <w:vMerge/>
            <w:tcBorders>
              <w:left w:val="single" w:sz="18" w:space="0" w:color="auto"/>
              <w:right w:val="single" w:sz="18" w:space="0" w:color="C0C0C0"/>
            </w:tcBorders>
            <w:shd w:val="clear" w:color="auto" w:fill="auto"/>
            <w:vAlign w:val="center"/>
          </w:tcPr>
          <w:p w14:paraId="4934314E" w14:textId="77777777" w:rsidR="00620F76" w:rsidRDefault="00620F76" w:rsidP="00C5507C">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725468A1" w14:textId="77777777" w:rsidR="00620F76" w:rsidRPr="00C344F6" w:rsidRDefault="00620F76" w:rsidP="00C5507C">
            <w:pPr>
              <w:jc w:val="center"/>
              <w:rPr>
                <w:rFonts w:ascii="Arial Narrow" w:hAnsi="Arial Narrow" w:cs="Arial"/>
                <w:sz w:val="16"/>
                <w:szCs w:val="16"/>
              </w:rPr>
            </w:pPr>
          </w:p>
        </w:tc>
        <w:tc>
          <w:tcPr>
            <w:tcW w:w="1210" w:type="dxa"/>
            <w:vMerge/>
            <w:tcBorders>
              <w:left w:val="single" w:sz="18" w:space="0" w:color="C0C0C0"/>
              <w:right w:val="single" w:sz="18" w:space="0" w:color="BFBFBF"/>
            </w:tcBorders>
            <w:shd w:val="clear" w:color="auto" w:fill="auto"/>
            <w:vAlign w:val="center"/>
          </w:tcPr>
          <w:p w14:paraId="2B3EECE3" w14:textId="77777777" w:rsidR="00620F76" w:rsidRPr="00CA7C6A" w:rsidRDefault="00620F76"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281298CF" w14:textId="77777777" w:rsidR="00620F76" w:rsidRPr="00620F76" w:rsidRDefault="00620F76" w:rsidP="00CA7C6A">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6C7CF698" w14:textId="3D8054B1" w:rsidR="00620F76" w:rsidRPr="00620F76" w:rsidRDefault="00620F76" w:rsidP="00CA7C6A">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10</w:t>
            </w:r>
          </w:p>
        </w:tc>
        <w:tc>
          <w:tcPr>
            <w:tcW w:w="1162" w:type="dxa"/>
            <w:vMerge/>
            <w:tcBorders>
              <w:left w:val="single" w:sz="18" w:space="0" w:color="C0C0C0"/>
              <w:right w:val="single" w:sz="18" w:space="0" w:color="auto"/>
            </w:tcBorders>
            <w:shd w:val="clear" w:color="auto" w:fill="auto"/>
            <w:vAlign w:val="center"/>
          </w:tcPr>
          <w:p w14:paraId="110D044E" w14:textId="77777777" w:rsidR="00620F76" w:rsidRPr="00CA7C6A" w:rsidRDefault="00620F76"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B6AEB25" w14:textId="77777777" w:rsidR="00620F76" w:rsidRPr="008805E5" w:rsidRDefault="00620F76" w:rsidP="00B61391">
            <w:pPr>
              <w:jc w:val="center"/>
              <w:rPr>
                <w:rFonts w:ascii="Arial Narrow" w:hAnsi="Arial Narrow"/>
                <w:color w:val="31849B"/>
                <w:sz w:val="16"/>
                <w:szCs w:val="16"/>
              </w:rPr>
            </w:pPr>
          </w:p>
        </w:tc>
      </w:tr>
      <w:tr w:rsidR="00CC23DC" w:rsidRPr="00BC2C5D" w14:paraId="3EA964B8" w14:textId="77777777" w:rsidTr="00CC69CF">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0A6385D6" w14:textId="0EDF74B6" w:rsidR="00CC23DC" w:rsidRPr="00390B39" w:rsidRDefault="006B0D6C" w:rsidP="00C5507C">
            <w:pPr>
              <w:jc w:val="center"/>
              <w:rPr>
                <w:rFonts w:ascii="Arial Narrow" w:hAnsi="Arial Narrow" w:cs="Arial"/>
                <w:sz w:val="16"/>
                <w:szCs w:val="16"/>
              </w:rPr>
            </w:pPr>
            <w:r>
              <w:rPr>
                <w:rFonts w:ascii="Arial Narrow" w:hAnsi="Arial Narrow" w:cs="Arial"/>
                <w:sz w:val="16"/>
                <w:szCs w:val="16"/>
              </w:rPr>
              <w:t>14 November</w:t>
            </w:r>
          </w:p>
        </w:tc>
        <w:tc>
          <w:tcPr>
            <w:tcW w:w="1134" w:type="dxa"/>
            <w:tcBorders>
              <w:top w:val="single" w:sz="18" w:space="0" w:color="C0C0C0"/>
              <w:left w:val="single" w:sz="18" w:space="0" w:color="C0C0C0"/>
              <w:right w:val="single" w:sz="18" w:space="0" w:color="C0C0C0"/>
            </w:tcBorders>
            <w:shd w:val="clear" w:color="auto" w:fill="auto"/>
            <w:vAlign w:val="center"/>
          </w:tcPr>
          <w:p w14:paraId="27120716" w14:textId="2460197C" w:rsidR="00CC23DC" w:rsidRPr="006C79D3" w:rsidRDefault="00CC23DC" w:rsidP="00C5507C">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FF0000"/>
            <w:vAlign w:val="center"/>
          </w:tcPr>
          <w:p w14:paraId="79A68E23" w14:textId="0FBA7474" w:rsidR="00CC23DC" w:rsidRPr="00620F76" w:rsidRDefault="00620F76" w:rsidP="008F23DF">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15</w:t>
            </w:r>
          </w:p>
        </w:tc>
        <w:tc>
          <w:tcPr>
            <w:tcW w:w="1162" w:type="dxa"/>
            <w:tcBorders>
              <w:top w:val="single" w:sz="18" w:space="0" w:color="C0C0C0"/>
              <w:left w:val="single" w:sz="18" w:space="0" w:color="BFBFBF"/>
              <w:right w:val="single" w:sz="18" w:space="0" w:color="C0C0C0"/>
            </w:tcBorders>
            <w:shd w:val="clear" w:color="auto" w:fill="FF0000"/>
            <w:vAlign w:val="center"/>
          </w:tcPr>
          <w:p w14:paraId="05A7C8EF" w14:textId="7B21DE15" w:rsidR="00CC23DC" w:rsidRPr="00620F76" w:rsidRDefault="00620F76" w:rsidP="00C5507C">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16</w:t>
            </w:r>
          </w:p>
        </w:tc>
        <w:tc>
          <w:tcPr>
            <w:tcW w:w="1162" w:type="dxa"/>
            <w:tcBorders>
              <w:top w:val="single" w:sz="18" w:space="0" w:color="C0C0C0"/>
              <w:left w:val="single" w:sz="18" w:space="0" w:color="C0C0C0"/>
              <w:right w:val="single" w:sz="18" w:space="0" w:color="C0C0C0"/>
            </w:tcBorders>
            <w:shd w:val="clear" w:color="auto" w:fill="FF0000"/>
            <w:vAlign w:val="center"/>
          </w:tcPr>
          <w:p w14:paraId="10D421D0" w14:textId="24730E3C" w:rsidR="00CC23DC" w:rsidRPr="00620F76" w:rsidRDefault="00620F76" w:rsidP="00987E6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17</w:t>
            </w: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C23DC" w:rsidRPr="00CA7C6A" w:rsidRDefault="00CC23D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11145A3" w14:textId="585EEE34" w:rsidR="00CC23DC" w:rsidRPr="008805E5" w:rsidRDefault="00CC23DC" w:rsidP="00C5507C">
            <w:pPr>
              <w:jc w:val="center"/>
              <w:rPr>
                <w:rFonts w:ascii="Arial Narrow" w:hAnsi="Arial Narrow" w:cs="Arial"/>
                <w:sz w:val="16"/>
                <w:szCs w:val="16"/>
                <w:highlight w:val="yellow"/>
              </w:rPr>
            </w:pPr>
          </w:p>
        </w:tc>
      </w:tr>
      <w:tr w:rsidR="00391855" w:rsidRPr="00BC2C5D" w14:paraId="3766C4CB" w14:textId="77777777" w:rsidTr="00694B49">
        <w:trPr>
          <w:trHeight w:val="285"/>
        </w:trPr>
        <w:tc>
          <w:tcPr>
            <w:tcW w:w="1395" w:type="dxa"/>
            <w:vMerge w:val="restart"/>
            <w:tcBorders>
              <w:top w:val="single" w:sz="18" w:space="0" w:color="C0C0C0"/>
              <w:left w:val="single" w:sz="18" w:space="0" w:color="auto"/>
              <w:right w:val="single" w:sz="18" w:space="0" w:color="C0C0C0"/>
            </w:tcBorders>
            <w:shd w:val="clear" w:color="auto" w:fill="auto"/>
            <w:vAlign w:val="center"/>
          </w:tcPr>
          <w:p w14:paraId="0F542D29" w14:textId="200C0FFB" w:rsidR="00391855" w:rsidRDefault="00391855" w:rsidP="00390B39">
            <w:pPr>
              <w:jc w:val="center"/>
              <w:rPr>
                <w:rFonts w:ascii="Arial Narrow" w:hAnsi="Arial Narrow" w:cs="Arial"/>
                <w:sz w:val="16"/>
                <w:szCs w:val="16"/>
              </w:rPr>
            </w:pPr>
            <w:r>
              <w:rPr>
                <w:rFonts w:ascii="Arial Narrow" w:hAnsi="Arial Narrow" w:cs="Arial"/>
                <w:sz w:val="16"/>
                <w:szCs w:val="16"/>
              </w:rPr>
              <w:t>21 November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391855" w:rsidRPr="006C79D3" w:rsidRDefault="00391855" w:rsidP="00390B39">
            <w:pPr>
              <w:jc w:val="center"/>
              <w:rPr>
                <w:rFonts w:ascii="Arial Narrow" w:hAnsi="Arial Narrow" w:cs="Arial"/>
                <w:sz w:val="16"/>
                <w:szCs w:val="16"/>
                <w:highlight w:val="yellow"/>
              </w:rPr>
            </w:pPr>
          </w:p>
        </w:tc>
        <w:tc>
          <w:tcPr>
            <w:tcW w:w="1210" w:type="dxa"/>
            <w:vMerge w:val="restart"/>
            <w:tcBorders>
              <w:top w:val="single" w:sz="18" w:space="0" w:color="C0C0C0"/>
              <w:left w:val="single" w:sz="18" w:space="0" w:color="C0C0C0"/>
              <w:right w:val="single" w:sz="18" w:space="0" w:color="BFBFBF"/>
            </w:tcBorders>
            <w:shd w:val="clear" w:color="auto" w:fill="auto"/>
            <w:vAlign w:val="center"/>
          </w:tcPr>
          <w:p w14:paraId="7CBBAD8B" w14:textId="75536AEF" w:rsidR="00391855" w:rsidRPr="00CA7C6A" w:rsidRDefault="00391855" w:rsidP="00987E69">
            <w:pPr>
              <w:jc w:val="center"/>
              <w:rPr>
                <w:rFonts w:ascii="Arial Narrow" w:hAnsi="Arial Narrow" w:cs="Arial"/>
                <w:sz w:val="16"/>
                <w:szCs w:val="16"/>
              </w:rPr>
            </w:pP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46FDB6FD" w14:textId="6E1DC7F0"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23</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E61EDBE" w14:textId="260A9FA2"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24</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391855" w:rsidRPr="00CA7C6A" w:rsidRDefault="00391855"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391855" w:rsidRPr="008805E5" w:rsidRDefault="00391855" w:rsidP="009E4A93">
            <w:pPr>
              <w:jc w:val="center"/>
              <w:rPr>
                <w:rFonts w:ascii="Arial Narrow" w:hAnsi="Arial Narrow" w:cs="Arial"/>
                <w:sz w:val="16"/>
                <w:szCs w:val="16"/>
                <w:highlight w:val="yellow"/>
              </w:rPr>
            </w:pPr>
          </w:p>
        </w:tc>
      </w:tr>
      <w:tr w:rsidR="00391855" w:rsidRPr="00BC2C5D" w14:paraId="56C35009" w14:textId="77777777" w:rsidTr="00694B49">
        <w:trPr>
          <w:trHeight w:val="285"/>
        </w:trPr>
        <w:tc>
          <w:tcPr>
            <w:tcW w:w="1395" w:type="dxa"/>
            <w:vMerge/>
            <w:tcBorders>
              <w:left w:val="single" w:sz="18" w:space="0" w:color="auto"/>
              <w:right w:val="single" w:sz="18" w:space="0" w:color="C0C0C0"/>
            </w:tcBorders>
            <w:shd w:val="clear" w:color="auto" w:fill="auto"/>
            <w:vAlign w:val="center"/>
          </w:tcPr>
          <w:p w14:paraId="777C1922" w14:textId="77777777" w:rsidR="00391855" w:rsidRDefault="00391855"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EDD1CD8" w14:textId="77777777" w:rsidR="00391855" w:rsidRPr="006C79D3" w:rsidRDefault="00391855" w:rsidP="00390B39">
            <w:pPr>
              <w:jc w:val="center"/>
              <w:rPr>
                <w:rFonts w:ascii="Arial Narrow" w:hAnsi="Arial Narrow" w:cs="Arial"/>
                <w:sz w:val="16"/>
                <w:szCs w:val="16"/>
                <w:highlight w:val="yellow"/>
              </w:rPr>
            </w:pPr>
          </w:p>
        </w:tc>
        <w:tc>
          <w:tcPr>
            <w:tcW w:w="1210" w:type="dxa"/>
            <w:vMerge/>
            <w:tcBorders>
              <w:left w:val="single" w:sz="18" w:space="0" w:color="C0C0C0"/>
              <w:right w:val="single" w:sz="18" w:space="0" w:color="BFBFBF"/>
            </w:tcBorders>
            <w:shd w:val="clear" w:color="auto" w:fill="auto"/>
            <w:vAlign w:val="center"/>
          </w:tcPr>
          <w:p w14:paraId="33A86F19" w14:textId="77777777" w:rsidR="00391855" w:rsidRPr="00CA7C6A" w:rsidRDefault="00391855" w:rsidP="00987E69">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A972A9"/>
            <w:vAlign w:val="center"/>
          </w:tcPr>
          <w:p w14:paraId="5FBAE9D2" w14:textId="77777777" w:rsidR="00391855" w:rsidRPr="00620F76" w:rsidRDefault="00391855" w:rsidP="00390B39">
            <w:pPr>
              <w:jc w:val="center"/>
              <w:rPr>
                <w:rFonts w:ascii="Arial Narrow" w:hAnsi="Arial Narrow" w:cs="Arial"/>
                <w:b/>
                <w:bCs/>
                <w:color w:val="FFFFFF" w:themeColor="background1"/>
                <w:sz w:val="16"/>
                <w:szCs w:val="16"/>
              </w:rPr>
            </w:pPr>
          </w:p>
        </w:tc>
        <w:tc>
          <w:tcPr>
            <w:tcW w:w="1162" w:type="dxa"/>
            <w:tcBorders>
              <w:top w:val="nil"/>
              <w:left w:val="single" w:sz="18" w:space="0" w:color="C0C0C0"/>
              <w:bottom w:val="single" w:sz="18" w:space="0" w:color="C0C0C0"/>
              <w:right w:val="single" w:sz="18" w:space="0" w:color="C0C0C0"/>
            </w:tcBorders>
            <w:shd w:val="clear" w:color="auto" w:fill="769250"/>
            <w:vAlign w:val="center"/>
          </w:tcPr>
          <w:p w14:paraId="20A91208" w14:textId="4DDF1459" w:rsidR="00391855" w:rsidRPr="00620F76" w:rsidRDefault="00620F76"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24</w:t>
            </w:r>
          </w:p>
        </w:tc>
        <w:tc>
          <w:tcPr>
            <w:tcW w:w="1162" w:type="dxa"/>
            <w:vMerge/>
            <w:tcBorders>
              <w:left w:val="single" w:sz="18" w:space="0" w:color="C0C0C0"/>
              <w:right w:val="single" w:sz="18" w:space="0" w:color="auto"/>
            </w:tcBorders>
            <w:shd w:val="clear" w:color="auto" w:fill="auto"/>
            <w:vAlign w:val="center"/>
          </w:tcPr>
          <w:p w14:paraId="1125703C" w14:textId="77777777" w:rsidR="00391855" w:rsidRPr="00CA7C6A" w:rsidRDefault="00391855"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644F7188" w14:textId="77777777" w:rsidR="00391855" w:rsidRPr="008805E5" w:rsidRDefault="00391855" w:rsidP="009E4A93">
            <w:pPr>
              <w:jc w:val="center"/>
              <w:rPr>
                <w:rFonts w:ascii="Arial Narrow" w:hAnsi="Arial Narrow" w:cs="Arial"/>
                <w:sz w:val="16"/>
                <w:szCs w:val="16"/>
                <w:highlight w:val="yellow"/>
              </w:rPr>
            </w:pPr>
          </w:p>
        </w:tc>
      </w:tr>
      <w:tr w:rsidR="00BD6B31" w:rsidRPr="00BC2C5D" w14:paraId="2952A691" w14:textId="77777777" w:rsidTr="008F23DF">
        <w:trPr>
          <w:trHeight w:val="284"/>
        </w:trPr>
        <w:tc>
          <w:tcPr>
            <w:tcW w:w="1395" w:type="dxa"/>
            <w:vMerge w:val="restart"/>
            <w:tcBorders>
              <w:top w:val="single" w:sz="18" w:space="0" w:color="BFBFBF"/>
              <w:left w:val="single" w:sz="18" w:space="0" w:color="auto"/>
              <w:right w:val="single" w:sz="18" w:space="0" w:color="C0C0C0"/>
            </w:tcBorders>
            <w:shd w:val="clear" w:color="auto" w:fill="auto"/>
            <w:vAlign w:val="center"/>
          </w:tcPr>
          <w:p w14:paraId="219AC89F" w14:textId="7C5A1FC1" w:rsidR="00BD6B31" w:rsidRPr="00A634FA" w:rsidRDefault="00BD6B31" w:rsidP="00390B39">
            <w:pPr>
              <w:jc w:val="center"/>
              <w:rPr>
                <w:rFonts w:ascii="Arial Narrow" w:hAnsi="Arial Narrow" w:cs="Arial"/>
                <w:sz w:val="16"/>
                <w:szCs w:val="16"/>
              </w:rPr>
            </w:pPr>
            <w:r>
              <w:rPr>
                <w:rFonts w:ascii="Arial Narrow" w:hAnsi="Arial Narrow" w:cs="Arial"/>
                <w:sz w:val="16"/>
                <w:szCs w:val="16"/>
              </w:rPr>
              <w:t>28 November</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BD6B31" w:rsidRPr="00A634FA" w:rsidRDefault="00BD6B31" w:rsidP="00390B39">
            <w:pPr>
              <w:jc w:val="center"/>
              <w:rPr>
                <w:rFonts w:ascii="Arial Narrow" w:hAnsi="Arial Narrow" w:cs="Arial"/>
                <w:sz w:val="16"/>
                <w:szCs w:val="16"/>
              </w:rPr>
            </w:pPr>
          </w:p>
        </w:tc>
        <w:tc>
          <w:tcPr>
            <w:tcW w:w="1210" w:type="dxa"/>
            <w:tcBorders>
              <w:top w:val="single" w:sz="18" w:space="0" w:color="C0C0C0"/>
              <w:left w:val="single" w:sz="18" w:space="0" w:color="C0C0C0"/>
              <w:bottom w:val="nil"/>
              <w:right w:val="single" w:sz="18" w:space="0" w:color="BFBFBF"/>
            </w:tcBorders>
            <w:shd w:val="clear" w:color="auto" w:fill="FF0000"/>
            <w:vAlign w:val="center"/>
          </w:tcPr>
          <w:p w14:paraId="4423C25E" w14:textId="461BFF37"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29</w:t>
            </w:r>
          </w:p>
        </w:tc>
        <w:tc>
          <w:tcPr>
            <w:tcW w:w="1162" w:type="dxa"/>
            <w:tcBorders>
              <w:top w:val="single" w:sz="18" w:space="0" w:color="C0C0C0"/>
              <w:left w:val="single" w:sz="18" w:space="0" w:color="BFBFBF"/>
              <w:bottom w:val="nil"/>
              <w:right w:val="single" w:sz="18" w:space="0" w:color="C0C0C0"/>
            </w:tcBorders>
            <w:shd w:val="clear" w:color="auto" w:fill="FF0000"/>
            <w:vAlign w:val="center"/>
          </w:tcPr>
          <w:p w14:paraId="2AE45B4E" w14:textId="0E40FC26"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30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58F79EF" w14:textId="6E1606DB" w:rsidR="00BD6B31" w:rsidRPr="00620F76" w:rsidRDefault="00BD6B31" w:rsidP="00987E6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1</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BD6B31" w:rsidRPr="00A634FA" w:rsidRDefault="00BD6B31"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77312F66" w:rsidR="00BD6B31" w:rsidRPr="008805E5" w:rsidRDefault="00BD6B31" w:rsidP="00390B39">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BD6B31" w:rsidRPr="00BC2C5D" w14:paraId="261C2032" w14:textId="77777777" w:rsidTr="008F23DF">
        <w:trPr>
          <w:trHeight w:val="284"/>
        </w:trPr>
        <w:tc>
          <w:tcPr>
            <w:tcW w:w="1395" w:type="dxa"/>
            <w:vMerge/>
            <w:tcBorders>
              <w:left w:val="single" w:sz="18" w:space="0" w:color="auto"/>
              <w:right w:val="single" w:sz="18" w:space="0" w:color="C0C0C0"/>
            </w:tcBorders>
            <w:shd w:val="clear" w:color="auto" w:fill="auto"/>
            <w:vAlign w:val="center"/>
          </w:tcPr>
          <w:p w14:paraId="583F988F" w14:textId="77777777" w:rsidR="00BD6B31" w:rsidRDefault="00BD6B31" w:rsidP="00390B3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ACC7E71" w14:textId="77777777" w:rsidR="00BD6B31" w:rsidRPr="00A634FA" w:rsidRDefault="00BD6B31" w:rsidP="00390B39">
            <w:pPr>
              <w:jc w:val="center"/>
              <w:rPr>
                <w:rFonts w:ascii="Arial Narrow" w:hAnsi="Arial Narrow" w:cs="Arial"/>
                <w:sz w:val="16"/>
                <w:szCs w:val="16"/>
              </w:rPr>
            </w:pPr>
          </w:p>
        </w:tc>
        <w:tc>
          <w:tcPr>
            <w:tcW w:w="1210" w:type="dxa"/>
            <w:tcBorders>
              <w:top w:val="nil"/>
              <w:left w:val="single" w:sz="18" w:space="0" w:color="C0C0C0"/>
              <w:bottom w:val="single" w:sz="18" w:space="0" w:color="auto"/>
              <w:right w:val="single" w:sz="18" w:space="0" w:color="C0C0C0"/>
            </w:tcBorders>
            <w:shd w:val="clear" w:color="auto" w:fill="A972A9"/>
            <w:vAlign w:val="center"/>
          </w:tcPr>
          <w:p w14:paraId="321B7C62" w14:textId="442544C1"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29</w:t>
            </w:r>
          </w:p>
        </w:tc>
        <w:tc>
          <w:tcPr>
            <w:tcW w:w="1162" w:type="dxa"/>
            <w:tcBorders>
              <w:top w:val="nil"/>
              <w:left w:val="single" w:sz="18" w:space="0" w:color="C0C0C0"/>
              <w:bottom w:val="single" w:sz="18" w:space="0" w:color="auto"/>
              <w:right w:val="single" w:sz="18" w:space="0" w:color="C0C0C0"/>
            </w:tcBorders>
            <w:shd w:val="clear" w:color="auto" w:fill="A972A9"/>
            <w:vAlign w:val="center"/>
          </w:tcPr>
          <w:p w14:paraId="637F9271" w14:textId="6C96BCDF" w:rsidR="00BD6B31" w:rsidRPr="00620F76" w:rsidRDefault="00BD6B31" w:rsidP="00390B39">
            <w:pPr>
              <w:jc w:val="center"/>
              <w:rPr>
                <w:rFonts w:ascii="Arial Narrow" w:hAnsi="Arial Narrow" w:cs="Arial"/>
                <w:b/>
                <w:bCs/>
                <w:color w:val="FFFFFF" w:themeColor="background1"/>
                <w:sz w:val="16"/>
                <w:szCs w:val="16"/>
              </w:rPr>
            </w:pPr>
            <w:r w:rsidRPr="00620F76">
              <w:rPr>
                <w:rFonts w:ascii="Arial Narrow" w:hAnsi="Arial Narrow" w:cs="Arial"/>
                <w:b/>
                <w:bCs/>
                <w:color w:val="FFFFFF" w:themeColor="background1"/>
                <w:sz w:val="16"/>
                <w:szCs w:val="16"/>
              </w:rPr>
              <w:t>30</w:t>
            </w:r>
          </w:p>
        </w:tc>
        <w:tc>
          <w:tcPr>
            <w:tcW w:w="1162" w:type="dxa"/>
            <w:vMerge/>
            <w:tcBorders>
              <w:left w:val="single" w:sz="18" w:space="0" w:color="C0C0C0"/>
              <w:bottom w:val="single" w:sz="18" w:space="0" w:color="auto"/>
              <w:right w:val="single" w:sz="18" w:space="0" w:color="C0C0C0"/>
            </w:tcBorders>
            <w:shd w:val="clear" w:color="auto" w:fill="31849B"/>
            <w:vAlign w:val="center"/>
          </w:tcPr>
          <w:p w14:paraId="3021E6E6" w14:textId="0FE77B5A" w:rsidR="00BD6B31" w:rsidRPr="00620F76" w:rsidRDefault="00BD6B31" w:rsidP="00987E69">
            <w:pPr>
              <w:jc w:val="center"/>
              <w:rPr>
                <w:rFonts w:ascii="Arial Narrow" w:hAnsi="Arial Narrow" w:cs="Arial"/>
                <w:b/>
                <w:bCs/>
                <w:color w:val="FFFFFF" w:themeColor="background1"/>
                <w:sz w:val="16"/>
                <w:szCs w:val="16"/>
              </w:rPr>
            </w:pPr>
          </w:p>
        </w:tc>
        <w:tc>
          <w:tcPr>
            <w:tcW w:w="1162" w:type="dxa"/>
            <w:vMerge/>
            <w:tcBorders>
              <w:left w:val="single" w:sz="18" w:space="0" w:color="C0C0C0"/>
              <w:right w:val="single" w:sz="18" w:space="0" w:color="auto"/>
            </w:tcBorders>
            <w:shd w:val="clear" w:color="auto" w:fill="auto"/>
            <w:vAlign w:val="center"/>
          </w:tcPr>
          <w:p w14:paraId="1FA3C3F9" w14:textId="77777777" w:rsidR="00BD6B31" w:rsidRPr="00A634FA" w:rsidRDefault="00BD6B31"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68A1E6B2" w14:textId="77777777" w:rsidR="00BD6B31" w:rsidRPr="008805E5" w:rsidRDefault="00BD6B31" w:rsidP="00390B39">
            <w:pPr>
              <w:jc w:val="center"/>
              <w:rPr>
                <w:rFonts w:ascii="Arial Narrow" w:hAnsi="Arial Narrow"/>
                <w:color w:val="31849B"/>
                <w:sz w:val="16"/>
                <w:szCs w:val="16"/>
              </w:rPr>
            </w:pPr>
          </w:p>
        </w:tc>
      </w:tr>
      <w:tr w:rsidR="00CC23DC" w:rsidRPr="00BC2C5D" w14:paraId="1CA5194F" w14:textId="77777777" w:rsidTr="00694B49">
        <w:trPr>
          <w:trHeight w:val="613"/>
        </w:trPr>
        <w:tc>
          <w:tcPr>
            <w:tcW w:w="1395" w:type="dxa"/>
            <w:tcBorders>
              <w:top w:val="single" w:sz="18" w:space="0" w:color="auto"/>
              <w:left w:val="single" w:sz="18" w:space="0" w:color="auto"/>
              <w:right w:val="single" w:sz="18" w:space="0" w:color="C0C0C0"/>
            </w:tcBorders>
            <w:shd w:val="clear" w:color="auto" w:fill="auto"/>
            <w:vAlign w:val="center"/>
          </w:tcPr>
          <w:p w14:paraId="62CCD3D4" w14:textId="78B02998" w:rsidR="00CC23DC" w:rsidRPr="00A634FA" w:rsidRDefault="006B0D6C" w:rsidP="00390B39">
            <w:pPr>
              <w:jc w:val="center"/>
              <w:rPr>
                <w:rFonts w:ascii="Arial Narrow" w:hAnsi="Arial Narrow" w:cs="Arial"/>
                <w:sz w:val="16"/>
                <w:szCs w:val="16"/>
              </w:rPr>
            </w:pPr>
            <w:r>
              <w:rPr>
                <w:rFonts w:ascii="Arial Narrow" w:hAnsi="Arial Narrow" w:cs="Arial"/>
                <w:sz w:val="16"/>
                <w:szCs w:val="16"/>
              </w:rPr>
              <w:t>5 December</w:t>
            </w:r>
          </w:p>
        </w:tc>
        <w:tc>
          <w:tcPr>
            <w:tcW w:w="1134" w:type="dxa"/>
            <w:tcBorders>
              <w:top w:val="single" w:sz="18" w:space="0" w:color="auto"/>
              <w:left w:val="single" w:sz="18" w:space="0" w:color="C0C0C0"/>
              <w:right w:val="single" w:sz="18" w:space="0" w:color="C0C0C0"/>
            </w:tcBorders>
            <w:shd w:val="clear" w:color="auto" w:fill="auto"/>
            <w:vAlign w:val="center"/>
          </w:tcPr>
          <w:p w14:paraId="66E74CF9" w14:textId="77777777" w:rsidR="00CC23DC" w:rsidRPr="00A634FA" w:rsidRDefault="00CC23DC" w:rsidP="00390B39">
            <w:pPr>
              <w:jc w:val="center"/>
              <w:rPr>
                <w:rFonts w:ascii="Arial Narrow" w:hAnsi="Arial Narrow" w:cs="Arial"/>
                <w:sz w:val="16"/>
                <w:szCs w:val="16"/>
                <w:highlight w:val="yellow"/>
              </w:rPr>
            </w:pPr>
          </w:p>
        </w:tc>
        <w:tc>
          <w:tcPr>
            <w:tcW w:w="1210" w:type="dxa"/>
            <w:tcBorders>
              <w:top w:val="single" w:sz="18" w:space="0" w:color="auto"/>
              <w:left w:val="single" w:sz="18" w:space="0" w:color="C0C0C0"/>
              <w:right w:val="single" w:sz="18" w:space="0" w:color="BFBFBF"/>
            </w:tcBorders>
            <w:shd w:val="clear" w:color="auto" w:fill="auto"/>
            <w:vAlign w:val="center"/>
          </w:tcPr>
          <w:p w14:paraId="5280C7F2" w14:textId="4046BD7F" w:rsidR="00CC23DC" w:rsidRPr="00CA7C6A" w:rsidRDefault="00CC23DC" w:rsidP="00294AA0">
            <w:pPr>
              <w:jc w:val="center"/>
              <w:rPr>
                <w:rFonts w:ascii="Arial Narrow" w:hAnsi="Arial Narrow" w:cs="Arial"/>
                <w:color w:val="000000"/>
                <w:sz w:val="16"/>
                <w:szCs w:val="16"/>
              </w:rPr>
            </w:pPr>
          </w:p>
        </w:tc>
        <w:tc>
          <w:tcPr>
            <w:tcW w:w="1162" w:type="dxa"/>
            <w:tcBorders>
              <w:top w:val="single" w:sz="18" w:space="0" w:color="auto"/>
              <w:left w:val="single" w:sz="18" w:space="0" w:color="BFBFBF"/>
              <w:right w:val="single" w:sz="18" w:space="0" w:color="C0C0C0"/>
            </w:tcBorders>
            <w:shd w:val="clear" w:color="auto" w:fill="FFFF00"/>
            <w:vAlign w:val="center"/>
          </w:tcPr>
          <w:p w14:paraId="31836070" w14:textId="0D65ACA6" w:rsidR="00CC23DC" w:rsidRPr="009B4B9A" w:rsidRDefault="009B4B9A" w:rsidP="00390B39">
            <w:pPr>
              <w:jc w:val="center"/>
              <w:rPr>
                <w:rFonts w:ascii="Arial Narrow" w:hAnsi="Arial Narrow" w:cs="Arial"/>
                <w:b/>
                <w:bCs/>
                <w:color w:val="000000"/>
                <w:sz w:val="16"/>
                <w:szCs w:val="16"/>
              </w:rPr>
            </w:pPr>
            <w:r w:rsidRPr="009B4B9A">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C0C0C0"/>
            </w:tcBorders>
            <w:shd w:val="clear" w:color="auto" w:fill="FFFF00"/>
            <w:vAlign w:val="center"/>
          </w:tcPr>
          <w:p w14:paraId="18177425" w14:textId="6B0C7FE1" w:rsidR="00CC23DC" w:rsidRPr="009B4B9A" w:rsidRDefault="009B4B9A" w:rsidP="00534C70">
            <w:pPr>
              <w:jc w:val="center"/>
              <w:rPr>
                <w:rFonts w:ascii="Arial Narrow" w:hAnsi="Arial Narrow" w:cs="Arial"/>
                <w:b/>
                <w:bCs/>
                <w:sz w:val="16"/>
                <w:szCs w:val="16"/>
              </w:rPr>
            </w:pPr>
            <w:r w:rsidRPr="009B4B9A">
              <w:rPr>
                <w:rFonts w:ascii="Arial Narrow" w:hAnsi="Arial Narrow" w:cs="Arial"/>
                <w:b/>
                <w:bCs/>
                <w:sz w:val="16"/>
                <w:szCs w:val="16"/>
              </w:rPr>
              <w:t>8 ½ day</w:t>
            </w:r>
          </w:p>
        </w:tc>
        <w:tc>
          <w:tcPr>
            <w:tcW w:w="1162" w:type="dxa"/>
            <w:tcBorders>
              <w:top w:val="single" w:sz="18" w:space="0" w:color="auto"/>
              <w:left w:val="single" w:sz="18" w:space="0" w:color="C0C0C0"/>
              <w:right w:val="single" w:sz="18" w:space="0" w:color="auto"/>
            </w:tcBorders>
            <w:shd w:val="clear" w:color="auto" w:fill="auto"/>
            <w:vAlign w:val="center"/>
          </w:tcPr>
          <w:p w14:paraId="56CF5F8B" w14:textId="77777777" w:rsidR="00CC23DC" w:rsidRPr="00A634FA" w:rsidRDefault="00CC23DC" w:rsidP="00390B39">
            <w:pPr>
              <w:jc w:val="center"/>
              <w:rPr>
                <w:rFonts w:ascii="Arial Narrow" w:hAnsi="Arial Narrow" w:cs="Arial"/>
                <w:sz w:val="16"/>
                <w:szCs w:val="16"/>
                <w:highlight w:val="yellow"/>
              </w:rPr>
            </w:pPr>
          </w:p>
        </w:tc>
        <w:tc>
          <w:tcPr>
            <w:tcW w:w="3633" w:type="dxa"/>
            <w:tcBorders>
              <w:top w:val="single" w:sz="18" w:space="0" w:color="auto"/>
              <w:left w:val="single" w:sz="18" w:space="0" w:color="auto"/>
              <w:right w:val="single" w:sz="18" w:space="0" w:color="auto"/>
            </w:tcBorders>
            <w:shd w:val="clear" w:color="auto" w:fill="auto"/>
            <w:vAlign w:val="center"/>
          </w:tcPr>
          <w:p w14:paraId="1E4AC268" w14:textId="77777777" w:rsidR="00CA7C6A" w:rsidRPr="00CA7C6A" w:rsidRDefault="00CA7C6A" w:rsidP="00CA7C6A">
            <w:pPr>
              <w:jc w:val="center"/>
              <w:rPr>
                <w:rFonts w:ascii="Arial Narrow" w:hAnsi="Arial Narrow"/>
                <w:color w:val="31849B"/>
                <w:sz w:val="16"/>
                <w:szCs w:val="16"/>
              </w:rPr>
            </w:pPr>
            <w:r w:rsidRPr="00CA7C6A">
              <w:rPr>
                <w:rFonts w:ascii="Arial Narrow" w:hAnsi="Arial Narrow"/>
                <w:color w:val="31849B"/>
                <w:sz w:val="16"/>
                <w:szCs w:val="16"/>
              </w:rPr>
              <w:t>Aurukun Cape B Circuit</w:t>
            </w:r>
          </w:p>
          <w:p w14:paraId="3510D1F2" w14:textId="77777777" w:rsidR="00CA7C6A" w:rsidRPr="00CA7C6A" w:rsidRDefault="00CA7C6A" w:rsidP="00CA7C6A">
            <w:pPr>
              <w:jc w:val="center"/>
              <w:rPr>
                <w:rFonts w:ascii="Arial Narrow" w:hAnsi="Arial Narrow"/>
                <w:color w:val="31849B"/>
                <w:sz w:val="16"/>
                <w:szCs w:val="16"/>
              </w:rPr>
            </w:pPr>
            <w:r w:rsidRPr="00CA7C6A">
              <w:rPr>
                <w:rFonts w:ascii="Arial Narrow" w:hAnsi="Arial Narrow"/>
                <w:color w:val="31849B"/>
                <w:sz w:val="16"/>
                <w:szCs w:val="16"/>
              </w:rPr>
              <w:t xml:space="preserve">Doomadgee – Gulf Circuit </w:t>
            </w:r>
          </w:p>
          <w:p w14:paraId="6C9148DC" w14:textId="6152F34C" w:rsidR="00CC23DC" w:rsidRPr="008805E5" w:rsidRDefault="00CA7C6A" w:rsidP="00CA7C6A">
            <w:pPr>
              <w:jc w:val="center"/>
              <w:rPr>
                <w:rFonts w:ascii="Arial Narrow" w:hAnsi="Arial Narrow" w:cs="Arial"/>
                <w:sz w:val="16"/>
                <w:szCs w:val="16"/>
                <w:highlight w:val="yellow"/>
              </w:rPr>
            </w:pPr>
            <w:r w:rsidRPr="00CA7C6A">
              <w:rPr>
                <w:rFonts w:ascii="Arial Narrow" w:hAnsi="Arial Narrow" w:cs="Arial"/>
                <w:sz w:val="16"/>
                <w:szCs w:val="16"/>
              </w:rPr>
              <w:t>Mossman schools finish 9/12/2022</w:t>
            </w:r>
          </w:p>
        </w:tc>
      </w:tr>
      <w:tr w:rsidR="00CA7C6A" w:rsidRPr="00BC2C5D" w14:paraId="6A282D96" w14:textId="77777777" w:rsidTr="00CC69CF">
        <w:trPr>
          <w:trHeight w:val="567"/>
        </w:trPr>
        <w:tc>
          <w:tcPr>
            <w:tcW w:w="1395" w:type="dxa"/>
            <w:tcBorders>
              <w:top w:val="single" w:sz="18" w:space="0" w:color="C0C0C0"/>
              <w:left w:val="single" w:sz="18" w:space="0" w:color="auto"/>
              <w:right w:val="single" w:sz="18" w:space="0" w:color="C0C0C0"/>
            </w:tcBorders>
            <w:shd w:val="clear" w:color="auto" w:fill="auto"/>
            <w:vAlign w:val="center"/>
          </w:tcPr>
          <w:p w14:paraId="6D86D990" w14:textId="000F3370" w:rsidR="00CA7C6A" w:rsidRPr="00A634FA" w:rsidRDefault="00CA7C6A" w:rsidP="00313AD9">
            <w:pPr>
              <w:jc w:val="center"/>
              <w:rPr>
                <w:rFonts w:ascii="Arial Narrow" w:hAnsi="Arial Narrow" w:cs="Arial"/>
                <w:sz w:val="16"/>
                <w:szCs w:val="16"/>
              </w:rPr>
            </w:pPr>
            <w:r>
              <w:rPr>
                <w:rFonts w:ascii="Arial Narrow" w:hAnsi="Arial Narrow" w:cs="Arial"/>
                <w:sz w:val="16"/>
                <w:szCs w:val="16"/>
              </w:rPr>
              <w:t>12 December</w:t>
            </w:r>
          </w:p>
        </w:tc>
        <w:tc>
          <w:tcPr>
            <w:tcW w:w="1134" w:type="dxa"/>
            <w:tcBorders>
              <w:top w:val="single" w:sz="18" w:space="0" w:color="C0C0C0"/>
              <w:left w:val="single" w:sz="18" w:space="0" w:color="C0C0C0"/>
              <w:right w:val="single" w:sz="18" w:space="0" w:color="C0C0C0"/>
            </w:tcBorders>
            <w:shd w:val="clear" w:color="auto" w:fill="D9D9D9"/>
            <w:vAlign w:val="center"/>
          </w:tcPr>
          <w:p w14:paraId="695555CE" w14:textId="61BB7C07" w:rsidR="00CA7C6A" w:rsidRPr="00A634FA" w:rsidRDefault="00CA7C6A" w:rsidP="00313AD9">
            <w:pPr>
              <w:jc w:val="center"/>
              <w:rPr>
                <w:rFonts w:ascii="Arial Narrow" w:hAnsi="Arial Narrow" w:cs="Arial"/>
                <w:sz w:val="16"/>
                <w:szCs w:val="16"/>
                <w:highlight w:val="yellow"/>
              </w:rPr>
            </w:pPr>
          </w:p>
        </w:tc>
        <w:tc>
          <w:tcPr>
            <w:tcW w:w="1210" w:type="dxa"/>
            <w:tcBorders>
              <w:top w:val="single" w:sz="18" w:space="0" w:color="C0C0C0"/>
              <w:left w:val="single" w:sz="18" w:space="0" w:color="C0C0C0"/>
              <w:right w:val="single" w:sz="18" w:space="0" w:color="BFBFBF"/>
            </w:tcBorders>
            <w:shd w:val="clear" w:color="auto" w:fill="D9D9D9"/>
            <w:vAlign w:val="center"/>
          </w:tcPr>
          <w:p w14:paraId="09C9C0A4" w14:textId="43A3A419" w:rsidR="00CA7C6A" w:rsidRPr="00CA7C6A" w:rsidRDefault="00CA7C6A" w:rsidP="001F0A2E">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BF01046" w14:textId="71145BA3" w:rsidR="00CA7C6A" w:rsidRPr="00CA7C6A" w:rsidRDefault="00CA7C6A" w:rsidP="00534C70">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3AD05D9" w14:textId="3A6A1974" w:rsidR="00CA7C6A" w:rsidRPr="00CA7C6A" w:rsidRDefault="00CA7C6A" w:rsidP="00313AD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7FC64D6A" w14:textId="77777777" w:rsidR="00CA7C6A" w:rsidRPr="00A634FA" w:rsidRDefault="00CA7C6A" w:rsidP="00313AD9">
            <w:pPr>
              <w:jc w:val="center"/>
              <w:rPr>
                <w:rFonts w:ascii="Arial Narrow" w:hAnsi="Arial Narrow" w:cs="Arial"/>
                <w:sz w:val="16"/>
                <w:szCs w:val="16"/>
                <w:highlight w:val="yellow"/>
              </w:rPr>
            </w:pPr>
          </w:p>
        </w:tc>
        <w:tc>
          <w:tcPr>
            <w:tcW w:w="3633" w:type="dxa"/>
            <w:tcBorders>
              <w:top w:val="single" w:sz="18" w:space="0" w:color="C0C0C0"/>
              <w:left w:val="single" w:sz="18" w:space="0" w:color="auto"/>
              <w:right w:val="single" w:sz="18" w:space="0" w:color="auto"/>
            </w:tcBorders>
            <w:shd w:val="clear" w:color="auto" w:fill="D9D9D9"/>
            <w:vAlign w:val="center"/>
          </w:tcPr>
          <w:p w14:paraId="7594D7D0" w14:textId="624C77F8" w:rsidR="00CA7C6A" w:rsidRPr="008805E5" w:rsidRDefault="00CA7C6A" w:rsidP="008805E5">
            <w:pPr>
              <w:jc w:val="center"/>
              <w:rPr>
                <w:rFonts w:ascii="Arial Narrow" w:hAnsi="Arial Narrow"/>
                <w:sz w:val="16"/>
                <w:szCs w:val="16"/>
              </w:rPr>
            </w:pPr>
          </w:p>
        </w:tc>
      </w:tr>
      <w:tr w:rsidR="00534C70" w:rsidRPr="00BC2C5D" w14:paraId="5AD4A603" w14:textId="77777777" w:rsidTr="00CC69CF">
        <w:trPr>
          <w:trHeight w:val="567"/>
        </w:trPr>
        <w:tc>
          <w:tcPr>
            <w:tcW w:w="1395"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7139B581" w:rsidR="00534C70" w:rsidRDefault="006B0D6C" w:rsidP="00313AD9">
            <w:pPr>
              <w:jc w:val="center"/>
              <w:rPr>
                <w:rFonts w:ascii="Arial Narrow" w:hAnsi="Arial Narrow" w:cs="Arial"/>
                <w:sz w:val="16"/>
                <w:szCs w:val="16"/>
              </w:rPr>
            </w:pPr>
            <w:r>
              <w:rPr>
                <w:rFonts w:ascii="Arial Narrow" w:hAnsi="Arial Narrow" w:cs="Arial"/>
                <w:sz w:val="16"/>
                <w:szCs w:val="16"/>
              </w:rPr>
              <w:t>19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210"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0BF91455" w:rsidR="00534C70" w:rsidRPr="00CA7C6A" w:rsidRDefault="00534C70" w:rsidP="00534C70">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ACD015" w14:textId="6E7E0D8D" w:rsidR="00534C70" w:rsidRPr="00CA7C6A" w:rsidRDefault="00534C70" w:rsidP="00313AD9">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6B770D2" w14:textId="06DE48AE" w:rsidR="00534C70" w:rsidRPr="00CA7C6A"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6BDAA42B" w:rsidR="00534C70" w:rsidRPr="008805E5" w:rsidRDefault="00534C70" w:rsidP="009E4A93">
            <w:pPr>
              <w:jc w:val="center"/>
              <w:rPr>
                <w:rFonts w:ascii="Arial Narrow" w:hAnsi="Arial Narrow"/>
                <w:sz w:val="16"/>
                <w:szCs w:val="16"/>
              </w:rPr>
            </w:pPr>
          </w:p>
        </w:tc>
      </w:tr>
      <w:tr w:rsidR="00CA7C6A" w:rsidRPr="00BC2C5D" w14:paraId="358400C0" w14:textId="77777777" w:rsidTr="00CC69CF">
        <w:trPr>
          <w:trHeight w:val="567"/>
        </w:trPr>
        <w:tc>
          <w:tcPr>
            <w:tcW w:w="1395"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0D86B985" w:rsidR="00CA7C6A" w:rsidRDefault="00CA7C6A" w:rsidP="00CA7C6A">
            <w:pPr>
              <w:jc w:val="center"/>
              <w:rPr>
                <w:rFonts w:ascii="Arial Narrow" w:hAnsi="Arial Narrow" w:cs="Arial"/>
                <w:sz w:val="16"/>
                <w:szCs w:val="16"/>
              </w:rPr>
            </w:pPr>
            <w:r>
              <w:rPr>
                <w:rFonts w:ascii="Arial Narrow" w:hAnsi="Arial Narrow" w:cs="Arial"/>
                <w:sz w:val="16"/>
                <w:szCs w:val="16"/>
              </w:rPr>
              <w:t>26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02B8358C" w:rsidR="00CA7C6A" w:rsidRPr="00A634FA" w:rsidRDefault="00CA7C6A" w:rsidP="00CA7C6A">
            <w:pPr>
              <w:jc w:val="center"/>
              <w:rPr>
                <w:rFonts w:ascii="Arial Narrow" w:hAnsi="Arial Narrow" w:cs="Arial"/>
                <w:sz w:val="16"/>
                <w:szCs w:val="16"/>
                <w:highlight w:val="yellow"/>
              </w:rPr>
            </w:pPr>
            <w:r w:rsidRPr="006E14DE">
              <w:rPr>
                <w:rFonts w:ascii="Arial Narrow" w:hAnsi="Arial Narrow" w:cs="Arial"/>
                <w:b/>
                <w:bCs/>
                <w:sz w:val="16"/>
                <w:szCs w:val="16"/>
              </w:rPr>
              <w:t>Public Holiday</w:t>
            </w:r>
          </w:p>
        </w:tc>
        <w:tc>
          <w:tcPr>
            <w:tcW w:w="1210"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6FEB001E" w:rsidR="00CA7C6A" w:rsidRDefault="00CA7C6A" w:rsidP="00CA7C6A">
            <w:pPr>
              <w:jc w:val="center"/>
              <w:rPr>
                <w:rFonts w:ascii="Arial Narrow" w:hAnsi="Arial Narrow" w:cs="Arial"/>
                <w:color w:val="000000"/>
                <w:sz w:val="16"/>
                <w:szCs w:val="16"/>
              </w:rPr>
            </w:pPr>
            <w:r w:rsidRPr="006E14DE">
              <w:rPr>
                <w:rFonts w:ascii="Arial Narrow" w:hAnsi="Arial Narrow" w:cs="Arial"/>
                <w:b/>
                <w:bCs/>
                <w:sz w:val="16"/>
                <w:szCs w:val="16"/>
              </w:rPr>
              <w:t>Public Holiday</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CA7C6A" w:rsidRDefault="00CA7C6A" w:rsidP="00CA7C6A">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CA7C6A" w:rsidRDefault="00CA7C6A" w:rsidP="00CA7C6A">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CA7C6A" w:rsidRPr="00A634FA" w:rsidRDefault="00CA7C6A" w:rsidP="00CA7C6A">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42DC9DDE" w14:textId="77777777" w:rsidR="00CA7C6A" w:rsidRPr="00CA7C6A" w:rsidRDefault="00CA7C6A" w:rsidP="00CA7C6A">
            <w:pPr>
              <w:jc w:val="center"/>
              <w:rPr>
                <w:rFonts w:ascii="Arial Narrow" w:hAnsi="Arial Narrow" w:cs="Arial"/>
                <w:b/>
                <w:bCs/>
                <w:sz w:val="16"/>
                <w:szCs w:val="16"/>
              </w:rPr>
            </w:pPr>
            <w:r w:rsidRPr="00CA7C6A">
              <w:rPr>
                <w:rFonts w:ascii="Arial Narrow" w:hAnsi="Arial Narrow" w:cs="Arial"/>
                <w:b/>
                <w:bCs/>
                <w:sz w:val="16"/>
                <w:szCs w:val="16"/>
              </w:rPr>
              <w:t>Mon 26</w:t>
            </w:r>
            <w:r w:rsidRPr="00CA7C6A">
              <w:rPr>
                <w:rFonts w:ascii="Arial Narrow" w:hAnsi="Arial Narrow" w:cs="Arial"/>
                <w:b/>
                <w:bCs/>
                <w:sz w:val="16"/>
                <w:szCs w:val="16"/>
                <w:vertAlign w:val="superscript"/>
              </w:rPr>
              <w:t>th</w:t>
            </w:r>
            <w:r w:rsidRPr="00CA7C6A">
              <w:rPr>
                <w:rFonts w:ascii="Arial Narrow" w:hAnsi="Arial Narrow" w:cs="Arial"/>
                <w:b/>
                <w:bCs/>
                <w:sz w:val="16"/>
                <w:szCs w:val="16"/>
              </w:rPr>
              <w:t xml:space="preserve"> &amp; Tue 27</w:t>
            </w:r>
            <w:r w:rsidRPr="00CA7C6A">
              <w:rPr>
                <w:rFonts w:ascii="Arial Narrow" w:hAnsi="Arial Narrow" w:cs="Arial"/>
                <w:b/>
                <w:bCs/>
                <w:sz w:val="16"/>
                <w:szCs w:val="16"/>
                <w:vertAlign w:val="superscript"/>
              </w:rPr>
              <w:t>th</w:t>
            </w:r>
            <w:r w:rsidRPr="00CA7C6A">
              <w:rPr>
                <w:rFonts w:ascii="Arial Narrow" w:hAnsi="Arial Narrow" w:cs="Arial"/>
                <w:b/>
                <w:bCs/>
                <w:sz w:val="16"/>
                <w:szCs w:val="16"/>
              </w:rPr>
              <w:t xml:space="preserve"> Christmas Day and Boxing Day,</w:t>
            </w:r>
          </w:p>
          <w:p w14:paraId="5A84D8F4" w14:textId="24A126E4" w:rsidR="00CA7C6A" w:rsidRPr="00CA7C6A" w:rsidRDefault="00CA7C6A" w:rsidP="00CA7C6A">
            <w:pPr>
              <w:jc w:val="center"/>
              <w:rPr>
                <w:rFonts w:ascii="Arial Narrow" w:hAnsi="Arial Narrow"/>
                <w:sz w:val="16"/>
                <w:szCs w:val="16"/>
              </w:rPr>
            </w:pPr>
            <w:r w:rsidRPr="00CA7C6A">
              <w:rPr>
                <w:rFonts w:ascii="Arial Narrow" w:hAnsi="Arial Narrow" w:cs="Arial"/>
                <w:sz w:val="16"/>
                <w:szCs w:val="16"/>
              </w:rPr>
              <w:t>28, 29, 30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06D8F0CB" w:rsidR="00583BA9" w:rsidRPr="00583BA9" w:rsidRDefault="00583BA9" w:rsidP="00583BA9">
            <w:pPr>
              <w:rPr>
                <w:rFonts w:ascii="Arial" w:hAnsi="Arial" w:cs="Arial"/>
                <w:sz w:val="18"/>
                <w:szCs w:val="18"/>
              </w:rPr>
            </w:pPr>
            <w:r w:rsidRPr="00583BA9">
              <w:rPr>
                <w:rFonts w:ascii="Arial" w:hAnsi="Arial" w:cs="Arial"/>
                <w:sz w:val="18"/>
                <w:szCs w:val="18"/>
              </w:rPr>
              <w:t>Tracey Paterson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5DC52A4E" w:rsidR="00C97DD8" w:rsidRPr="00583BA9" w:rsidRDefault="00C97DD8" w:rsidP="008F23DF">
            <w:pPr>
              <w:rPr>
                <w:rFonts w:ascii="Arial" w:hAnsi="Arial" w:cs="Arial"/>
                <w:sz w:val="18"/>
                <w:szCs w:val="18"/>
              </w:rPr>
            </w:pP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209F659D"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215AA6F3"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3FCF9CD8" w:rsidR="00583BA9" w:rsidRPr="00583BA9" w:rsidRDefault="00583BA9" w:rsidP="00583BA9">
            <w:pPr>
              <w:rPr>
                <w:rFonts w:ascii="Arial" w:hAnsi="Arial" w:cs="Arial"/>
                <w:sz w:val="18"/>
                <w:szCs w:val="18"/>
              </w:rPr>
            </w:pPr>
            <w:r w:rsidRPr="00583BA9">
              <w:rPr>
                <w:rFonts w:ascii="Arial" w:hAnsi="Arial" w:cs="Arial"/>
                <w:sz w:val="18"/>
                <w:szCs w:val="18"/>
              </w:rPr>
              <w:t>Bryce Coxall</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0F3A97">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6752AA" w:rsidRPr="00504360" w:rsidRDefault="006752AA"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6752AA" w:rsidRPr="00504360" w:rsidRDefault="006752AA"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6A654ADA"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B77504">
        <w:rPr>
          <w:sz w:val="16"/>
          <w:szCs w:val="16"/>
        </w:rPr>
        <w:t>5</w:t>
      </w:r>
      <w:r w:rsidRPr="007F1AF6">
        <w:rPr>
          <w:sz w:val="16"/>
          <w:szCs w:val="16"/>
        </w:rPr>
        <w:t>.</w:t>
      </w:r>
    </w:p>
  </w:footnote>
  <w:footnote w:id="6">
    <w:p w14:paraId="255B35DE" w14:textId="44BAC7B7" w:rsidR="00324B7B" w:rsidRDefault="00324B7B">
      <w:pPr>
        <w:pStyle w:val="FootnoteText"/>
      </w:pPr>
      <w:r>
        <w:rPr>
          <w:rStyle w:val="FootnoteReference"/>
        </w:rPr>
        <w:footnoteRef/>
      </w:r>
      <w:r>
        <w:t xml:space="preserve"> </w:t>
      </w:r>
      <w:bookmarkStart w:id="9" w:name="_Hlk97300676"/>
      <w:r w:rsidRPr="00F106B3">
        <w:rPr>
          <w:sz w:val="16"/>
          <w:szCs w:val="16"/>
        </w:rPr>
        <w:t xml:space="preserve">Refer to the descriptions of </w:t>
      </w:r>
      <w:r w:rsidRPr="007F1AF6">
        <w:rPr>
          <w:sz w:val="16"/>
          <w:szCs w:val="16"/>
        </w:rPr>
        <w:t xml:space="preserve">abbreviations on page </w:t>
      </w:r>
      <w:r w:rsidR="00B77504">
        <w:rPr>
          <w:sz w:val="16"/>
          <w:szCs w:val="16"/>
        </w:rPr>
        <w:t>5</w:t>
      </w:r>
      <w:r w:rsidRPr="007F1AF6">
        <w:rPr>
          <w:sz w:val="16"/>
          <w:szCs w:val="16"/>
        </w:rPr>
        <w:t>.</w:t>
      </w:r>
      <w:bookmarkEnd w:id="9"/>
    </w:p>
  </w:footnote>
  <w:footnote w:id="7">
    <w:p w14:paraId="3413357A" w14:textId="48ACBD14"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B77504">
        <w:rPr>
          <w:sz w:val="16"/>
          <w:szCs w:val="16"/>
        </w:rPr>
        <w:t>5</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70C1A401" w14:textId="77777777" w:rsidR="00324B7B" w:rsidRPr="004B50DF" w:rsidRDefault="00324B7B"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524E0B" w:rsidRDefault="00524E0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524E0B" w:rsidRDefault="00524E0B"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524E0B" w:rsidRDefault="00524E0B"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524E0B" w:rsidRPr="004C7880" w:rsidRDefault="00524E0B"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524E0B" w:rsidRDefault="00524E0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524E0B" w:rsidRDefault="00524E0B">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524E0B" w:rsidRDefault="00524E0B">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333E43B" w:rsidR="00324B7B" w:rsidRDefault="00324B7B" w:rsidP="00F500CF">
      <w:pPr>
        <w:pStyle w:val="FootnoteText"/>
        <w:jc w:val="both"/>
      </w:pPr>
      <w:r w:rsidRPr="00C5462F">
        <w:rPr>
          <w:rStyle w:val="FootnoteReference"/>
          <w:sz w:val="16"/>
          <w:szCs w:val="16"/>
        </w:rPr>
        <w:footnoteRef/>
      </w:r>
      <w:r w:rsidRPr="004971EA">
        <w:rPr>
          <w:sz w:val="16"/>
          <w:szCs w:val="16"/>
        </w:rPr>
        <w:t xml:space="preserve"> </w:t>
      </w:r>
      <w:r w:rsidR="00587B7C" w:rsidRPr="004971EA">
        <w:rPr>
          <w:sz w:val="16"/>
          <w:szCs w:val="16"/>
        </w:rPr>
        <w:t xml:space="preserve">Note: </w:t>
      </w:r>
      <w:r w:rsidR="00587B7C" w:rsidRPr="0044594D">
        <w:rPr>
          <w:sz w:val="16"/>
          <w:szCs w:val="16"/>
        </w:rPr>
        <w:t>Australian Statistical Geography Standard 20</w:t>
      </w:r>
      <w:r w:rsidR="00587B7C">
        <w:rPr>
          <w:sz w:val="16"/>
          <w:szCs w:val="16"/>
        </w:rPr>
        <w:t>21</w:t>
      </w:r>
      <w:r w:rsidR="00587B7C" w:rsidRPr="0044594D">
        <w:rPr>
          <w:sz w:val="16"/>
          <w:szCs w:val="16"/>
        </w:rPr>
        <w:t xml:space="preserve"> boundaries used are local government areas for Aurukun, Doomadgee and Hope Vale, and statistical areas level 1 (SA1s) of </w:t>
      </w:r>
      <w:r w:rsidR="00587B7C">
        <w:rPr>
          <w:sz w:val="16"/>
          <w:szCs w:val="16"/>
        </w:rPr>
        <w:t>31501139616</w:t>
      </w:r>
      <w:r w:rsidR="00587B7C" w:rsidRPr="0044594D">
        <w:rPr>
          <w:sz w:val="16"/>
          <w:szCs w:val="16"/>
        </w:rPr>
        <w:t xml:space="preserve"> for Coen and </w:t>
      </w:r>
      <w:r w:rsidR="00587B7C">
        <w:rPr>
          <w:sz w:val="16"/>
          <w:szCs w:val="16"/>
        </w:rPr>
        <w:t>30604116408</w:t>
      </w:r>
      <w:r w:rsidR="00587B7C" w:rsidRPr="0044594D">
        <w:rPr>
          <w:sz w:val="16"/>
          <w:szCs w:val="16"/>
        </w:rPr>
        <w:t xml:space="preserve"> for Mossman Gorge.</w:t>
      </w:r>
    </w:p>
  </w:footnote>
  <w:footnote w:id="19">
    <w:p w14:paraId="3BBC0E7E" w14:textId="3BFF06EC" w:rsidR="00324B7B" w:rsidRDefault="00324B7B" w:rsidP="00F500CF">
      <w:pPr>
        <w:pStyle w:val="FootnoteText"/>
      </w:pPr>
      <w:r w:rsidRPr="004971EA">
        <w:rPr>
          <w:rStyle w:val="FootnoteReference"/>
          <w:sz w:val="16"/>
          <w:szCs w:val="16"/>
        </w:rPr>
        <w:footnoteRef/>
      </w:r>
      <w:r w:rsidRPr="004971EA">
        <w:rPr>
          <w:sz w:val="16"/>
          <w:szCs w:val="16"/>
        </w:rPr>
        <w:t xml:space="preserve"> </w:t>
      </w:r>
      <w:r w:rsidR="00587B7C" w:rsidRPr="004971EA">
        <w:rPr>
          <w:sz w:val="16"/>
          <w:szCs w:val="16"/>
        </w:rPr>
        <w:t xml:space="preserve">Note: Adults </w:t>
      </w:r>
      <w:r w:rsidR="00587B7C">
        <w:rPr>
          <w:sz w:val="16"/>
          <w:szCs w:val="16"/>
        </w:rPr>
        <w:t>18</w:t>
      </w:r>
      <w:r w:rsidR="00587B7C" w:rsidRPr="004971EA">
        <w:rPr>
          <w:sz w:val="16"/>
          <w:szCs w:val="16"/>
        </w:rPr>
        <w:t xml:space="preserve"> years and over provided by the </w:t>
      </w:r>
      <w:r w:rsidR="00587B7C" w:rsidRPr="001816AB">
        <w:rPr>
          <w:sz w:val="16"/>
          <w:szCs w:val="16"/>
        </w:rPr>
        <w:t>Queensland Government Statistician’s Office (QGSO), Queensland Treasury, based on the Australian Bureau of Statistics (ABS) unpublished preliminary rebased (to 2021 Census) Estimated Resident Population (ERP) data by age and sex at the Local Government Area level for 30 June 2021.</w:t>
      </w:r>
    </w:p>
  </w:footnote>
  <w:footnote w:id="20">
    <w:p w14:paraId="3884DA28" w14:textId="3A53F2FE" w:rsidR="00324B7B" w:rsidRDefault="00324B7B" w:rsidP="00F500CF">
      <w:pPr>
        <w:pStyle w:val="FootnoteText"/>
      </w:pPr>
      <w:r w:rsidRPr="00C5462F">
        <w:rPr>
          <w:rStyle w:val="FootnoteReference"/>
          <w:sz w:val="18"/>
          <w:szCs w:val="18"/>
        </w:rPr>
        <w:footnoteRef/>
      </w:r>
      <w:r w:rsidRPr="004971EA">
        <w:rPr>
          <w:sz w:val="16"/>
          <w:szCs w:val="16"/>
        </w:rPr>
        <w:t xml:space="preserve"> </w:t>
      </w:r>
      <w:r w:rsidR="00587B7C" w:rsidRPr="0006058E">
        <w:rPr>
          <w:sz w:val="16"/>
          <w:szCs w:val="16"/>
        </w:rPr>
        <w:t xml:space="preserve">Note: Adults </w:t>
      </w:r>
      <w:r w:rsidR="00587B7C">
        <w:rPr>
          <w:sz w:val="16"/>
          <w:szCs w:val="16"/>
        </w:rPr>
        <w:t xml:space="preserve">18 years and over provided by </w:t>
      </w:r>
      <w:r w:rsidR="00587B7C">
        <w:rPr>
          <w:rFonts w:cs="Arial"/>
          <w:sz w:val="16"/>
          <w:szCs w:val="16"/>
        </w:rPr>
        <w:t>QGSO</w:t>
      </w:r>
      <w:r w:rsidR="00587B7C" w:rsidRPr="0006058E">
        <w:rPr>
          <w:rFonts w:cs="Arial"/>
          <w:sz w:val="16"/>
          <w:szCs w:val="16"/>
        </w:rPr>
        <w:t xml:space="preserve">, Queensland Treasury, based on the </w:t>
      </w:r>
      <w:r w:rsidR="00587B7C">
        <w:rPr>
          <w:rFonts w:cs="Arial"/>
          <w:sz w:val="16"/>
          <w:szCs w:val="16"/>
        </w:rPr>
        <w:t>ABS</w:t>
      </w:r>
      <w:r w:rsidR="00587B7C" w:rsidRPr="0006058E">
        <w:rPr>
          <w:rFonts w:cs="Arial"/>
          <w:sz w:val="16"/>
          <w:szCs w:val="16"/>
        </w:rPr>
        <w:t xml:space="preserve"> </w:t>
      </w:r>
      <w:r w:rsidR="00587B7C">
        <w:rPr>
          <w:rFonts w:cs="Arial"/>
          <w:sz w:val="16"/>
          <w:szCs w:val="16"/>
        </w:rPr>
        <w:t>unpublished preliminary rebased (to 2021 Census) ERP</w:t>
      </w:r>
      <w:r w:rsidR="00587B7C" w:rsidRPr="0006058E">
        <w:rPr>
          <w:rFonts w:cs="Arial"/>
          <w:sz w:val="16"/>
          <w:szCs w:val="16"/>
        </w:rPr>
        <w:t xml:space="preserve"> data by age and sex at the </w:t>
      </w:r>
      <w:r w:rsidR="00587B7C" w:rsidRPr="002376E4">
        <w:rPr>
          <w:rFonts w:cs="Arial"/>
          <w:sz w:val="16"/>
          <w:szCs w:val="16"/>
        </w:rPr>
        <w:t xml:space="preserve">Statistical </w:t>
      </w:r>
      <w:r w:rsidR="00587B7C" w:rsidRPr="0006058E">
        <w:rPr>
          <w:rFonts w:cs="Arial"/>
          <w:sz w:val="16"/>
          <w:szCs w:val="16"/>
        </w:rPr>
        <w:t>Area level</w:t>
      </w:r>
      <w:r w:rsidR="00587B7C">
        <w:rPr>
          <w:rFonts w:cs="Arial"/>
          <w:sz w:val="16"/>
          <w:szCs w:val="16"/>
        </w:rPr>
        <w:t xml:space="preserve"> 1</w:t>
      </w:r>
      <w:r w:rsidR="00587B7C" w:rsidRPr="0006058E">
        <w:rPr>
          <w:rFonts w:cs="Arial"/>
          <w:sz w:val="16"/>
          <w:szCs w:val="16"/>
        </w:rPr>
        <w:t xml:space="preserve"> for 30 June </w:t>
      </w:r>
      <w:r w:rsidR="00587B7C">
        <w:rPr>
          <w:rFonts w:cs="Arial"/>
          <w:sz w:val="16"/>
          <w:szCs w:val="16"/>
        </w:rPr>
        <w:t>2021.</w:t>
      </w:r>
    </w:p>
  </w:footnote>
  <w:footnote w:id="21">
    <w:p w14:paraId="5BB1F6F6" w14:textId="650B342D"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587B7C">
        <w:rPr>
          <w:sz w:val="16"/>
          <w:szCs w:val="16"/>
        </w:rPr>
        <w:t>Total population provided by</w:t>
      </w:r>
      <w:r w:rsidR="00587B7C" w:rsidRPr="008B5D72">
        <w:rPr>
          <w:sz w:val="16"/>
          <w:szCs w:val="16"/>
        </w:rPr>
        <w:t xml:space="preserve"> </w:t>
      </w:r>
      <w:r w:rsidR="00587B7C">
        <w:rPr>
          <w:sz w:val="16"/>
          <w:szCs w:val="16"/>
        </w:rPr>
        <w:t>QGSO</w:t>
      </w:r>
      <w:r w:rsidR="00587B7C" w:rsidRPr="008B5D72">
        <w:rPr>
          <w:sz w:val="16"/>
          <w:szCs w:val="16"/>
        </w:rPr>
        <w:t>, Queensland T</w:t>
      </w:r>
      <w:r w:rsidR="00587B7C">
        <w:rPr>
          <w:sz w:val="16"/>
          <w:szCs w:val="16"/>
        </w:rPr>
        <w:t xml:space="preserve">reasury, not 18 years and older, due to the small size of the total population </w:t>
      </w:r>
      <w:r w:rsidR="00587B7C" w:rsidRPr="002376E4">
        <w:rPr>
          <w:rFonts w:cs="Arial"/>
          <w:sz w:val="16"/>
          <w:szCs w:val="16"/>
        </w:rPr>
        <w:t xml:space="preserve">from the ABS </w:t>
      </w:r>
      <w:r w:rsidR="00587B7C">
        <w:rPr>
          <w:rFonts w:cs="Arial"/>
          <w:sz w:val="16"/>
          <w:szCs w:val="16"/>
        </w:rPr>
        <w:t xml:space="preserve">unpublished preliminary rebased (to 2021 Census) </w:t>
      </w:r>
      <w:r w:rsidR="00587B7C" w:rsidRPr="002376E4">
        <w:rPr>
          <w:rFonts w:cs="Arial"/>
          <w:sz w:val="16"/>
          <w:szCs w:val="16"/>
        </w:rPr>
        <w:t xml:space="preserve">ERP data at the Statistical Area level 1 for 30 June </w:t>
      </w:r>
      <w:r w:rsidR="00587B7C">
        <w:rPr>
          <w:rFonts w:cs="Arial"/>
          <w:sz w:val="16"/>
          <w:szCs w:val="16"/>
        </w:rPr>
        <w:t>2021</w:t>
      </w:r>
      <w:r w:rsidR="00587B7C" w:rsidRPr="002376E4">
        <w:rPr>
          <w:rFonts w:cs="Arial"/>
          <w:sz w:val="16"/>
          <w:szCs w:val="16"/>
        </w:rPr>
        <w:t>.</w:t>
      </w:r>
    </w:p>
  </w:footnote>
  <w:footnote w:id="22">
    <w:p w14:paraId="3AED00E9" w14:textId="162C6973" w:rsidR="00BF7649" w:rsidRPr="00303EEF" w:rsidRDefault="00BF7649">
      <w:pPr>
        <w:pStyle w:val="FootnoteText"/>
        <w:rPr>
          <w:sz w:val="16"/>
          <w:szCs w:val="16"/>
          <w:lang w:val="en-US"/>
        </w:rPr>
      </w:pPr>
      <w:r w:rsidRPr="00303EEF">
        <w:rPr>
          <w:rStyle w:val="FootnoteReference"/>
          <w:sz w:val="16"/>
          <w:szCs w:val="16"/>
        </w:rPr>
        <w:footnoteRef/>
      </w:r>
      <w:r w:rsidRPr="00303EEF">
        <w:rPr>
          <w:sz w:val="16"/>
          <w:szCs w:val="16"/>
        </w:rPr>
        <w:t xml:space="preserve"> </w:t>
      </w:r>
      <w:r w:rsidRPr="00303EEF">
        <w:rPr>
          <w:rStyle w:val="FootnoteReference"/>
          <w:sz w:val="16"/>
          <w:szCs w:val="16"/>
          <w:vertAlign w:val="baseline"/>
        </w:rPr>
        <w:t>Statement of Compatibility with Human Rights; Supplementary Explanatory Memorandum; Social Security (Administration) Amendment (Repeal of Cashless Debit Card and Other Measures) Act 2022; prepared in accordance with Part 3 of the Human Rights (Parliamentary Sc</w:t>
      </w:r>
      <w:r w:rsidR="00E2375D" w:rsidRPr="00303EEF">
        <w:rPr>
          <w:rStyle w:val="FootnoteReference"/>
          <w:sz w:val="16"/>
          <w:szCs w:val="16"/>
          <w:vertAlign w:val="baseline"/>
        </w:rPr>
        <w:t>rutiny) Act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1147C71"/>
    <w:multiLevelType w:val="hybridMultilevel"/>
    <w:tmpl w:val="B44655A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01D31D39"/>
    <w:multiLevelType w:val="hybridMultilevel"/>
    <w:tmpl w:val="7BC0F74A"/>
    <w:lvl w:ilvl="0" w:tplc="8EB88A92">
      <w:start w:val="1"/>
      <w:numFmt w:val="bullet"/>
      <w:lvlText w:val="•"/>
      <w:lvlJc w:val="left"/>
      <w:pPr>
        <w:tabs>
          <w:tab w:val="num" w:pos="720"/>
        </w:tabs>
        <w:ind w:left="720" w:hanging="360"/>
      </w:pPr>
      <w:rPr>
        <w:rFonts w:ascii="Arial" w:hAnsi="Arial" w:hint="default"/>
      </w:rPr>
    </w:lvl>
    <w:lvl w:ilvl="1" w:tplc="A1F82D80">
      <w:numFmt w:val="bullet"/>
      <w:lvlText w:val=""/>
      <w:lvlJc w:val="left"/>
      <w:pPr>
        <w:tabs>
          <w:tab w:val="num" w:pos="1440"/>
        </w:tabs>
        <w:ind w:left="1440" w:hanging="360"/>
      </w:pPr>
      <w:rPr>
        <w:rFonts w:ascii="Wingdings" w:hAnsi="Wingdings" w:hint="default"/>
      </w:rPr>
    </w:lvl>
    <w:lvl w:ilvl="2" w:tplc="F924716C" w:tentative="1">
      <w:start w:val="1"/>
      <w:numFmt w:val="bullet"/>
      <w:lvlText w:val="•"/>
      <w:lvlJc w:val="left"/>
      <w:pPr>
        <w:tabs>
          <w:tab w:val="num" w:pos="2160"/>
        </w:tabs>
        <w:ind w:left="2160" w:hanging="360"/>
      </w:pPr>
      <w:rPr>
        <w:rFonts w:ascii="Arial" w:hAnsi="Arial" w:hint="default"/>
      </w:rPr>
    </w:lvl>
    <w:lvl w:ilvl="3" w:tplc="AB1A90A6" w:tentative="1">
      <w:start w:val="1"/>
      <w:numFmt w:val="bullet"/>
      <w:lvlText w:val="•"/>
      <w:lvlJc w:val="left"/>
      <w:pPr>
        <w:tabs>
          <w:tab w:val="num" w:pos="2880"/>
        </w:tabs>
        <w:ind w:left="2880" w:hanging="360"/>
      </w:pPr>
      <w:rPr>
        <w:rFonts w:ascii="Arial" w:hAnsi="Arial" w:hint="default"/>
      </w:rPr>
    </w:lvl>
    <w:lvl w:ilvl="4" w:tplc="CD804EB4" w:tentative="1">
      <w:start w:val="1"/>
      <w:numFmt w:val="bullet"/>
      <w:lvlText w:val="•"/>
      <w:lvlJc w:val="left"/>
      <w:pPr>
        <w:tabs>
          <w:tab w:val="num" w:pos="3600"/>
        </w:tabs>
        <w:ind w:left="3600" w:hanging="360"/>
      </w:pPr>
      <w:rPr>
        <w:rFonts w:ascii="Arial" w:hAnsi="Arial" w:hint="default"/>
      </w:rPr>
    </w:lvl>
    <w:lvl w:ilvl="5" w:tplc="9F24A544" w:tentative="1">
      <w:start w:val="1"/>
      <w:numFmt w:val="bullet"/>
      <w:lvlText w:val="•"/>
      <w:lvlJc w:val="left"/>
      <w:pPr>
        <w:tabs>
          <w:tab w:val="num" w:pos="4320"/>
        </w:tabs>
        <w:ind w:left="4320" w:hanging="360"/>
      </w:pPr>
      <w:rPr>
        <w:rFonts w:ascii="Arial" w:hAnsi="Arial" w:hint="default"/>
      </w:rPr>
    </w:lvl>
    <w:lvl w:ilvl="6" w:tplc="96CA5894" w:tentative="1">
      <w:start w:val="1"/>
      <w:numFmt w:val="bullet"/>
      <w:lvlText w:val="•"/>
      <w:lvlJc w:val="left"/>
      <w:pPr>
        <w:tabs>
          <w:tab w:val="num" w:pos="5040"/>
        </w:tabs>
        <w:ind w:left="5040" w:hanging="360"/>
      </w:pPr>
      <w:rPr>
        <w:rFonts w:ascii="Arial" w:hAnsi="Arial" w:hint="default"/>
      </w:rPr>
    </w:lvl>
    <w:lvl w:ilvl="7" w:tplc="822E7FD8" w:tentative="1">
      <w:start w:val="1"/>
      <w:numFmt w:val="bullet"/>
      <w:lvlText w:val="•"/>
      <w:lvlJc w:val="left"/>
      <w:pPr>
        <w:tabs>
          <w:tab w:val="num" w:pos="5760"/>
        </w:tabs>
        <w:ind w:left="5760" w:hanging="360"/>
      </w:pPr>
      <w:rPr>
        <w:rFonts w:ascii="Arial" w:hAnsi="Arial" w:hint="default"/>
      </w:rPr>
    </w:lvl>
    <w:lvl w:ilvl="8" w:tplc="0D049E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2D7CCC"/>
    <w:multiLevelType w:val="hybridMultilevel"/>
    <w:tmpl w:val="BD96DEBA"/>
    <w:lvl w:ilvl="0" w:tplc="3F8AEA88">
      <w:start w:val="1"/>
      <w:numFmt w:val="bullet"/>
      <w:lvlText w:val="•"/>
      <w:lvlJc w:val="left"/>
      <w:pPr>
        <w:tabs>
          <w:tab w:val="num" w:pos="720"/>
        </w:tabs>
        <w:ind w:left="720" w:hanging="360"/>
      </w:pPr>
      <w:rPr>
        <w:rFonts w:ascii="Arial" w:hAnsi="Arial" w:hint="default"/>
      </w:rPr>
    </w:lvl>
    <w:lvl w:ilvl="1" w:tplc="28EC35E8">
      <w:numFmt w:val="bullet"/>
      <w:lvlText w:val=""/>
      <w:lvlJc w:val="left"/>
      <w:pPr>
        <w:tabs>
          <w:tab w:val="num" w:pos="1440"/>
        </w:tabs>
        <w:ind w:left="1440" w:hanging="360"/>
      </w:pPr>
      <w:rPr>
        <w:rFonts w:ascii="Wingdings" w:hAnsi="Wingdings" w:hint="default"/>
      </w:rPr>
    </w:lvl>
    <w:lvl w:ilvl="2" w:tplc="66089DE8" w:tentative="1">
      <w:start w:val="1"/>
      <w:numFmt w:val="bullet"/>
      <w:lvlText w:val="•"/>
      <w:lvlJc w:val="left"/>
      <w:pPr>
        <w:tabs>
          <w:tab w:val="num" w:pos="2160"/>
        </w:tabs>
        <w:ind w:left="2160" w:hanging="360"/>
      </w:pPr>
      <w:rPr>
        <w:rFonts w:ascii="Arial" w:hAnsi="Arial" w:hint="default"/>
      </w:rPr>
    </w:lvl>
    <w:lvl w:ilvl="3" w:tplc="3594F1CE" w:tentative="1">
      <w:start w:val="1"/>
      <w:numFmt w:val="bullet"/>
      <w:lvlText w:val="•"/>
      <w:lvlJc w:val="left"/>
      <w:pPr>
        <w:tabs>
          <w:tab w:val="num" w:pos="2880"/>
        </w:tabs>
        <w:ind w:left="2880" w:hanging="360"/>
      </w:pPr>
      <w:rPr>
        <w:rFonts w:ascii="Arial" w:hAnsi="Arial" w:hint="default"/>
      </w:rPr>
    </w:lvl>
    <w:lvl w:ilvl="4" w:tplc="00D8D7C4" w:tentative="1">
      <w:start w:val="1"/>
      <w:numFmt w:val="bullet"/>
      <w:lvlText w:val="•"/>
      <w:lvlJc w:val="left"/>
      <w:pPr>
        <w:tabs>
          <w:tab w:val="num" w:pos="3600"/>
        </w:tabs>
        <w:ind w:left="3600" w:hanging="360"/>
      </w:pPr>
      <w:rPr>
        <w:rFonts w:ascii="Arial" w:hAnsi="Arial" w:hint="default"/>
      </w:rPr>
    </w:lvl>
    <w:lvl w:ilvl="5" w:tplc="16C60814" w:tentative="1">
      <w:start w:val="1"/>
      <w:numFmt w:val="bullet"/>
      <w:lvlText w:val="•"/>
      <w:lvlJc w:val="left"/>
      <w:pPr>
        <w:tabs>
          <w:tab w:val="num" w:pos="4320"/>
        </w:tabs>
        <w:ind w:left="4320" w:hanging="360"/>
      </w:pPr>
      <w:rPr>
        <w:rFonts w:ascii="Arial" w:hAnsi="Arial" w:hint="default"/>
      </w:rPr>
    </w:lvl>
    <w:lvl w:ilvl="6" w:tplc="552CF48A" w:tentative="1">
      <w:start w:val="1"/>
      <w:numFmt w:val="bullet"/>
      <w:lvlText w:val="•"/>
      <w:lvlJc w:val="left"/>
      <w:pPr>
        <w:tabs>
          <w:tab w:val="num" w:pos="5040"/>
        </w:tabs>
        <w:ind w:left="5040" w:hanging="360"/>
      </w:pPr>
      <w:rPr>
        <w:rFonts w:ascii="Arial" w:hAnsi="Arial" w:hint="default"/>
      </w:rPr>
    </w:lvl>
    <w:lvl w:ilvl="7" w:tplc="194AAECE" w:tentative="1">
      <w:start w:val="1"/>
      <w:numFmt w:val="bullet"/>
      <w:lvlText w:val="•"/>
      <w:lvlJc w:val="left"/>
      <w:pPr>
        <w:tabs>
          <w:tab w:val="num" w:pos="5760"/>
        </w:tabs>
        <w:ind w:left="5760" w:hanging="360"/>
      </w:pPr>
      <w:rPr>
        <w:rFonts w:ascii="Arial" w:hAnsi="Arial" w:hint="default"/>
      </w:rPr>
    </w:lvl>
    <w:lvl w:ilvl="8" w:tplc="80FE21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187A41E0"/>
    <w:multiLevelType w:val="hybridMultilevel"/>
    <w:tmpl w:val="D3D05694"/>
    <w:lvl w:ilvl="0" w:tplc="E1D8CA30">
      <w:start w:val="1"/>
      <w:numFmt w:val="bullet"/>
      <w:lvlText w:val="•"/>
      <w:lvlJc w:val="left"/>
      <w:pPr>
        <w:tabs>
          <w:tab w:val="num" w:pos="720"/>
        </w:tabs>
        <w:ind w:left="720" w:hanging="360"/>
      </w:pPr>
      <w:rPr>
        <w:rFonts w:ascii="Arial" w:hAnsi="Arial" w:hint="default"/>
      </w:rPr>
    </w:lvl>
    <w:lvl w:ilvl="1" w:tplc="1DD6FCF6" w:tentative="1">
      <w:start w:val="1"/>
      <w:numFmt w:val="bullet"/>
      <w:lvlText w:val="•"/>
      <w:lvlJc w:val="left"/>
      <w:pPr>
        <w:tabs>
          <w:tab w:val="num" w:pos="1440"/>
        </w:tabs>
        <w:ind w:left="1440" w:hanging="360"/>
      </w:pPr>
      <w:rPr>
        <w:rFonts w:ascii="Arial" w:hAnsi="Arial" w:hint="default"/>
      </w:rPr>
    </w:lvl>
    <w:lvl w:ilvl="2" w:tplc="F638727A" w:tentative="1">
      <w:start w:val="1"/>
      <w:numFmt w:val="bullet"/>
      <w:lvlText w:val="•"/>
      <w:lvlJc w:val="left"/>
      <w:pPr>
        <w:tabs>
          <w:tab w:val="num" w:pos="2160"/>
        </w:tabs>
        <w:ind w:left="2160" w:hanging="360"/>
      </w:pPr>
      <w:rPr>
        <w:rFonts w:ascii="Arial" w:hAnsi="Arial" w:hint="default"/>
      </w:rPr>
    </w:lvl>
    <w:lvl w:ilvl="3" w:tplc="41DE5570" w:tentative="1">
      <w:start w:val="1"/>
      <w:numFmt w:val="bullet"/>
      <w:lvlText w:val="•"/>
      <w:lvlJc w:val="left"/>
      <w:pPr>
        <w:tabs>
          <w:tab w:val="num" w:pos="2880"/>
        </w:tabs>
        <w:ind w:left="2880" w:hanging="360"/>
      </w:pPr>
      <w:rPr>
        <w:rFonts w:ascii="Arial" w:hAnsi="Arial" w:hint="default"/>
      </w:rPr>
    </w:lvl>
    <w:lvl w:ilvl="4" w:tplc="30B4D5D8" w:tentative="1">
      <w:start w:val="1"/>
      <w:numFmt w:val="bullet"/>
      <w:lvlText w:val="•"/>
      <w:lvlJc w:val="left"/>
      <w:pPr>
        <w:tabs>
          <w:tab w:val="num" w:pos="3600"/>
        </w:tabs>
        <w:ind w:left="3600" w:hanging="360"/>
      </w:pPr>
      <w:rPr>
        <w:rFonts w:ascii="Arial" w:hAnsi="Arial" w:hint="default"/>
      </w:rPr>
    </w:lvl>
    <w:lvl w:ilvl="5" w:tplc="7C542208" w:tentative="1">
      <w:start w:val="1"/>
      <w:numFmt w:val="bullet"/>
      <w:lvlText w:val="•"/>
      <w:lvlJc w:val="left"/>
      <w:pPr>
        <w:tabs>
          <w:tab w:val="num" w:pos="4320"/>
        </w:tabs>
        <w:ind w:left="4320" w:hanging="360"/>
      </w:pPr>
      <w:rPr>
        <w:rFonts w:ascii="Arial" w:hAnsi="Arial" w:hint="default"/>
      </w:rPr>
    </w:lvl>
    <w:lvl w:ilvl="6" w:tplc="EAC64704" w:tentative="1">
      <w:start w:val="1"/>
      <w:numFmt w:val="bullet"/>
      <w:lvlText w:val="•"/>
      <w:lvlJc w:val="left"/>
      <w:pPr>
        <w:tabs>
          <w:tab w:val="num" w:pos="5040"/>
        </w:tabs>
        <w:ind w:left="5040" w:hanging="360"/>
      </w:pPr>
      <w:rPr>
        <w:rFonts w:ascii="Arial" w:hAnsi="Arial" w:hint="default"/>
      </w:rPr>
    </w:lvl>
    <w:lvl w:ilvl="7" w:tplc="BCB02D92" w:tentative="1">
      <w:start w:val="1"/>
      <w:numFmt w:val="bullet"/>
      <w:lvlText w:val="•"/>
      <w:lvlJc w:val="left"/>
      <w:pPr>
        <w:tabs>
          <w:tab w:val="num" w:pos="5760"/>
        </w:tabs>
        <w:ind w:left="5760" w:hanging="360"/>
      </w:pPr>
      <w:rPr>
        <w:rFonts w:ascii="Arial" w:hAnsi="Arial" w:hint="default"/>
      </w:rPr>
    </w:lvl>
    <w:lvl w:ilvl="8" w:tplc="BFEEB8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E32339"/>
    <w:multiLevelType w:val="hybridMultilevel"/>
    <w:tmpl w:val="6DA6F3D6"/>
    <w:lvl w:ilvl="0" w:tplc="416C21BC">
      <w:start w:val="1"/>
      <w:numFmt w:val="decimal"/>
      <w:lvlText w:val="%1."/>
      <w:lvlJc w:val="left"/>
      <w:pPr>
        <w:ind w:left="713" w:hanging="855"/>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8"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3E07C07"/>
    <w:multiLevelType w:val="hybridMultilevel"/>
    <w:tmpl w:val="042A1D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8F0D64"/>
    <w:multiLevelType w:val="hybridMultilevel"/>
    <w:tmpl w:val="4EDE3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A44A96"/>
    <w:multiLevelType w:val="hybridMultilevel"/>
    <w:tmpl w:val="4CD0270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F27CE"/>
    <w:multiLevelType w:val="hybridMultilevel"/>
    <w:tmpl w:val="83E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039DB"/>
    <w:multiLevelType w:val="hybridMultilevel"/>
    <w:tmpl w:val="8AB233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C1C1862"/>
    <w:multiLevelType w:val="hybridMultilevel"/>
    <w:tmpl w:val="1EA0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232ABD"/>
    <w:multiLevelType w:val="hybridMultilevel"/>
    <w:tmpl w:val="87041410"/>
    <w:lvl w:ilvl="0" w:tplc="211CB940">
      <w:start w:val="1"/>
      <w:numFmt w:val="bullet"/>
      <w:lvlText w:val="•"/>
      <w:lvlJc w:val="left"/>
      <w:pPr>
        <w:tabs>
          <w:tab w:val="num" w:pos="720"/>
        </w:tabs>
        <w:ind w:left="720" w:hanging="360"/>
      </w:pPr>
      <w:rPr>
        <w:rFonts w:ascii="Arial" w:hAnsi="Arial" w:hint="default"/>
      </w:rPr>
    </w:lvl>
    <w:lvl w:ilvl="1" w:tplc="48C2C188" w:tentative="1">
      <w:start w:val="1"/>
      <w:numFmt w:val="bullet"/>
      <w:lvlText w:val="•"/>
      <w:lvlJc w:val="left"/>
      <w:pPr>
        <w:tabs>
          <w:tab w:val="num" w:pos="1440"/>
        </w:tabs>
        <w:ind w:left="1440" w:hanging="360"/>
      </w:pPr>
      <w:rPr>
        <w:rFonts w:ascii="Arial" w:hAnsi="Arial" w:hint="default"/>
      </w:rPr>
    </w:lvl>
    <w:lvl w:ilvl="2" w:tplc="2758CBD6" w:tentative="1">
      <w:start w:val="1"/>
      <w:numFmt w:val="bullet"/>
      <w:lvlText w:val="•"/>
      <w:lvlJc w:val="left"/>
      <w:pPr>
        <w:tabs>
          <w:tab w:val="num" w:pos="2160"/>
        </w:tabs>
        <w:ind w:left="2160" w:hanging="360"/>
      </w:pPr>
      <w:rPr>
        <w:rFonts w:ascii="Arial" w:hAnsi="Arial" w:hint="default"/>
      </w:rPr>
    </w:lvl>
    <w:lvl w:ilvl="3" w:tplc="546077A6" w:tentative="1">
      <w:start w:val="1"/>
      <w:numFmt w:val="bullet"/>
      <w:lvlText w:val="•"/>
      <w:lvlJc w:val="left"/>
      <w:pPr>
        <w:tabs>
          <w:tab w:val="num" w:pos="2880"/>
        </w:tabs>
        <w:ind w:left="2880" w:hanging="360"/>
      </w:pPr>
      <w:rPr>
        <w:rFonts w:ascii="Arial" w:hAnsi="Arial" w:hint="default"/>
      </w:rPr>
    </w:lvl>
    <w:lvl w:ilvl="4" w:tplc="84DAFFC8" w:tentative="1">
      <w:start w:val="1"/>
      <w:numFmt w:val="bullet"/>
      <w:lvlText w:val="•"/>
      <w:lvlJc w:val="left"/>
      <w:pPr>
        <w:tabs>
          <w:tab w:val="num" w:pos="3600"/>
        </w:tabs>
        <w:ind w:left="3600" w:hanging="360"/>
      </w:pPr>
      <w:rPr>
        <w:rFonts w:ascii="Arial" w:hAnsi="Arial" w:hint="default"/>
      </w:rPr>
    </w:lvl>
    <w:lvl w:ilvl="5" w:tplc="4CBAE24E" w:tentative="1">
      <w:start w:val="1"/>
      <w:numFmt w:val="bullet"/>
      <w:lvlText w:val="•"/>
      <w:lvlJc w:val="left"/>
      <w:pPr>
        <w:tabs>
          <w:tab w:val="num" w:pos="4320"/>
        </w:tabs>
        <w:ind w:left="4320" w:hanging="360"/>
      </w:pPr>
      <w:rPr>
        <w:rFonts w:ascii="Arial" w:hAnsi="Arial" w:hint="default"/>
      </w:rPr>
    </w:lvl>
    <w:lvl w:ilvl="6" w:tplc="84F645AC" w:tentative="1">
      <w:start w:val="1"/>
      <w:numFmt w:val="bullet"/>
      <w:lvlText w:val="•"/>
      <w:lvlJc w:val="left"/>
      <w:pPr>
        <w:tabs>
          <w:tab w:val="num" w:pos="5040"/>
        </w:tabs>
        <w:ind w:left="5040" w:hanging="360"/>
      </w:pPr>
      <w:rPr>
        <w:rFonts w:ascii="Arial" w:hAnsi="Arial" w:hint="default"/>
      </w:rPr>
    </w:lvl>
    <w:lvl w:ilvl="7" w:tplc="231C591C" w:tentative="1">
      <w:start w:val="1"/>
      <w:numFmt w:val="bullet"/>
      <w:lvlText w:val="•"/>
      <w:lvlJc w:val="left"/>
      <w:pPr>
        <w:tabs>
          <w:tab w:val="num" w:pos="5760"/>
        </w:tabs>
        <w:ind w:left="5760" w:hanging="360"/>
      </w:pPr>
      <w:rPr>
        <w:rFonts w:ascii="Arial" w:hAnsi="Arial" w:hint="default"/>
      </w:rPr>
    </w:lvl>
    <w:lvl w:ilvl="8" w:tplc="FC26DF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50F166CD"/>
    <w:multiLevelType w:val="hybridMultilevel"/>
    <w:tmpl w:val="41F4A40A"/>
    <w:lvl w:ilvl="0" w:tplc="BAC4A43E">
      <w:start w:val="1"/>
      <w:numFmt w:val="bullet"/>
      <w:lvlText w:val="•"/>
      <w:lvlJc w:val="left"/>
      <w:pPr>
        <w:tabs>
          <w:tab w:val="num" w:pos="720"/>
        </w:tabs>
        <w:ind w:left="720" w:hanging="360"/>
      </w:pPr>
      <w:rPr>
        <w:rFonts w:ascii="Arial" w:hAnsi="Arial" w:hint="default"/>
      </w:rPr>
    </w:lvl>
    <w:lvl w:ilvl="1" w:tplc="72C2E2C4" w:tentative="1">
      <w:start w:val="1"/>
      <w:numFmt w:val="bullet"/>
      <w:lvlText w:val="•"/>
      <w:lvlJc w:val="left"/>
      <w:pPr>
        <w:tabs>
          <w:tab w:val="num" w:pos="1440"/>
        </w:tabs>
        <w:ind w:left="1440" w:hanging="360"/>
      </w:pPr>
      <w:rPr>
        <w:rFonts w:ascii="Arial" w:hAnsi="Arial" w:hint="default"/>
      </w:rPr>
    </w:lvl>
    <w:lvl w:ilvl="2" w:tplc="F34AEBC4" w:tentative="1">
      <w:start w:val="1"/>
      <w:numFmt w:val="bullet"/>
      <w:lvlText w:val="•"/>
      <w:lvlJc w:val="left"/>
      <w:pPr>
        <w:tabs>
          <w:tab w:val="num" w:pos="2160"/>
        </w:tabs>
        <w:ind w:left="2160" w:hanging="360"/>
      </w:pPr>
      <w:rPr>
        <w:rFonts w:ascii="Arial" w:hAnsi="Arial" w:hint="default"/>
      </w:rPr>
    </w:lvl>
    <w:lvl w:ilvl="3" w:tplc="7312FAAA" w:tentative="1">
      <w:start w:val="1"/>
      <w:numFmt w:val="bullet"/>
      <w:lvlText w:val="•"/>
      <w:lvlJc w:val="left"/>
      <w:pPr>
        <w:tabs>
          <w:tab w:val="num" w:pos="2880"/>
        </w:tabs>
        <w:ind w:left="2880" w:hanging="360"/>
      </w:pPr>
      <w:rPr>
        <w:rFonts w:ascii="Arial" w:hAnsi="Arial" w:hint="default"/>
      </w:rPr>
    </w:lvl>
    <w:lvl w:ilvl="4" w:tplc="1590BC82" w:tentative="1">
      <w:start w:val="1"/>
      <w:numFmt w:val="bullet"/>
      <w:lvlText w:val="•"/>
      <w:lvlJc w:val="left"/>
      <w:pPr>
        <w:tabs>
          <w:tab w:val="num" w:pos="3600"/>
        </w:tabs>
        <w:ind w:left="3600" w:hanging="360"/>
      </w:pPr>
      <w:rPr>
        <w:rFonts w:ascii="Arial" w:hAnsi="Arial" w:hint="default"/>
      </w:rPr>
    </w:lvl>
    <w:lvl w:ilvl="5" w:tplc="5CF8FC84" w:tentative="1">
      <w:start w:val="1"/>
      <w:numFmt w:val="bullet"/>
      <w:lvlText w:val="•"/>
      <w:lvlJc w:val="left"/>
      <w:pPr>
        <w:tabs>
          <w:tab w:val="num" w:pos="4320"/>
        </w:tabs>
        <w:ind w:left="4320" w:hanging="360"/>
      </w:pPr>
      <w:rPr>
        <w:rFonts w:ascii="Arial" w:hAnsi="Arial" w:hint="default"/>
      </w:rPr>
    </w:lvl>
    <w:lvl w:ilvl="6" w:tplc="FE5CB5F0" w:tentative="1">
      <w:start w:val="1"/>
      <w:numFmt w:val="bullet"/>
      <w:lvlText w:val="•"/>
      <w:lvlJc w:val="left"/>
      <w:pPr>
        <w:tabs>
          <w:tab w:val="num" w:pos="5040"/>
        </w:tabs>
        <w:ind w:left="5040" w:hanging="360"/>
      </w:pPr>
      <w:rPr>
        <w:rFonts w:ascii="Arial" w:hAnsi="Arial" w:hint="default"/>
      </w:rPr>
    </w:lvl>
    <w:lvl w:ilvl="7" w:tplc="667ADDF4" w:tentative="1">
      <w:start w:val="1"/>
      <w:numFmt w:val="bullet"/>
      <w:lvlText w:val="•"/>
      <w:lvlJc w:val="left"/>
      <w:pPr>
        <w:tabs>
          <w:tab w:val="num" w:pos="5760"/>
        </w:tabs>
        <w:ind w:left="5760" w:hanging="360"/>
      </w:pPr>
      <w:rPr>
        <w:rFonts w:ascii="Arial" w:hAnsi="Arial" w:hint="default"/>
      </w:rPr>
    </w:lvl>
    <w:lvl w:ilvl="8" w:tplc="6194E6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71674C"/>
    <w:multiLevelType w:val="hybridMultilevel"/>
    <w:tmpl w:val="B73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38228C"/>
    <w:multiLevelType w:val="hybridMultilevel"/>
    <w:tmpl w:val="1528E5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7"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8" w15:restartNumberingAfterBreak="0">
    <w:nsid w:val="67B0216B"/>
    <w:multiLevelType w:val="hybridMultilevel"/>
    <w:tmpl w:val="8FB8F12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9" w15:restartNumberingAfterBreak="0">
    <w:nsid w:val="69231F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5C3EFC"/>
    <w:multiLevelType w:val="hybridMultilevel"/>
    <w:tmpl w:val="F1E8DFFE"/>
    <w:lvl w:ilvl="0" w:tplc="B936F488">
      <w:start w:val="1"/>
      <w:numFmt w:val="bullet"/>
      <w:lvlText w:val="•"/>
      <w:lvlJc w:val="left"/>
      <w:pPr>
        <w:tabs>
          <w:tab w:val="num" w:pos="720"/>
        </w:tabs>
        <w:ind w:left="720" w:hanging="360"/>
      </w:pPr>
      <w:rPr>
        <w:rFonts w:ascii="Arial" w:hAnsi="Arial" w:hint="default"/>
      </w:rPr>
    </w:lvl>
    <w:lvl w:ilvl="1" w:tplc="CF8EFC10">
      <w:numFmt w:val="bullet"/>
      <w:lvlText w:val=""/>
      <w:lvlJc w:val="left"/>
      <w:pPr>
        <w:tabs>
          <w:tab w:val="num" w:pos="1440"/>
        </w:tabs>
        <w:ind w:left="1440" w:hanging="360"/>
      </w:pPr>
      <w:rPr>
        <w:rFonts w:ascii="Wingdings" w:hAnsi="Wingdings" w:hint="default"/>
      </w:rPr>
    </w:lvl>
    <w:lvl w:ilvl="2" w:tplc="BC1637B6" w:tentative="1">
      <w:start w:val="1"/>
      <w:numFmt w:val="bullet"/>
      <w:lvlText w:val="•"/>
      <w:lvlJc w:val="left"/>
      <w:pPr>
        <w:tabs>
          <w:tab w:val="num" w:pos="2160"/>
        </w:tabs>
        <w:ind w:left="2160" w:hanging="360"/>
      </w:pPr>
      <w:rPr>
        <w:rFonts w:ascii="Arial" w:hAnsi="Arial" w:hint="default"/>
      </w:rPr>
    </w:lvl>
    <w:lvl w:ilvl="3" w:tplc="CE504FF6" w:tentative="1">
      <w:start w:val="1"/>
      <w:numFmt w:val="bullet"/>
      <w:lvlText w:val="•"/>
      <w:lvlJc w:val="left"/>
      <w:pPr>
        <w:tabs>
          <w:tab w:val="num" w:pos="2880"/>
        </w:tabs>
        <w:ind w:left="2880" w:hanging="360"/>
      </w:pPr>
      <w:rPr>
        <w:rFonts w:ascii="Arial" w:hAnsi="Arial" w:hint="default"/>
      </w:rPr>
    </w:lvl>
    <w:lvl w:ilvl="4" w:tplc="26526012" w:tentative="1">
      <w:start w:val="1"/>
      <w:numFmt w:val="bullet"/>
      <w:lvlText w:val="•"/>
      <w:lvlJc w:val="left"/>
      <w:pPr>
        <w:tabs>
          <w:tab w:val="num" w:pos="3600"/>
        </w:tabs>
        <w:ind w:left="3600" w:hanging="360"/>
      </w:pPr>
      <w:rPr>
        <w:rFonts w:ascii="Arial" w:hAnsi="Arial" w:hint="default"/>
      </w:rPr>
    </w:lvl>
    <w:lvl w:ilvl="5" w:tplc="2F9E1596" w:tentative="1">
      <w:start w:val="1"/>
      <w:numFmt w:val="bullet"/>
      <w:lvlText w:val="•"/>
      <w:lvlJc w:val="left"/>
      <w:pPr>
        <w:tabs>
          <w:tab w:val="num" w:pos="4320"/>
        </w:tabs>
        <w:ind w:left="4320" w:hanging="360"/>
      </w:pPr>
      <w:rPr>
        <w:rFonts w:ascii="Arial" w:hAnsi="Arial" w:hint="default"/>
      </w:rPr>
    </w:lvl>
    <w:lvl w:ilvl="6" w:tplc="86DAD696" w:tentative="1">
      <w:start w:val="1"/>
      <w:numFmt w:val="bullet"/>
      <w:lvlText w:val="•"/>
      <w:lvlJc w:val="left"/>
      <w:pPr>
        <w:tabs>
          <w:tab w:val="num" w:pos="5040"/>
        </w:tabs>
        <w:ind w:left="5040" w:hanging="360"/>
      </w:pPr>
      <w:rPr>
        <w:rFonts w:ascii="Arial" w:hAnsi="Arial" w:hint="default"/>
      </w:rPr>
    </w:lvl>
    <w:lvl w:ilvl="7" w:tplc="F6AE34CA" w:tentative="1">
      <w:start w:val="1"/>
      <w:numFmt w:val="bullet"/>
      <w:lvlText w:val="•"/>
      <w:lvlJc w:val="left"/>
      <w:pPr>
        <w:tabs>
          <w:tab w:val="num" w:pos="5760"/>
        </w:tabs>
        <w:ind w:left="5760" w:hanging="360"/>
      </w:pPr>
      <w:rPr>
        <w:rFonts w:ascii="Arial" w:hAnsi="Arial" w:hint="default"/>
      </w:rPr>
    </w:lvl>
    <w:lvl w:ilvl="8" w:tplc="A7DAFA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3291895">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999964889">
    <w:abstractNumId w:val="31"/>
  </w:num>
  <w:num w:numId="3" w16cid:durableId="397826767">
    <w:abstractNumId w:val="8"/>
  </w:num>
  <w:num w:numId="4" w16cid:durableId="1686862833">
    <w:abstractNumId w:val="34"/>
  </w:num>
  <w:num w:numId="5" w16cid:durableId="1350182404">
    <w:abstractNumId w:val="35"/>
  </w:num>
  <w:num w:numId="6" w16cid:durableId="1502238293">
    <w:abstractNumId w:val="0"/>
  </w:num>
  <w:num w:numId="7" w16cid:durableId="1744136939">
    <w:abstractNumId w:val="13"/>
  </w:num>
  <w:num w:numId="8" w16cid:durableId="603611909">
    <w:abstractNumId w:val="5"/>
  </w:num>
  <w:num w:numId="9" w16cid:durableId="1962494696">
    <w:abstractNumId w:val="22"/>
  </w:num>
  <w:num w:numId="10" w16cid:durableId="1565683207">
    <w:abstractNumId w:val="16"/>
  </w:num>
  <w:num w:numId="11" w16cid:durableId="495733424">
    <w:abstractNumId w:val="27"/>
  </w:num>
  <w:num w:numId="12" w16cid:durableId="712314249">
    <w:abstractNumId w:val="17"/>
  </w:num>
  <w:num w:numId="13" w16cid:durableId="679698834">
    <w:abstractNumId w:val="19"/>
  </w:num>
  <w:num w:numId="14" w16cid:durableId="927814994">
    <w:abstractNumId w:val="9"/>
  </w:num>
  <w:num w:numId="15" w16cid:durableId="1941330698">
    <w:abstractNumId w:val="26"/>
  </w:num>
  <w:num w:numId="16" w16cid:durableId="1927107282">
    <w:abstractNumId w:val="14"/>
  </w:num>
  <w:num w:numId="17" w16cid:durableId="952050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529215">
    <w:abstractNumId w:val="2"/>
  </w:num>
  <w:num w:numId="19" w16cid:durableId="115682176">
    <w:abstractNumId w:val="10"/>
  </w:num>
  <w:num w:numId="20" w16cid:durableId="554973619">
    <w:abstractNumId w:val="23"/>
  </w:num>
  <w:num w:numId="21" w16cid:durableId="1861965189">
    <w:abstractNumId w:val="15"/>
  </w:num>
  <w:num w:numId="22" w16cid:durableId="2117862898">
    <w:abstractNumId w:val="20"/>
  </w:num>
  <w:num w:numId="23" w16cid:durableId="681006548">
    <w:abstractNumId w:val="0"/>
  </w:num>
  <w:num w:numId="24" w16cid:durableId="1355494905">
    <w:abstractNumId w:val="18"/>
  </w:num>
  <w:num w:numId="25" w16cid:durableId="800421662">
    <w:abstractNumId w:val="32"/>
  </w:num>
  <w:num w:numId="26" w16cid:durableId="1748919369">
    <w:abstractNumId w:val="25"/>
  </w:num>
  <w:num w:numId="27" w16cid:durableId="51512656">
    <w:abstractNumId w:val="33"/>
  </w:num>
  <w:num w:numId="28" w16cid:durableId="457335099">
    <w:abstractNumId w:val="28"/>
  </w:num>
  <w:num w:numId="29" w16cid:durableId="1730760376">
    <w:abstractNumId w:val="30"/>
  </w:num>
  <w:num w:numId="30" w16cid:durableId="1989557187">
    <w:abstractNumId w:val="24"/>
  </w:num>
  <w:num w:numId="31" w16cid:durableId="221647034">
    <w:abstractNumId w:val="4"/>
  </w:num>
  <w:num w:numId="32" w16cid:durableId="1453091284">
    <w:abstractNumId w:val="3"/>
  </w:num>
  <w:num w:numId="33" w16cid:durableId="572356357">
    <w:abstractNumId w:val="6"/>
  </w:num>
  <w:num w:numId="34" w16cid:durableId="1159073800">
    <w:abstractNumId w:val="21"/>
  </w:num>
  <w:num w:numId="35" w16cid:durableId="572203021">
    <w:abstractNumId w:val="12"/>
  </w:num>
  <w:num w:numId="36" w16cid:durableId="139545547">
    <w:abstractNumId w:val="7"/>
  </w:num>
  <w:num w:numId="37" w16cid:durableId="403067552">
    <w:abstractNumId w:val="29"/>
  </w:num>
  <w:num w:numId="38" w16cid:durableId="164660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2D9"/>
    <w:rsid w:val="00002949"/>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930"/>
    <w:rsid w:val="00007A59"/>
    <w:rsid w:val="00007B00"/>
    <w:rsid w:val="00007BA5"/>
    <w:rsid w:val="00007BA9"/>
    <w:rsid w:val="000101BA"/>
    <w:rsid w:val="000102C9"/>
    <w:rsid w:val="00010328"/>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C1"/>
    <w:rsid w:val="00013220"/>
    <w:rsid w:val="000133FB"/>
    <w:rsid w:val="000135F4"/>
    <w:rsid w:val="0001383B"/>
    <w:rsid w:val="00013959"/>
    <w:rsid w:val="00013B20"/>
    <w:rsid w:val="00013CBD"/>
    <w:rsid w:val="00013F94"/>
    <w:rsid w:val="00014009"/>
    <w:rsid w:val="00014180"/>
    <w:rsid w:val="00014636"/>
    <w:rsid w:val="0001464E"/>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FD3"/>
    <w:rsid w:val="00021FED"/>
    <w:rsid w:val="00022690"/>
    <w:rsid w:val="000228CE"/>
    <w:rsid w:val="00022A61"/>
    <w:rsid w:val="0002304D"/>
    <w:rsid w:val="00023090"/>
    <w:rsid w:val="00023110"/>
    <w:rsid w:val="00023277"/>
    <w:rsid w:val="000232D9"/>
    <w:rsid w:val="0002375F"/>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51"/>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2C"/>
    <w:rsid w:val="00096E3A"/>
    <w:rsid w:val="00096EFD"/>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9E4"/>
    <w:rsid w:val="000D7A37"/>
    <w:rsid w:val="000E028F"/>
    <w:rsid w:val="000E0AD8"/>
    <w:rsid w:val="000E0C2F"/>
    <w:rsid w:val="000E0C5F"/>
    <w:rsid w:val="000E0C69"/>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97"/>
    <w:rsid w:val="000F3AEA"/>
    <w:rsid w:val="000F3D4B"/>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149"/>
    <w:rsid w:val="0010637E"/>
    <w:rsid w:val="00106394"/>
    <w:rsid w:val="00106839"/>
    <w:rsid w:val="00106853"/>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33B"/>
    <w:rsid w:val="0011234B"/>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C4D"/>
    <w:rsid w:val="00143FBB"/>
    <w:rsid w:val="00144134"/>
    <w:rsid w:val="0014415F"/>
    <w:rsid w:val="00144171"/>
    <w:rsid w:val="001446E3"/>
    <w:rsid w:val="001447CA"/>
    <w:rsid w:val="001449A4"/>
    <w:rsid w:val="00144ACD"/>
    <w:rsid w:val="00144B23"/>
    <w:rsid w:val="00144BF6"/>
    <w:rsid w:val="00144C55"/>
    <w:rsid w:val="00144CF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5F8"/>
    <w:rsid w:val="0015170A"/>
    <w:rsid w:val="00151C2B"/>
    <w:rsid w:val="00151DBD"/>
    <w:rsid w:val="00152069"/>
    <w:rsid w:val="00152128"/>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DEC"/>
    <w:rsid w:val="00164F5A"/>
    <w:rsid w:val="00164FD7"/>
    <w:rsid w:val="00165083"/>
    <w:rsid w:val="00165263"/>
    <w:rsid w:val="001652F8"/>
    <w:rsid w:val="001654A8"/>
    <w:rsid w:val="001654E8"/>
    <w:rsid w:val="00165792"/>
    <w:rsid w:val="001659B3"/>
    <w:rsid w:val="00165A39"/>
    <w:rsid w:val="00165FAB"/>
    <w:rsid w:val="0016605D"/>
    <w:rsid w:val="00166102"/>
    <w:rsid w:val="00166CE5"/>
    <w:rsid w:val="00166D38"/>
    <w:rsid w:val="00166EDA"/>
    <w:rsid w:val="0016719F"/>
    <w:rsid w:val="00167496"/>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E5"/>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87C50"/>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B24"/>
    <w:rsid w:val="001E3C39"/>
    <w:rsid w:val="001E4163"/>
    <w:rsid w:val="001E448A"/>
    <w:rsid w:val="001E450A"/>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6ED"/>
    <w:rsid w:val="002349F3"/>
    <w:rsid w:val="00234A37"/>
    <w:rsid w:val="00234ADD"/>
    <w:rsid w:val="00234D37"/>
    <w:rsid w:val="00235176"/>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C82"/>
    <w:rsid w:val="00247F8F"/>
    <w:rsid w:val="00247FC0"/>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5C5"/>
    <w:rsid w:val="00271729"/>
    <w:rsid w:val="00271824"/>
    <w:rsid w:val="00271A87"/>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384"/>
    <w:rsid w:val="00277626"/>
    <w:rsid w:val="002776FF"/>
    <w:rsid w:val="00277745"/>
    <w:rsid w:val="00277797"/>
    <w:rsid w:val="002777C5"/>
    <w:rsid w:val="002779FC"/>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D1"/>
    <w:rsid w:val="002872AF"/>
    <w:rsid w:val="002872C7"/>
    <w:rsid w:val="002873CD"/>
    <w:rsid w:val="00287728"/>
    <w:rsid w:val="002878AC"/>
    <w:rsid w:val="00287BD6"/>
    <w:rsid w:val="00287C18"/>
    <w:rsid w:val="00287C56"/>
    <w:rsid w:val="00287CB5"/>
    <w:rsid w:val="00287E70"/>
    <w:rsid w:val="00287EF7"/>
    <w:rsid w:val="00287FD5"/>
    <w:rsid w:val="00290202"/>
    <w:rsid w:val="002903D6"/>
    <w:rsid w:val="00290677"/>
    <w:rsid w:val="00290943"/>
    <w:rsid w:val="00290F7D"/>
    <w:rsid w:val="00290F99"/>
    <w:rsid w:val="0029104A"/>
    <w:rsid w:val="002911E2"/>
    <w:rsid w:val="00291201"/>
    <w:rsid w:val="002914BA"/>
    <w:rsid w:val="00291A00"/>
    <w:rsid w:val="00291B72"/>
    <w:rsid w:val="00291BB3"/>
    <w:rsid w:val="00291CC0"/>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FA3"/>
    <w:rsid w:val="002A0053"/>
    <w:rsid w:val="002A0093"/>
    <w:rsid w:val="002A01E9"/>
    <w:rsid w:val="002A0223"/>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F0"/>
    <w:rsid w:val="002F6971"/>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3EEF"/>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15E"/>
    <w:rsid w:val="00382221"/>
    <w:rsid w:val="003823FC"/>
    <w:rsid w:val="00382652"/>
    <w:rsid w:val="00382EDE"/>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E2E"/>
    <w:rsid w:val="00391001"/>
    <w:rsid w:val="003911F1"/>
    <w:rsid w:val="003917A1"/>
    <w:rsid w:val="00391855"/>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2CB"/>
    <w:rsid w:val="003A24C7"/>
    <w:rsid w:val="003A24F4"/>
    <w:rsid w:val="003A26AA"/>
    <w:rsid w:val="003A2A3E"/>
    <w:rsid w:val="003A2B0D"/>
    <w:rsid w:val="003A2CA4"/>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6E2"/>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B2"/>
    <w:rsid w:val="003C7118"/>
    <w:rsid w:val="003C71F1"/>
    <w:rsid w:val="003C73C3"/>
    <w:rsid w:val="003C7545"/>
    <w:rsid w:val="003C76D8"/>
    <w:rsid w:val="003C7722"/>
    <w:rsid w:val="003C7736"/>
    <w:rsid w:val="003C7872"/>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453"/>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D8D"/>
    <w:rsid w:val="00444F08"/>
    <w:rsid w:val="00445276"/>
    <w:rsid w:val="004452E4"/>
    <w:rsid w:val="00445392"/>
    <w:rsid w:val="004454B4"/>
    <w:rsid w:val="00445700"/>
    <w:rsid w:val="00445906"/>
    <w:rsid w:val="004459B0"/>
    <w:rsid w:val="00445C6A"/>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5F"/>
    <w:rsid w:val="00461BC4"/>
    <w:rsid w:val="00461C9B"/>
    <w:rsid w:val="00461DCA"/>
    <w:rsid w:val="00461E64"/>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A72"/>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67D"/>
    <w:rsid w:val="004848C2"/>
    <w:rsid w:val="00484937"/>
    <w:rsid w:val="00484A73"/>
    <w:rsid w:val="00484AD0"/>
    <w:rsid w:val="00485368"/>
    <w:rsid w:val="004853D2"/>
    <w:rsid w:val="0048544E"/>
    <w:rsid w:val="00485495"/>
    <w:rsid w:val="00485541"/>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15D"/>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BA"/>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C0"/>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4E0A"/>
    <w:rsid w:val="00545324"/>
    <w:rsid w:val="00545492"/>
    <w:rsid w:val="0054553C"/>
    <w:rsid w:val="005455B5"/>
    <w:rsid w:val="00545875"/>
    <w:rsid w:val="0054587A"/>
    <w:rsid w:val="00545A2D"/>
    <w:rsid w:val="00545EB6"/>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47B"/>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78C"/>
    <w:rsid w:val="00585AE9"/>
    <w:rsid w:val="00585C22"/>
    <w:rsid w:val="00585CA0"/>
    <w:rsid w:val="00585CCD"/>
    <w:rsid w:val="00585CE5"/>
    <w:rsid w:val="00585D6C"/>
    <w:rsid w:val="00585D78"/>
    <w:rsid w:val="005861D2"/>
    <w:rsid w:val="0058625B"/>
    <w:rsid w:val="005862A9"/>
    <w:rsid w:val="005865A4"/>
    <w:rsid w:val="005868E7"/>
    <w:rsid w:val="00586A64"/>
    <w:rsid w:val="00586B89"/>
    <w:rsid w:val="00586D8D"/>
    <w:rsid w:val="00586EE4"/>
    <w:rsid w:val="00586F8B"/>
    <w:rsid w:val="00587232"/>
    <w:rsid w:val="0058725B"/>
    <w:rsid w:val="00587367"/>
    <w:rsid w:val="00587778"/>
    <w:rsid w:val="00587B6E"/>
    <w:rsid w:val="00587B7C"/>
    <w:rsid w:val="00587E21"/>
    <w:rsid w:val="00587F3B"/>
    <w:rsid w:val="005902E7"/>
    <w:rsid w:val="005905CA"/>
    <w:rsid w:val="0059072F"/>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315"/>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C2D"/>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77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3FB2"/>
    <w:rsid w:val="005D41F0"/>
    <w:rsid w:val="005D4772"/>
    <w:rsid w:val="005D4916"/>
    <w:rsid w:val="005D49E8"/>
    <w:rsid w:val="005D4A57"/>
    <w:rsid w:val="005D4AAB"/>
    <w:rsid w:val="005D4F0A"/>
    <w:rsid w:val="005D5013"/>
    <w:rsid w:val="005D509B"/>
    <w:rsid w:val="005D5597"/>
    <w:rsid w:val="005D55A5"/>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8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A3"/>
    <w:rsid w:val="0060759E"/>
    <w:rsid w:val="006076E8"/>
    <w:rsid w:val="00607820"/>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C3"/>
    <w:rsid w:val="00611FC2"/>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29C"/>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E9A"/>
    <w:rsid w:val="00640469"/>
    <w:rsid w:val="0064060A"/>
    <w:rsid w:val="00640AFB"/>
    <w:rsid w:val="00640E37"/>
    <w:rsid w:val="00640F70"/>
    <w:rsid w:val="006410EA"/>
    <w:rsid w:val="006411F3"/>
    <w:rsid w:val="00641954"/>
    <w:rsid w:val="00641ABE"/>
    <w:rsid w:val="00641B56"/>
    <w:rsid w:val="00641D0E"/>
    <w:rsid w:val="00641D37"/>
    <w:rsid w:val="00641D72"/>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141"/>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49"/>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2B4"/>
    <w:rsid w:val="006A1735"/>
    <w:rsid w:val="006A17CE"/>
    <w:rsid w:val="006A1948"/>
    <w:rsid w:val="006A1F70"/>
    <w:rsid w:val="006A22FF"/>
    <w:rsid w:val="006A23C5"/>
    <w:rsid w:val="006A24B0"/>
    <w:rsid w:val="006A28F5"/>
    <w:rsid w:val="006A292D"/>
    <w:rsid w:val="006A2B30"/>
    <w:rsid w:val="006A2B3E"/>
    <w:rsid w:val="006A2B78"/>
    <w:rsid w:val="006A2E54"/>
    <w:rsid w:val="006A2F60"/>
    <w:rsid w:val="006A31D8"/>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E3"/>
    <w:rsid w:val="006A59E1"/>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1B9"/>
    <w:rsid w:val="006D227C"/>
    <w:rsid w:val="006D24F9"/>
    <w:rsid w:val="006D2546"/>
    <w:rsid w:val="006D25F8"/>
    <w:rsid w:val="006D27D5"/>
    <w:rsid w:val="006D27F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3D"/>
    <w:rsid w:val="00717B55"/>
    <w:rsid w:val="00717C4E"/>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1CD"/>
    <w:rsid w:val="00755215"/>
    <w:rsid w:val="00755291"/>
    <w:rsid w:val="007552AD"/>
    <w:rsid w:val="0075537F"/>
    <w:rsid w:val="00755429"/>
    <w:rsid w:val="007557B6"/>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259"/>
    <w:rsid w:val="007A7480"/>
    <w:rsid w:val="007A7493"/>
    <w:rsid w:val="007A7630"/>
    <w:rsid w:val="007A76DD"/>
    <w:rsid w:val="007A7708"/>
    <w:rsid w:val="007A772F"/>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73F"/>
    <w:rsid w:val="007B1A9C"/>
    <w:rsid w:val="007B1B1F"/>
    <w:rsid w:val="007B1D50"/>
    <w:rsid w:val="007B1D81"/>
    <w:rsid w:val="007B1F5A"/>
    <w:rsid w:val="007B1FCA"/>
    <w:rsid w:val="007B2054"/>
    <w:rsid w:val="007B2C74"/>
    <w:rsid w:val="007B2D95"/>
    <w:rsid w:val="007B2EB0"/>
    <w:rsid w:val="007B3062"/>
    <w:rsid w:val="007B3063"/>
    <w:rsid w:val="007B3114"/>
    <w:rsid w:val="007B353C"/>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AA9"/>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988"/>
    <w:rsid w:val="00805A43"/>
    <w:rsid w:val="00805AE5"/>
    <w:rsid w:val="00805B0F"/>
    <w:rsid w:val="00805FD7"/>
    <w:rsid w:val="00805FF3"/>
    <w:rsid w:val="00806168"/>
    <w:rsid w:val="00806320"/>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AC6"/>
    <w:rsid w:val="00823C83"/>
    <w:rsid w:val="00823CF0"/>
    <w:rsid w:val="00823E3B"/>
    <w:rsid w:val="00823F43"/>
    <w:rsid w:val="0082412D"/>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0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D5B"/>
    <w:rsid w:val="00850FF3"/>
    <w:rsid w:val="008512B3"/>
    <w:rsid w:val="008514CA"/>
    <w:rsid w:val="00851842"/>
    <w:rsid w:val="0085191A"/>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7C"/>
    <w:rsid w:val="008A1EAA"/>
    <w:rsid w:val="008A20E3"/>
    <w:rsid w:val="008A21AC"/>
    <w:rsid w:val="008A254A"/>
    <w:rsid w:val="008A2601"/>
    <w:rsid w:val="008A28FE"/>
    <w:rsid w:val="008A2A5B"/>
    <w:rsid w:val="008A2A64"/>
    <w:rsid w:val="008A2C2E"/>
    <w:rsid w:val="008A2CC4"/>
    <w:rsid w:val="008A2D16"/>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C0A"/>
    <w:rsid w:val="008C4CE1"/>
    <w:rsid w:val="008C5158"/>
    <w:rsid w:val="008C522E"/>
    <w:rsid w:val="008C53B7"/>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5AE"/>
    <w:rsid w:val="008D2A05"/>
    <w:rsid w:val="008D2ABD"/>
    <w:rsid w:val="008D2B74"/>
    <w:rsid w:val="008D2B99"/>
    <w:rsid w:val="008D3423"/>
    <w:rsid w:val="008D35CF"/>
    <w:rsid w:val="008D366A"/>
    <w:rsid w:val="008D370F"/>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3DF"/>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D09"/>
    <w:rsid w:val="00901D28"/>
    <w:rsid w:val="009020FB"/>
    <w:rsid w:val="009023BD"/>
    <w:rsid w:val="0090260A"/>
    <w:rsid w:val="009026A5"/>
    <w:rsid w:val="00902773"/>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A15"/>
    <w:rsid w:val="00906B0A"/>
    <w:rsid w:val="00906D8C"/>
    <w:rsid w:val="00906DF5"/>
    <w:rsid w:val="00906F39"/>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350"/>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E85"/>
    <w:rsid w:val="0097702A"/>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38"/>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8F6"/>
    <w:rsid w:val="009F0A67"/>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407"/>
    <w:rsid w:val="00A01498"/>
    <w:rsid w:val="00A01626"/>
    <w:rsid w:val="00A0172D"/>
    <w:rsid w:val="00A018ED"/>
    <w:rsid w:val="00A01905"/>
    <w:rsid w:val="00A0193D"/>
    <w:rsid w:val="00A01A8E"/>
    <w:rsid w:val="00A01C15"/>
    <w:rsid w:val="00A01F1F"/>
    <w:rsid w:val="00A0205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71FE"/>
    <w:rsid w:val="00A0722E"/>
    <w:rsid w:val="00A073AF"/>
    <w:rsid w:val="00A07518"/>
    <w:rsid w:val="00A07682"/>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6E2"/>
    <w:rsid w:val="00A51AB7"/>
    <w:rsid w:val="00A51B82"/>
    <w:rsid w:val="00A51B84"/>
    <w:rsid w:val="00A51FDE"/>
    <w:rsid w:val="00A524D0"/>
    <w:rsid w:val="00A524DA"/>
    <w:rsid w:val="00A52518"/>
    <w:rsid w:val="00A526A0"/>
    <w:rsid w:val="00A52940"/>
    <w:rsid w:val="00A529BF"/>
    <w:rsid w:val="00A52AA6"/>
    <w:rsid w:val="00A52D56"/>
    <w:rsid w:val="00A52DA8"/>
    <w:rsid w:val="00A53215"/>
    <w:rsid w:val="00A53343"/>
    <w:rsid w:val="00A53617"/>
    <w:rsid w:val="00A5365B"/>
    <w:rsid w:val="00A53735"/>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C7B"/>
    <w:rsid w:val="00A66E6B"/>
    <w:rsid w:val="00A672E8"/>
    <w:rsid w:val="00A675D9"/>
    <w:rsid w:val="00A67760"/>
    <w:rsid w:val="00A67922"/>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BA5"/>
    <w:rsid w:val="00A97E1F"/>
    <w:rsid w:val="00AA0150"/>
    <w:rsid w:val="00AA01F9"/>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DE0"/>
    <w:rsid w:val="00AB3E97"/>
    <w:rsid w:val="00AB4188"/>
    <w:rsid w:val="00AB418B"/>
    <w:rsid w:val="00AB4445"/>
    <w:rsid w:val="00AB4634"/>
    <w:rsid w:val="00AB4910"/>
    <w:rsid w:val="00AB4BCF"/>
    <w:rsid w:val="00AB4BEA"/>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0F"/>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870"/>
    <w:rsid w:val="00AE4A0C"/>
    <w:rsid w:val="00AE4D7D"/>
    <w:rsid w:val="00AE4E7A"/>
    <w:rsid w:val="00AE4E92"/>
    <w:rsid w:val="00AE4F7B"/>
    <w:rsid w:val="00AE4FF2"/>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C5C"/>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744"/>
    <w:rsid w:val="00B03770"/>
    <w:rsid w:val="00B037B3"/>
    <w:rsid w:val="00B039E0"/>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BDB"/>
    <w:rsid w:val="00B35D1D"/>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D91"/>
    <w:rsid w:val="00B52F71"/>
    <w:rsid w:val="00B53396"/>
    <w:rsid w:val="00B53881"/>
    <w:rsid w:val="00B5399B"/>
    <w:rsid w:val="00B53F62"/>
    <w:rsid w:val="00B53FB2"/>
    <w:rsid w:val="00B54042"/>
    <w:rsid w:val="00B540F0"/>
    <w:rsid w:val="00B542A2"/>
    <w:rsid w:val="00B54358"/>
    <w:rsid w:val="00B5474C"/>
    <w:rsid w:val="00B54807"/>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CF7"/>
    <w:rsid w:val="00B60E22"/>
    <w:rsid w:val="00B60FB1"/>
    <w:rsid w:val="00B6102D"/>
    <w:rsid w:val="00B6132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0FC9"/>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8ED"/>
    <w:rsid w:val="00B739E1"/>
    <w:rsid w:val="00B73A79"/>
    <w:rsid w:val="00B73A95"/>
    <w:rsid w:val="00B73AAF"/>
    <w:rsid w:val="00B73BB5"/>
    <w:rsid w:val="00B73E47"/>
    <w:rsid w:val="00B73FDF"/>
    <w:rsid w:val="00B740D4"/>
    <w:rsid w:val="00B740E7"/>
    <w:rsid w:val="00B7438B"/>
    <w:rsid w:val="00B74951"/>
    <w:rsid w:val="00B7504C"/>
    <w:rsid w:val="00B752B5"/>
    <w:rsid w:val="00B75395"/>
    <w:rsid w:val="00B753E8"/>
    <w:rsid w:val="00B75482"/>
    <w:rsid w:val="00B75781"/>
    <w:rsid w:val="00B757DF"/>
    <w:rsid w:val="00B75826"/>
    <w:rsid w:val="00B75908"/>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4E0"/>
    <w:rsid w:val="00B926E0"/>
    <w:rsid w:val="00B928F1"/>
    <w:rsid w:val="00B92A0A"/>
    <w:rsid w:val="00B92B90"/>
    <w:rsid w:val="00B92D00"/>
    <w:rsid w:val="00B92F78"/>
    <w:rsid w:val="00B93017"/>
    <w:rsid w:val="00B930DC"/>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5E57"/>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9A"/>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6D8"/>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403"/>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E2"/>
    <w:rsid w:val="00BD5A95"/>
    <w:rsid w:val="00BD5B5D"/>
    <w:rsid w:val="00BD5C09"/>
    <w:rsid w:val="00BD5C10"/>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31D"/>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B2C"/>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3F4"/>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69"/>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D1"/>
    <w:rsid w:val="00CE5245"/>
    <w:rsid w:val="00CE525A"/>
    <w:rsid w:val="00CE5343"/>
    <w:rsid w:val="00CE57DE"/>
    <w:rsid w:val="00CE5828"/>
    <w:rsid w:val="00CE5A2E"/>
    <w:rsid w:val="00CE5B11"/>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E48"/>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DEA"/>
    <w:rsid w:val="00D64E5A"/>
    <w:rsid w:val="00D64F13"/>
    <w:rsid w:val="00D65215"/>
    <w:rsid w:val="00D65322"/>
    <w:rsid w:val="00D655BB"/>
    <w:rsid w:val="00D6580C"/>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7F"/>
    <w:rsid w:val="00DA553C"/>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3CA"/>
    <w:rsid w:val="00DB3707"/>
    <w:rsid w:val="00DB3724"/>
    <w:rsid w:val="00DB3770"/>
    <w:rsid w:val="00DB381F"/>
    <w:rsid w:val="00DB3881"/>
    <w:rsid w:val="00DB39D3"/>
    <w:rsid w:val="00DB3AD9"/>
    <w:rsid w:val="00DB409E"/>
    <w:rsid w:val="00DB41A3"/>
    <w:rsid w:val="00DB43B1"/>
    <w:rsid w:val="00DB43E4"/>
    <w:rsid w:val="00DB43EB"/>
    <w:rsid w:val="00DB4BA2"/>
    <w:rsid w:val="00DB4CC4"/>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72"/>
    <w:rsid w:val="00DC3EE4"/>
    <w:rsid w:val="00DC4184"/>
    <w:rsid w:val="00DC4224"/>
    <w:rsid w:val="00DC440D"/>
    <w:rsid w:val="00DC4739"/>
    <w:rsid w:val="00DC4854"/>
    <w:rsid w:val="00DC4904"/>
    <w:rsid w:val="00DC4A35"/>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57D"/>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8DD"/>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3D9D"/>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A"/>
    <w:rsid w:val="00E36927"/>
    <w:rsid w:val="00E36AA7"/>
    <w:rsid w:val="00E36D8A"/>
    <w:rsid w:val="00E36E44"/>
    <w:rsid w:val="00E36FA2"/>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6B7"/>
    <w:rsid w:val="00E77802"/>
    <w:rsid w:val="00E778DB"/>
    <w:rsid w:val="00E7790B"/>
    <w:rsid w:val="00E77B26"/>
    <w:rsid w:val="00E77CA4"/>
    <w:rsid w:val="00E80359"/>
    <w:rsid w:val="00E80389"/>
    <w:rsid w:val="00E8059F"/>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B07"/>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8F4"/>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8BB"/>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37C91"/>
    <w:rsid w:val="00F40075"/>
    <w:rsid w:val="00F40431"/>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53A"/>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774"/>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406"/>
    <w:rsid w:val="00FB15E2"/>
    <w:rsid w:val="00FB1640"/>
    <w:rsid w:val="00FB17AC"/>
    <w:rsid w:val="00FB17E3"/>
    <w:rsid w:val="00FB1AF7"/>
    <w:rsid w:val="00FB1D1E"/>
    <w:rsid w:val="00FB1F5D"/>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D58"/>
    <w:rsid w:val="00FD4DF9"/>
    <w:rsid w:val="00FD4FC4"/>
    <w:rsid w:val="00FD515E"/>
    <w:rsid w:val="00FD52E3"/>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6E8"/>
    <w:rsid w:val="00FE49C5"/>
    <w:rsid w:val="00FE4A0D"/>
    <w:rsid w:val="00FE4E41"/>
    <w:rsid w:val="00FE4F7E"/>
    <w:rsid w:val="00FE5267"/>
    <w:rsid w:val="00FE53B5"/>
    <w:rsid w:val="00FE5409"/>
    <w:rsid w:val="00FE5446"/>
    <w:rsid w:val="00FE54D9"/>
    <w:rsid w:val="00FE55E7"/>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091CFE"/>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091CFE"/>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111</TotalTime>
  <Pages>25</Pages>
  <Words>8432</Words>
  <Characters>48066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56386</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22</cp:revision>
  <cp:lastPrinted>2023-01-30T01:24:00Z</cp:lastPrinted>
  <dcterms:created xsi:type="dcterms:W3CDTF">2023-01-24T05:52:00Z</dcterms:created>
  <dcterms:modified xsi:type="dcterms:W3CDTF">2023-03-09T06:28:00Z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