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2BA226C9"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250129">
        <w:rPr>
          <w:caps w:val="0"/>
        </w:rPr>
        <w:t>58</w:t>
      </w:r>
    </w:p>
    <w:p w14:paraId="0C6B487A" w14:textId="77777777" w:rsidR="00900037" w:rsidRPr="00013220" w:rsidRDefault="00900037" w:rsidP="002B6652">
      <w:pPr>
        <w:pStyle w:val="Subtitle"/>
        <w:ind w:left="-426" w:right="-623"/>
        <w:jc w:val="center"/>
        <w:rPr>
          <w:b/>
          <w:i w:val="0"/>
          <w:sz w:val="36"/>
          <w:szCs w:val="36"/>
        </w:rPr>
      </w:pPr>
    </w:p>
    <w:p w14:paraId="0AC82FDD" w14:textId="34EA7FA7" w:rsidR="00900037" w:rsidRPr="006F7EC0" w:rsidRDefault="00250129" w:rsidP="006F7EC0">
      <w:pPr>
        <w:pStyle w:val="Title"/>
        <w:spacing w:before="200"/>
        <w:ind w:left="-426" w:right="-623"/>
        <w:jc w:val="center"/>
        <w:rPr>
          <w:caps w:val="0"/>
          <w:sz w:val="28"/>
          <w:szCs w:val="28"/>
        </w:rPr>
      </w:pPr>
      <w:r>
        <w:rPr>
          <w:caps w:val="0"/>
          <w:sz w:val="28"/>
          <w:szCs w:val="28"/>
        </w:rPr>
        <w:t xml:space="preserve">October </w:t>
      </w:r>
      <w:r w:rsidR="00960C5D">
        <w:rPr>
          <w:caps w:val="0"/>
          <w:sz w:val="28"/>
          <w:szCs w:val="28"/>
        </w:rPr>
        <w:t>202</w:t>
      </w:r>
      <w:r w:rsidR="00384772">
        <w:rPr>
          <w:caps w:val="0"/>
          <w:sz w:val="28"/>
          <w:szCs w:val="28"/>
        </w:rPr>
        <w:t>2</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December </w:t>
      </w:r>
      <w:r w:rsidR="00960C5D">
        <w:rPr>
          <w:caps w:val="0"/>
          <w:sz w:val="28"/>
          <w:szCs w:val="28"/>
        </w:rPr>
        <w:t>202</w:t>
      </w:r>
      <w:r w:rsidR="00384772">
        <w:rPr>
          <w:caps w:val="0"/>
          <w:sz w:val="28"/>
          <w:szCs w:val="28"/>
        </w:rPr>
        <w:t>2</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32B9AA15"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AD79F2">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1F0EA7ED"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F07884">
        <w:rPr>
          <w:rFonts w:cs="Arial"/>
        </w:rPr>
        <w:t>October</w:t>
      </w:r>
      <w:r w:rsidR="000A118E" w:rsidRPr="00ED55CD">
        <w:rPr>
          <w:rFonts w:cs="Arial"/>
        </w:rPr>
        <w:t xml:space="preserve"> </w:t>
      </w:r>
      <w:r w:rsidR="003467B2" w:rsidRPr="00ED55CD">
        <w:rPr>
          <w:rFonts w:cs="Arial"/>
        </w:rPr>
        <w:t xml:space="preserve">to </w:t>
      </w:r>
      <w:r w:rsidR="00F07884">
        <w:rPr>
          <w:rFonts w:cs="Arial"/>
        </w:rPr>
        <w:t>December</w:t>
      </w:r>
      <w:r w:rsidR="000A118E" w:rsidRPr="00ED55CD">
        <w:rPr>
          <w:rFonts w:cs="Arial"/>
        </w:rPr>
        <w:t xml:space="preserve"> </w:t>
      </w:r>
      <w:r w:rsidR="003467B2" w:rsidRPr="00ED55CD">
        <w:rPr>
          <w:rFonts w:cs="Arial"/>
        </w:rPr>
        <w:t>202</w:t>
      </w:r>
      <w:r w:rsidR="003D3453">
        <w:rPr>
          <w:rFonts w:cs="Arial"/>
        </w:rPr>
        <w:t>2</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11DE51BB"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250129">
        <w:rPr>
          <w:rFonts w:cs="Arial"/>
        </w:rPr>
        <w:t>58</w:t>
      </w:r>
      <w:r w:rsidR="00281E08" w:rsidRPr="00ED55CD">
        <w:rPr>
          <w:rFonts w:cs="Arial"/>
        </w:rPr>
        <w:t xml:space="preserve"> </w:t>
      </w:r>
      <w:r w:rsidRPr="00ED55CD">
        <w:rPr>
          <w:rFonts w:cs="Arial"/>
        </w:rP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114BE667"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7B7E78">
        <w:rPr>
          <w:sz w:val="16"/>
          <w:szCs w:val="16"/>
        </w:rPr>
        <w:t xml:space="preserve">July </w:t>
      </w:r>
      <w:r w:rsidR="00DA70CA">
        <w:rPr>
          <w:sz w:val="16"/>
          <w:szCs w:val="16"/>
        </w:rPr>
        <w:t xml:space="preserve">2022 </w:t>
      </w:r>
      <w:r>
        <w:rPr>
          <w:sz w:val="16"/>
          <w:szCs w:val="16"/>
        </w:rPr>
        <w:t xml:space="preserve">to </w:t>
      </w:r>
      <w:r w:rsidR="007B7E78">
        <w:rPr>
          <w:sz w:val="16"/>
          <w:szCs w:val="16"/>
        </w:rPr>
        <w:t>31 December</w:t>
      </w:r>
      <w:r w:rsidR="00FE7D6A">
        <w:rPr>
          <w:sz w:val="16"/>
          <w:szCs w:val="16"/>
        </w:rPr>
        <w:t xml:space="preserve"> </w:t>
      </w:r>
      <w:r w:rsidR="003D3453">
        <w:rPr>
          <w:sz w:val="16"/>
          <w:szCs w:val="16"/>
        </w:rPr>
        <w:t>2022</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32B4F497"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w:t>
            </w:r>
            <w:r w:rsidR="00250129">
              <w:rPr>
                <w:rFonts w:cs="Arial"/>
                <w:b/>
                <w:bCs/>
                <w:sz w:val="18"/>
                <w:szCs w:val="18"/>
                <w:lang w:eastAsia="en-AU"/>
              </w:rPr>
              <w:t>7</w:t>
            </w:r>
          </w:p>
        </w:tc>
        <w:tc>
          <w:tcPr>
            <w:tcW w:w="992" w:type="dxa"/>
            <w:tcBorders>
              <w:top w:val="single" w:sz="4" w:space="0" w:color="auto"/>
              <w:left w:val="single" w:sz="4" w:space="0" w:color="auto"/>
              <w:bottom w:val="single" w:sz="4" w:space="0" w:color="auto"/>
              <w:right w:val="single" w:sz="4" w:space="0" w:color="auto"/>
            </w:tcBorders>
          </w:tcPr>
          <w:p w14:paraId="26E501C0" w14:textId="2F6703F3"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w:t>
            </w:r>
            <w:r w:rsidR="00250129">
              <w:rPr>
                <w:rFonts w:cs="Arial"/>
                <w:b/>
                <w:bCs/>
                <w:sz w:val="18"/>
                <w:szCs w:val="18"/>
                <w:lang w:eastAsia="en-AU"/>
              </w:rPr>
              <w:t>8</w:t>
            </w:r>
          </w:p>
        </w:tc>
      </w:tr>
      <w:tr w:rsidR="00005AEB"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005AEB" w:rsidRPr="00504360" w:rsidRDefault="00005AEB" w:rsidP="00005AEB">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10E01848" w:rsidR="00005AEB" w:rsidRPr="00733DE0" w:rsidRDefault="00005AEB" w:rsidP="00005AEB">
            <w:pPr>
              <w:spacing w:line="240" w:lineRule="auto"/>
              <w:jc w:val="right"/>
              <w:rPr>
                <w:rFonts w:cs="Arial"/>
                <w:sz w:val="18"/>
                <w:szCs w:val="18"/>
              </w:rPr>
            </w:pPr>
            <w:r>
              <w:rPr>
                <w:rFonts w:cs="Arial"/>
                <w:sz w:val="18"/>
                <w:szCs w:val="18"/>
              </w:rPr>
              <w:t>2,13</w:t>
            </w:r>
            <w:r w:rsidR="00DC3CA6">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7FA692B3" w14:textId="17A016CB" w:rsidR="00005AEB" w:rsidRPr="00733DE0" w:rsidRDefault="00005AEB" w:rsidP="00005AEB">
            <w:pPr>
              <w:spacing w:line="240" w:lineRule="auto"/>
              <w:jc w:val="right"/>
              <w:rPr>
                <w:rFonts w:cs="Arial"/>
                <w:sz w:val="18"/>
                <w:szCs w:val="18"/>
              </w:rPr>
            </w:pPr>
            <w:r>
              <w:rPr>
                <w:rFonts w:cs="Arial"/>
                <w:sz w:val="18"/>
                <w:szCs w:val="18"/>
              </w:rPr>
              <w:t>2,16</w:t>
            </w:r>
            <w:r w:rsidR="008B098C">
              <w:rPr>
                <w:rFonts w:cs="Arial"/>
                <w:sz w:val="18"/>
                <w:szCs w:val="18"/>
              </w:rPr>
              <w:t>6</w:t>
            </w:r>
          </w:p>
        </w:tc>
      </w:tr>
      <w:tr w:rsidR="00005AEB"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005AEB" w:rsidRPr="00504360" w:rsidRDefault="00005AEB" w:rsidP="00005AE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1591C853" w:rsidR="00005AEB" w:rsidRPr="00733DE0" w:rsidRDefault="00005AEB" w:rsidP="00005AEB">
            <w:pPr>
              <w:spacing w:line="240" w:lineRule="auto"/>
              <w:jc w:val="right"/>
              <w:rPr>
                <w:rFonts w:cs="Arial"/>
                <w:sz w:val="18"/>
                <w:szCs w:val="18"/>
              </w:rPr>
            </w:pPr>
            <w:r>
              <w:rPr>
                <w:rFonts w:cs="Arial"/>
                <w:sz w:val="18"/>
                <w:szCs w:val="18"/>
              </w:rPr>
              <w:t>1,070</w:t>
            </w:r>
          </w:p>
        </w:tc>
        <w:tc>
          <w:tcPr>
            <w:tcW w:w="992" w:type="dxa"/>
            <w:tcBorders>
              <w:top w:val="single" w:sz="4" w:space="0" w:color="auto"/>
              <w:left w:val="single" w:sz="4" w:space="0" w:color="auto"/>
              <w:bottom w:val="single" w:sz="4" w:space="0" w:color="auto"/>
              <w:right w:val="single" w:sz="4" w:space="0" w:color="auto"/>
            </w:tcBorders>
          </w:tcPr>
          <w:p w14:paraId="01FC42FF" w14:textId="44E3F304" w:rsidR="00005AEB" w:rsidRPr="00733DE0" w:rsidRDefault="00005AEB" w:rsidP="00005AEB">
            <w:pPr>
              <w:spacing w:line="240" w:lineRule="auto"/>
              <w:jc w:val="right"/>
              <w:rPr>
                <w:rFonts w:cs="Arial"/>
                <w:sz w:val="18"/>
                <w:szCs w:val="18"/>
              </w:rPr>
            </w:pPr>
            <w:r>
              <w:rPr>
                <w:rFonts w:cs="Arial"/>
                <w:sz w:val="18"/>
                <w:szCs w:val="18"/>
              </w:rPr>
              <w:t>1,2</w:t>
            </w:r>
            <w:r w:rsidR="008B098C">
              <w:rPr>
                <w:rFonts w:cs="Arial"/>
                <w:sz w:val="18"/>
                <w:szCs w:val="18"/>
              </w:rPr>
              <w:t>21</w:t>
            </w:r>
          </w:p>
        </w:tc>
      </w:tr>
      <w:tr w:rsidR="00005AEB"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005AEB" w:rsidRPr="00504360" w:rsidRDefault="00005AEB" w:rsidP="00005AE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7A53E617" w:rsidR="00005AEB" w:rsidRPr="00733DE0" w:rsidRDefault="00005AEB" w:rsidP="00005AEB">
            <w:pPr>
              <w:spacing w:line="240" w:lineRule="auto"/>
              <w:jc w:val="right"/>
              <w:rPr>
                <w:rFonts w:cs="Arial"/>
                <w:sz w:val="18"/>
                <w:szCs w:val="18"/>
              </w:rPr>
            </w:pPr>
            <w:r>
              <w:rPr>
                <w:rFonts w:cs="Arial"/>
                <w:sz w:val="18"/>
                <w:szCs w:val="18"/>
              </w:rPr>
              <w:t>1,062</w:t>
            </w:r>
          </w:p>
        </w:tc>
        <w:tc>
          <w:tcPr>
            <w:tcW w:w="992" w:type="dxa"/>
            <w:tcBorders>
              <w:top w:val="single" w:sz="4" w:space="0" w:color="auto"/>
              <w:left w:val="single" w:sz="4" w:space="0" w:color="auto"/>
              <w:bottom w:val="single" w:sz="4" w:space="0" w:color="auto"/>
              <w:right w:val="single" w:sz="4" w:space="0" w:color="auto"/>
            </w:tcBorders>
          </w:tcPr>
          <w:p w14:paraId="15DC554A" w14:textId="76A0F26F" w:rsidR="00005AEB" w:rsidRPr="00733DE0" w:rsidRDefault="00005AEB" w:rsidP="00005AEB">
            <w:pPr>
              <w:spacing w:line="240" w:lineRule="auto"/>
              <w:jc w:val="right"/>
              <w:rPr>
                <w:rFonts w:cs="Arial"/>
                <w:sz w:val="18"/>
                <w:szCs w:val="18"/>
              </w:rPr>
            </w:pPr>
            <w:r>
              <w:rPr>
                <w:rFonts w:cs="Arial"/>
                <w:sz w:val="18"/>
                <w:szCs w:val="18"/>
              </w:rPr>
              <w:t>945</w:t>
            </w:r>
          </w:p>
        </w:tc>
      </w:tr>
      <w:tr w:rsidR="00005AEB"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005AEB" w:rsidRPr="00504360" w:rsidRDefault="00005AEB" w:rsidP="00005AEB">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78F4516A" w:rsidR="00005AEB" w:rsidRPr="00733DE0" w:rsidRDefault="00005AEB" w:rsidP="00005AEB">
            <w:pPr>
              <w:spacing w:line="240" w:lineRule="auto"/>
              <w:jc w:val="right"/>
              <w:rPr>
                <w:rFonts w:cs="Arial"/>
                <w:sz w:val="18"/>
                <w:szCs w:val="18"/>
                <w:lang w:eastAsia="en-AU"/>
              </w:rPr>
            </w:pPr>
            <w:r>
              <w:rPr>
                <w:rFonts w:cs="Arial"/>
                <w:sz w:val="18"/>
                <w:szCs w:val="18"/>
              </w:rPr>
              <w:t>543</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3FA7FDDC" w:rsidR="00005AEB" w:rsidRPr="00733DE0" w:rsidRDefault="00005AEB" w:rsidP="00005AEB">
            <w:pPr>
              <w:spacing w:line="240" w:lineRule="auto"/>
              <w:jc w:val="right"/>
              <w:rPr>
                <w:rFonts w:cs="Arial"/>
                <w:sz w:val="18"/>
                <w:szCs w:val="18"/>
              </w:rPr>
            </w:pPr>
            <w:r>
              <w:rPr>
                <w:rFonts w:cs="Arial"/>
                <w:sz w:val="18"/>
                <w:szCs w:val="18"/>
              </w:rPr>
              <w:t>67</w:t>
            </w:r>
            <w:r w:rsidR="008B098C">
              <w:rPr>
                <w:rFonts w:cs="Arial"/>
                <w:sz w:val="18"/>
                <w:szCs w:val="18"/>
              </w:rPr>
              <w:t>2</w:t>
            </w:r>
          </w:p>
        </w:tc>
      </w:tr>
      <w:tr w:rsidR="00DB3881"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DB3881" w:rsidRPr="00504360" w:rsidRDefault="00DB3881" w:rsidP="00DB3881">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DB3881" w:rsidRPr="00733DE0" w:rsidRDefault="00DB3881" w:rsidP="00DB3881">
            <w:pPr>
              <w:spacing w:line="240" w:lineRule="auto"/>
              <w:jc w:val="right"/>
              <w:rPr>
                <w:rFonts w:cs="Arial"/>
                <w:sz w:val="18"/>
                <w:szCs w:val="18"/>
              </w:rPr>
            </w:pPr>
          </w:p>
        </w:tc>
      </w:tr>
      <w:tr w:rsidR="00DB3881"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3ACBCAEC" w:rsidR="00DB3881" w:rsidRPr="001E2C9A" w:rsidRDefault="00DB3881" w:rsidP="00DB3881">
            <w:pPr>
              <w:spacing w:line="240" w:lineRule="auto"/>
              <w:rPr>
                <w:rFonts w:cs="Arial"/>
                <w:b/>
                <w:bCs/>
                <w:sz w:val="18"/>
                <w:szCs w:val="18"/>
                <w:lang w:eastAsia="en-AU"/>
              </w:rPr>
            </w:pPr>
            <w:r w:rsidRPr="0041058E">
              <w:rPr>
                <w:rFonts w:cs="Arial"/>
                <w:b/>
                <w:bCs/>
                <w:sz w:val="18"/>
                <w:szCs w:val="18"/>
                <w:lang w:eastAsia="en-AU"/>
              </w:rPr>
              <w:t>Conferences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DB3881" w:rsidRPr="00733DE0" w:rsidRDefault="00DB3881" w:rsidP="00DB3881">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DB3881" w:rsidRPr="00733DE0" w:rsidRDefault="00DB3881" w:rsidP="00DB3881">
            <w:pPr>
              <w:spacing w:line="240" w:lineRule="auto"/>
              <w:jc w:val="right"/>
              <w:rPr>
                <w:rFonts w:cs="Arial"/>
                <w:sz w:val="18"/>
                <w:szCs w:val="18"/>
              </w:rPr>
            </w:pPr>
          </w:p>
        </w:tc>
      </w:tr>
      <w:tr w:rsidR="00005AEB"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005AEB" w:rsidRPr="0041058E" w:rsidRDefault="00005AEB" w:rsidP="00005AEB">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783F04B0" w:rsidR="00005AEB" w:rsidRPr="00733DE0" w:rsidRDefault="00005AEB" w:rsidP="00005AEB">
            <w:pPr>
              <w:spacing w:line="240" w:lineRule="auto"/>
              <w:jc w:val="right"/>
              <w:rPr>
                <w:rFonts w:cs="Arial"/>
                <w:sz w:val="18"/>
                <w:szCs w:val="18"/>
              </w:rPr>
            </w:pPr>
            <w:r>
              <w:rPr>
                <w:rFonts w:cs="Arial"/>
                <w:sz w:val="18"/>
                <w:szCs w:val="18"/>
              </w:rPr>
              <w:t>296</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464B8292" w:rsidR="00005AEB" w:rsidRPr="002D2253" w:rsidRDefault="00005AEB" w:rsidP="00005AEB">
            <w:pPr>
              <w:spacing w:line="240" w:lineRule="auto"/>
              <w:jc w:val="right"/>
              <w:rPr>
                <w:rFonts w:cs="Arial"/>
                <w:sz w:val="18"/>
                <w:szCs w:val="18"/>
              </w:rPr>
            </w:pPr>
            <w:r>
              <w:rPr>
                <w:rFonts w:cs="Arial"/>
                <w:sz w:val="18"/>
                <w:szCs w:val="18"/>
              </w:rPr>
              <w:t>313</w:t>
            </w:r>
          </w:p>
        </w:tc>
      </w:tr>
      <w:tr w:rsidR="00005AEB"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005AEB" w:rsidRPr="00504360" w:rsidRDefault="00005AEB" w:rsidP="00005AEB">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3870A478" w:rsidR="00005AEB" w:rsidRPr="00733DE0" w:rsidRDefault="00005AEB" w:rsidP="00005AEB">
            <w:pPr>
              <w:spacing w:line="240" w:lineRule="auto"/>
              <w:jc w:val="right"/>
              <w:rPr>
                <w:rFonts w:cs="Arial"/>
                <w:sz w:val="18"/>
                <w:szCs w:val="18"/>
              </w:rPr>
            </w:pPr>
            <w:r>
              <w:rPr>
                <w:rFonts w:cs="Arial"/>
                <w:sz w:val="18"/>
                <w:szCs w:val="18"/>
              </w:rPr>
              <w:t>243</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59DCE42B" w:rsidR="00005AEB" w:rsidRPr="002D2253" w:rsidRDefault="00005AEB" w:rsidP="00005AEB">
            <w:pPr>
              <w:spacing w:line="240" w:lineRule="auto"/>
              <w:jc w:val="right"/>
              <w:rPr>
                <w:rFonts w:cs="Arial"/>
                <w:sz w:val="18"/>
                <w:szCs w:val="18"/>
              </w:rPr>
            </w:pPr>
            <w:r>
              <w:rPr>
                <w:rFonts w:cs="Arial"/>
                <w:sz w:val="18"/>
                <w:szCs w:val="18"/>
              </w:rPr>
              <w:t>266</w:t>
            </w:r>
          </w:p>
        </w:tc>
      </w:tr>
      <w:tr w:rsidR="00005AEB"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41FA7E88" w:rsidR="00005AEB" w:rsidRPr="00504360" w:rsidRDefault="00005AEB" w:rsidP="00005AEB">
            <w:pPr>
              <w:spacing w:line="240" w:lineRule="auto"/>
              <w:rPr>
                <w:rFonts w:cs="Arial"/>
                <w:sz w:val="18"/>
                <w:szCs w:val="18"/>
                <w:lang w:eastAsia="en-AU"/>
              </w:rPr>
            </w:pPr>
            <w:r w:rsidRPr="0041058E">
              <w:rPr>
                <w:rFonts w:cs="Arial"/>
                <w:sz w:val="18"/>
                <w:szCs w:val="18"/>
                <w:lang w:eastAsia="en-AU"/>
              </w:rPr>
              <w:t>Attendance percentage for conferences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5D1208E7" w:rsidR="00005AEB" w:rsidRPr="00733DE0" w:rsidRDefault="00005AEB" w:rsidP="00005AEB">
            <w:pPr>
              <w:spacing w:line="240" w:lineRule="auto"/>
              <w:jc w:val="right"/>
              <w:rPr>
                <w:rFonts w:cs="Arial"/>
                <w:sz w:val="18"/>
                <w:szCs w:val="18"/>
                <w:lang w:eastAsia="en-AU"/>
              </w:rPr>
            </w:pPr>
            <w:r>
              <w:rPr>
                <w:rFonts w:cs="Arial"/>
                <w:sz w:val="18"/>
                <w:szCs w:val="18"/>
              </w:rPr>
              <w:t>64%</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0A2A2A41" w:rsidR="00005AEB" w:rsidRPr="002D2253" w:rsidRDefault="00005AEB" w:rsidP="00005AEB">
            <w:pPr>
              <w:spacing w:line="240" w:lineRule="auto"/>
              <w:jc w:val="right"/>
              <w:rPr>
                <w:rFonts w:cs="Arial"/>
                <w:sz w:val="18"/>
                <w:szCs w:val="18"/>
              </w:rPr>
            </w:pPr>
            <w:r>
              <w:rPr>
                <w:rFonts w:cs="Arial"/>
                <w:sz w:val="18"/>
                <w:szCs w:val="18"/>
              </w:rPr>
              <w:t>66%</w:t>
            </w:r>
          </w:p>
        </w:tc>
      </w:tr>
      <w:tr w:rsidR="00005AEB"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41D4EDB0" w:rsidR="00005AEB" w:rsidRPr="00504360" w:rsidRDefault="00005AEB" w:rsidP="00005AEB">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634A79D3" w:rsidR="00005AEB" w:rsidRPr="00733DE0" w:rsidRDefault="00005AEB" w:rsidP="00005AEB">
            <w:pPr>
              <w:spacing w:line="240" w:lineRule="auto"/>
              <w:jc w:val="right"/>
              <w:rPr>
                <w:rFonts w:cs="Arial"/>
                <w:sz w:val="18"/>
                <w:szCs w:val="18"/>
                <w:lang w:eastAsia="en-AU"/>
              </w:rPr>
            </w:pPr>
            <w:r>
              <w:rPr>
                <w:rFonts w:cs="Arial"/>
                <w:sz w:val="18"/>
                <w:szCs w:val="18"/>
              </w:rPr>
              <w:t>32%</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0EA3B0EB" w:rsidR="00005AEB" w:rsidRPr="002D2253" w:rsidRDefault="00005AEB" w:rsidP="00005AEB">
            <w:pPr>
              <w:spacing w:line="240" w:lineRule="auto"/>
              <w:jc w:val="right"/>
              <w:rPr>
                <w:rFonts w:cs="Arial"/>
                <w:sz w:val="18"/>
                <w:szCs w:val="18"/>
                <w:lang w:eastAsia="en-AU"/>
              </w:rPr>
            </w:pPr>
            <w:r>
              <w:rPr>
                <w:rFonts w:cs="Arial"/>
                <w:sz w:val="18"/>
                <w:szCs w:val="18"/>
              </w:rPr>
              <w:t>31%</w:t>
            </w:r>
          </w:p>
        </w:tc>
      </w:tr>
      <w:tr w:rsidR="00DB3881"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DB3881" w:rsidRPr="00504360" w:rsidRDefault="00DB3881" w:rsidP="00DB3881">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DB3881" w:rsidRPr="00733DE0" w:rsidRDefault="00DB3881" w:rsidP="00DB3881">
            <w:pPr>
              <w:spacing w:line="240" w:lineRule="auto"/>
              <w:jc w:val="right"/>
              <w:rPr>
                <w:rFonts w:cs="Arial"/>
                <w:sz w:val="18"/>
                <w:szCs w:val="18"/>
                <w:lang w:eastAsia="en-AU"/>
              </w:rPr>
            </w:pPr>
          </w:p>
        </w:tc>
      </w:tr>
      <w:tr w:rsidR="00DB3881"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DB3881" w:rsidRPr="00504360" w:rsidRDefault="00DB3881" w:rsidP="00DB3881">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DB3881" w:rsidRPr="00733DE0" w:rsidRDefault="00DB3881" w:rsidP="00DB3881">
            <w:pPr>
              <w:spacing w:line="240" w:lineRule="auto"/>
              <w:jc w:val="right"/>
              <w:rPr>
                <w:rFonts w:cs="Arial"/>
                <w:sz w:val="18"/>
                <w:szCs w:val="18"/>
                <w:lang w:eastAsia="en-AU"/>
              </w:rPr>
            </w:pPr>
          </w:p>
        </w:tc>
      </w:tr>
      <w:tr w:rsidR="00005AEB"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005AEB" w:rsidRPr="00504360" w:rsidRDefault="00005AEB" w:rsidP="00005AEB">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51A613D9" w:rsidR="00005AEB" w:rsidRPr="00733DE0" w:rsidRDefault="00005AEB" w:rsidP="00005AEB">
            <w:pPr>
              <w:spacing w:line="240" w:lineRule="auto"/>
              <w:jc w:val="right"/>
              <w:rPr>
                <w:rFonts w:cs="Arial"/>
                <w:sz w:val="18"/>
                <w:szCs w:val="18"/>
                <w:lang w:eastAsia="en-AU"/>
              </w:rPr>
            </w:pPr>
            <w:r>
              <w:rPr>
                <w:rFonts w:cs="Arial"/>
                <w:sz w:val="18"/>
                <w:szCs w:val="18"/>
              </w:rPr>
              <w:t>72</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4BC7728A" w:rsidR="00005AEB" w:rsidRPr="002D2253" w:rsidRDefault="00005AEB" w:rsidP="00005AEB">
            <w:pPr>
              <w:spacing w:line="240" w:lineRule="auto"/>
              <w:jc w:val="right"/>
              <w:rPr>
                <w:rFonts w:cs="Arial"/>
                <w:sz w:val="18"/>
                <w:szCs w:val="18"/>
              </w:rPr>
            </w:pPr>
            <w:r>
              <w:rPr>
                <w:rFonts w:cs="Arial"/>
                <w:sz w:val="18"/>
                <w:szCs w:val="18"/>
              </w:rPr>
              <w:t>86</w:t>
            </w:r>
          </w:p>
        </w:tc>
      </w:tr>
      <w:tr w:rsidR="00005AEB"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005AEB" w:rsidRPr="00504360" w:rsidRDefault="00005AEB" w:rsidP="00005AEB">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1BE79ED0" w:rsidR="00005AEB" w:rsidRPr="00733DE0" w:rsidRDefault="00005AEB" w:rsidP="00005AEB">
            <w:pPr>
              <w:spacing w:line="240" w:lineRule="auto"/>
              <w:jc w:val="right"/>
              <w:rPr>
                <w:rFonts w:cs="Arial"/>
                <w:sz w:val="18"/>
                <w:szCs w:val="18"/>
                <w:lang w:eastAsia="en-AU"/>
              </w:rPr>
            </w:pPr>
            <w:r>
              <w:rPr>
                <w:rFonts w:cs="Arial"/>
                <w:sz w:val="18"/>
                <w:szCs w:val="18"/>
              </w:rPr>
              <w:t>23</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3D81F964" w:rsidR="00005AEB" w:rsidRPr="002D2253" w:rsidRDefault="00005AEB" w:rsidP="00005AEB">
            <w:pPr>
              <w:spacing w:line="240" w:lineRule="auto"/>
              <w:jc w:val="right"/>
              <w:rPr>
                <w:rFonts w:cs="Arial"/>
                <w:sz w:val="18"/>
                <w:szCs w:val="18"/>
              </w:rPr>
            </w:pPr>
            <w:r>
              <w:rPr>
                <w:rFonts w:cs="Arial"/>
                <w:sz w:val="18"/>
                <w:szCs w:val="18"/>
              </w:rPr>
              <w:t>45</w:t>
            </w:r>
          </w:p>
        </w:tc>
      </w:tr>
      <w:tr w:rsidR="00005AEB"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005AEB" w:rsidRPr="00504360" w:rsidRDefault="00005AEB" w:rsidP="00005AEB">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49E3C7EC" w:rsidR="00005AEB" w:rsidRPr="00733DE0" w:rsidRDefault="00005AEB" w:rsidP="00005AEB">
            <w:pPr>
              <w:spacing w:line="240" w:lineRule="auto"/>
              <w:jc w:val="right"/>
              <w:rPr>
                <w:rFonts w:cs="Arial"/>
                <w:sz w:val="18"/>
                <w:szCs w:val="18"/>
              </w:rPr>
            </w:pPr>
            <w:r>
              <w:rPr>
                <w:rFonts w:cs="Arial"/>
                <w:sz w:val="18"/>
                <w:szCs w:val="18"/>
              </w:rPr>
              <w:t>116</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3E494253" w:rsidR="00005AEB" w:rsidRPr="002D2253" w:rsidRDefault="00005AEB" w:rsidP="00005AEB">
            <w:pPr>
              <w:spacing w:line="240" w:lineRule="auto"/>
              <w:jc w:val="right"/>
              <w:rPr>
                <w:rFonts w:cs="Arial"/>
                <w:sz w:val="18"/>
                <w:szCs w:val="18"/>
              </w:rPr>
            </w:pPr>
            <w:r>
              <w:rPr>
                <w:rFonts w:cs="Arial"/>
                <w:sz w:val="18"/>
                <w:szCs w:val="18"/>
              </w:rPr>
              <w:t>154</w:t>
            </w:r>
          </w:p>
        </w:tc>
      </w:tr>
      <w:tr w:rsidR="00005AEB" w:rsidRPr="00504360" w14:paraId="2709F33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005AEB" w:rsidRDefault="00005AEB" w:rsidP="00005AEB">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1EF20" w14:textId="4B004E29" w:rsidR="00005AEB" w:rsidRPr="00733DE0" w:rsidRDefault="00005AEB" w:rsidP="00005AE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1B82518E" w:rsidR="00005AEB" w:rsidRPr="002D2253" w:rsidRDefault="00005AEB" w:rsidP="00005AEB">
            <w:pPr>
              <w:spacing w:line="240" w:lineRule="auto"/>
              <w:jc w:val="right"/>
              <w:rPr>
                <w:rFonts w:cs="Arial"/>
                <w:sz w:val="18"/>
                <w:szCs w:val="18"/>
              </w:rPr>
            </w:pPr>
            <w:r>
              <w:rPr>
                <w:rFonts w:cs="Arial"/>
                <w:sz w:val="18"/>
                <w:szCs w:val="18"/>
              </w:rPr>
              <w:t>0</w:t>
            </w:r>
          </w:p>
        </w:tc>
      </w:tr>
      <w:tr w:rsidR="00005AEB"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005AEB" w:rsidRPr="00504360" w:rsidRDefault="00005AEB" w:rsidP="00005AEB">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110C882E" w:rsidR="00005AEB" w:rsidRPr="00733DE0" w:rsidRDefault="00005AEB" w:rsidP="00005AEB">
            <w:pPr>
              <w:spacing w:line="240" w:lineRule="auto"/>
              <w:jc w:val="right"/>
              <w:rPr>
                <w:rFonts w:cs="Arial"/>
                <w:sz w:val="18"/>
                <w:szCs w:val="18"/>
                <w:lang w:eastAsia="en-AU"/>
              </w:rPr>
            </w:pPr>
            <w:r>
              <w:rPr>
                <w:rFonts w:cs="Arial"/>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717F8189" w:rsidR="00005AEB" w:rsidRPr="002D2253" w:rsidRDefault="00005AEB" w:rsidP="00005AEB">
            <w:pPr>
              <w:spacing w:line="240" w:lineRule="auto"/>
              <w:jc w:val="right"/>
              <w:rPr>
                <w:rFonts w:cs="Arial"/>
                <w:sz w:val="18"/>
                <w:szCs w:val="18"/>
              </w:rPr>
            </w:pPr>
            <w:r>
              <w:rPr>
                <w:rFonts w:cs="Arial"/>
                <w:sz w:val="18"/>
                <w:szCs w:val="18"/>
              </w:rPr>
              <w:t>21</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561C6C" w:rsidRPr="00504360" w14:paraId="1D148075"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561C6C" w:rsidRPr="0041058E" w:rsidRDefault="00106CA9" w:rsidP="00561C6C">
            <w:pPr>
              <w:spacing w:line="240" w:lineRule="auto"/>
              <w:rPr>
                <w:rFonts w:cs="Arial"/>
                <w:b/>
                <w:sz w:val="18"/>
                <w:szCs w:val="18"/>
                <w:lang w:eastAsia="en-AU"/>
              </w:rPr>
            </w:pPr>
            <w:r>
              <w:rPr>
                <w:rFonts w:cs="Arial"/>
                <w:b/>
                <w:sz w:val="18"/>
                <w:szCs w:val="18"/>
                <w:lang w:eastAsia="en-AU"/>
              </w:rPr>
              <w:lastRenderedPageBreak/>
              <w:t>Domestic Violence statistical information a</w:t>
            </w:r>
            <w:r w:rsidR="0011222E">
              <w:rPr>
                <w:rFonts w:cs="Arial"/>
                <w:b/>
                <w:sz w:val="18"/>
                <w:szCs w:val="18"/>
                <w:lang w:eastAsia="en-AU"/>
              </w:rPr>
              <w:t xml:space="preserve">s a subset from the total number of conferences conducted, referrals </w:t>
            </w:r>
            <w:r>
              <w:rPr>
                <w:rFonts w:cs="Arial"/>
                <w:b/>
                <w:sz w:val="18"/>
                <w:szCs w:val="18"/>
                <w:lang w:eastAsia="en-AU"/>
              </w:rPr>
              <w:t xml:space="preserve">made </w:t>
            </w:r>
            <w:r w:rsidR="0011222E">
              <w:rPr>
                <w:rFonts w:cs="Arial"/>
                <w:b/>
                <w:sz w:val="18"/>
                <w:szCs w:val="18"/>
                <w:lang w:eastAsia="en-AU"/>
              </w:rPr>
              <w:t>and CIMs</w:t>
            </w:r>
            <w:r>
              <w:rPr>
                <w:rFonts w:cs="Arial"/>
                <w:b/>
                <w:sz w:val="18"/>
                <w:szCs w:val="18"/>
                <w:lang w:eastAsia="en-AU"/>
              </w:rPr>
              <w:t xml:space="preserve"> put in place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105D8" w14:textId="3594EFB6" w:rsidR="00561C6C" w:rsidRPr="00504360" w:rsidRDefault="00561C6C" w:rsidP="00561C6C">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57</w:t>
            </w:r>
          </w:p>
        </w:tc>
        <w:tc>
          <w:tcPr>
            <w:tcW w:w="992" w:type="dxa"/>
            <w:tcBorders>
              <w:top w:val="single" w:sz="4" w:space="0" w:color="auto"/>
              <w:left w:val="single" w:sz="4" w:space="0" w:color="auto"/>
              <w:bottom w:val="single" w:sz="4" w:space="0" w:color="auto"/>
              <w:right w:val="single" w:sz="4" w:space="0" w:color="auto"/>
            </w:tcBorders>
          </w:tcPr>
          <w:p w14:paraId="6439EBB6" w14:textId="2DBCEB04" w:rsidR="00561C6C" w:rsidRPr="00504360" w:rsidRDefault="00561C6C" w:rsidP="00561C6C">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58</w:t>
            </w:r>
          </w:p>
        </w:tc>
      </w:tr>
      <w:tr w:rsidR="00561C6C" w:rsidRPr="00504360" w14:paraId="4E8132BF"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561C6C" w:rsidRPr="00561C6C" w:rsidRDefault="00561C6C" w:rsidP="00561C6C">
            <w:pPr>
              <w:spacing w:line="240" w:lineRule="auto"/>
              <w:rPr>
                <w:rFonts w:cs="Arial"/>
                <w:sz w:val="18"/>
                <w:szCs w:val="18"/>
              </w:rPr>
            </w:pPr>
            <w:r w:rsidRPr="00561C6C">
              <w:rPr>
                <w:rFonts w:cs="Arial"/>
                <w:sz w:val="18"/>
                <w:szCs w:val="18"/>
              </w:rPr>
              <w:t xml:space="preserve">Conferences for </w:t>
            </w:r>
            <w:r w:rsidR="00542082">
              <w:rPr>
                <w:rFonts w:cs="Arial"/>
                <w:sz w:val="18"/>
                <w:szCs w:val="18"/>
              </w:rPr>
              <w:t>d</w:t>
            </w:r>
            <w:r w:rsidRPr="00561C6C">
              <w:rPr>
                <w:rFonts w:cs="Arial"/>
                <w:sz w:val="18"/>
                <w:szCs w:val="18"/>
              </w:rPr>
              <w:t xml:space="preserve">omestic </w:t>
            </w:r>
            <w:r w:rsidR="00542082">
              <w:rPr>
                <w:rFonts w:cs="Arial"/>
                <w:sz w:val="18"/>
                <w:szCs w:val="18"/>
              </w:rPr>
              <w:t>v</w:t>
            </w:r>
            <w:r w:rsidRPr="00561C6C">
              <w:rPr>
                <w:rFonts w:cs="Arial"/>
                <w:sz w:val="18"/>
                <w:szCs w:val="18"/>
              </w:rPr>
              <w:t xml:space="preserve">iolence </w:t>
            </w:r>
            <w:r w:rsidR="00542082">
              <w:rPr>
                <w:rFonts w:cs="Arial"/>
                <w:sz w:val="18"/>
                <w:szCs w:val="18"/>
              </w:rPr>
              <w:t>m</w:t>
            </w:r>
            <w:r w:rsidRPr="00561C6C">
              <w:rPr>
                <w:rFonts w:cs="Arial"/>
                <w:sz w:val="18"/>
                <w:szCs w:val="18"/>
              </w:rPr>
              <w:t>atters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7DF502" w14:textId="723CB59B" w:rsidR="00561C6C" w:rsidRPr="00561C6C" w:rsidRDefault="00561C6C" w:rsidP="00561C6C">
            <w:pPr>
              <w:spacing w:line="240" w:lineRule="auto"/>
              <w:jc w:val="right"/>
              <w:rPr>
                <w:rFonts w:cs="Arial"/>
                <w:sz w:val="18"/>
                <w:szCs w:val="18"/>
                <w:lang w:eastAsia="en-AU"/>
              </w:rPr>
            </w:pPr>
            <w:r>
              <w:rPr>
                <w:rFonts w:cs="Arial"/>
                <w:sz w:val="18"/>
                <w:szCs w:val="18"/>
                <w:lang w:eastAsia="en-AU"/>
              </w:rPr>
              <w:t>71</w:t>
            </w:r>
          </w:p>
        </w:tc>
        <w:tc>
          <w:tcPr>
            <w:tcW w:w="992" w:type="dxa"/>
            <w:tcBorders>
              <w:top w:val="single" w:sz="4" w:space="0" w:color="auto"/>
              <w:left w:val="single" w:sz="4" w:space="0" w:color="auto"/>
              <w:bottom w:val="single" w:sz="4" w:space="0" w:color="auto"/>
              <w:right w:val="single" w:sz="4" w:space="0" w:color="auto"/>
            </w:tcBorders>
          </w:tcPr>
          <w:p w14:paraId="5C2D3CC5" w14:textId="2DCFE567" w:rsidR="00561C6C" w:rsidRPr="00561C6C" w:rsidRDefault="00561C6C" w:rsidP="00561C6C">
            <w:pPr>
              <w:spacing w:line="240" w:lineRule="auto"/>
              <w:jc w:val="right"/>
              <w:rPr>
                <w:rFonts w:cs="Arial"/>
                <w:sz w:val="18"/>
                <w:szCs w:val="18"/>
                <w:lang w:eastAsia="en-AU"/>
              </w:rPr>
            </w:pPr>
            <w:r>
              <w:rPr>
                <w:rFonts w:cs="Arial"/>
                <w:sz w:val="18"/>
                <w:szCs w:val="18"/>
                <w:lang w:eastAsia="en-AU"/>
              </w:rPr>
              <w:t>78</w:t>
            </w:r>
          </w:p>
        </w:tc>
      </w:tr>
      <w:tr w:rsidR="00561C6C" w:rsidRPr="00504360" w14:paraId="62188BF7"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561C6C" w:rsidRPr="00561C6C" w:rsidRDefault="00561C6C" w:rsidP="00561C6C">
            <w:pPr>
              <w:spacing w:line="240" w:lineRule="auto"/>
              <w:rPr>
                <w:rFonts w:cs="Arial"/>
                <w:sz w:val="18"/>
                <w:szCs w:val="18"/>
              </w:rPr>
            </w:pPr>
            <w:r w:rsidRPr="00561C6C">
              <w:rPr>
                <w:rFonts w:cs="Arial"/>
                <w:sz w:val="18"/>
                <w:szCs w:val="18"/>
              </w:rPr>
              <w:t xml:space="preserve">Referrals from </w:t>
            </w:r>
            <w:r w:rsidR="00542082">
              <w:rPr>
                <w:rFonts w:cs="Arial"/>
                <w:sz w:val="18"/>
                <w:szCs w:val="18"/>
              </w:rPr>
              <w:t>d</w:t>
            </w:r>
            <w:r w:rsidRPr="00561C6C">
              <w:rPr>
                <w:rFonts w:cs="Arial"/>
                <w:sz w:val="18"/>
                <w:szCs w:val="18"/>
              </w:rPr>
              <w:t xml:space="preserve">omestic </w:t>
            </w:r>
            <w:r w:rsidR="00542082">
              <w:rPr>
                <w:rFonts w:cs="Arial"/>
                <w:sz w:val="18"/>
                <w:szCs w:val="18"/>
              </w:rPr>
              <w:t>v</w:t>
            </w:r>
            <w:r w:rsidRPr="00561C6C">
              <w:rPr>
                <w:rFonts w:cs="Arial"/>
                <w:sz w:val="18"/>
                <w:szCs w:val="18"/>
              </w:rPr>
              <w:t xml:space="preserve">iolence </w:t>
            </w:r>
            <w:r w:rsidR="00542082">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C4ED8" w14:textId="53B0446B" w:rsidR="00561C6C" w:rsidRPr="00561C6C" w:rsidRDefault="00561C6C" w:rsidP="00561C6C">
            <w:pPr>
              <w:spacing w:line="240" w:lineRule="auto"/>
              <w:jc w:val="right"/>
              <w:rPr>
                <w:rFonts w:cs="Arial"/>
                <w:sz w:val="18"/>
                <w:szCs w:val="18"/>
                <w:lang w:eastAsia="en-AU"/>
              </w:rPr>
            </w:pPr>
            <w:r>
              <w:rPr>
                <w:rFonts w:cs="Arial"/>
                <w:sz w:val="18"/>
                <w:szCs w:val="18"/>
                <w:lang w:eastAsia="en-AU"/>
              </w:rPr>
              <w:t>30</w:t>
            </w:r>
          </w:p>
        </w:tc>
        <w:tc>
          <w:tcPr>
            <w:tcW w:w="992" w:type="dxa"/>
            <w:tcBorders>
              <w:top w:val="single" w:sz="4" w:space="0" w:color="auto"/>
              <w:left w:val="single" w:sz="4" w:space="0" w:color="auto"/>
              <w:bottom w:val="single" w:sz="4" w:space="0" w:color="auto"/>
              <w:right w:val="single" w:sz="4" w:space="0" w:color="auto"/>
            </w:tcBorders>
          </w:tcPr>
          <w:p w14:paraId="08F9615B" w14:textId="5F317D7C" w:rsidR="00561C6C" w:rsidRPr="00561C6C" w:rsidRDefault="00561C6C" w:rsidP="00561C6C">
            <w:pPr>
              <w:spacing w:line="240" w:lineRule="auto"/>
              <w:jc w:val="right"/>
              <w:rPr>
                <w:rFonts w:cs="Arial"/>
                <w:sz w:val="18"/>
                <w:szCs w:val="18"/>
                <w:lang w:eastAsia="en-AU"/>
              </w:rPr>
            </w:pPr>
            <w:r>
              <w:rPr>
                <w:rFonts w:cs="Arial"/>
                <w:sz w:val="18"/>
                <w:szCs w:val="18"/>
                <w:lang w:eastAsia="en-AU"/>
              </w:rPr>
              <w:t>53</w:t>
            </w:r>
          </w:p>
        </w:tc>
      </w:tr>
      <w:tr w:rsidR="00561C6C" w:rsidRPr="00504360" w14:paraId="4805DD92"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561C6C" w:rsidRPr="00561C6C" w:rsidRDefault="00561C6C" w:rsidP="00561C6C">
            <w:pPr>
              <w:spacing w:line="240" w:lineRule="auto"/>
              <w:rPr>
                <w:rFonts w:cs="Arial"/>
                <w:sz w:val="18"/>
                <w:szCs w:val="18"/>
              </w:rPr>
            </w:pPr>
            <w:r w:rsidRPr="00561C6C">
              <w:rPr>
                <w:rFonts w:cs="Arial"/>
                <w:sz w:val="18"/>
                <w:szCs w:val="18"/>
              </w:rPr>
              <w:t>CIM</w:t>
            </w:r>
            <w:r w:rsidR="0011222E">
              <w:rPr>
                <w:rFonts w:cs="Arial"/>
                <w:sz w:val="18"/>
                <w:szCs w:val="18"/>
              </w:rPr>
              <w:t>’s</w:t>
            </w:r>
            <w:r w:rsidRPr="00561C6C">
              <w:rPr>
                <w:rFonts w:cs="Arial"/>
                <w:sz w:val="18"/>
                <w:szCs w:val="18"/>
              </w:rPr>
              <w:t xml:space="preserve"> from </w:t>
            </w:r>
            <w:r w:rsidR="00542082">
              <w:rPr>
                <w:rFonts w:cs="Arial"/>
                <w:sz w:val="18"/>
                <w:szCs w:val="18"/>
              </w:rPr>
              <w:t>d</w:t>
            </w:r>
            <w:r w:rsidRPr="00561C6C">
              <w:rPr>
                <w:rFonts w:cs="Arial"/>
                <w:sz w:val="18"/>
                <w:szCs w:val="18"/>
              </w:rPr>
              <w:t xml:space="preserve">omestic </w:t>
            </w:r>
            <w:r w:rsidR="00542082">
              <w:rPr>
                <w:rFonts w:cs="Arial"/>
                <w:sz w:val="18"/>
                <w:szCs w:val="18"/>
              </w:rPr>
              <w:t>v</w:t>
            </w:r>
            <w:r w:rsidRPr="00561C6C">
              <w:rPr>
                <w:rFonts w:cs="Arial"/>
                <w:sz w:val="18"/>
                <w:szCs w:val="18"/>
              </w:rPr>
              <w:t xml:space="preserve">iolence </w:t>
            </w:r>
            <w:r w:rsidR="00542082">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048F3" w14:textId="05B772E5" w:rsidR="00561C6C" w:rsidRPr="00561C6C" w:rsidRDefault="00561C6C" w:rsidP="00561C6C">
            <w:pPr>
              <w:spacing w:line="240" w:lineRule="auto"/>
              <w:jc w:val="right"/>
              <w:rPr>
                <w:rFonts w:cs="Arial"/>
                <w:sz w:val="18"/>
                <w:szCs w:val="18"/>
                <w:lang w:eastAsia="en-AU"/>
              </w:rPr>
            </w:pPr>
            <w:r>
              <w:rPr>
                <w:rFonts w:cs="Arial"/>
                <w:sz w:val="18"/>
                <w:szCs w:val="18"/>
                <w:lang w:eastAsia="en-AU"/>
              </w:rPr>
              <w:t>5</w:t>
            </w:r>
          </w:p>
        </w:tc>
        <w:tc>
          <w:tcPr>
            <w:tcW w:w="992" w:type="dxa"/>
            <w:tcBorders>
              <w:top w:val="single" w:sz="4" w:space="0" w:color="auto"/>
              <w:left w:val="single" w:sz="4" w:space="0" w:color="auto"/>
              <w:bottom w:val="single" w:sz="4" w:space="0" w:color="auto"/>
              <w:right w:val="single" w:sz="4" w:space="0" w:color="auto"/>
            </w:tcBorders>
          </w:tcPr>
          <w:p w14:paraId="327B8764" w14:textId="4EE5DDE5" w:rsidR="00561C6C" w:rsidRPr="00561C6C" w:rsidRDefault="00561C6C" w:rsidP="00561C6C">
            <w:pPr>
              <w:spacing w:line="240" w:lineRule="auto"/>
              <w:jc w:val="right"/>
              <w:rPr>
                <w:rFonts w:cs="Arial"/>
                <w:sz w:val="18"/>
                <w:szCs w:val="18"/>
                <w:lang w:eastAsia="en-AU"/>
              </w:rPr>
            </w:pPr>
            <w:r>
              <w:rPr>
                <w:rFonts w:cs="Arial"/>
                <w:sz w:val="18"/>
                <w:szCs w:val="18"/>
                <w:lang w:eastAsia="en-AU"/>
              </w:rPr>
              <w:t>0</w:t>
            </w:r>
          </w:p>
        </w:tc>
      </w:tr>
      <w:tr w:rsidR="00561C6C" w:rsidRPr="00504360" w14:paraId="7C69E8E6"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561C6C" w:rsidRPr="0041058E" w:rsidRDefault="00561C6C" w:rsidP="00561C6C">
            <w:pPr>
              <w:spacing w:line="240" w:lineRule="auto"/>
              <w:rPr>
                <w:rFonts w:cs="Arial"/>
                <w:b/>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ECE65" w14:textId="77777777" w:rsidR="00561C6C" w:rsidRPr="00504360" w:rsidRDefault="00561C6C" w:rsidP="00561C6C">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tcPr>
          <w:p w14:paraId="1F50DE39" w14:textId="77777777" w:rsidR="00561C6C" w:rsidRPr="00504360" w:rsidRDefault="00561C6C" w:rsidP="00561C6C">
            <w:pPr>
              <w:spacing w:line="240" w:lineRule="auto"/>
              <w:jc w:val="right"/>
              <w:rPr>
                <w:rFonts w:cs="Arial"/>
                <w:b/>
                <w:bCs/>
                <w:sz w:val="18"/>
                <w:szCs w:val="18"/>
                <w:lang w:eastAsia="en-AU"/>
              </w:rPr>
            </w:pPr>
          </w:p>
        </w:tc>
      </w:tr>
      <w:tr w:rsidR="00561C6C" w:rsidRPr="00504360" w14:paraId="4B8C25F7"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561C6C" w:rsidRPr="00504360" w:rsidRDefault="00561C6C" w:rsidP="00561C6C">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EB36" w14:textId="41788522" w:rsidR="00561C6C" w:rsidRPr="00733DE0" w:rsidRDefault="00561C6C" w:rsidP="00561C6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5F7805" w14:textId="3C20558C" w:rsidR="00561C6C" w:rsidRPr="00733DE0" w:rsidRDefault="00561C6C" w:rsidP="00561C6C">
            <w:pPr>
              <w:spacing w:line="240" w:lineRule="auto"/>
              <w:jc w:val="right"/>
              <w:rPr>
                <w:rFonts w:cs="Arial"/>
                <w:sz w:val="18"/>
                <w:szCs w:val="18"/>
              </w:rPr>
            </w:pPr>
          </w:p>
        </w:tc>
      </w:tr>
      <w:tr w:rsidR="00AC019C" w:rsidRPr="00504360" w14:paraId="74C95294"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115F8D9F" w14:textId="1122760F" w:rsidR="00AC019C" w:rsidRDefault="00AC019C" w:rsidP="00561C6C">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8BCF1" w14:textId="1F5B1111" w:rsidR="00AC019C" w:rsidRDefault="00AC019C" w:rsidP="00561C6C">
            <w:pPr>
              <w:spacing w:line="240" w:lineRule="auto"/>
              <w:jc w:val="right"/>
              <w:rPr>
                <w:rFonts w:cs="Arial"/>
                <w:sz w:val="18"/>
                <w:szCs w:val="18"/>
              </w:rPr>
            </w:pPr>
            <w:r>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5053B86" w14:textId="383F46F6" w:rsidR="00AC019C" w:rsidRDefault="00AC019C" w:rsidP="00561C6C">
            <w:pPr>
              <w:spacing w:line="240" w:lineRule="auto"/>
              <w:jc w:val="right"/>
              <w:rPr>
                <w:rFonts w:cs="Arial"/>
                <w:sz w:val="18"/>
                <w:szCs w:val="18"/>
              </w:rPr>
            </w:pPr>
            <w:r>
              <w:rPr>
                <w:rFonts w:cs="Arial"/>
                <w:sz w:val="18"/>
                <w:szCs w:val="18"/>
              </w:rPr>
              <w:t>1</w:t>
            </w:r>
          </w:p>
        </w:tc>
      </w:tr>
      <w:tr w:rsidR="00561C6C" w:rsidRPr="00504360" w14:paraId="0F426218"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561C6C" w:rsidRPr="00504360" w:rsidRDefault="00561C6C" w:rsidP="00561C6C">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606374A7" w:rsidR="00561C6C" w:rsidRPr="00733DE0" w:rsidRDefault="00561C6C" w:rsidP="00561C6C">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0905D066" w:rsidR="00561C6C" w:rsidRPr="002D2253" w:rsidRDefault="00561C6C" w:rsidP="00561C6C">
            <w:pPr>
              <w:spacing w:line="240" w:lineRule="auto"/>
              <w:jc w:val="right"/>
              <w:rPr>
                <w:rFonts w:cs="Arial"/>
                <w:sz w:val="18"/>
                <w:szCs w:val="18"/>
              </w:rPr>
            </w:pPr>
            <w:r>
              <w:rPr>
                <w:rFonts w:cs="Arial"/>
                <w:sz w:val="18"/>
                <w:szCs w:val="18"/>
              </w:rPr>
              <w:t>100%</w:t>
            </w:r>
          </w:p>
        </w:tc>
      </w:tr>
      <w:tr w:rsidR="00561C6C" w:rsidRPr="00504360" w14:paraId="09FA7CF5"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561C6C" w:rsidRPr="00504360" w:rsidRDefault="00561C6C" w:rsidP="00561C6C">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4201712D" w:rsidR="00561C6C" w:rsidRPr="00733DE0" w:rsidRDefault="00561C6C" w:rsidP="00561C6C">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3F188ABC" w:rsidR="00561C6C" w:rsidRPr="002D2253" w:rsidRDefault="00561C6C" w:rsidP="00561C6C">
            <w:pPr>
              <w:spacing w:line="240" w:lineRule="auto"/>
              <w:jc w:val="right"/>
              <w:rPr>
                <w:rFonts w:cs="Arial"/>
                <w:sz w:val="18"/>
                <w:szCs w:val="18"/>
              </w:rPr>
            </w:pPr>
            <w:r>
              <w:rPr>
                <w:rFonts w:cs="Arial"/>
                <w:sz w:val="18"/>
                <w:szCs w:val="18"/>
              </w:rPr>
              <w:t>0%</w:t>
            </w:r>
          </w:p>
        </w:tc>
      </w:tr>
      <w:tr w:rsidR="00561C6C" w:rsidRPr="00D157E2" w14:paraId="714A0FD4" w14:textId="2CDC150F"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561C6C" w:rsidRPr="00504360" w:rsidRDefault="00561C6C" w:rsidP="00561C6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561C6C" w:rsidRPr="00733DE0" w:rsidRDefault="00561C6C" w:rsidP="00561C6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093A9BEA" w:rsidR="00561C6C" w:rsidRPr="002D2253" w:rsidRDefault="00561C6C" w:rsidP="00561C6C">
            <w:pPr>
              <w:spacing w:line="240" w:lineRule="auto"/>
              <w:rPr>
                <w:rFonts w:cs="Arial"/>
                <w:sz w:val="18"/>
                <w:szCs w:val="18"/>
                <w:lang w:eastAsia="en-AU"/>
              </w:rPr>
            </w:pPr>
          </w:p>
        </w:tc>
      </w:tr>
      <w:tr w:rsidR="00561C6C" w:rsidRPr="00504360" w14:paraId="148E7FF6"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561C6C" w:rsidRPr="0041058E" w:rsidRDefault="00561C6C" w:rsidP="00561C6C">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561C6C" w:rsidRPr="00733DE0" w:rsidRDefault="00561C6C" w:rsidP="00561C6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287C14FC" w:rsidR="00561C6C" w:rsidRPr="002D2253" w:rsidRDefault="00561C6C" w:rsidP="00561C6C">
            <w:pPr>
              <w:spacing w:line="240" w:lineRule="auto"/>
              <w:jc w:val="right"/>
              <w:rPr>
                <w:rFonts w:cs="Arial"/>
                <w:sz w:val="18"/>
                <w:szCs w:val="18"/>
              </w:rPr>
            </w:pPr>
          </w:p>
        </w:tc>
      </w:tr>
      <w:tr w:rsidR="00561C6C" w:rsidRPr="00504360" w14:paraId="71FF2B6B"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561C6C" w:rsidRPr="00B50123" w:rsidRDefault="00561C6C" w:rsidP="00561C6C">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4C486D06" w:rsidR="00561C6C" w:rsidRPr="00733DE0" w:rsidRDefault="00561C6C" w:rsidP="00561C6C">
            <w:pPr>
              <w:spacing w:line="240" w:lineRule="auto"/>
              <w:jc w:val="right"/>
              <w:rPr>
                <w:rFonts w:cs="Arial"/>
                <w:sz w:val="18"/>
                <w:szCs w:val="18"/>
                <w:lang w:eastAsia="en-AU"/>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36D88D90" w:rsidR="00561C6C" w:rsidRPr="002D2253" w:rsidRDefault="00561C6C" w:rsidP="00561C6C">
            <w:pPr>
              <w:spacing w:line="240" w:lineRule="auto"/>
              <w:jc w:val="right"/>
              <w:rPr>
                <w:rFonts w:cs="Arial"/>
                <w:sz w:val="18"/>
                <w:szCs w:val="18"/>
              </w:rPr>
            </w:pPr>
            <w:r>
              <w:rPr>
                <w:rFonts w:cs="Arial"/>
                <w:sz w:val="18"/>
                <w:szCs w:val="18"/>
              </w:rPr>
              <w:t>8</w:t>
            </w:r>
          </w:p>
        </w:tc>
      </w:tr>
      <w:bookmarkEnd w:id="1"/>
      <w:tr w:rsidR="00561C6C" w:rsidRPr="00504360" w14:paraId="16DEBA40"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561C6C" w:rsidRPr="00B50123" w:rsidRDefault="00561C6C" w:rsidP="00561C6C">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2BCE7060" w:rsidR="00561C6C" w:rsidRPr="00733DE0" w:rsidRDefault="00561C6C" w:rsidP="00561C6C">
            <w:pPr>
              <w:spacing w:line="240" w:lineRule="auto"/>
              <w:jc w:val="right"/>
              <w:rPr>
                <w:rFonts w:cs="Arial"/>
                <w:sz w:val="18"/>
                <w:szCs w:val="18"/>
                <w:lang w:eastAsia="en-AU"/>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2CBB8B48" w:rsidR="00561C6C" w:rsidRPr="002D2253" w:rsidRDefault="00561C6C" w:rsidP="00561C6C">
            <w:pPr>
              <w:spacing w:line="240" w:lineRule="auto"/>
              <w:jc w:val="right"/>
              <w:rPr>
                <w:rFonts w:cs="Arial"/>
                <w:sz w:val="18"/>
                <w:szCs w:val="18"/>
              </w:rPr>
            </w:pPr>
            <w:r>
              <w:rPr>
                <w:rFonts w:cs="Arial"/>
                <w:sz w:val="18"/>
                <w:szCs w:val="18"/>
              </w:rPr>
              <w:t>8</w:t>
            </w:r>
          </w:p>
        </w:tc>
      </w:tr>
      <w:tr w:rsidR="00561C6C" w:rsidRPr="00504360" w14:paraId="7EB54823"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561C6C" w:rsidRPr="00B50123" w:rsidRDefault="00561C6C" w:rsidP="00561C6C">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5A8A735F" w:rsidR="00561C6C" w:rsidRPr="00733DE0" w:rsidRDefault="00561C6C" w:rsidP="00561C6C">
            <w:pPr>
              <w:spacing w:line="240" w:lineRule="auto"/>
              <w:jc w:val="right"/>
              <w:rPr>
                <w:rFonts w:cs="Arial"/>
                <w:sz w:val="18"/>
                <w:szCs w:val="18"/>
                <w:lang w:eastAsia="en-AU"/>
              </w:rPr>
            </w:pPr>
            <w:r>
              <w:rPr>
                <w:rFonts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31DB04F3" w:rsidR="00561C6C" w:rsidRPr="002D2253" w:rsidRDefault="00561C6C" w:rsidP="00561C6C">
            <w:pPr>
              <w:spacing w:line="240" w:lineRule="auto"/>
              <w:jc w:val="right"/>
              <w:rPr>
                <w:rFonts w:cs="Arial"/>
                <w:sz w:val="18"/>
                <w:szCs w:val="18"/>
              </w:rPr>
            </w:pPr>
            <w:r>
              <w:rPr>
                <w:rFonts w:cs="Arial"/>
                <w:sz w:val="18"/>
                <w:szCs w:val="18"/>
              </w:rPr>
              <w:t>35</w:t>
            </w:r>
          </w:p>
        </w:tc>
      </w:tr>
      <w:tr w:rsidR="00561C6C" w:rsidRPr="00504360" w14:paraId="52C3F0C4" w14:textId="77777777"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561C6C" w:rsidRPr="00504360" w:rsidRDefault="00561C6C" w:rsidP="00561C6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561C6C" w:rsidRPr="00733DE0" w:rsidRDefault="00561C6C" w:rsidP="00561C6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6D604CC7" w:rsidR="00561C6C" w:rsidRPr="002D2253" w:rsidRDefault="00561C6C" w:rsidP="00561C6C">
            <w:pPr>
              <w:spacing w:line="240" w:lineRule="auto"/>
              <w:jc w:val="right"/>
              <w:rPr>
                <w:rFonts w:cs="Arial"/>
                <w:sz w:val="18"/>
                <w:szCs w:val="18"/>
              </w:rPr>
            </w:pPr>
          </w:p>
        </w:tc>
      </w:tr>
      <w:tr w:rsidR="00561C6C" w:rsidRPr="00504360" w14:paraId="6E254E7A"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561C6C" w:rsidRPr="00E10506" w:rsidRDefault="00561C6C" w:rsidP="00561C6C">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561C6C" w:rsidRPr="00733DE0" w:rsidRDefault="00561C6C" w:rsidP="00561C6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226E6D4C" w:rsidR="00561C6C" w:rsidRPr="002D2253" w:rsidRDefault="00561C6C" w:rsidP="00561C6C">
            <w:pPr>
              <w:spacing w:line="240" w:lineRule="auto"/>
              <w:jc w:val="right"/>
              <w:rPr>
                <w:rFonts w:cs="Arial"/>
                <w:sz w:val="18"/>
                <w:szCs w:val="18"/>
              </w:rPr>
            </w:pPr>
          </w:p>
        </w:tc>
      </w:tr>
      <w:tr w:rsidR="00AC019C" w:rsidRPr="00504360" w14:paraId="52E0458B"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BF5769" w14:textId="74731ED8" w:rsidR="00AC019C" w:rsidRDefault="00AC019C" w:rsidP="00561C6C">
            <w:pPr>
              <w:spacing w:line="240" w:lineRule="auto"/>
              <w:rPr>
                <w:rFonts w:cs="Arial"/>
                <w:sz w:val="18"/>
                <w:szCs w:val="18"/>
                <w:lang w:eastAsia="en-AU"/>
              </w:rPr>
            </w:pPr>
            <w:r>
              <w:rPr>
                <w:rFonts w:cs="Arial"/>
                <w:sz w:val="18"/>
                <w:szCs w:val="18"/>
                <w:lang w:eastAsia="en-AU"/>
              </w:rPr>
              <w:t>Number of amend/end decisions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890CCB" w14:textId="7AB470FB" w:rsidR="00AC019C" w:rsidRDefault="00AC019C" w:rsidP="00561C6C">
            <w:pPr>
              <w:spacing w:line="240" w:lineRule="auto"/>
              <w:jc w:val="right"/>
              <w:rPr>
                <w:rFonts w:cs="Arial"/>
                <w:sz w:val="18"/>
                <w:szCs w:val="18"/>
              </w:rPr>
            </w:pPr>
            <w:r>
              <w:rPr>
                <w:rFonts w:cs="Arial"/>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FBCA3B0" w14:textId="6965F1E1" w:rsidR="00AC019C" w:rsidRDefault="00AC019C" w:rsidP="00561C6C">
            <w:pPr>
              <w:spacing w:line="240" w:lineRule="auto"/>
              <w:jc w:val="right"/>
              <w:rPr>
                <w:rFonts w:cs="Arial"/>
                <w:sz w:val="18"/>
                <w:szCs w:val="18"/>
              </w:rPr>
            </w:pPr>
            <w:r>
              <w:rPr>
                <w:rFonts w:cs="Arial"/>
                <w:sz w:val="18"/>
                <w:szCs w:val="18"/>
              </w:rPr>
              <w:t>5</w:t>
            </w:r>
          </w:p>
        </w:tc>
      </w:tr>
      <w:tr w:rsidR="00561C6C" w:rsidRPr="00504360" w14:paraId="53E5D51F"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561C6C" w:rsidRPr="00504360" w:rsidRDefault="00561C6C" w:rsidP="00561C6C">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65B87394" w:rsidR="00561C6C" w:rsidRPr="00733DE0" w:rsidRDefault="00561C6C" w:rsidP="00561C6C">
            <w:pPr>
              <w:spacing w:line="240" w:lineRule="auto"/>
              <w:jc w:val="right"/>
              <w:rPr>
                <w:rFonts w:cs="Arial"/>
                <w:sz w:val="18"/>
                <w:szCs w:val="18"/>
                <w:lang w:eastAsia="en-AU"/>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148E9762" w:rsidR="00561C6C" w:rsidRPr="002D2253" w:rsidRDefault="00561C6C" w:rsidP="00561C6C">
            <w:pPr>
              <w:spacing w:line="240" w:lineRule="auto"/>
              <w:jc w:val="right"/>
              <w:rPr>
                <w:rFonts w:cs="Arial"/>
                <w:sz w:val="18"/>
                <w:szCs w:val="18"/>
              </w:rPr>
            </w:pPr>
            <w:r>
              <w:rPr>
                <w:rFonts w:cs="Arial"/>
                <w:sz w:val="18"/>
                <w:szCs w:val="18"/>
              </w:rPr>
              <w:t>100%</w:t>
            </w:r>
          </w:p>
        </w:tc>
      </w:tr>
      <w:tr w:rsidR="00561C6C" w:rsidRPr="00504360" w14:paraId="4859A3E0"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561C6C" w:rsidRDefault="00561C6C" w:rsidP="00561C6C">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02A95616" w:rsidR="00561C6C" w:rsidRPr="00733DE0" w:rsidRDefault="00561C6C" w:rsidP="00561C6C">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3D5233F6" w:rsidR="00561C6C" w:rsidRPr="002D2253" w:rsidRDefault="00561C6C" w:rsidP="00561C6C">
            <w:pPr>
              <w:spacing w:line="240" w:lineRule="auto"/>
              <w:jc w:val="right"/>
              <w:rPr>
                <w:rFonts w:cs="Arial"/>
                <w:sz w:val="18"/>
                <w:szCs w:val="18"/>
              </w:rPr>
            </w:pPr>
            <w:r>
              <w:rPr>
                <w:rFonts w:cs="Arial"/>
                <w:sz w:val="18"/>
                <w:szCs w:val="18"/>
              </w:rPr>
              <w:t>0%</w:t>
            </w:r>
          </w:p>
        </w:tc>
      </w:tr>
      <w:tr w:rsidR="00561C6C" w:rsidRPr="00504360" w14:paraId="23135AF5" w14:textId="77777777" w:rsidTr="00D157E2">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561C6C" w:rsidRDefault="00561C6C" w:rsidP="00561C6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FF09C" w14:textId="77777777" w:rsidR="00561C6C" w:rsidRPr="00733DE0" w:rsidRDefault="00561C6C" w:rsidP="00561C6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15A04866" w:rsidR="00561C6C" w:rsidRPr="002D2253" w:rsidRDefault="00561C6C" w:rsidP="00561C6C">
            <w:pPr>
              <w:spacing w:line="240" w:lineRule="auto"/>
              <w:jc w:val="right"/>
              <w:rPr>
                <w:rFonts w:cs="Arial"/>
                <w:sz w:val="18"/>
                <w:szCs w:val="18"/>
              </w:rPr>
            </w:pPr>
            <w:r>
              <w:rPr>
                <w:rFonts w:cs="Arial"/>
                <w:sz w:val="18"/>
                <w:szCs w:val="18"/>
              </w:rPr>
              <w:t> </w:t>
            </w:r>
          </w:p>
        </w:tc>
      </w:tr>
      <w:tr w:rsidR="00561C6C" w:rsidRPr="00504360" w14:paraId="37C0A955"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561C6C" w:rsidRDefault="00561C6C" w:rsidP="00561C6C">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6DD9" w14:textId="2C58E0C2" w:rsidR="00561C6C" w:rsidRPr="00733DE0" w:rsidRDefault="00561C6C" w:rsidP="00561C6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41063756" w:rsidR="00561C6C" w:rsidRPr="002D2253" w:rsidRDefault="00561C6C" w:rsidP="00561C6C">
            <w:pPr>
              <w:spacing w:line="240" w:lineRule="auto"/>
              <w:jc w:val="right"/>
              <w:rPr>
                <w:rFonts w:cs="Arial"/>
                <w:sz w:val="18"/>
                <w:szCs w:val="18"/>
              </w:rPr>
            </w:pPr>
            <w:r>
              <w:rPr>
                <w:rFonts w:cs="Arial"/>
                <w:sz w:val="18"/>
                <w:szCs w:val="18"/>
              </w:rPr>
              <w:t> </w:t>
            </w:r>
          </w:p>
        </w:tc>
      </w:tr>
      <w:tr w:rsidR="00561C6C" w:rsidRPr="00504360" w14:paraId="2926F0DE"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561C6C" w:rsidRDefault="00561C6C" w:rsidP="00561C6C">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66C68" w14:textId="206978EC" w:rsidR="00561C6C" w:rsidRPr="00733DE0" w:rsidRDefault="00561C6C" w:rsidP="00561C6C">
            <w:pPr>
              <w:spacing w:line="240" w:lineRule="auto"/>
              <w:jc w:val="right"/>
              <w:rPr>
                <w:rFonts w:cs="Arial"/>
                <w:sz w:val="18"/>
                <w:szCs w:val="18"/>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2685C69F" w:rsidR="00561C6C" w:rsidRPr="003C7872" w:rsidRDefault="00561C6C" w:rsidP="00561C6C">
            <w:pPr>
              <w:spacing w:line="240" w:lineRule="auto"/>
              <w:jc w:val="right"/>
              <w:rPr>
                <w:rFonts w:cs="Arial"/>
                <w:sz w:val="18"/>
                <w:szCs w:val="18"/>
                <w:lang w:eastAsia="en-AU"/>
              </w:rPr>
            </w:pPr>
            <w:r>
              <w:rPr>
                <w:rFonts w:cs="Arial"/>
                <w:sz w:val="18"/>
                <w:szCs w:val="18"/>
              </w:rPr>
              <w:t>6</w:t>
            </w:r>
          </w:p>
        </w:tc>
      </w:tr>
      <w:tr w:rsidR="00561C6C" w:rsidRPr="00504360" w14:paraId="09CC1571" w14:textId="77777777" w:rsidTr="00D157E2">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561C6C" w:rsidRDefault="00561C6C" w:rsidP="00561C6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4FDA4" w14:textId="0950C011" w:rsidR="00561C6C" w:rsidRPr="00733DE0" w:rsidRDefault="00561C6C" w:rsidP="00561C6C">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75217635" w:rsidR="00561C6C" w:rsidRPr="002D2253" w:rsidRDefault="00561C6C" w:rsidP="00561C6C">
            <w:pPr>
              <w:spacing w:line="240" w:lineRule="auto"/>
              <w:jc w:val="right"/>
              <w:rPr>
                <w:rFonts w:cs="Arial"/>
                <w:sz w:val="18"/>
                <w:szCs w:val="18"/>
              </w:rPr>
            </w:pPr>
            <w:r>
              <w:rPr>
                <w:rFonts w:cs="Arial"/>
                <w:sz w:val="18"/>
                <w:szCs w:val="18"/>
              </w:rPr>
              <w:t> </w:t>
            </w:r>
          </w:p>
        </w:tc>
      </w:tr>
      <w:tr w:rsidR="00561C6C" w:rsidRPr="00504360" w14:paraId="716838D1"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561C6C" w:rsidRDefault="00561C6C" w:rsidP="00561C6C">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3A1D1" w14:textId="79E506D7" w:rsidR="00561C6C" w:rsidRPr="00733DE0" w:rsidRDefault="00561C6C" w:rsidP="00561C6C">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1FC0D527" w:rsidR="00561C6C" w:rsidRPr="002D2253" w:rsidRDefault="00561C6C" w:rsidP="00561C6C">
            <w:pPr>
              <w:spacing w:line="240" w:lineRule="auto"/>
              <w:jc w:val="right"/>
              <w:rPr>
                <w:rFonts w:cs="Arial"/>
                <w:sz w:val="18"/>
                <w:szCs w:val="18"/>
              </w:rPr>
            </w:pPr>
            <w:r>
              <w:rPr>
                <w:rFonts w:cs="Arial"/>
                <w:sz w:val="18"/>
                <w:szCs w:val="18"/>
              </w:rPr>
              <w:t> </w:t>
            </w:r>
          </w:p>
        </w:tc>
      </w:tr>
      <w:tr w:rsidR="00561C6C" w:rsidRPr="00504360" w14:paraId="1562F8F8"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561C6C" w:rsidRDefault="00561C6C" w:rsidP="00561C6C">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D3333" w14:textId="766047A5" w:rsidR="00561C6C" w:rsidRPr="00733DE0" w:rsidRDefault="00561C6C" w:rsidP="00561C6C">
            <w:pPr>
              <w:spacing w:line="240" w:lineRule="auto"/>
              <w:jc w:val="right"/>
              <w:rPr>
                <w:rFonts w:cs="Arial"/>
                <w:sz w:val="18"/>
                <w:szCs w:val="18"/>
              </w:rPr>
            </w:pPr>
            <w:r>
              <w:rPr>
                <w:rFonts w:cs="Arial"/>
                <w:sz w:val="18"/>
                <w:szCs w:val="18"/>
              </w:rPr>
              <w:t>212</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43BE036C" w:rsidR="00561C6C" w:rsidRPr="002D2253" w:rsidRDefault="00561C6C" w:rsidP="00561C6C">
            <w:pPr>
              <w:spacing w:line="240" w:lineRule="auto"/>
              <w:jc w:val="right"/>
              <w:rPr>
                <w:rFonts w:cs="Arial"/>
                <w:sz w:val="18"/>
                <w:szCs w:val="18"/>
              </w:rPr>
            </w:pPr>
            <w:r>
              <w:rPr>
                <w:rFonts w:cs="Arial"/>
                <w:sz w:val="18"/>
                <w:szCs w:val="18"/>
              </w:rPr>
              <w:t>227</w:t>
            </w:r>
          </w:p>
        </w:tc>
      </w:tr>
      <w:tr w:rsidR="00561C6C" w:rsidRPr="00504360" w14:paraId="559E0289"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561C6C" w:rsidRDefault="00561C6C" w:rsidP="00561C6C">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D6E1" w14:textId="1062CE65" w:rsidR="00561C6C" w:rsidRPr="00733DE0" w:rsidRDefault="00561C6C" w:rsidP="00561C6C">
            <w:pPr>
              <w:spacing w:line="240" w:lineRule="auto"/>
              <w:jc w:val="right"/>
              <w:rPr>
                <w:rFonts w:cs="Arial"/>
                <w:sz w:val="18"/>
                <w:szCs w:val="18"/>
              </w:rPr>
            </w:pPr>
            <w:r>
              <w:rPr>
                <w:rFonts w:cs="Arial"/>
                <w:sz w:val="18"/>
                <w:szCs w:val="18"/>
              </w:rPr>
              <w:t>33</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6B96204C" w:rsidR="00561C6C" w:rsidRPr="002D2253" w:rsidRDefault="00561C6C" w:rsidP="00561C6C">
            <w:pPr>
              <w:spacing w:line="240" w:lineRule="auto"/>
              <w:jc w:val="right"/>
              <w:rPr>
                <w:rFonts w:cs="Arial"/>
                <w:sz w:val="18"/>
                <w:szCs w:val="18"/>
              </w:rPr>
            </w:pPr>
            <w:r>
              <w:rPr>
                <w:rFonts w:cs="Arial"/>
                <w:sz w:val="18"/>
                <w:szCs w:val="18"/>
              </w:rPr>
              <w:t>36</w:t>
            </w:r>
          </w:p>
        </w:tc>
      </w:tr>
      <w:tr w:rsidR="00561C6C" w:rsidRPr="00504360" w14:paraId="3D917EA4"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561C6C" w:rsidRPr="00504360" w:rsidRDefault="00561C6C" w:rsidP="00561C6C">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8A31A" w14:textId="1A4140E7" w:rsidR="00561C6C" w:rsidRPr="00733DE0" w:rsidRDefault="00561C6C" w:rsidP="00561C6C">
            <w:pPr>
              <w:spacing w:line="240" w:lineRule="auto"/>
              <w:jc w:val="right"/>
              <w:rPr>
                <w:rFonts w:cs="Arial"/>
                <w:sz w:val="18"/>
                <w:szCs w:val="18"/>
              </w:rPr>
            </w:pPr>
            <w:r>
              <w:rPr>
                <w:rFonts w:cs="Arial"/>
                <w:sz w:val="18"/>
                <w:szCs w:val="18"/>
              </w:rPr>
              <w:t>69</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7961EA2F" w:rsidR="00561C6C" w:rsidRDefault="00561C6C" w:rsidP="00561C6C">
            <w:pPr>
              <w:spacing w:line="240" w:lineRule="auto"/>
              <w:jc w:val="right"/>
              <w:rPr>
                <w:rFonts w:cs="Arial"/>
                <w:sz w:val="18"/>
                <w:szCs w:val="18"/>
              </w:rPr>
            </w:pPr>
            <w:r>
              <w:rPr>
                <w:rFonts w:cs="Arial"/>
                <w:sz w:val="18"/>
                <w:szCs w:val="18"/>
              </w:rPr>
              <w:t>81</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p w14:paraId="7EBEEC0C" w14:textId="1BA950E6" w:rsidR="00685B5A" w:rsidRDefault="00685B5A" w:rsidP="003C101E">
      <w:pPr>
        <w:ind w:left="-142"/>
      </w:pPr>
      <w:bookmarkStart w:id="2" w:name="_Hlk130206344"/>
      <w:r w:rsidRPr="00505D16">
        <w:t>Table 1 above has been amended to include the subset of domestic and family violence statistics previously included in the body of quarterly reports</w:t>
      </w:r>
      <w:r w:rsidR="00D50914" w:rsidRPr="00505D16">
        <w:t>,</w:t>
      </w:r>
      <w:r w:rsidRPr="00505D16">
        <w:t xml:space="preserve"> and also in </w:t>
      </w:r>
      <w:r w:rsidR="00B950A4" w:rsidRPr="00505D16">
        <w:t>table 17</w:t>
      </w:r>
      <w:r w:rsidRPr="00505D16">
        <w:t xml:space="preserve"> and </w:t>
      </w:r>
      <w:r w:rsidR="00B950A4" w:rsidRPr="00505D16">
        <w:t>18</w:t>
      </w:r>
      <w:r w:rsidRPr="00505D16">
        <w:t xml:space="preserve"> and tables 9 and </w:t>
      </w:r>
      <w:r w:rsidR="00505D16">
        <w:t>22</w:t>
      </w:r>
      <w:r>
        <w:t xml:space="preserve">. This amendment has been made in </w:t>
      </w:r>
      <w:r w:rsidR="00FE438E">
        <w:t xml:space="preserve">the interests of </w:t>
      </w:r>
      <w:r>
        <w:t>streamlin</w:t>
      </w:r>
      <w:r w:rsidR="00FE438E">
        <w:t xml:space="preserve">ing </w:t>
      </w:r>
      <w:r w:rsidR="00D50914">
        <w:t>the</w:t>
      </w:r>
      <w:r>
        <w:t xml:space="preserve"> quarterly report</w:t>
      </w:r>
      <w:r w:rsidR="00BE28EE">
        <w:t>ing</w:t>
      </w:r>
      <w:r w:rsidR="00D50914">
        <w:t xml:space="preserve"> process</w:t>
      </w:r>
      <w:r w:rsidR="00BE28EE">
        <w:t xml:space="preserve"> and</w:t>
      </w:r>
      <w:r w:rsidR="00B7370E">
        <w:t>,</w:t>
      </w:r>
      <w:r w:rsidR="00D50914">
        <w:t xml:space="preserve"> </w:t>
      </w:r>
      <w:r w:rsidR="00B7370E">
        <w:t>we trust, for</w:t>
      </w:r>
      <w:r w:rsidR="00D50914">
        <w:t xml:space="preserve"> the benefit of our readers</w:t>
      </w:r>
      <w:r w:rsidR="00FE438E">
        <w:t>.</w:t>
      </w:r>
    </w:p>
    <w:bookmarkEnd w:id="2"/>
    <w:p w14:paraId="2DC2AFED" w14:textId="77777777" w:rsidR="00685B5A" w:rsidRDefault="00685B5A" w:rsidP="003C101E">
      <w:pPr>
        <w:ind w:left="-142"/>
      </w:pPr>
    </w:p>
    <w:p w14:paraId="76AE6494" w14:textId="104CE962" w:rsidR="00106149" w:rsidRPr="00250129" w:rsidRDefault="00A72786" w:rsidP="003C101E">
      <w:pPr>
        <w:ind w:left="-142"/>
      </w:pPr>
      <w:bookmarkStart w:id="3" w:name="_Hlk130206357"/>
      <w:r>
        <w:t>Statistics for quarter 58 show an increase of 12</w:t>
      </w:r>
      <w:r w:rsidR="008B098C">
        <w:t>9</w:t>
      </w:r>
      <w:r>
        <w:t xml:space="preserve"> clients notified to the Commission from within jurisdiction notices, and a subsequent increase in conferences conducted and conference outcomes from the previous quarter. Notably </w:t>
      </w:r>
      <w:r w:rsidR="00D740F2">
        <w:t>the</w:t>
      </w:r>
      <w:r w:rsidR="005B4F17">
        <w:t xml:space="preserve"> largest increases from the previous quarter are a 95.</w:t>
      </w:r>
      <w:r w:rsidR="00A07804">
        <w:t>7</w:t>
      </w:r>
      <w:r w:rsidR="005B4F17">
        <w:t xml:space="preserve"> percent increase in orders to attend support services and a 61.5 percent increase in orders made for CIM, both of which </w:t>
      </w:r>
      <w:r w:rsidR="00B7370E">
        <w:t xml:space="preserve">partially </w:t>
      </w:r>
      <w:r w:rsidR="005B4F17">
        <w:t>reflect poor school attendance reported for the period</w:t>
      </w:r>
      <w:r w:rsidR="004239D7">
        <w:t xml:space="preserve"> and DV matters carried over to the present quarter</w:t>
      </w:r>
      <w:r w:rsidR="005B4F17">
        <w:t xml:space="preserve">. </w:t>
      </w:r>
      <w:r w:rsidR="009029BD">
        <w:t>In particular</w:t>
      </w:r>
      <w:r w:rsidR="00E341E5">
        <w:t>,</w:t>
      </w:r>
      <w:r w:rsidR="009029BD">
        <w:t xml:space="preserve"> 67 percent of the CIM orders were related to school attendance notices for clients conferenced during the period. </w:t>
      </w:r>
      <w:r w:rsidR="005B4F17">
        <w:t>Ref</w:t>
      </w:r>
      <w:r w:rsidR="00D740F2">
        <w:t>errals to support services (</w:t>
      </w:r>
      <w:r w:rsidR="00685B5A">
        <w:t xml:space="preserve">which </w:t>
      </w:r>
      <w:r w:rsidR="00D740F2">
        <w:t>includ</w:t>
      </w:r>
      <w:r w:rsidR="00685B5A">
        <w:t>e</w:t>
      </w:r>
      <w:r w:rsidR="00D740F2">
        <w:t xml:space="preserve"> referrals for DV matters)</w:t>
      </w:r>
      <w:r w:rsidR="005B4F17">
        <w:t xml:space="preserve"> were up by 32.</w:t>
      </w:r>
      <w:r w:rsidR="00E975EC">
        <w:t>8</w:t>
      </w:r>
      <w:r w:rsidR="005B4F17">
        <w:t xml:space="preserve"> percent from the previous quarter.</w:t>
      </w:r>
      <w:r w:rsidR="00164817">
        <w:t xml:space="preserve"> Voluntary agreements for VIM</w:t>
      </w:r>
      <w:r w:rsidR="005E2183">
        <w:t xml:space="preserve"> continued to increase from the previous two quarters</w:t>
      </w:r>
      <w:r w:rsidR="00164817">
        <w:t xml:space="preserve">, and the number of clients on a current VIM as at the last day of the quarter </w:t>
      </w:r>
      <w:r w:rsidR="005E2183">
        <w:t>increased by 12 from quarter 57.</w:t>
      </w:r>
    </w:p>
    <w:bookmarkEnd w:id="3"/>
    <w:p w14:paraId="72BE6531" w14:textId="77777777" w:rsidR="00637DBD" w:rsidRDefault="00637DBD">
      <w:pPr>
        <w:spacing w:line="240" w:lineRule="auto"/>
      </w:pPr>
    </w:p>
    <w:p w14:paraId="60B8DCFA" w14:textId="77777777" w:rsidR="009029BD" w:rsidRDefault="009029BD">
      <w:pPr>
        <w:spacing w:line="240" w:lineRule="auto"/>
        <w:rPr>
          <w:rFonts w:cs="Arial"/>
          <w:b/>
          <w:bCs/>
          <w:sz w:val="22"/>
          <w:szCs w:val="22"/>
        </w:rPr>
      </w:pPr>
      <w:r>
        <w:rPr>
          <w:rFonts w:cs="Arial"/>
          <w:b/>
          <w:bCs/>
          <w:sz w:val="22"/>
          <w:szCs w:val="22"/>
        </w:rPr>
        <w:br w:type="page"/>
      </w:r>
    </w:p>
    <w:p w14:paraId="29E05FC3" w14:textId="31929DB4" w:rsidR="00637DBD" w:rsidRPr="00637DBD" w:rsidRDefault="00637DBD" w:rsidP="00082405">
      <w:pPr>
        <w:ind w:left="-142" w:right="-425"/>
        <w:jc w:val="both"/>
        <w:rPr>
          <w:rFonts w:cs="Arial"/>
          <w:b/>
          <w:bCs/>
          <w:sz w:val="22"/>
          <w:szCs w:val="22"/>
        </w:rPr>
      </w:pPr>
      <w:r w:rsidRPr="00637DBD">
        <w:rPr>
          <w:rFonts w:cs="Arial"/>
          <w:b/>
          <w:bCs/>
          <w:sz w:val="22"/>
          <w:szCs w:val="22"/>
        </w:rPr>
        <w:lastRenderedPageBreak/>
        <w:t>Annual Report 202</w:t>
      </w:r>
      <w:r w:rsidR="003F4222">
        <w:rPr>
          <w:rFonts w:cs="Arial"/>
          <w:b/>
          <w:bCs/>
          <w:sz w:val="22"/>
          <w:szCs w:val="22"/>
        </w:rPr>
        <w:t>1</w:t>
      </w:r>
      <w:r w:rsidRPr="00637DBD">
        <w:rPr>
          <w:rFonts w:cs="Arial"/>
          <w:b/>
          <w:bCs/>
          <w:sz w:val="22"/>
          <w:szCs w:val="22"/>
        </w:rPr>
        <w:t>-2</w:t>
      </w:r>
      <w:r w:rsidR="003F4222">
        <w:rPr>
          <w:rFonts w:cs="Arial"/>
          <w:b/>
          <w:bCs/>
          <w:sz w:val="22"/>
          <w:szCs w:val="22"/>
        </w:rPr>
        <w:t>2</w:t>
      </w:r>
    </w:p>
    <w:p w14:paraId="1FC682A6" w14:textId="1F25133E" w:rsidR="00637DBD" w:rsidRDefault="00637DBD" w:rsidP="006472EB">
      <w:pPr>
        <w:ind w:left="-142"/>
        <w:rPr>
          <w:bCs/>
        </w:rPr>
      </w:pPr>
      <w:r w:rsidRPr="00637DBD">
        <w:rPr>
          <w:bCs/>
          <w:lang w:val="en-US"/>
        </w:rPr>
        <w:t xml:space="preserve">As per section 143 of the </w:t>
      </w:r>
      <w:r w:rsidRPr="00637DBD">
        <w:rPr>
          <w:bCs/>
          <w:i/>
          <w:iCs/>
          <w:lang w:val="en-US"/>
        </w:rPr>
        <w:t>Family Responsibilities Commission Act 2008</w:t>
      </w:r>
      <w:r w:rsidRPr="00637DBD">
        <w:rPr>
          <w:bCs/>
          <w:lang w:val="en-US"/>
        </w:rPr>
        <w:t xml:space="preserve">, as soon as is </w:t>
      </w:r>
      <w:r w:rsidRPr="00637DBD">
        <w:t>practicable</w:t>
      </w:r>
      <w:r w:rsidRPr="00637DBD">
        <w:rPr>
          <w:bCs/>
          <w:lang w:val="en-US"/>
        </w:rPr>
        <w:t xml:space="preserve"> after each financial year, but not later than 31 October, the Commissioner must prepare and give the Minister a written report containing a review of the operation of the Commission during the financial year. </w:t>
      </w:r>
      <w:bookmarkStart w:id="4" w:name="_Hlk130206476"/>
      <w:r w:rsidRPr="00637DBD">
        <w:rPr>
          <w:bCs/>
        </w:rPr>
        <w:t>On 2</w:t>
      </w:r>
      <w:r w:rsidR="00082405" w:rsidRPr="00082405">
        <w:rPr>
          <w:bCs/>
        </w:rPr>
        <w:t>5</w:t>
      </w:r>
      <w:r w:rsidRPr="00637DBD">
        <w:rPr>
          <w:bCs/>
        </w:rPr>
        <w:t xml:space="preserve"> October the Commission delivered to The Honourable Craig Crawford MP, Minister for Seniors and Disability Services and Minister for Aboriginal and Torres Strait Islander Partnerships, the Commission’s Annual Report 202</w:t>
      </w:r>
      <w:r w:rsidR="00082405">
        <w:rPr>
          <w:bCs/>
        </w:rPr>
        <w:t>1</w:t>
      </w:r>
      <w:r w:rsidRPr="00637DBD">
        <w:rPr>
          <w:bCs/>
        </w:rPr>
        <w:t>-2</w:t>
      </w:r>
      <w:r w:rsidR="00082405">
        <w:rPr>
          <w:bCs/>
        </w:rPr>
        <w:t>2</w:t>
      </w:r>
      <w:r w:rsidRPr="00637DBD">
        <w:rPr>
          <w:bCs/>
          <w:i/>
          <w:iCs/>
        </w:rPr>
        <w:t>,</w:t>
      </w:r>
      <w:r w:rsidRPr="00637DBD">
        <w:rPr>
          <w:bCs/>
        </w:rPr>
        <w:t xml:space="preserve"> together with a Brief providing a summary of the operational performance highlights during the reporting period</w:t>
      </w:r>
      <w:bookmarkEnd w:id="4"/>
      <w:r w:rsidR="005D206E">
        <w:rPr>
          <w:bCs/>
        </w:rPr>
        <w:t>, some of which are reported below.</w:t>
      </w:r>
    </w:p>
    <w:p w14:paraId="6AD5B441" w14:textId="2371093E" w:rsidR="00C3364D" w:rsidRDefault="00C3364D" w:rsidP="00637DBD">
      <w:pPr>
        <w:spacing w:line="240" w:lineRule="auto"/>
        <w:rPr>
          <w:bCs/>
        </w:rPr>
      </w:pPr>
    </w:p>
    <w:p w14:paraId="53B2D09D" w14:textId="77777777" w:rsidR="00C3364D" w:rsidRPr="00C3364D" w:rsidRDefault="00C3364D" w:rsidP="003F4222">
      <w:pPr>
        <w:pStyle w:val="ListParagraph"/>
        <w:numPr>
          <w:ilvl w:val="0"/>
          <w:numId w:val="39"/>
        </w:numPr>
        <w:spacing w:line="288" w:lineRule="auto"/>
        <w:ind w:left="284" w:right="-425" w:hanging="357"/>
        <w:jc w:val="both"/>
        <w:rPr>
          <w:rFonts w:ascii="Verdana" w:hAnsi="Verdana"/>
          <w:bCs/>
          <w:sz w:val="20"/>
          <w:szCs w:val="20"/>
          <w:lang w:val="en-GB"/>
        </w:rPr>
      </w:pPr>
      <w:r w:rsidRPr="00C3364D">
        <w:rPr>
          <w:rFonts w:ascii="Verdana" w:hAnsi="Verdana"/>
          <w:bCs/>
          <w:sz w:val="20"/>
          <w:szCs w:val="20"/>
          <w:lang w:val="en-GB"/>
        </w:rPr>
        <w:t>As seen in previous years the vast majority (80 percent) of Commission decisions at conference throughout 2021-22 continued to be made by three Local Commissioners sitting alone to constitute the panel. Due to only two Local Commissioners being appointed to the community of Mossman Gorge during this reporting period, the Mossman Gorge Local Commissioners were unable to hold conferences constituted by three Local Commissioners (section 50A conferences), thus negatively impacting the overall percentage of Local Commissioners sitting alone.</w:t>
      </w:r>
    </w:p>
    <w:p w14:paraId="7477D186" w14:textId="51BB93B0" w:rsidR="00971FC6" w:rsidRPr="003F4222" w:rsidRDefault="00C3364D" w:rsidP="003F4222">
      <w:pPr>
        <w:pStyle w:val="ListParagraph"/>
        <w:numPr>
          <w:ilvl w:val="0"/>
          <w:numId w:val="39"/>
        </w:numPr>
        <w:spacing w:line="288" w:lineRule="auto"/>
        <w:ind w:left="284" w:right="-425" w:hanging="357"/>
        <w:jc w:val="both"/>
        <w:rPr>
          <w:rFonts w:ascii="Verdana" w:hAnsi="Verdana"/>
          <w:bCs/>
          <w:sz w:val="20"/>
          <w:szCs w:val="20"/>
          <w:lang w:val="en-GB"/>
        </w:rPr>
      </w:pPr>
      <w:r w:rsidRPr="00C3364D">
        <w:rPr>
          <w:rFonts w:ascii="Verdana" w:hAnsi="Verdana"/>
          <w:bCs/>
          <w:sz w:val="20"/>
          <w:szCs w:val="20"/>
          <w:lang w:val="en-GB"/>
        </w:rPr>
        <w:t xml:space="preserve">The FRC’s implementation of additional assurance and oversight mechanisms throughout the 2021-22 financial year resulted in quality decision-making with improved client-focused outcomes and contributed to the result of no appeals against Commission decisions by community members. </w:t>
      </w:r>
    </w:p>
    <w:p w14:paraId="492964B1" w14:textId="6D70EB99" w:rsidR="00BB2FCB" w:rsidRPr="003F4222" w:rsidRDefault="00E36FB8" w:rsidP="003F4222">
      <w:pPr>
        <w:pStyle w:val="ListParagraph"/>
        <w:numPr>
          <w:ilvl w:val="0"/>
          <w:numId w:val="39"/>
        </w:numPr>
        <w:spacing w:line="288" w:lineRule="auto"/>
        <w:ind w:left="284" w:right="-425" w:hanging="357"/>
        <w:jc w:val="both"/>
        <w:rPr>
          <w:rFonts w:ascii="Verdana" w:hAnsi="Verdana"/>
          <w:bCs/>
          <w:sz w:val="20"/>
          <w:szCs w:val="20"/>
          <w:lang w:val="en-GB"/>
        </w:rPr>
      </w:pPr>
      <w:r w:rsidRPr="003F4222">
        <w:rPr>
          <w:rFonts w:ascii="Verdana" w:hAnsi="Verdana"/>
          <w:bCs/>
          <w:sz w:val="20"/>
          <w:szCs w:val="20"/>
          <w:lang w:val="en-GB"/>
        </w:rPr>
        <w:t>T</w:t>
      </w:r>
      <w:r w:rsidR="00BB2FCB" w:rsidRPr="003F4222">
        <w:rPr>
          <w:rFonts w:ascii="Verdana" w:hAnsi="Verdana"/>
          <w:bCs/>
          <w:sz w:val="20"/>
          <w:szCs w:val="20"/>
          <w:lang w:val="en-GB"/>
        </w:rPr>
        <w:t xml:space="preserve">he Commission focused on developing Local Commissioner skills to support the holistic approach of encouraging client participation in the decision-making process. The Local Commissioners received training during the Local Commissioner Development Week to support client engagement through the motivational interviewing technique – a strategy focused on laying down a foundation of trust and connection to foster a safe environment for clients to feel heard and share their stories. </w:t>
      </w:r>
    </w:p>
    <w:p w14:paraId="5408C6CC" w14:textId="101CFBEE" w:rsidR="00BB2FCB"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r w:rsidRPr="003F4222">
        <w:rPr>
          <w:rFonts w:ascii="Verdana" w:hAnsi="Verdana"/>
          <w:bCs/>
          <w:sz w:val="20"/>
          <w:szCs w:val="20"/>
          <w:lang w:val="en-GB"/>
        </w:rPr>
        <w:t>The success of the holistic and collaborative approach to decision-making is reflected in the increase</w:t>
      </w:r>
      <w:r w:rsidR="00C538F2">
        <w:rPr>
          <w:rFonts w:ascii="Verdana" w:hAnsi="Verdana"/>
          <w:bCs/>
          <w:sz w:val="20"/>
          <w:szCs w:val="20"/>
          <w:lang w:val="en-GB"/>
        </w:rPr>
        <w:t>d</w:t>
      </w:r>
      <w:r w:rsidRPr="003F4222">
        <w:rPr>
          <w:rFonts w:ascii="Verdana" w:hAnsi="Verdana"/>
          <w:bCs/>
          <w:sz w:val="20"/>
          <w:szCs w:val="20"/>
          <w:lang w:val="en-GB"/>
        </w:rPr>
        <w:t xml:space="preserve"> client engagement mirrored in conference attendance statistics</w:t>
      </w:r>
      <w:r w:rsidR="00C538F2">
        <w:rPr>
          <w:rFonts w:ascii="Verdana" w:hAnsi="Verdana"/>
          <w:bCs/>
          <w:sz w:val="20"/>
          <w:szCs w:val="20"/>
          <w:lang w:val="en-GB"/>
        </w:rPr>
        <w:t xml:space="preserve"> for the period</w:t>
      </w:r>
      <w:r w:rsidR="00E36FB8" w:rsidRPr="003F4222">
        <w:rPr>
          <w:rFonts w:ascii="Verdana" w:hAnsi="Verdana"/>
          <w:bCs/>
          <w:sz w:val="20"/>
          <w:szCs w:val="20"/>
          <w:lang w:val="en-GB"/>
        </w:rPr>
        <w:t>.</w:t>
      </w:r>
    </w:p>
    <w:p w14:paraId="13D5E170" w14:textId="6C5FFD6C" w:rsidR="00BB2FCB"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r w:rsidRPr="00BB2FCB">
        <w:rPr>
          <w:rFonts w:ascii="Verdana" w:hAnsi="Verdana"/>
          <w:bCs/>
          <w:sz w:val="20"/>
          <w:szCs w:val="20"/>
          <w:lang w:val="en-GB"/>
        </w:rPr>
        <w:t>Clients continue</w:t>
      </w:r>
      <w:r w:rsidR="005D206E">
        <w:rPr>
          <w:rFonts w:ascii="Verdana" w:hAnsi="Verdana"/>
          <w:bCs/>
          <w:sz w:val="20"/>
          <w:szCs w:val="20"/>
          <w:lang w:val="en-GB"/>
        </w:rPr>
        <w:t>d</w:t>
      </w:r>
      <w:r w:rsidRPr="00BB2FCB">
        <w:rPr>
          <w:rFonts w:ascii="Verdana" w:hAnsi="Verdana"/>
          <w:bCs/>
          <w:sz w:val="20"/>
          <w:szCs w:val="20"/>
          <w:lang w:val="en-GB"/>
        </w:rPr>
        <w:t xml:space="preserve"> to assume personal responsibility demonstrating insight regarding their actions at the earliest opportunity </w:t>
      </w:r>
      <w:r w:rsidR="00C538F2">
        <w:rPr>
          <w:rFonts w:ascii="Verdana" w:hAnsi="Verdana"/>
          <w:bCs/>
          <w:sz w:val="20"/>
          <w:szCs w:val="20"/>
          <w:lang w:val="en-GB"/>
        </w:rPr>
        <w:t>with 66</w:t>
      </w:r>
      <w:r w:rsidRPr="00BB2FCB">
        <w:rPr>
          <w:rFonts w:ascii="Verdana" w:hAnsi="Verdana"/>
          <w:bCs/>
          <w:sz w:val="20"/>
          <w:szCs w:val="20"/>
          <w:lang w:val="en-GB"/>
        </w:rPr>
        <w:t xml:space="preserve"> percent of all decisions to attend support services </w:t>
      </w:r>
      <w:r w:rsidR="00C538F2">
        <w:rPr>
          <w:rFonts w:ascii="Verdana" w:hAnsi="Verdana"/>
          <w:bCs/>
          <w:sz w:val="20"/>
          <w:szCs w:val="20"/>
          <w:lang w:val="en-GB"/>
        </w:rPr>
        <w:t>made</w:t>
      </w:r>
      <w:r w:rsidRPr="00BB2FCB">
        <w:rPr>
          <w:rFonts w:ascii="Verdana" w:hAnsi="Verdana"/>
          <w:bCs/>
          <w:sz w:val="20"/>
          <w:szCs w:val="20"/>
          <w:lang w:val="en-GB"/>
        </w:rPr>
        <w:t xml:space="preserve"> by agreement</w:t>
      </w:r>
      <w:r w:rsidR="00C538F2">
        <w:rPr>
          <w:rFonts w:ascii="Verdana" w:hAnsi="Verdana"/>
          <w:bCs/>
          <w:sz w:val="20"/>
          <w:szCs w:val="20"/>
          <w:lang w:val="en-GB"/>
        </w:rPr>
        <w:t xml:space="preserve"> with the client</w:t>
      </w:r>
      <w:r w:rsidRPr="00BB2FCB">
        <w:rPr>
          <w:rFonts w:ascii="Verdana" w:hAnsi="Verdana"/>
          <w:bCs/>
          <w:sz w:val="20"/>
          <w:szCs w:val="20"/>
          <w:lang w:val="en-GB"/>
        </w:rPr>
        <w:t>.</w:t>
      </w:r>
    </w:p>
    <w:p w14:paraId="4CFF7D0C" w14:textId="3CEE37C8" w:rsidR="00E36FB8"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r w:rsidRPr="00BB2FCB">
        <w:rPr>
          <w:rFonts w:ascii="Verdana" w:hAnsi="Verdana"/>
          <w:bCs/>
          <w:sz w:val="20"/>
          <w:szCs w:val="20"/>
          <w:lang w:val="en-GB"/>
        </w:rPr>
        <w:t xml:space="preserve">Activity </w:t>
      </w:r>
      <w:r w:rsidR="00E36FB8" w:rsidRPr="003F4222">
        <w:rPr>
          <w:rFonts w:ascii="Verdana" w:hAnsi="Verdana"/>
          <w:bCs/>
          <w:sz w:val="20"/>
          <w:szCs w:val="20"/>
          <w:lang w:val="en-GB"/>
        </w:rPr>
        <w:t>for the 2021-22</w:t>
      </w:r>
      <w:r w:rsidRPr="00BB2FCB">
        <w:rPr>
          <w:rFonts w:ascii="Verdana" w:hAnsi="Verdana"/>
          <w:bCs/>
          <w:sz w:val="20"/>
          <w:szCs w:val="20"/>
          <w:lang w:val="en-GB"/>
        </w:rPr>
        <w:t xml:space="preserve"> year resulted in the second highest number of clients referred to attend support services </w:t>
      </w:r>
      <w:r w:rsidR="00F672B1">
        <w:rPr>
          <w:rFonts w:ascii="Verdana" w:hAnsi="Verdana"/>
          <w:bCs/>
          <w:sz w:val="20"/>
          <w:szCs w:val="20"/>
          <w:lang w:val="en-GB"/>
        </w:rPr>
        <w:t>(</w:t>
      </w:r>
      <w:r w:rsidRPr="00BB2FCB">
        <w:rPr>
          <w:rFonts w:ascii="Verdana" w:hAnsi="Verdana"/>
          <w:bCs/>
          <w:sz w:val="20"/>
          <w:szCs w:val="20"/>
          <w:lang w:val="en-GB"/>
        </w:rPr>
        <w:t>under either an FRA or order</w:t>
      </w:r>
      <w:r w:rsidR="00F672B1">
        <w:rPr>
          <w:rFonts w:ascii="Verdana" w:hAnsi="Verdana"/>
          <w:bCs/>
          <w:sz w:val="20"/>
          <w:szCs w:val="20"/>
          <w:lang w:val="en-GB"/>
        </w:rPr>
        <w:t>)</w:t>
      </w:r>
      <w:r w:rsidRPr="00BB2FCB">
        <w:rPr>
          <w:rFonts w:ascii="Verdana" w:hAnsi="Verdana"/>
          <w:bCs/>
          <w:sz w:val="20"/>
          <w:szCs w:val="20"/>
          <w:lang w:val="en-GB"/>
        </w:rPr>
        <w:t xml:space="preserve"> in the Commission’s 14-year history.</w:t>
      </w:r>
    </w:p>
    <w:p w14:paraId="029DD735" w14:textId="396521BF" w:rsidR="00E36FB8"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r w:rsidRPr="00BB2FCB">
        <w:rPr>
          <w:rFonts w:ascii="Verdana" w:hAnsi="Verdana"/>
          <w:bCs/>
          <w:sz w:val="20"/>
          <w:szCs w:val="20"/>
          <w:lang w:val="en-GB"/>
        </w:rPr>
        <w:t>The FRC has seen an increase of 71 percent in the number of referrals under a voluntary case plan from 2020-21. Th</w:t>
      </w:r>
      <w:r w:rsidR="00C538F2">
        <w:rPr>
          <w:rFonts w:ascii="Verdana" w:hAnsi="Verdana"/>
          <w:bCs/>
          <w:sz w:val="20"/>
          <w:szCs w:val="20"/>
          <w:lang w:val="en-GB"/>
        </w:rPr>
        <w:t>e increase</w:t>
      </w:r>
      <w:r w:rsidRPr="00BB2FCB">
        <w:rPr>
          <w:rFonts w:ascii="Verdana" w:hAnsi="Verdana"/>
          <w:bCs/>
          <w:sz w:val="20"/>
          <w:szCs w:val="20"/>
          <w:lang w:val="en-GB"/>
        </w:rPr>
        <w:t xml:space="preserve"> is indicative of the broader acceptance by community members to undertake personal responsibility.</w:t>
      </w:r>
    </w:p>
    <w:p w14:paraId="372B99C6" w14:textId="56A46AC9" w:rsidR="00155176" w:rsidRPr="003F4222" w:rsidRDefault="00C538F2" w:rsidP="003F4222">
      <w:pPr>
        <w:pStyle w:val="ListParagraph"/>
        <w:numPr>
          <w:ilvl w:val="0"/>
          <w:numId w:val="39"/>
        </w:numPr>
        <w:spacing w:line="288" w:lineRule="auto"/>
        <w:ind w:left="284" w:right="-425" w:hanging="357"/>
        <w:jc w:val="both"/>
        <w:rPr>
          <w:rFonts w:ascii="Verdana" w:hAnsi="Verdana"/>
          <w:bCs/>
          <w:sz w:val="20"/>
          <w:szCs w:val="20"/>
          <w:lang w:val="en-GB"/>
        </w:rPr>
      </w:pPr>
      <w:r>
        <w:rPr>
          <w:rFonts w:ascii="Verdana" w:hAnsi="Verdana"/>
          <w:bCs/>
          <w:sz w:val="20"/>
          <w:szCs w:val="20"/>
          <w:lang w:val="en-GB"/>
        </w:rPr>
        <w:t>The</w:t>
      </w:r>
      <w:r w:rsidR="00BB2FCB" w:rsidRPr="00BB2FCB">
        <w:rPr>
          <w:rFonts w:ascii="Verdana" w:hAnsi="Verdana"/>
          <w:bCs/>
          <w:sz w:val="20"/>
          <w:szCs w:val="20"/>
          <w:lang w:val="en-GB"/>
        </w:rPr>
        <w:t xml:space="preserve"> reporting period </w:t>
      </w:r>
      <w:r>
        <w:rPr>
          <w:rFonts w:ascii="Verdana" w:hAnsi="Verdana"/>
          <w:bCs/>
          <w:sz w:val="20"/>
          <w:szCs w:val="20"/>
          <w:lang w:val="en-GB"/>
        </w:rPr>
        <w:t>reflected a</w:t>
      </w:r>
      <w:r w:rsidR="00BB2FCB" w:rsidRPr="00BB2FCB">
        <w:rPr>
          <w:rFonts w:ascii="Verdana" w:hAnsi="Verdana"/>
          <w:bCs/>
          <w:sz w:val="20"/>
          <w:szCs w:val="20"/>
          <w:lang w:val="en-GB"/>
        </w:rPr>
        <w:t xml:space="preserve"> continu</w:t>
      </w:r>
      <w:r>
        <w:rPr>
          <w:rFonts w:ascii="Verdana" w:hAnsi="Verdana"/>
          <w:bCs/>
          <w:sz w:val="20"/>
          <w:szCs w:val="20"/>
          <w:lang w:val="en-GB"/>
        </w:rPr>
        <w:t>ed</w:t>
      </w:r>
      <w:r w:rsidR="00BB2FCB" w:rsidRPr="00BB2FCB">
        <w:rPr>
          <w:rFonts w:ascii="Verdana" w:hAnsi="Verdana"/>
          <w:bCs/>
          <w:sz w:val="20"/>
          <w:szCs w:val="20"/>
          <w:lang w:val="en-GB"/>
        </w:rPr>
        <w:t xml:space="preserve"> reduction in the number of clients placed on a CIM without a conditional case plan (CCP). Th</w:t>
      </w:r>
      <w:r>
        <w:rPr>
          <w:rFonts w:ascii="Verdana" w:hAnsi="Verdana"/>
          <w:bCs/>
          <w:sz w:val="20"/>
          <w:szCs w:val="20"/>
          <w:lang w:val="en-GB"/>
        </w:rPr>
        <w:t>e</w:t>
      </w:r>
      <w:r w:rsidR="00BB2FCB" w:rsidRPr="00BB2FCB">
        <w:rPr>
          <w:rFonts w:ascii="Verdana" w:hAnsi="Verdana"/>
          <w:bCs/>
          <w:sz w:val="20"/>
          <w:szCs w:val="20"/>
          <w:lang w:val="en-GB"/>
        </w:rPr>
        <w:t xml:space="preserve"> reduction demonstrates that CIM is delivered with a highly targeted approach linking in support services to support the client’s needs.</w:t>
      </w:r>
    </w:p>
    <w:p w14:paraId="166B767C" w14:textId="585B6AB0" w:rsidR="00155176"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bookmarkStart w:id="5" w:name="_Hlk113026007"/>
      <w:r w:rsidRPr="00BB2FCB">
        <w:rPr>
          <w:rFonts w:ascii="Verdana" w:hAnsi="Verdana"/>
          <w:bCs/>
          <w:sz w:val="20"/>
          <w:szCs w:val="20"/>
          <w:lang w:val="en-GB"/>
        </w:rPr>
        <w:t xml:space="preserve">Following the Australian Government transitioning from the BasicsCard to the CDC, </w:t>
      </w:r>
      <w:bookmarkEnd w:id="5"/>
      <w:r w:rsidRPr="00BB2FCB">
        <w:rPr>
          <w:rFonts w:ascii="Verdana" w:hAnsi="Verdana"/>
          <w:bCs/>
          <w:sz w:val="20"/>
          <w:szCs w:val="20"/>
          <w:lang w:val="en-GB"/>
        </w:rPr>
        <w:t xml:space="preserve">during the 2021-22 reporting period the FRC </w:t>
      </w:r>
      <w:r w:rsidR="00C538F2">
        <w:rPr>
          <w:rFonts w:ascii="Verdana" w:hAnsi="Verdana"/>
          <w:bCs/>
          <w:sz w:val="20"/>
          <w:szCs w:val="20"/>
          <w:lang w:val="en-GB"/>
        </w:rPr>
        <w:t>experienced</w:t>
      </w:r>
      <w:r w:rsidRPr="00BB2FCB">
        <w:rPr>
          <w:rFonts w:ascii="Verdana" w:hAnsi="Verdana"/>
          <w:bCs/>
          <w:sz w:val="20"/>
          <w:szCs w:val="20"/>
          <w:lang w:val="en-GB"/>
        </w:rPr>
        <w:t xml:space="preserve"> continued growth in the number of community members willing to enter into a VIM agreement.</w:t>
      </w:r>
      <w:bookmarkStart w:id="6" w:name="_Hlk110862099"/>
    </w:p>
    <w:bookmarkEnd w:id="6"/>
    <w:p w14:paraId="359539FC" w14:textId="1FAD402B" w:rsidR="00155176" w:rsidRPr="003F4222" w:rsidRDefault="00BB2FCB" w:rsidP="003F4222">
      <w:pPr>
        <w:pStyle w:val="ListParagraph"/>
        <w:numPr>
          <w:ilvl w:val="0"/>
          <w:numId w:val="39"/>
        </w:numPr>
        <w:spacing w:line="288" w:lineRule="auto"/>
        <w:ind w:left="284" w:right="-425" w:hanging="357"/>
        <w:jc w:val="both"/>
        <w:rPr>
          <w:rFonts w:ascii="Verdana" w:hAnsi="Verdana"/>
          <w:bCs/>
          <w:sz w:val="20"/>
          <w:szCs w:val="20"/>
          <w:lang w:val="en-GB"/>
        </w:rPr>
      </w:pPr>
      <w:r w:rsidRPr="00BB2FCB">
        <w:rPr>
          <w:rFonts w:ascii="Verdana" w:hAnsi="Verdana"/>
          <w:bCs/>
          <w:sz w:val="20"/>
          <w:szCs w:val="20"/>
          <w:lang w:val="en-GB"/>
        </w:rPr>
        <w:t xml:space="preserve">As at 30 June 2022 there were 75 clients on a current VIM </w:t>
      </w:r>
      <w:bookmarkStart w:id="7" w:name="_Hlk113011828"/>
      <w:r w:rsidRPr="00BB2FCB">
        <w:rPr>
          <w:rFonts w:ascii="Verdana" w:hAnsi="Verdana"/>
          <w:bCs/>
          <w:sz w:val="20"/>
          <w:szCs w:val="20"/>
          <w:lang w:val="en-GB"/>
        </w:rPr>
        <w:t>who were claiming Centrelink payments for 66 children of which 41 were of school age.</w:t>
      </w:r>
      <w:bookmarkEnd w:id="7"/>
    </w:p>
    <w:p w14:paraId="2D939C77" w14:textId="6A631F18" w:rsidR="00BB2FCB" w:rsidRDefault="00543E9E" w:rsidP="003F4222">
      <w:pPr>
        <w:pStyle w:val="ListParagraph"/>
        <w:numPr>
          <w:ilvl w:val="0"/>
          <w:numId w:val="39"/>
        </w:numPr>
        <w:spacing w:line="288" w:lineRule="auto"/>
        <w:ind w:left="284" w:right="-425" w:hanging="357"/>
        <w:jc w:val="both"/>
        <w:rPr>
          <w:rFonts w:ascii="Verdana" w:hAnsi="Verdana"/>
          <w:bCs/>
          <w:sz w:val="20"/>
          <w:szCs w:val="20"/>
          <w:lang w:val="en-GB"/>
        </w:rPr>
      </w:pPr>
      <w:r>
        <w:rPr>
          <w:rFonts w:ascii="Verdana" w:hAnsi="Verdana"/>
          <w:bCs/>
          <w:sz w:val="20"/>
          <w:szCs w:val="20"/>
          <w:lang w:val="en-GB"/>
        </w:rPr>
        <w:t xml:space="preserve">During the 2021-22 reporting period there was </w:t>
      </w:r>
      <w:r w:rsidR="00BB2FCB" w:rsidRPr="00BB2FCB">
        <w:rPr>
          <w:rFonts w:ascii="Verdana" w:hAnsi="Verdana"/>
          <w:bCs/>
          <w:sz w:val="20"/>
          <w:szCs w:val="20"/>
          <w:lang w:val="en-GB"/>
        </w:rPr>
        <w:t>an increase in the number of clients who self-refer</w:t>
      </w:r>
      <w:r>
        <w:rPr>
          <w:rFonts w:ascii="Verdana" w:hAnsi="Verdana"/>
          <w:bCs/>
          <w:sz w:val="20"/>
          <w:szCs w:val="20"/>
          <w:lang w:val="en-GB"/>
        </w:rPr>
        <w:t>red</w:t>
      </w:r>
      <w:r w:rsidR="00BB2FCB" w:rsidRPr="00BB2FCB">
        <w:rPr>
          <w:rFonts w:ascii="Verdana" w:hAnsi="Verdana"/>
          <w:bCs/>
          <w:sz w:val="20"/>
          <w:szCs w:val="20"/>
          <w:lang w:val="en-GB"/>
        </w:rPr>
        <w:t xml:space="preserve"> (not subject to show cause) without a mandated requirement to attend conference.</w:t>
      </w:r>
    </w:p>
    <w:p w14:paraId="77ACCD88" w14:textId="242CA7A4" w:rsidR="005D206E" w:rsidRDefault="005D206E" w:rsidP="005D206E">
      <w:pPr>
        <w:ind w:left="-73" w:right="-425"/>
        <w:jc w:val="both"/>
        <w:rPr>
          <w:bCs/>
          <w:lang w:val="en-GB"/>
        </w:rPr>
      </w:pPr>
    </w:p>
    <w:p w14:paraId="78276D20" w14:textId="3A19BF32" w:rsidR="005D206E" w:rsidRPr="005D206E" w:rsidRDefault="005D206E" w:rsidP="005D206E">
      <w:pPr>
        <w:ind w:left="-73" w:right="-425"/>
        <w:jc w:val="both"/>
        <w:rPr>
          <w:bCs/>
        </w:rPr>
      </w:pPr>
      <w:r w:rsidRPr="005D206E">
        <w:rPr>
          <w:bCs/>
        </w:rPr>
        <w:t>An embargoed electronic copy of the annual report was provided to the FR Board Members and Secretariate for their internal briefing purposes.</w:t>
      </w:r>
    </w:p>
    <w:p w14:paraId="78DD9435" w14:textId="38086087" w:rsidR="00637DBD" w:rsidRDefault="00637DBD" w:rsidP="00637DBD">
      <w:pPr>
        <w:spacing w:line="240" w:lineRule="auto"/>
      </w:pPr>
    </w:p>
    <w:p w14:paraId="346BE081" w14:textId="77777777" w:rsidR="00155176" w:rsidRPr="00637DBD" w:rsidRDefault="00155176" w:rsidP="00637DBD">
      <w:pPr>
        <w:spacing w:line="240" w:lineRule="auto"/>
        <w:rPr>
          <w:bCs/>
        </w:rPr>
      </w:pPr>
    </w:p>
    <w:p w14:paraId="5E834E77" w14:textId="77777777" w:rsidR="00E341E5" w:rsidRDefault="00E341E5">
      <w:pPr>
        <w:spacing w:line="240" w:lineRule="auto"/>
        <w:rPr>
          <w:b/>
        </w:rPr>
      </w:pPr>
      <w:r>
        <w:rPr>
          <w:b/>
        </w:rPr>
        <w:br w:type="page"/>
      </w:r>
    </w:p>
    <w:p w14:paraId="678BB65A" w14:textId="26BDE83E" w:rsidR="00637DBD" w:rsidRPr="00637DBD" w:rsidRDefault="00637DBD" w:rsidP="00406EBF">
      <w:pPr>
        <w:ind w:left="-142" w:right="-425"/>
        <w:jc w:val="both"/>
        <w:rPr>
          <w:b/>
        </w:rPr>
      </w:pPr>
      <w:r w:rsidRPr="00637DBD">
        <w:rPr>
          <w:b/>
        </w:rPr>
        <w:lastRenderedPageBreak/>
        <w:t xml:space="preserve">Family </w:t>
      </w:r>
      <w:r w:rsidRPr="00637DBD">
        <w:rPr>
          <w:rFonts w:cs="Arial"/>
          <w:b/>
          <w:bCs/>
          <w:sz w:val="22"/>
          <w:szCs w:val="22"/>
        </w:rPr>
        <w:t>Responsibilities</w:t>
      </w:r>
      <w:r w:rsidRPr="00637DBD">
        <w:rPr>
          <w:b/>
        </w:rPr>
        <w:t xml:space="preserve"> Board</w:t>
      </w:r>
    </w:p>
    <w:p w14:paraId="75DF99B2" w14:textId="5ED9E753" w:rsidR="00637DBD" w:rsidRDefault="00637DBD" w:rsidP="00406EBF">
      <w:pPr>
        <w:ind w:left="-142"/>
        <w:rPr>
          <w:bCs/>
        </w:rPr>
      </w:pPr>
      <w:r w:rsidRPr="00637DBD">
        <w:rPr>
          <w:bCs/>
        </w:rPr>
        <w:t xml:space="preserve">Members of the FRC Executive Management Team travelled to Brisbane to attend an FR Board meeting held on </w:t>
      </w:r>
      <w:r w:rsidR="00406EBF">
        <w:rPr>
          <w:bCs/>
        </w:rPr>
        <w:t>13 October</w:t>
      </w:r>
      <w:r w:rsidRPr="00637DBD">
        <w:rPr>
          <w:bCs/>
        </w:rPr>
        <w:t xml:space="preserve"> 202</w:t>
      </w:r>
      <w:r w:rsidR="00406EBF">
        <w:rPr>
          <w:bCs/>
        </w:rPr>
        <w:t>2</w:t>
      </w:r>
      <w:r w:rsidRPr="00637DBD">
        <w:rPr>
          <w:bCs/>
        </w:rPr>
        <w:t>. A community update report for Aurukun, Coen, Doomadgee, Hope Vale and Mossman Gorge was provided for the period 1 July to 30 September 202</w:t>
      </w:r>
      <w:r w:rsidR="006A27D9">
        <w:rPr>
          <w:bCs/>
        </w:rPr>
        <w:t>2</w:t>
      </w:r>
      <w:r w:rsidRPr="00637DBD">
        <w:rPr>
          <w:bCs/>
        </w:rPr>
        <w:t xml:space="preserve"> including operational highlights, challenges and other significant community news. The Commission prepared and presented a budget report for the financial year 202</w:t>
      </w:r>
      <w:r w:rsidR="006A27D9">
        <w:rPr>
          <w:bCs/>
        </w:rPr>
        <w:t>2</w:t>
      </w:r>
      <w:r w:rsidRPr="00637DBD">
        <w:rPr>
          <w:bCs/>
        </w:rPr>
        <w:t>-2</w:t>
      </w:r>
      <w:r w:rsidR="006A27D9">
        <w:rPr>
          <w:bCs/>
        </w:rPr>
        <w:t>3</w:t>
      </w:r>
      <w:r w:rsidRPr="00637DBD">
        <w:rPr>
          <w:bCs/>
        </w:rPr>
        <w:t xml:space="preserve">, and </w:t>
      </w:r>
      <w:r w:rsidR="006A27D9">
        <w:rPr>
          <w:bCs/>
        </w:rPr>
        <w:t>Quarterly Report No 55 for the period January to March 2022 was presented and received the FR Board’s endorsement</w:t>
      </w:r>
      <w:r w:rsidRPr="00637DBD">
        <w:rPr>
          <w:bCs/>
        </w:rPr>
        <w:t>.</w:t>
      </w:r>
    </w:p>
    <w:p w14:paraId="688C4C4B" w14:textId="6957BDB9" w:rsidR="00123694" w:rsidRDefault="00123694" w:rsidP="00406EBF">
      <w:pPr>
        <w:ind w:left="-142"/>
        <w:rPr>
          <w:bCs/>
        </w:rPr>
      </w:pPr>
    </w:p>
    <w:p w14:paraId="6616524C" w14:textId="365E4BD0" w:rsidR="00123694" w:rsidRPr="00637DBD" w:rsidRDefault="00123694" w:rsidP="00406EBF">
      <w:pPr>
        <w:ind w:left="-142"/>
        <w:rPr>
          <w:bCs/>
        </w:rPr>
      </w:pPr>
      <w:r>
        <w:rPr>
          <w:bCs/>
        </w:rPr>
        <w:t>Quarterly Report No 56 for the period April to June 2022 was presented to the FR Board in an out of session paper in November 2022</w:t>
      </w:r>
      <w:r w:rsidR="006A09A7">
        <w:rPr>
          <w:bCs/>
        </w:rPr>
        <w:t>.</w:t>
      </w:r>
    </w:p>
    <w:p w14:paraId="1E183D4C" w14:textId="77777777" w:rsidR="00637DBD" w:rsidRPr="00637DBD" w:rsidRDefault="00637DBD" w:rsidP="006A09A7">
      <w:pPr>
        <w:ind w:left="-142"/>
        <w:rPr>
          <w:bCs/>
        </w:rPr>
      </w:pPr>
    </w:p>
    <w:p w14:paraId="2EE69351" w14:textId="77777777" w:rsidR="00637DBD" w:rsidRPr="00021D30" w:rsidRDefault="00637DBD" w:rsidP="00136641">
      <w:pPr>
        <w:ind w:left="-142" w:right="-425"/>
        <w:jc w:val="both"/>
        <w:rPr>
          <w:b/>
          <w:bCs/>
          <w:sz w:val="22"/>
          <w:szCs w:val="22"/>
        </w:rPr>
      </w:pPr>
      <w:r w:rsidRPr="00021D30">
        <w:rPr>
          <w:b/>
          <w:bCs/>
          <w:sz w:val="22"/>
          <w:szCs w:val="22"/>
        </w:rPr>
        <w:t>Annual school awards</w:t>
      </w:r>
    </w:p>
    <w:p w14:paraId="5EAE62C4" w14:textId="77777777" w:rsidR="00637DBD" w:rsidRPr="00637DBD" w:rsidRDefault="00637DBD" w:rsidP="00136641">
      <w:pPr>
        <w:ind w:left="-142"/>
      </w:pPr>
      <w:r w:rsidRPr="00637DBD">
        <w:t>The Commission’s annual School Awards ceremonies were conducted in December in each of the five communities. Prizes were awarded for attendance achievements and included certificates, medals and other incentives. Each year the Local Commissioners participate in the awards to provide positive recognition and support for those students (and their families) who regularly attend school, to provide an incentive for those students who wish to improve their school attendance and to maintain a focus on the importance of education for the future of the community.</w:t>
      </w:r>
    </w:p>
    <w:p w14:paraId="6EB6EBBF" w14:textId="1BF074D2" w:rsidR="00D05326" w:rsidRPr="0008043B" w:rsidRDefault="00D05326">
      <w:pPr>
        <w:spacing w:line="240" w:lineRule="auto"/>
      </w:pPr>
      <w:r w:rsidRPr="0008043B">
        <w:br w:type="page"/>
      </w:r>
    </w:p>
    <w:p w14:paraId="42C25446" w14:textId="569E51A5" w:rsidR="00A83C16" w:rsidRDefault="00A83C16">
      <w:pPr>
        <w:spacing w:line="240" w:lineRule="auto"/>
      </w:pP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5A8B8CDE"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505D16">
        <w:rPr>
          <w:noProof/>
        </w:rPr>
        <w:t>7</w:t>
      </w:r>
      <w:r w:rsidR="00F058BE">
        <w:rPr>
          <w:noProof/>
        </w:rPr>
        <w:fldChar w:fldCharType="end"/>
      </w:r>
    </w:p>
    <w:p w14:paraId="62DF3D4A" w14:textId="652A601D"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505D16">
        <w:rPr>
          <w:noProof/>
        </w:rPr>
        <w:t>19</w:t>
      </w:r>
      <w:r>
        <w:rPr>
          <w:noProof/>
        </w:rPr>
        <w:fldChar w:fldCharType="end"/>
      </w:r>
    </w:p>
    <w:p w14:paraId="293F38D2" w14:textId="59CB466B"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505D16">
        <w:rPr>
          <w:noProof/>
        </w:rPr>
        <w:t>22</w:t>
      </w:r>
      <w:r>
        <w:rPr>
          <w:noProof/>
        </w:rPr>
        <w:fldChar w:fldCharType="end"/>
      </w:r>
    </w:p>
    <w:p w14:paraId="79738A35" w14:textId="0D968F7B"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505D16">
        <w:rPr>
          <w:noProof/>
        </w:rPr>
        <w:t>23</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C18C156"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7B7E78">
        <w:rPr>
          <w:i/>
          <w:sz w:val="24"/>
          <w:szCs w:val="24"/>
        </w:rPr>
        <w:t>1</w:t>
      </w:r>
      <w:r w:rsidR="00DA70CA">
        <w:rPr>
          <w:i/>
          <w:sz w:val="24"/>
          <w:szCs w:val="24"/>
        </w:rPr>
        <w:t xml:space="preserve"> </w:t>
      </w:r>
      <w:r w:rsidR="007B7E78">
        <w:rPr>
          <w:i/>
          <w:sz w:val="24"/>
          <w:szCs w:val="24"/>
        </w:rPr>
        <w:t xml:space="preserve">December </w:t>
      </w:r>
      <w:r w:rsidR="00E53438">
        <w:rPr>
          <w:i/>
          <w:sz w:val="24"/>
          <w:szCs w:val="24"/>
        </w:rPr>
        <w:t>202</w:t>
      </w:r>
      <w:r w:rsidR="001A5C4C">
        <w:rPr>
          <w:i/>
          <w:sz w:val="24"/>
          <w:szCs w:val="24"/>
        </w:rPr>
        <w:t>2</w:t>
      </w:r>
      <w:r w:rsidRPr="00B04486">
        <w:rPr>
          <w:i/>
          <w:sz w:val="24"/>
          <w:szCs w:val="24"/>
        </w:rPr>
        <w:t>.</w:t>
      </w:r>
    </w:p>
    <w:p w14:paraId="3B63D598" w14:textId="77777777" w:rsidR="005A5B78" w:rsidRPr="00942B2C" w:rsidRDefault="005A5B78" w:rsidP="005A5B78">
      <w:pPr>
        <w:pStyle w:val="Heading1"/>
        <w:ind w:left="-142" w:right="-426"/>
      </w:pPr>
      <w:bookmarkStart w:id="8" w:name="_Toc222226581"/>
      <w:bookmarkStart w:id="9" w:name="_Toc304386230"/>
      <w:bookmarkStart w:id="10" w:name="_Toc304386307"/>
      <w:bookmarkStart w:id="11" w:name="_Toc306011180"/>
      <w:bookmarkStart w:id="12" w:name="_Toc39657991"/>
      <w:r>
        <w:t>1.  Activities and</w:t>
      </w:r>
      <w:r w:rsidRPr="00942B2C">
        <w:t xml:space="preserve"> </w:t>
      </w:r>
      <w:bookmarkEnd w:id="8"/>
      <w:bookmarkEnd w:id="9"/>
      <w:bookmarkEnd w:id="10"/>
      <w:bookmarkEnd w:id="11"/>
      <w:r>
        <w:t>Trends</w:t>
      </w:r>
      <w:bookmarkEnd w:id="12"/>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CB1032">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Default="008F63D1" w:rsidP="0024013F">
      <w:pPr>
        <w:tabs>
          <w:tab w:val="left" w:pos="1134"/>
        </w:tabs>
        <w:ind w:left="-142" w:right="-425"/>
        <w:jc w:val="both"/>
        <w:rPr>
          <w:b/>
          <w:bCs/>
        </w:rPr>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64B4B15A"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250129">
        <w:t>58</w:t>
      </w:r>
      <w:r w:rsidR="005728FA">
        <w:t>,</w:t>
      </w:r>
      <w:r w:rsidR="007B68DE">
        <w:t xml:space="preserve"> </w:t>
      </w:r>
      <w:r w:rsidR="005D2783">
        <w:t>58</w:t>
      </w:r>
      <w:r w:rsidR="008B098C">
        <w:t>1</w:t>
      </w:r>
      <w:r w:rsidR="005D2783">
        <w:t xml:space="preserve"> </w:t>
      </w:r>
      <w:r w:rsidR="006648A1">
        <w:t xml:space="preserve">clients </w:t>
      </w:r>
      <w:r w:rsidR="00FE5409">
        <w:t>(</w:t>
      </w:r>
      <w:r w:rsidR="00D356CC">
        <w:t>8</w:t>
      </w:r>
      <w:r w:rsidR="005D2783">
        <w:t>6</w:t>
      </w:r>
      <w:r w:rsidR="00D356CC">
        <w:t xml:space="preserve"> </w:t>
      </w:r>
      <w:r w:rsidR="00FE5409">
        <w:t>percen</w:t>
      </w:r>
      <w:r w:rsidR="00FC7C1D">
        <w:t>t</w:t>
      </w:r>
      <w:r w:rsidR="006648A1">
        <w:t>)</w:t>
      </w:r>
      <w:r w:rsidR="00FE5409">
        <w:t xml:space="preserve"> were notified to the Commission with only one type of trigger notice</w:t>
      </w:r>
      <w:r w:rsidR="003A48E8">
        <w:t>. T</w:t>
      </w:r>
      <w:r w:rsidR="00FE5409">
        <w:t xml:space="preserve">he remaining </w:t>
      </w:r>
      <w:r w:rsidR="005D2783">
        <w:t xml:space="preserve">91 </w:t>
      </w:r>
      <w:r w:rsidR="006648A1">
        <w:t xml:space="preserve">clients </w:t>
      </w:r>
      <w:r w:rsidR="00FE5409">
        <w:t>(</w:t>
      </w:r>
      <w:r w:rsidR="00D356CC">
        <w:t>1</w:t>
      </w:r>
      <w:r w:rsidR="005D2783">
        <w:t>4</w:t>
      </w:r>
      <w:r w:rsidR="00D356CC">
        <w:t xml:space="preserve"> </w:t>
      </w:r>
      <w:r w:rsidR="00FE5409">
        <w:t>percen</w:t>
      </w:r>
      <w:r w:rsidR="00FC7C1D">
        <w:t>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593E1563" w:rsidR="00DD432B" w:rsidRPr="00DD432B" w:rsidRDefault="00DD432B" w:rsidP="00DD432B">
      <w:pPr>
        <w:spacing w:after="120" w:line="240" w:lineRule="auto"/>
        <w:ind w:left="794" w:hanging="794"/>
        <w:rPr>
          <w:b/>
          <w:sz w:val="16"/>
          <w:szCs w:val="16"/>
        </w:rPr>
      </w:pPr>
      <w:r w:rsidRPr="00DD432B">
        <w:rPr>
          <w:b/>
          <w:sz w:val="16"/>
          <w:szCs w:val="16"/>
        </w:rPr>
        <w:t xml:space="preserve">Table 2: </w:t>
      </w:r>
      <w:r w:rsidRPr="00DD432B">
        <w:rPr>
          <w:bCs/>
          <w:sz w:val="16"/>
          <w:szCs w:val="16"/>
        </w:rPr>
        <w:t>Number of clients by number of different types of agency notices received 1 October 2022 to 31 December 2022</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DD432B" w:rsidRPr="00FE5409" w14:paraId="2BC71674" w14:textId="77777777" w:rsidTr="0088566E">
        <w:trPr>
          <w:trHeight w:val="300"/>
        </w:trPr>
        <w:tc>
          <w:tcPr>
            <w:tcW w:w="2200" w:type="dxa"/>
            <w:shd w:val="clear" w:color="auto" w:fill="auto"/>
          </w:tcPr>
          <w:p w14:paraId="35C66FA9" w14:textId="6C9CB49D" w:rsidR="00DD432B" w:rsidRDefault="00DD432B" w:rsidP="00DD432B">
            <w:pPr>
              <w:spacing w:line="240" w:lineRule="auto"/>
              <w:jc w:val="center"/>
              <w:rPr>
                <w:rFonts w:cs="Arial"/>
                <w:color w:val="000000"/>
              </w:rPr>
            </w:pPr>
            <w:r>
              <w:rPr>
                <w:rFonts w:cs="Arial"/>
                <w:color w:val="000000"/>
              </w:rPr>
              <w:t>1</w:t>
            </w:r>
          </w:p>
        </w:tc>
        <w:tc>
          <w:tcPr>
            <w:tcW w:w="1197" w:type="dxa"/>
            <w:shd w:val="clear" w:color="auto" w:fill="auto"/>
          </w:tcPr>
          <w:p w14:paraId="18B67C31" w14:textId="592511C9" w:rsidR="00DD432B" w:rsidRDefault="00DD432B" w:rsidP="00DD432B">
            <w:pPr>
              <w:spacing w:line="240" w:lineRule="auto"/>
              <w:jc w:val="right"/>
              <w:rPr>
                <w:rFonts w:cs="Arial"/>
                <w:color w:val="000000"/>
              </w:rPr>
            </w:pPr>
            <w:r>
              <w:rPr>
                <w:rFonts w:ascii="Arial" w:hAnsi="Arial" w:cs="Arial"/>
              </w:rPr>
              <w:t>58</w:t>
            </w:r>
            <w:r w:rsidR="008B098C">
              <w:rPr>
                <w:rFonts w:ascii="Arial" w:hAnsi="Arial" w:cs="Arial"/>
              </w:rPr>
              <w:t>1</w:t>
            </w:r>
          </w:p>
        </w:tc>
      </w:tr>
      <w:tr w:rsidR="00DD432B" w:rsidRPr="00FE5409" w14:paraId="1A7DB5C2" w14:textId="77777777" w:rsidTr="0088566E">
        <w:trPr>
          <w:trHeight w:val="300"/>
        </w:trPr>
        <w:tc>
          <w:tcPr>
            <w:tcW w:w="2200" w:type="dxa"/>
            <w:shd w:val="clear" w:color="auto" w:fill="auto"/>
          </w:tcPr>
          <w:p w14:paraId="0FB531E4" w14:textId="04C6BBCA" w:rsidR="00DD432B" w:rsidRDefault="00DD432B" w:rsidP="00DD432B">
            <w:pPr>
              <w:spacing w:line="240" w:lineRule="auto"/>
              <w:jc w:val="center"/>
              <w:rPr>
                <w:rFonts w:cs="Arial"/>
                <w:color w:val="000000"/>
              </w:rPr>
            </w:pPr>
            <w:r>
              <w:rPr>
                <w:rFonts w:cs="Arial"/>
                <w:color w:val="000000"/>
              </w:rPr>
              <w:t>2</w:t>
            </w:r>
          </w:p>
        </w:tc>
        <w:tc>
          <w:tcPr>
            <w:tcW w:w="1197" w:type="dxa"/>
            <w:shd w:val="clear" w:color="auto" w:fill="auto"/>
          </w:tcPr>
          <w:p w14:paraId="3547B1D3" w14:textId="4F6A4AE4" w:rsidR="00DD432B" w:rsidRPr="00FE5409" w:rsidRDefault="00DD432B" w:rsidP="00DD432B">
            <w:pPr>
              <w:spacing w:line="240" w:lineRule="auto"/>
              <w:jc w:val="right"/>
              <w:rPr>
                <w:rFonts w:cs="Calibri"/>
                <w:color w:val="000000"/>
                <w:lang w:eastAsia="en-AU"/>
              </w:rPr>
            </w:pPr>
            <w:r>
              <w:rPr>
                <w:rFonts w:ascii="Arial" w:hAnsi="Arial" w:cs="Arial"/>
              </w:rPr>
              <w:t>85</w:t>
            </w:r>
          </w:p>
        </w:tc>
      </w:tr>
      <w:tr w:rsidR="00DD432B" w:rsidRPr="00FE5409" w14:paraId="172CBC7C" w14:textId="77777777" w:rsidTr="0088566E">
        <w:trPr>
          <w:trHeight w:val="300"/>
        </w:trPr>
        <w:tc>
          <w:tcPr>
            <w:tcW w:w="2200" w:type="dxa"/>
            <w:shd w:val="clear" w:color="auto" w:fill="auto"/>
          </w:tcPr>
          <w:p w14:paraId="63B29F9A" w14:textId="295E5F8B" w:rsidR="00DD432B" w:rsidRDefault="00DD432B" w:rsidP="00DD432B">
            <w:pPr>
              <w:spacing w:line="240" w:lineRule="auto"/>
              <w:jc w:val="center"/>
              <w:rPr>
                <w:rFonts w:cs="Arial"/>
                <w:color w:val="000000"/>
              </w:rPr>
            </w:pPr>
            <w:r>
              <w:rPr>
                <w:rFonts w:cs="Arial"/>
                <w:color w:val="000000"/>
              </w:rPr>
              <w:t>3</w:t>
            </w:r>
          </w:p>
        </w:tc>
        <w:tc>
          <w:tcPr>
            <w:tcW w:w="1197" w:type="dxa"/>
            <w:shd w:val="clear" w:color="auto" w:fill="auto"/>
          </w:tcPr>
          <w:p w14:paraId="56A1C5C3" w14:textId="7FC935B4" w:rsidR="00DD432B" w:rsidRPr="00FE5409" w:rsidRDefault="00DD432B" w:rsidP="00DD432B">
            <w:pPr>
              <w:spacing w:line="240" w:lineRule="auto"/>
              <w:jc w:val="right"/>
              <w:rPr>
                <w:rFonts w:cs="Calibri"/>
                <w:color w:val="000000"/>
                <w:lang w:eastAsia="en-AU"/>
              </w:rPr>
            </w:pPr>
            <w:r>
              <w:rPr>
                <w:rFonts w:ascii="Arial" w:hAnsi="Arial" w:cs="Arial"/>
              </w:rPr>
              <w:t>6</w:t>
            </w:r>
          </w:p>
        </w:tc>
      </w:tr>
      <w:tr w:rsidR="00DD432B" w:rsidRPr="00FE5409" w14:paraId="3D8BDCCA" w14:textId="77777777" w:rsidTr="0088566E">
        <w:trPr>
          <w:trHeight w:val="300"/>
        </w:trPr>
        <w:tc>
          <w:tcPr>
            <w:tcW w:w="2200" w:type="dxa"/>
            <w:shd w:val="clear" w:color="auto" w:fill="auto"/>
            <w:hideMark/>
          </w:tcPr>
          <w:p w14:paraId="44CD1767" w14:textId="77777777" w:rsidR="00DD432B" w:rsidRPr="00FE5409" w:rsidRDefault="00DD432B" w:rsidP="0088566E">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626B4899" w:rsidR="00DD432B" w:rsidRPr="00FE5409" w:rsidRDefault="00DD432B" w:rsidP="0088566E">
            <w:pPr>
              <w:spacing w:line="240" w:lineRule="auto"/>
              <w:jc w:val="right"/>
              <w:rPr>
                <w:rFonts w:cs="Calibri"/>
                <w:b/>
                <w:bCs/>
                <w:color w:val="000000"/>
                <w:lang w:eastAsia="en-AU"/>
              </w:rPr>
            </w:pPr>
            <w:r>
              <w:rPr>
                <w:rFonts w:cs="Calibri"/>
                <w:b/>
                <w:bCs/>
                <w:color w:val="000000"/>
                <w:lang w:eastAsia="en-AU"/>
              </w:rPr>
              <w:t>67</w:t>
            </w:r>
            <w:r w:rsidR="008B098C">
              <w:rPr>
                <w:rFonts w:cs="Calibri"/>
                <w:b/>
                <w:bCs/>
                <w:color w:val="000000"/>
                <w:lang w:eastAsia="en-AU"/>
              </w:rPr>
              <w:t>2</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1DC7C9F0" w:rsidR="003317A8" w:rsidRPr="002B14E8" w:rsidRDefault="00FB4106" w:rsidP="005C0A9F">
      <w:pPr>
        <w:tabs>
          <w:tab w:val="decimal" w:pos="720"/>
        </w:tabs>
        <w:ind w:left="-142" w:right="-425"/>
        <w:jc w:val="both"/>
      </w:pPr>
      <w:r>
        <w:tab/>
      </w:r>
      <w:r w:rsidR="005D2783">
        <w:t>62</w:t>
      </w:r>
      <w:r w:rsidR="005D2783" w:rsidRPr="002B14E8">
        <w:t xml:space="preserve"> </w:t>
      </w:r>
      <w:r w:rsidR="003317A8" w:rsidRPr="002B14E8">
        <w:t>percen</w:t>
      </w:r>
      <w:r w:rsidR="00FC7C1D" w:rsidRPr="002B14E8">
        <w:t>t</w:t>
      </w:r>
      <w:r w:rsidR="003317A8" w:rsidRPr="002B14E8">
        <w:t xml:space="preserve"> received a school attendance </w:t>
      </w:r>
      <w:r w:rsidR="00546F72" w:rsidRPr="002B14E8">
        <w:t xml:space="preserve">(EQ) </w:t>
      </w:r>
      <w:r w:rsidR="003317A8" w:rsidRPr="002B14E8">
        <w:t>notice</w:t>
      </w:r>
    </w:p>
    <w:p w14:paraId="148CD9E5" w14:textId="0EE6F15E" w:rsidR="003317A8" w:rsidRDefault="00FB4106" w:rsidP="005C0A9F">
      <w:pPr>
        <w:tabs>
          <w:tab w:val="decimal" w:pos="720"/>
        </w:tabs>
        <w:ind w:left="-142" w:right="-425"/>
        <w:jc w:val="both"/>
      </w:pPr>
      <w:r w:rsidRPr="002B14E8">
        <w:tab/>
      </w:r>
      <w:r w:rsidR="005D2783">
        <w:t>10</w:t>
      </w:r>
      <w:r w:rsidR="005D2783" w:rsidRPr="002B14E8">
        <w:t xml:space="preserve"> </w:t>
      </w:r>
      <w:r w:rsidR="00FC7C1D" w:rsidRPr="002B14E8">
        <w:t xml:space="preserve">percent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4CC669BB" w14:textId="1C8D63D3" w:rsidR="005D2783" w:rsidRPr="002B14E8" w:rsidRDefault="005D2783" w:rsidP="005D2783">
      <w:pPr>
        <w:tabs>
          <w:tab w:val="decimal" w:pos="720"/>
        </w:tabs>
        <w:ind w:left="-142" w:right="-425"/>
        <w:jc w:val="both"/>
      </w:pPr>
      <w:r w:rsidRPr="002B14E8">
        <w:tab/>
      </w:r>
      <w:r>
        <w:t>7</w:t>
      </w:r>
      <w:r w:rsidRPr="002B14E8">
        <w:t xml:space="preserve"> percent received a domestic violence order (DVO) notice</w:t>
      </w:r>
      <w:r>
        <w:t xml:space="preserve"> and</w:t>
      </w:r>
    </w:p>
    <w:p w14:paraId="35B9421A" w14:textId="756F4F42" w:rsidR="00384FFE" w:rsidRPr="002B14E8" w:rsidRDefault="00384FFE" w:rsidP="00384FFE">
      <w:pPr>
        <w:tabs>
          <w:tab w:val="decimal" w:pos="720"/>
        </w:tabs>
        <w:ind w:left="-142" w:right="-425"/>
        <w:jc w:val="both"/>
      </w:pPr>
      <w:r w:rsidRPr="002B14E8">
        <w:tab/>
      </w:r>
      <w:r w:rsidR="005D2783">
        <w:t>6</w:t>
      </w:r>
      <w:r w:rsidR="00A04AB4" w:rsidRPr="002B14E8">
        <w:t xml:space="preserve"> </w:t>
      </w:r>
      <w:r w:rsidRPr="002B14E8">
        <w:t>percent received a child safety and welfare (CS) notice</w:t>
      </w:r>
      <w:r w:rsidR="005D2783">
        <w:t>.</w:t>
      </w:r>
    </w:p>
    <w:p w14:paraId="7E950EE4" w14:textId="77777777" w:rsidR="003C0A9A" w:rsidRDefault="003C0A9A" w:rsidP="005C0A9F">
      <w:pPr>
        <w:tabs>
          <w:tab w:val="decimal" w:pos="720"/>
        </w:tabs>
        <w:ind w:left="-142" w:right="-425"/>
        <w:jc w:val="both"/>
      </w:pPr>
    </w:p>
    <w:p w14:paraId="74CFEB98" w14:textId="6589E663"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5D2783">
        <w:t>2</w:t>
      </w:r>
      <w:r w:rsidR="003C0A9A">
        <w:t xml:space="preserve"> clients with a District court notice (DIS), </w:t>
      </w:r>
      <w:r w:rsidR="005D2783">
        <w:t>5</w:t>
      </w:r>
      <w:r w:rsidR="005E1684">
        <w:t xml:space="preserve"> </w:t>
      </w:r>
      <w:r w:rsidR="00C43C99">
        <w:t xml:space="preserve">clients with a </w:t>
      </w:r>
      <w:r w:rsidR="00F9779C">
        <w:t>domestic violence breach (DVB)</w:t>
      </w:r>
      <w:r w:rsidR="00C43C99">
        <w:t xml:space="preserve"> notice</w:t>
      </w:r>
      <w:r w:rsidR="003C0A9A">
        <w:t xml:space="preserve">, </w:t>
      </w:r>
      <w:r w:rsidR="005D2783">
        <w:t>1</w:t>
      </w:r>
      <w:r w:rsidR="003C0A9A">
        <w:t xml:space="preserve"> client with a housing tenancy breach notice</w:t>
      </w:r>
      <w:r w:rsidR="005E1684">
        <w:t xml:space="preserve"> and </w:t>
      </w:r>
      <w:r w:rsidR="005D2783">
        <w:t>1</w:t>
      </w:r>
      <w:r w:rsidR="005E1684">
        <w:t xml:space="preserve"> client with a </w:t>
      </w:r>
      <w:r w:rsidR="003C0A9A">
        <w:t>school enrolment</w:t>
      </w:r>
      <w:r w:rsidR="005E1684">
        <w:t xml:space="preserve"> notice (</w:t>
      </w:r>
      <w:r w:rsidR="003C0A9A">
        <w:t>SEN</w:t>
      </w:r>
      <w:r w:rsidR="005E1684">
        <w:t>)</w:t>
      </w:r>
      <w:r>
        <w:t>.</w:t>
      </w:r>
    </w:p>
    <w:p w14:paraId="45C18E5D" w14:textId="77777777" w:rsidR="00085687" w:rsidRDefault="00085687" w:rsidP="004E36FE">
      <w:pPr>
        <w:tabs>
          <w:tab w:val="left" w:pos="1134"/>
        </w:tabs>
        <w:ind w:left="-142" w:right="-425"/>
        <w:jc w:val="both"/>
      </w:pPr>
    </w:p>
    <w:p w14:paraId="78ABBEEE" w14:textId="21A92095"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87466C">
        <w:t>91</w:t>
      </w:r>
      <w:r w:rsidR="0087466C"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One can see that predominantly </w:t>
      </w:r>
      <w:r w:rsidR="00E451BA" w:rsidRPr="00712441">
        <w:t>there is a nexus between</w:t>
      </w:r>
      <w:r w:rsidR="00266BB4" w:rsidRPr="00712441">
        <w:t xml:space="preserve"> </w:t>
      </w:r>
      <w:r w:rsidR="00D87B74" w:rsidRPr="00712441">
        <w:t xml:space="preserve">Court convictions </w:t>
      </w:r>
      <w:r w:rsidR="00266BB4" w:rsidRPr="00712441">
        <w:t xml:space="preserve">and domestic violence orders/breaches </w:t>
      </w:r>
      <w:r w:rsidR="00E451BA" w:rsidRPr="00712441">
        <w:t>with</w:t>
      </w:r>
      <w:r w:rsidR="00D87B74" w:rsidRPr="00712441">
        <w:t xml:space="preserve"> education </w:t>
      </w:r>
      <w:r w:rsidR="00E451BA" w:rsidRPr="00712441">
        <w:t xml:space="preserve">notices </w:t>
      </w:r>
      <w:r w:rsidR="00D87B74" w:rsidRPr="00712441">
        <w:t>and child safety issues</w:t>
      </w:r>
      <w:r w:rsidR="00A903B1" w:rsidRPr="00712441">
        <w:t xml:space="preserve">, and </w:t>
      </w:r>
      <w:r w:rsidR="00E451BA" w:rsidRPr="00712441">
        <w:t xml:space="preserve">also </w:t>
      </w:r>
      <w:r w:rsidR="00A903B1" w:rsidRPr="00712441">
        <w:t>a strong nexus between child safety issues and education notices</w:t>
      </w:r>
      <w:r w:rsidR="00266BB4" w:rsidRPr="00712441">
        <w:t>.</w:t>
      </w:r>
    </w:p>
    <w:p w14:paraId="4DF56508" w14:textId="6FC8AD83" w:rsidR="0030587D" w:rsidRDefault="0030587D" w:rsidP="00106EA8">
      <w:pPr>
        <w:tabs>
          <w:tab w:val="left" w:pos="1134"/>
        </w:tabs>
        <w:ind w:left="-142" w:right="-425"/>
        <w:jc w:val="both"/>
      </w:pPr>
    </w:p>
    <w:p w14:paraId="1F2400EB" w14:textId="77777777" w:rsidR="002522F2" w:rsidRDefault="002522F2">
      <w:pPr>
        <w:spacing w:line="240" w:lineRule="auto"/>
        <w:rPr>
          <w:b/>
          <w:sz w:val="16"/>
          <w:szCs w:val="16"/>
        </w:rPr>
      </w:pPr>
      <w:r>
        <w:rPr>
          <w:b/>
          <w:sz w:val="16"/>
          <w:szCs w:val="16"/>
        </w:rPr>
        <w:br w:type="page"/>
      </w:r>
    </w:p>
    <w:p w14:paraId="545211AE" w14:textId="54FB4F59"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7B7E78">
        <w:rPr>
          <w:bCs/>
          <w:sz w:val="16"/>
          <w:szCs w:val="16"/>
        </w:rPr>
        <w:t>1 October</w:t>
      </w:r>
      <w:r w:rsidR="000A118E">
        <w:rPr>
          <w:bCs/>
          <w:sz w:val="16"/>
          <w:szCs w:val="16"/>
        </w:rPr>
        <w:t xml:space="preserve"> </w:t>
      </w:r>
      <w:r w:rsidR="00415BC8">
        <w:rPr>
          <w:bCs/>
          <w:sz w:val="16"/>
          <w:szCs w:val="16"/>
        </w:rPr>
        <w:t>2022</w:t>
      </w:r>
      <w:r w:rsidR="00352CA2" w:rsidRPr="00352CA2">
        <w:rPr>
          <w:bCs/>
          <w:sz w:val="16"/>
          <w:szCs w:val="16"/>
        </w:rPr>
        <w:t xml:space="preserve"> to </w:t>
      </w:r>
      <w:r w:rsidR="007B7E78">
        <w:rPr>
          <w:bCs/>
          <w:sz w:val="16"/>
          <w:szCs w:val="16"/>
        </w:rPr>
        <w:t xml:space="preserve">31 December </w:t>
      </w:r>
      <w:r w:rsidR="001A5C4C">
        <w:rPr>
          <w:bCs/>
          <w:sz w:val="16"/>
          <w:szCs w:val="16"/>
        </w:rPr>
        <w:t>2022</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87466C" w:rsidRPr="00FE5409" w14:paraId="43A6684F" w14:textId="77777777" w:rsidTr="00C33B2C">
        <w:trPr>
          <w:trHeight w:val="300"/>
        </w:trPr>
        <w:tc>
          <w:tcPr>
            <w:tcW w:w="2200" w:type="dxa"/>
            <w:shd w:val="clear" w:color="auto" w:fill="auto"/>
          </w:tcPr>
          <w:p w14:paraId="2207F67D" w14:textId="43A36B3E" w:rsidR="0087466C" w:rsidRDefault="0087466C" w:rsidP="00C33B2C">
            <w:pPr>
              <w:spacing w:line="240" w:lineRule="auto"/>
              <w:rPr>
                <w:rFonts w:cs="Arial"/>
                <w:color w:val="000000"/>
              </w:rPr>
            </w:pPr>
            <w:r>
              <w:rPr>
                <w:rFonts w:cs="Arial"/>
                <w:color w:val="000000"/>
              </w:rPr>
              <w:t>CS,DVB</w:t>
            </w:r>
          </w:p>
        </w:tc>
        <w:tc>
          <w:tcPr>
            <w:tcW w:w="1197" w:type="dxa"/>
            <w:shd w:val="clear" w:color="auto" w:fill="auto"/>
          </w:tcPr>
          <w:p w14:paraId="2687D295" w14:textId="008E943E" w:rsidR="0087466C" w:rsidRDefault="0087466C" w:rsidP="00C33B2C">
            <w:pPr>
              <w:spacing w:line="240" w:lineRule="auto"/>
              <w:jc w:val="right"/>
              <w:rPr>
                <w:rFonts w:cs="Arial"/>
                <w:color w:val="000000"/>
              </w:rPr>
            </w:pPr>
            <w:r>
              <w:rPr>
                <w:rFonts w:cs="Arial"/>
                <w:color w:val="000000"/>
              </w:rPr>
              <w:t>1</w:t>
            </w:r>
          </w:p>
        </w:tc>
      </w:tr>
      <w:tr w:rsidR="00C33B2C" w:rsidRPr="00FE5409" w14:paraId="4CC5A88B" w14:textId="77777777" w:rsidTr="00C33B2C">
        <w:trPr>
          <w:trHeight w:val="300"/>
        </w:trPr>
        <w:tc>
          <w:tcPr>
            <w:tcW w:w="2200" w:type="dxa"/>
            <w:shd w:val="clear" w:color="auto" w:fill="auto"/>
          </w:tcPr>
          <w:p w14:paraId="61A9D4A5" w14:textId="67CF5CBC" w:rsidR="00C33B2C" w:rsidRDefault="00C33B2C" w:rsidP="00C33B2C">
            <w:pPr>
              <w:spacing w:line="240" w:lineRule="auto"/>
              <w:rPr>
                <w:rFonts w:cs="Arial"/>
                <w:color w:val="000000"/>
              </w:rPr>
            </w:pPr>
            <w:r>
              <w:rPr>
                <w:rFonts w:cs="Arial"/>
                <w:color w:val="000000"/>
              </w:rPr>
              <w:t>CS,DVO</w:t>
            </w:r>
          </w:p>
        </w:tc>
        <w:tc>
          <w:tcPr>
            <w:tcW w:w="1197" w:type="dxa"/>
            <w:shd w:val="clear" w:color="auto" w:fill="auto"/>
          </w:tcPr>
          <w:p w14:paraId="4B4FBAFF" w14:textId="3AFE8156" w:rsidR="00C33B2C" w:rsidRPr="00FE5409" w:rsidRDefault="0087466C" w:rsidP="00C33B2C">
            <w:pPr>
              <w:spacing w:line="240" w:lineRule="auto"/>
              <w:jc w:val="right"/>
              <w:rPr>
                <w:rFonts w:cs="Calibri"/>
                <w:color w:val="000000"/>
                <w:lang w:eastAsia="en-AU"/>
              </w:rPr>
            </w:pPr>
            <w:r>
              <w:rPr>
                <w:rFonts w:cs="Arial"/>
                <w:color w:val="000000"/>
              </w:rPr>
              <w:t>3</w:t>
            </w:r>
          </w:p>
        </w:tc>
      </w:tr>
      <w:tr w:rsidR="00C33B2C" w:rsidRPr="00FE5409" w14:paraId="37C0D2CE" w14:textId="77777777" w:rsidTr="00C33B2C">
        <w:trPr>
          <w:trHeight w:val="300"/>
        </w:trPr>
        <w:tc>
          <w:tcPr>
            <w:tcW w:w="2200" w:type="dxa"/>
            <w:shd w:val="clear" w:color="auto" w:fill="auto"/>
          </w:tcPr>
          <w:p w14:paraId="0B6C9CC2" w14:textId="088AE1C1" w:rsidR="00C33B2C" w:rsidRDefault="00C33B2C" w:rsidP="00C33B2C">
            <w:pPr>
              <w:spacing w:line="240" w:lineRule="auto"/>
              <w:rPr>
                <w:rFonts w:cs="Arial"/>
                <w:color w:val="000000"/>
              </w:rPr>
            </w:pPr>
            <w:r>
              <w:rPr>
                <w:rFonts w:cs="Arial"/>
                <w:color w:val="000000"/>
              </w:rPr>
              <w:t>CS,EQ</w:t>
            </w:r>
          </w:p>
        </w:tc>
        <w:tc>
          <w:tcPr>
            <w:tcW w:w="1197" w:type="dxa"/>
            <w:shd w:val="clear" w:color="auto" w:fill="auto"/>
          </w:tcPr>
          <w:p w14:paraId="60C66FED" w14:textId="1770244B" w:rsidR="00C33B2C" w:rsidRPr="00FE5409" w:rsidRDefault="0087466C" w:rsidP="00C33B2C">
            <w:pPr>
              <w:spacing w:line="240" w:lineRule="auto"/>
              <w:jc w:val="right"/>
              <w:rPr>
                <w:rFonts w:cs="Calibri"/>
                <w:color w:val="000000"/>
                <w:lang w:eastAsia="en-AU"/>
              </w:rPr>
            </w:pPr>
            <w:r>
              <w:rPr>
                <w:rFonts w:cs="Arial"/>
                <w:color w:val="000000"/>
              </w:rPr>
              <w:t>32</w:t>
            </w:r>
          </w:p>
        </w:tc>
      </w:tr>
      <w:tr w:rsidR="00C33B2C" w:rsidRPr="00FE5409" w14:paraId="492A9CC8" w14:textId="77777777" w:rsidTr="00C33B2C">
        <w:trPr>
          <w:trHeight w:val="300"/>
        </w:trPr>
        <w:tc>
          <w:tcPr>
            <w:tcW w:w="2200" w:type="dxa"/>
            <w:shd w:val="clear" w:color="auto" w:fill="auto"/>
          </w:tcPr>
          <w:p w14:paraId="13AE3B26" w14:textId="4A9C2FE5" w:rsidR="00C33B2C" w:rsidRPr="00FE5409" w:rsidRDefault="00C33B2C" w:rsidP="00C33B2C">
            <w:pPr>
              <w:spacing w:line="240" w:lineRule="auto"/>
              <w:rPr>
                <w:rFonts w:cs="Calibri"/>
                <w:color w:val="000000"/>
                <w:lang w:eastAsia="en-AU"/>
              </w:rPr>
            </w:pPr>
            <w:r>
              <w:rPr>
                <w:rFonts w:cs="Arial"/>
                <w:color w:val="000000"/>
              </w:rPr>
              <w:t>CS,MAG</w:t>
            </w:r>
          </w:p>
        </w:tc>
        <w:tc>
          <w:tcPr>
            <w:tcW w:w="1197" w:type="dxa"/>
            <w:shd w:val="clear" w:color="auto" w:fill="auto"/>
          </w:tcPr>
          <w:p w14:paraId="1E1FE897" w14:textId="6F9A125A" w:rsidR="00C33B2C" w:rsidRPr="00FE5409" w:rsidRDefault="0087466C" w:rsidP="00C33B2C">
            <w:pPr>
              <w:spacing w:line="240" w:lineRule="auto"/>
              <w:jc w:val="right"/>
              <w:rPr>
                <w:rFonts w:cs="Calibri"/>
                <w:color w:val="000000"/>
                <w:lang w:eastAsia="en-AU"/>
              </w:rPr>
            </w:pPr>
            <w:r>
              <w:rPr>
                <w:rFonts w:cs="Arial"/>
                <w:color w:val="000000"/>
              </w:rPr>
              <w:t>1</w:t>
            </w:r>
          </w:p>
        </w:tc>
      </w:tr>
      <w:tr w:rsidR="00C33B2C" w:rsidRPr="00FE5409" w14:paraId="5DD4E31E" w14:textId="77777777" w:rsidTr="00C33B2C">
        <w:trPr>
          <w:trHeight w:val="300"/>
        </w:trPr>
        <w:tc>
          <w:tcPr>
            <w:tcW w:w="2200" w:type="dxa"/>
            <w:shd w:val="clear" w:color="auto" w:fill="auto"/>
          </w:tcPr>
          <w:p w14:paraId="4CAD65B0" w14:textId="71A6F69F" w:rsidR="00C33B2C" w:rsidRDefault="00C33B2C" w:rsidP="00C33B2C">
            <w:pPr>
              <w:spacing w:line="240" w:lineRule="auto"/>
              <w:rPr>
                <w:rFonts w:cs="Calibri"/>
                <w:color w:val="000000"/>
              </w:rPr>
            </w:pPr>
            <w:r>
              <w:rPr>
                <w:rFonts w:cs="Arial"/>
                <w:color w:val="000000"/>
              </w:rPr>
              <w:t>DVB,DVO</w:t>
            </w:r>
          </w:p>
        </w:tc>
        <w:tc>
          <w:tcPr>
            <w:tcW w:w="1197" w:type="dxa"/>
            <w:shd w:val="clear" w:color="auto" w:fill="auto"/>
          </w:tcPr>
          <w:p w14:paraId="3322EC6D" w14:textId="7D6D4CEB" w:rsidR="00C33B2C" w:rsidRDefault="0087466C" w:rsidP="00C33B2C">
            <w:pPr>
              <w:spacing w:line="240" w:lineRule="auto"/>
              <w:jc w:val="right"/>
              <w:rPr>
                <w:rFonts w:cs="Calibri"/>
                <w:color w:val="000000"/>
                <w:lang w:eastAsia="en-AU"/>
              </w:rPr>
            </w:pPr>
            <w:r>
              <w:rPr>
                <w:rFonts w:cs="Arial"/>
                <w:color w:val="000000"/>
              </w:rPr>
              <w:t>2</w:t>
            </w:r>
          </w:p>
        </w:tc>
      </w:tr>
      <w:tr w:rsidR="00C33B2C" w:rsidRPr="00FE5409" w14:paraId="6FF59BF7" w14:textId="77777777" w:rsidTr="00C33B2C">
        <w:trPr>
          <w:trHeight w:val="300"/>
        </w:trPr>
        <w:tc>
          <w:tcPr>
            <w:tcW w:w="2200" w:type="dxa"/>
            <w:shd w:val="clear" w:color="auto" w:fill="auto"/>
          </w:tcPr>
          <w:p w14:paraId="46C178A4" w14:textId="75102B23" w:rsidR="00C33B2C" w:rsidRDefault="00C33B2C" w:rsidP="00C33B2C">
            <w:pPr>
              <w:spacing w:line="240" w:lineRule="auto"/>
              <w:rPr>
                <w:rFonts w:cs="Calibri"/>
                <w:color w:val="000000"/>
                <w:lang w:eastAsia="en-AU"/>
              </w:rPr>
            </w:pPr>
            <w:r>
              <w:rPr>
                <w:rFonts w:cs="Arial"/>
                <w:color w:val="000000"/>
              </w:rPr>
              <w:t>DVB,DVO,MAG</w:t>
            </w:r>
          </w:p>
        </w:tc>
        <w:tc>
          <w:tcPr>
            <w:tcW w:w="1197" w:type="dxa"/>
            <w:shd w:val="clear" w:color="auto" w:fill="auto"/>
          </w:tcPr>
          <w:p w14:paraId="073DFBE8" w14:textId="70F2B4D8" w:rsidR="00C33B2C" w:rsidRDefault="0087466C" w:rsidP="00C33B2C">
            <w:pPr>
              <w:spacing w:line="240" w:lineRule="auto"/>
              <w:jc w:val="right"/>
              <w:rPr>
                <w:rFonts w:cs="Calibri"/>
                <w:color w:val="000000"/>
                <w:lang w:eastAsia="en-AU"/>
              </w:rPr>
            </w:pPr>
            <w:r>
              <w:rPr>
                <w:rFonts w:cs="Arial"/>
                <w:color w:val="000000"/>
              </w:rPr>
              <w:t>4</w:t>
            </w:r>
          </w:p>
        </w:tc>
      </w:tr>
      <w:tr w:rsidR="0087466C" w:rsidRPr="00FE5409" w14:paraId="3B8F98C7" w14:textId="77777777" w:rsidTr="00C33B2C">
        <w:trPr>
          <w:trHeight w:val="300"/>
        </w:trPr>
        <w:tc>
          <w:tcPr>
            <w:tcW w:w="2200" w:type="dxa"/>
            <w:shd w:val="clear" w:color="auto" w:fill="auto"/>
          </w:tcPr>
          <w:p w14:paraId="01ACEBCD" w14:textId="61D42A9A" w:rsidR="0087466C" w:rsidRDefault="0087466C" w:rsidP="00C33B2C">
            <w:pPr>
              <w:spacing w:line="240" w:lineRule="auto"/>
              <w:rPr>
                <w:rFonts w:cs="Arial"/>
                <w:color w:val="000000"/>
              </w:rPr>
            </w:pPr>
            <w:r>
              <w:rPr>
                <w:rFonts w:cs="Arial"/>
                <w:color w:val="000000"/>
              </w:rPr>
              <w:t>DVB,EQ</w:t>
            </w:r>
          </w:p>
        </w:tc>
        <w:tc>
          <w:tcPr>
            <w:tcW w:w="1197" w:type="dxa"/>
            <w:shd w:val="clear" w:color="auto" w:fill="auto"/>
          </w:tcPr>
          <w:p w14:paraId="61DECDF2" w14:textId="40DBA26E" w:rsidR="0087466C" w:rsidRDefault="0087466C" w:rsidP="00C33B2C">
            <w:pPr>
              <w:spacing w:line="240" w:lineRule="auto"/>
              <w:jc w:val="right"/>
              <w:rPr>
                <w:rFonts w:cs="Arial"/>
                <w:color w:val="000000"/>
              </w:rPr>
            </w:pPr>
            <w:r>
              <w:rPr>
                <w:rFonts w:cs="Arial"/>
                <w:color w:val="000000"/>
              </w:rPr>
              <w:t>3</w:t>
            </w:r>
          </w:p>
        </w:tc>
      </w:tr>
      <w:tr w:rsidR="00C33B2C" w:rsidRPr="00FE5409" w14:paraId="1F7BFD3E" w14:textId="77777777" w:rsidTr="00C33B2C">
        <w:trPr>
          <w:trHeight w:val="300"/>
        </w:trPr>
        <w:tc>
          <w:tcPr>
            <w:tcW w:w="2200" w:type="dxa"/>
            <w:shd w:val="clear" w:color="auto" w:fill="auto"/>
          </w:tcPr>
          <w:p w14:paraId="7F0F7750" w14:textId="13757DB5" w:rsidR="00C33B2C" w:rsidRPr="00FE5409" w:rsidRDefault="00C33B2C" w:rsidP="00C33B2C">
            <w:pPr>
              <w:spacing w:line="240" w:lineRule="auto"/>
              <w:rPr>
                <w:rFonts w:cs="Calibri"/>
                <w:color w:val="000000"/>
                <w:lang w:eastAsia="en-AU"/>
              </w:rPr>
            </w:pPr>
            <w:r>
              <w:rPr>
                <w:rFonts w:cs="Arial"/>
                <w:color w:val="000000"/>
              </w:rPr>
              <w:t>DVB,EQ,MAG</w:t>
            </w:r>
          </w:p>
        </w:tc>
        <w:tc>
          <w:tcPr>
            <w:tcW w:w="1197" w:type="dxa"/>
            <w:shd w:val="clear" w:color="auto" w:fill="auto"/>
          </w:tcPr>
          <w:p w14:paraId="0F6136B2" w14:textId="1D6438DC"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7473681C" w14:textId="77777777" w:rsidTr="00C33B2C">
        <w:trPr>
          <w:trHeight w:val="300"/>
        </w:trPr>
        <w:tc>
          <w:tcPr>
            <w:tcW w:w="2200" w:type="dxa"/>
            <w:shd w:val="clear" w:color="auto" w:fill="auto"/>
          </w:tcPr>
          <w:p w14:paraId="1EC80D89" w14:textId="28E61AED" w:rsidR="00C33B2C" w:rsidRPr="00FE5409" w:rsidRDefault="00C33B2C" w:rsidP="00C33B2C">
            <w:pPr>
              <w:spacing w:line="240" w:lineRule="auto"/>
              <w:rPr>
                <w:rFonts w:cs="Calibri"/>
                <w:color w:val="000000"/>
                <w:lang w:eastAsia="en-AU"/>
              </w:rPr>
            </w:pPr>
            <w:r>
              <w:rPr>
                <w:rFonts w:cs="Arial"/>
                <w:color w:val="000000"/>
              </w:rPr>
              <w:t>DVB,MAG</w:t>
            </w:r>
          </w:p>
        </w:tc>
        <w:tc>
          <w:tcPr>
            <w:tcW w:w="1197" w:type="dxa"/>
            <w:shd w:val="clear" w:color="auto" w:fill="auto"/>
          </w:tcPr>
          <w:p w14:paraId="7BBBF358" w14:textId="2F23692E" w:rsidR="00C33B2C" w:rsidRPr="00FE5409" w:rsidRDefault="0087466C" w:rsidP="00C33B2C">
            <w:pPr>
              <w:spacing w:line="240" w:lineRule="auto"/>
              <w:jc w:val="right"/>
              <w:rPr>
                <w:rFonts w:cs="Calibri"/>
                <w:color w:val="000000"/>
                <w:lang w:eastAsia="en-AU"/>
              </w:rPr>
            </w:pPr>
            <w:r>
              <w:rPr>
                <w:rFonts w:cs="Arial"/>
                <w:color w:val="000000"/>
              </w:rPr>
              <w:t>12</w:t>
            </w:r>
          </w:p>
        </w:tc>
      </w:tr>
      <w:tr w:rsidR="00C33B2C" w:rsidRPr="00FE5409" w14:paraId="0ACB3A1E" w14:textId="77777777" w:rsidTr="00C33B2C">
        <w:trPr>
          <w:trHeight w:val="300"/>
        </w:trPr>
        <w:tc>
          <w:tcPr>
            <w:tcW w:w="2200" w:type="dxa"/>
            <w:shd w:val="clear" w:color="auto" w:fill="auto"/>
          </w:tcPr>
          <w:p w14:paraId="067DD967" w14:textId="44FBB664" w:rsidR="00C33B2C" w:rsidRPr="00FE5409" w:rsidRDefault="00C33B2C" w:rsidP="00C33B2C">
            <w:pPr>
              <w:spacing w:line="240" w:lineRule="auto"/>
              <w:rPr>
                <w:rFonts w:cs="Calibri"/>
                <w:color w:val="000000"/>
                <w:lang w:eastAsia="en-AU"/>
              </w:rPr>
            </w:pPr>
            <w:r>
              <w:rPr>
                <w:rFonts w:cs="Arial"/>
                <w:color w:val="000000"/>
              </w:rPr>
              <w:t>DVO,EQ</w:t>
            </w:r>
          </w:p>
        </w:tc>
        <w:tc>
          <w:tcPr>
            <w:tcW w:w="1197" w:type="dxa"/>
            <w:shd w:val="clear" w:color="auto" w:fill="auto"/>
          </w:tcPr>
          <w:p w14:paraId="2509FA12" w14:textId="486A0164" w:rsidR="00C33B2C" w:rsidRPr="00FE5409" w:rsidRDefault="00AE477B" w:rsidP="00C33B2C">
            <w:pPr>
              <w:spacing w:line="240" w:lineRule="auto"/>
              <w:jc w:val="right"/>
              <w:rPr>
                <w:rFonts w:cs="Calibri"/>
                <w:color w:val="000000"/>
                <w:lang w:eastAsia="en-AU"/>
              </w:rPr>
            </w:pPr>
            <w:r>
              <w:rPr>
                <w:rFonts w:cs="Arial"/>
                <w:color w:val="000000"/>
              </w:rPr>
              <w:t>5</w:t>
            </w:r>
          </w:p>
        </w:tc>
      </w:tr>
      <w:tr w:rsidR="00C33B2C" w:rsidRPr="00FE5409" w14:paraId="1787C4F7" w14:textId="77777777" w:rsidTr="00C33B2C">
        <w:trPr>
          <w:trHeight w:val="300"/>
        </w:trPr>
        <w:tc>
          <w:tcPr>
            <w:tcW w:w="2200" w:type="dxa"/>
            <w:shd w:val="clear" w:color="auto" w:fill="auto"/>
          </w:tcPr>
          <w:p w14:paraId="4FDE344B" w14:textId="5D58D9C9" w:rsidR="00C33B2C" w:rsidRPr="00FE5409" w:rsidRDefault="00C33B2C" w:rsidP="00C33B2C">
            <w:pPr>
              <w:spacing w:line="240" w:lineRule="auto"/>
              <w:rPr>
                <w:rFonts w:cs="Calibri"/>
                <w:color w:val="000000"/>
                <w:lang w:eastAsia="en-AU"/>
              </w:rPr>
            </w:pPr>
            <w:r>
              <w:rPr>
                <w:rFonts w:cs="Arial"/>
                <w:color w:val="000000"/>
              </w:rPr>
              <w:t>DVO,EQ,MAG</w:t>
            </w:r>
          </w:p>
        </w:tc>
        <w:tc>
          <w:tcPr>
            <w:tcW w:w="1197" w:type="dxa"/>
            <w:shd w:val="clear" w:color="auto" w:fill="auto"/>
          </w:tcPr>
          <w:p w14:paraId="1A891217" w14:textId="34A7DB46"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3740FA89" w14:textId="77777777" w:rsidTr="00C33B2C">
        <w:trPr>
          <w:trHeight w:val="300"/>
        </w:trPr>
        <w:tc>
          <w:tcPr>
            <w:tcW w:w="2200" w:type="dxa"/>
            <w:shd w:val="clear" w:color="auto" w:fill="auto"/>
          </w:tcPr>
          <w:p w14:paraId="51D24033" w14:textId="40F83531" w:rsidR="00C33B2C" w:rsidRDefault="00C33B2C" w:rsidP="00C33B2C">
            <w:pPr>
              <w:spacing w:line="240" w:lineRule="auto"/>
              <w:rPr>
                <w:rFonts w:cs="Calibri"/>
                <w:color w:val="000000"/>
                <w:lang w:eastAsia="en-AU"/>
              </w:rPr>
            </w:pPr>
            <w:r>
              <w:rPr>
                <w:rFonts w:cs="Arial"/>
                <w:color w:val="000000"/>
              </w:rPr>
              <w:t>DVO,MAG</w:t>
            </w:r>
          </w:p>
        </w:tc>
        <w:tc>
          <w:tcPr>
            <w:tcW w:w="1197" w:type="dxa"/>
            <w:shd w:val="clear" w:color="auto" w:fill="auto"/>
          </w:tcPr>
          <w:p w14:paraId="09F5D6E0" w14:textId="1274E9FB" w:rsidR="00C33B2C" w:rsidRPr="00FE5409" w:rsidRDefault="00AE477B" w:rsidP="00C33B2C">
            <w:pPr>
              <w:spacing w:line="240" w:lineRule="auto"/>
              <w:jc w:val="right"/>
              <w:rPr>
                <w:rFonts w:cs="Calibri"/>
                <w:color w:val="000000"/>
                <w:lang w:eastAsia="en-AU"/>
              </w:rPr>
            </w:pPr>
            <w:r>
              <w:rPr>
                <w:rFonts w:cs="Arial"/>
                <w:color w:val="000000"/>
              </w:rPr>
              <w:t>11</w:t>
            </w:r>
          </w:p>
        </w:tc>
      </w:tr>
      <w:tr w:rsidR="00AE477B" w:rsidRPr="00FE5409" w14:paraId="3B5DB2AE" w14:textId="77777777" w:rsidTr="00C33B2C">
        <w:trPr>
          <w:trHeight w:val="300"/>
        </w:trPr>
        <w:tc>
          <w:tcPr>
            <w:tcW w:w="2200" w:type="dxa"/>
            <w:shd w:val="clear" w:color="auto" w:fill="auto"/>
          </w:tcPr>
          <w:p w14:paraId="5AFBBD46" w14:textId="737AEB93" w:rsidR="00AE477B" w:rsidRDefault="00AE477B" w:rsidP="00C33B2C">
            <w:pPr>
              <w:spacing w:line="240" w:lineRule="auto"/>
              <w:rPr>
                <w:rFonts w:cs="Arial"/>
                <w:color w:val="000000"/>
              </w:rPr>
            </w:pPr>
            <w:r>
              <w:rPr>
                <w:rFonts w:cs="Arial"/>
                <w:color w:val="000000"/>
              </w:rPr>
              <w:t>EQ,HT</w:t>
            </w:r>
          </w:p>
        </w:tc>
        <w:tc>
          <w:tcPr>
            <w:tcW w:w="1197" w:type="dxa"/>
            <w:shd w:val="clear" w:color="auto" w:fill="auto"/>
          </w:tcPr>
          <w:p w14:paraId="06991F98" w14:textId="6BEA8ACF" w:rsidR="00AE477B" w:rsidRDefault="00AE477B" w:rsidP="00C33B2C">
            <w:pPr>
              <w:spacing w:line="240" w:lineRule="auto"/>
              <w:jc w:val="right"/>
              <w:rPr>
                <w:rFonts w:cs="Arial"/>
                <w:color w:val="000000"/>
              </w:rPr>
            </w:pPr>
            <w:r>
              <w:rPr>
                <w:rFonts w:cs="Arial"/>
                <w:color w:val="000000"/>
              </w:rPr>
              <w:t>1</w:t>
            </w:r>
          </w:p>
        </w:tc>
      </w:tr>
      <w:tr w:rsidR="00C33B2C" w:rsidRPr="00FE5409" w14:paraId="1CA3553C" w14:textId="77777777" w:rsidTr="00C33B2C">
        <w:trPr>
          <w:trHeight w:val="300"/>
        </w:trPr>
        <w:tc>
          <w:tcPr>
            <w:tcW w:w="2200" w:type="dxa"/>
            <w:shd w:val="clear" w:color="auto" w:fill="auto"/>
          </w:tcPr>
          <w:p w14:paraId="2F839C82" w14:textId="74134E6D" w:rsidR="00C33B2C" w:rsidRDefault="00C33B2C" w:rsidP="00C33B2C">
            <w:pPr>
              <w:spacing w:line="240" w:lineRule="auto"/>
              <w:rPr>
                <w:rFonts w:cs="Calibri"/>
                <w:color w:val="000000"/>
                <w:lang w:eastAsia="en-AU"/>
              </w:rPr>
            </w:pPr>
            <w:r>
              <w:rPr>
                <w:rFonts w:cs="Arial"/>
                <w:color w:val="000000"/>
              </w:rPr>
              <w:t>EQ,MAG</w:t>
            </w:r>
          </w:p>
        </w:tc>
        <w:tc>
          <w:tcPr>
            <w:tcW w:w="1197" w:type="dxa"/>
            <w:shd w:val="clear" w:color="auto" w:fill="auto"/>
          </w:tcPr>
          <w:p w14:paraId="6717F1C7" w14:textId="6A354747" w:rsidR="00C33B2C" w:rsidRPr="00FE5409" w:rsidRDefault="00C33B2C" w:rsidP="00C33B2C">
            <w:pPr>
              <w:spacing w:line="240" w:lineRule="auto"/>
              <w:jc w:val="right"/>
              <w:rPr>
                <w:rFonts w:cs="Calibri"/>
                <w:color w:val="000000"/>
                <w:lang w:eastAsia="en-AU"/>
              </w:rPr>
            </w:pPr>
            <w:r>
              <w:rPr>
                <w:rFonts w:cs="Arial"/>
                <w:color w:val="000000"/>
              </w:rPr>
              <w:t>1</w:t>
            </w:r>
            <w:r w:rsidR="00AE477B">
              <w:rPr>
                <w:rFonts w:cs="Arial"/>
                <w:color w:val="000000"/>
              </w:rPr>
              <w:t>4</w:t>
            </w:r>
          </w:p>
        </w:tc>
      </w:tr>
      <w:tr w:rsidR="00277E4B" w:rsidRPr="00FE5409" w14:paraId="50E20029" w14:textId="77777777" w:rsidTr="0063787B">
        <w:trPr>
          <w:trHeight w:val="300"/>
        </w:trPr>
        <w:tc>
          <w:tcPr>
            <w:tcW w:w="2200" w:type="dxa"/>
            <w:shd w:val="clear" w:color="auto" w:fill="auto"/>
            <w:hideMark/>
          </w:tcPr>
          <w:p w14:paraId="53704947" w14:textId="77777777" w:rsidR="00277E4B" w:rsidRPr="00FE5409" w:rsidRDefault="00277E4B" w:rsidP="00277E4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4467539B" w:rsidR="00277E4B" w:rsidRPr="00FE5409" w:rsidRDefault="0087466C" w:rsidP="00277E4B">
            <w:pPr>
              <w:spacing w:line="240" w:lineRule="auto"/>
              <w:jc w:val="right"/>
              <w:rPr>
                <w:rFonts w:cs="Calibri"/>
                <w:b/>
                <w:bCs/>
                <w:color w:val="000000"/>
                <w:lang w:eastAsia="en-AU"/>
              </w:rPr>
            </w:pPr>
            <w:r>
              <w:rPr>
                <w:rFonts w:cs="Calibri"/>
                <w:b/>
                <w:bCs/>
                <w:color w:val="000000"/>
                <w:lang w:eastAsia="en-AU"/>
              </w:rPr>
              <w:t>91</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6F788B29"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54127D19"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7459190E" w14:textId="77777777" w:rsidR="00237AB1" w:rsidRDefault="00237AB1" w:rsidP="00237AB1">
      <w:pPr>
        <w:ind w:left="-142" w:right="-425"/>
        <w:jc w:val="both"/>
        <w:rPr>
          <w:rFonts w:cs="Arial"/>
        </w:rPr>
      </w:pPr>
    </w:p>
    <w:p w14:paraId="19233629" w14:textId="57786D07" w:rsidR="00237AB1" w:rsidRPr="0092015D" w:rsidRDefault="00237AB1" w:rsidP="00237AB1">
      <w:pPr>
        <w:spacing w:after="120" w:line="240" w:lineRule="auto"/>
        <w:ind w:left="794" w:hanging="794"/>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13"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13"/>
      <w:r w:rsidRPr="00656C56">
        <w:rPr>
          <w:sz w:val="16"/>
          <w:szCs w:val="16"/>
        </w:rPr>
        <w:t>entered into</w:t>
      </w:r>
      <w:r>
        <w:rPr>
          <w:sz w:val="16"/>
          <w:szCs w:val="16"/>
        </w:rPr>
        <w:t xml:space="preserve"> </w:t>
      </w:r>
      <w:r w:rsidR="00397BFC">
        <w:rPr>
          <w:sz w:val="16"/>
          <w:szCs w:val="16"/>
        </w:rPr>
        <w:t xml:space="preserve">from </w:t>
      </w:r>
      <w:r w:rsidR="007B7E78">
        <w:rPr>
          <w:sz w:val="16"/>
          <w:szCs w:val="16"/>
        </w:rPr>
        <w:t>1 October</w:t>
      </w:r>
      <w:r w:rsidR="000A118E">
        <w:rPr>
          <w:sz w:val="16"/>
          <w:szCs w:val="16"/>
        </w:rPr>
        <w:t xml:space="preserve"> </w:t>
      </w:r>
      <w:r w:rsidR="00415BC8">
        <w:rPr>
          <w:sz w:val="16"/>
          <w:szCs w:val="16"/>
        </w:rPr>
        <w:t>2022</w:t>
      </w:r>
      <w:r>
        <w:rPr>
          <w:sz w:val="16"/>
          <w:szCs w:val="16"/>
        </w:rPr>
        <w:t xml:space="preserve"> to </w:t>
      </w:r>
      <w:bookmarkStart w:id="14" w:name="_Ref74754019"/>
      <w:r w:rsidR="007B7E78">
        <w:rPr>
          <w:sz w:val="16"/>
          <w:szCs w:val="16"/>
        </w:rPr>
        <w:t xml:space="preserve">31 December </w:t>
      </w:r>
      <w:r w:rsidR="001A5C4C">
        <w:rPr>
          <w:sz w:val="16"/>
          <w:szCs w:val="16"/>
        </w:rPr>
        <w:t>2022</w:t>
      </w:r>
      <w:r w:rsidR="00604429" w:rsidRPr="008F6888">
        <w:rPr>
          <w:rStyle w:val="FootnoteReference"/>
          <w:sz w:val="16"/>
          <w:szCs w:val="16"/>
        </w:rPr>
        <w:footnoteReference w:id="6"/>
      </w:r>
      <w:bookmarkEnd w:id="14"/>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34073B" w:rsidRPr="00776C26" w14:paraId="23E8C631" w14:textId="77777777" w:rsidTr="0034073B">
        <w:tc>
          <w:tcPr>
            <w:tcW w:w="1555" w:type="dxa"/>
          </w:tcPr>
          <w:p w14:paraId="08DA178D" w14:textId="77777777" w:rsidR="0034073B" w:rsidRPr="00776C26" w:rsidRDefault="0034073B" w:rsidP="0034073B">
            <w:pPr>
              <w:ind w:right="-425"/>
              <w:jc w:val="both"/>
              <w:rPr>
                <w:rFonts w:cs="Arial"/>
                <w:b/>
                <w:bCs/>
              </w:rPr>
            </w:pPr>
            <w:r w:rsidRPr="00776C26">
              <w:rPr>
                <w:rFonts w:cs="Arial"/>
                <w:b/>
                <w:bCs/>
              </w:rPr>
              <w:t>Total</w:t>
            </w:r>
          </w:p>
        </w:tc>
        <w:tc>
          <w:tcPr>
            <w:tcW w:w="992" w:type="dxa"/>
            <w:vAlign w:val="bottom"/>
          </w:tcPr>
          <w:p w14:paraId="31C63D09" w14:textId="23C5ECA6" w:rsidR="0034073B" w:rsidRPr="00776C26" w:rsidRDefault="00CF4C42" w:rsidP="0034073B">
            <w:pPr>
              <w:jc w:val="right"/>
              <w:rPr>
                <w:b/>
                <w:bCs/>
              </w:rPr>
            </w:pPr>
            <w:r>
              <w:rPr>
                <w:b/>
                <w:bCs/>
              </w:rPr>
              <w:t>8</w:t>
            </w:r>
          </w:p>
        </w:tc>
        <w:tc>
          <w:tcPr>
            <w:tcW w:w="1134" w:type="dxa"/>
            <w:vAlign w:val="bottom"/>
          </w:tcPr>
          <w:p w14:paraId="1D2060AE" w14:textId="74E84F10" w:rsidR="0034073B" w:rsidRPr="00776C26" w:rsidRDefault="00CF4C42" w:rsidP="0034073B">
            <w:pPr>
              <w:jc w:val="right"/>
              <w:rPr>
                <w:b/>
                <w:bCs/>
              </w:rPr>
            </w:pPr>
            <w:r>
              <w:rPr>
                <w:b/>
                <w:bCs/>
              </w:rPr>
              <w:t>35</w:t>
            </w:r>
          </w:p>
        </w:tc>
        <w:tc>
          <w:tcPr>
            <w:tcW w:w="992" w:type="dxa"/>
            <w:vAlign w:val="bottom"/>
          </w:tcPr>
          <w:p w14:paraId="7E29C7F4" w14:textId="49BFE6CF" w:rsidR="0034073B" w:rsidRPr="00776C26" w:rsidRDefault="00CF4C42" w:rsidP="0034073B">
            <w:pPr>
              <w:jc w:val="right"/>
              <w:rPr>
                <w:b/>
                <w:bCs/>
              </w:rPr>
            </w:pPr>
            <w:r>
              <w:rPr>
                <w:b/>
                <w:bCs/>
              </w:rPr>
              <w:t>43</w:t>
            </w:r>
          </w:p>
        </w:tc>
      </w:tr>
    </w:tbl>
    <w:p w14:paraId="340804AB" w14:textId="2011C4C9" w:rsidR="00C64787" w:rsidRDefault="00C64787" w:rsidP="00237AB1">
      <w:pPr>
        <w:ind w:left="-142" w:right="-425"/>
        <w:jc w:val="both"/>
        <w:rPr>
          <w:rFonts w:cs="Arial"/>
        </w:rPr>
      </w:pPr>
    </w:p>
    <w:p w14:paraId="32A7D6CF" w14:textId="15690488"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6"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6"/>
      <w:r w:rsidRPr="00656C56">
        <w:rPr>
          <w:sz w:val="16"/>
          <w:szCs w:val="16"/>
        </w:rPr>
        <w:t>entered into</w:t>
      </w:r>
      <w:r>
        <w:rPr>
          <w:sz w:val="16"/>
          <w:szCs w:val="16"/>
        </w:rPr>
        <w:t xml:space="preserve"> </w:t>
      </w:r>
      <w:r w:rsidR="00397BFC">
        <w:rPr>
          <w:sz w:val="16"/>
          <w:szCs w:val="16"/>
        </w:rPr>
        <w:t xml:space="preserve">from </w:t>
      </w:r>
      <w:r w:rsidR="007B7E78">
        <w:rPr>
          <w:sz w:val="16"/>
          <w:szCs w:val="16"/>
        </w:rPr>
        <w:t>1 October</w:t>
      </w:r>
      <w:r w:rsidR="00415BC8">
        <w:rPr>
          <w:sz w:val="16"/>
          <w:szCs w:val="16"/>
        </w:rPr>
        <w:t xml:space="preserve"> 2022</w:t>
      </w:r>
      <w:r>
        <w:rPr>
          <w:sz w:val="16"/>
          <w:szCs w:val="16"/>
        </w:rPr>
        <w:t xml:space="preserve"> to </w:t>
      </w:r>
      <w:r w:rsidR="007B7E78">
        <w:rPr>
          <w:sz w:val="16"/>
          <w:szCs w:val="16"/>
        </w:rPr>
        <w:t xml:space="preserve">31 December </w:t>
      </w:r>
      <w:r w:rsidR="001A5C4C">
        <w:rPr>
          <w:sz w:val="16"/>
          <w:szCs w:val="16"/>
        </w:rPr>
        <w:t>2022</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505D16">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CF4C42" w14:paraId="604BDE97" w14:textId="77777777" w:rsidTr="00237AB1">
        <w:tc>
          <w:tcPr>
            <w:tcW w:w="1555" w:type="dxa"/>
          </w:tcPr>
          <w:p w14:paraId="16D39C9C" w14:textId="77777777" w:rsidR="00CF4C42" w:rsidRPr="00490B40" w:rsidRDefault="00CF4C42" w:rsidP="00CF4C42">
            <w:pPr>
              <w:ind w:right="-425"/>
              <w:jc w:val="both"/>
              <w:rPr>
                <w:rFonts w:cs="Arial"/>
              </w:rPr>
            </w:pPr>
            <w:r w:rsidRPr="00490B40">
              <w:rPr>
                <w:rFonts w:cs="Arial"/>
              </w:rPr>
              <w:t>AU</w:t>
            </w:r>
          </w:p>
        </w:tc>
        <w:tc>
          <w:tcPr>
            <w:tcW w:w="992" w:type="dxa"/>
            <w:vAlign w:val="bottom"/>
          </w:tcPr>
          <w:p w14:paraId="4F2BC6E4" w14:textId="7162C7EE" w:rsidR="00CF4C42" w:rsidRPr="00900EA0" w:rsidRDefault="00CF4C42" w:rsidP="00CF4C42">
            <w:pPr>
              <w:jc w:val="right"/>
            </w:pPr>
            <w:r>
              <w:rPr>
                <w:rFonts w:cs="Arial"/>
              </w:rPr>
              <w:t>62</w:t>
            </w:r>
          </w:p>
        </w:tc>
        <w:tc>
          <w:tcPr>
            <w:tcW w:w="1134" w:type="dxa"/>
            <w:vAlign w:val="bottom"/>
          </w:tcPr>
          <w:p w14:paraId="5D79F7D6" w14:textId="759CE002" w:rsidR="00CF4C42" w:rsidRPr="00900EA0" w:rsidRDefault="00CF4C42" w:rsidP="00CF4C42">
            <w:pPr>
              <w:jc w:val="right"/>
            </w:pPr>
            <w:r>
              <w:rPr>
                <w:rFonts w:cs="Arial"/>
              </w:rPr>
              <w:t>0</w:t>
            </w:r>
          </w:p>
        </w:tc>
        <w:tc>
          <w:tcPr>
            <w:tcW w:w="992" w:type="dxa"/>
            <w:vAlign w:val="bottom"/>
          </w:tcPr>
          <w:p w14:paraId="2B25B2DF" w14:textId="1E4A91F5" w:rsidR="00CF4C42" w:rsidRPr="00900EA0" w:rsidRDefault="00CF4C42" w:rsidP="00CF4C42">
            <w:pPr>
              <w:jc w:val="right"/>
              <w:rPr>
                <w:b/>
                <w:bCs/>
              </w:rPr>
            </w:pPr>
            <w:r>
              <w:rPr>
                <w:rFonts w:cs="Arial"/>
                <w:b/>
                <w:bCs/>
              </w:rPr>
              <w:t>62</w:t>
            </w:r>
          </w:p>
        </w:tc>
      </w:tr>
      <w:tr w:rsidR="00CF4C42" w14:paraId="1A905600" w14:textId="77777777" w:rsidTr="00237AB1">
        <w:tc>
          <w:tcPr>
            <w:tcW w:w="1555" w:type="dxa"/>
          </w:tcPr>
          <w:p w14:paraId="59A72EEE" w14:textId="77777777" w:rsidR="00CF4C42" w:rsidRPr="00490B40" w:rsidRDefault="00CF4C42" w:rsidP="00CF4C42">
            <w:pPr>
              <w:ind w:right="-425"/>
              <w:jc w:val="both"/>
              <w:rPr>
                <w:rFonts w:cs="Arial"/>
              </w:rPr>
            </w:pPr>
            <w:r w:rsidRPr="00490B40">
              <w:rPr>
                <w:rFonts w:cs="Arial"/>
              </w:rPr>
              <w:t>CO</w:t>
            </w:r>
          </w:p>
        </w:tc>
        <w:tc>
          <w:tcPr>
            <w:tcW w:w="992" w:type="dxa"/>
            <w:vAlign w:val="bottom"/>
          </w:tcPr>
          <w:p w14:paraId="7DC045C3" w14:textId="2DCE26C4" w:rsidR="00CF4C42" w:rsidRPr="00900EA0" w:rsidRDefault="00CF4C42" w:rsidP="00CF4C42">
            <w:pPr>
              <w:jc w:val="right"/>
            </w:pPr>
            <w:r>
              <w:rPr>
                <w:rFonts w:cs="Arial"/>
              </w:rPr>
              <w:t>3</w:t>
            </w:r>
          </w:p>
        </w:tc>
        <w:tc>
          <w:tcPr>
            <w:tcW w:w="1134" w:type="dxa"/>
            <w:vAlign w:val="bottom"/>
          </w:tcPr>
          <w:p w14:paraId="544139DB" w14:textId="58B200F9" w:rsidR="00CF4C42" w:rsidRPr="00900EA0" w:rsidRDefault="00CF4C42" w:rsidP="00CF4C42">
            <w:pPr>
              <w:jc w:val="right"/>
            </w:pPr>
            <w:r>
              <w:rPr>
                <w:rFonts w:cs="Arial"/>
              </w:rPr>
              <w:t>0</w:t>
            </w:r>
          </w:p>
        </w:tc>
        <w:tc>
          <w:tcPr>
            <w:tcW w:w="992" w:type="dxa"/>
            <w:vAlign w:val="bottom"/>
          </w:tcPr>
          <w:p w14:paraId="655575AD" w14:textId="3FDC2D25" w:rsidR="00CF4C42" w:rsidRPr="00900EA0" w:rsidRDefault="00CF4C42" w:rsidP="00CF4C42">
            <w:pPr>
              <w:jc w:val="right"/>
              <w:rPr>
                <w:b/>
                <w:bCs/>
              </w:rPr>
            </w:pPr>
            <w:r>
              <w:rPr>
                <w:rFonts w:cs="Arial"/>
                <w:b/>
                <w:bCs/>
              </w:rPr>
              <w:t>3</w:t>
            </w:r>
          </w:p>
        </w:tc>
      </w:tr>
      <w:tr w:rsidR="00CF4C42" w14:paraId="577F7E12" w14:textId="77777777" w:rsidTr="00237AB1">
        <w:tc>
          <w:tcPr>
            <w:tcW w:w="1555" w:type="dxa"/>
          </w:tcPr>
          <w:p w14:paraId="2E4003E9" w14:textId="77777777" w:rsidR="00CF4C42" w:rsidRPr="00490B40" w:rsidRDefault="00CF4C42" w:rsidP="00CF4C42">
            <w:pPr>
              <w:ind w:right="-425"/>
              <w:jc w:val="both"/>
              <w:rPr>
                <w:rFonts w:cs="Arial"/>
              </w:rPr>
            </w:pPr>
            <w:r w:rsidRPr="00490B40">
              <w:rPr>
                <w:rFonts w:cs="Arial"/>
              </w:rPr>
              <w:t>DM</w:t>
            </w:r>
          </w:p>
        </w:tc>
        <w:tc>
          <w:tcPr>
            <w:tcW w:w="992" w:type="dxa"/>
            <w:vAlign w:val="bottom"/>
          </w:tcPr>
          <w:p w14:paraId="68E2C72D" w14:textId="7CBCB25D" w:rsidR="00CF4C42" w:rsidRPr="00900EA0" w:rsidRDefault="00CF4C42" w:rsidP="00CF4C42">
            <w:pPr>
              <w:jc w:val="right"/>
            </w:pPr>
            <w:r>
              <w:rPr>
                <w:rFonts w:cs="Arial"/>
              </w:rPr>
              <w:t>7</w:t>
            </w:r>
          </w:p>
        </w:tc>
        <w:tc>
          <w:tcPr>
            <w:tcW w:w="1134" w:type="dxa"/>
            <w:vAlign w:val="bottom"/>
          </w:tcPr>
          <w:p w14:paraId="5EFFF8C4" w14:textId="6E139663" w:rsidR="00CF4C42" w:rsidRPr="00900EA0" w:rsidRDefault="00CF4C42" w:rsidP="00CF4C42">
            <w:pPr>
              <w:jc w:val="right"/>
            </w:pPr>
            <w:r>
              <w:rPr>
                <w:rFonts w:cs="Arial"/>
              </w:rPr>
              <w:t>0</w:t>
            </w:r>
          </w:p>
        </w:tc>
        <w:tc>
          <w:tcPr>
            <w:tcW w:w="992" w:type="dxa"/>
            <w:vAlign w:val="bottom"/>
          </w:tcPr>
          <w:p w14:paraId="1CF754DE" w14:textId="007D56DE" w:rsidR="00CF4C42" w:rsidRPr="00900EA0" w:rsidRDefault="00CF4C42" w:rsidP="00CF4C42">
            <w:pPr>
              <w:jc w:val="right"/>
              <w:rPr>
                <w:b/>
                <w:bCs/>
              </w:rPr>
            </w:pPr>
            <w:r>
              <w:rPr>
                <w:rFonts w:cs="Arial"/>
                <w:b/>
                <w:bCs/>
              </w:rPr>
              <w:t>7</w:t>
            </w:r>
          </w:p>
        </w:tc>
      </w:tr>
      <w:tr w:rsidR="00CF4C42" w14:paraId="55AC2A32" w14:textId="77777777" w:rsidTr="00237AB1">
        <w:tc>
          <w:tcPr>
            <w:tcW w:w="1555" w:type="dxa"/>
          </w:tcPr>
          <w:p w14:paraId="511465EF" w14:textId="77777777" w:rsidR="00CF4C42" w:rsidRPr="00490B40" w:rsidRDefault="00CF4C42" w:rsidP="00CF4C42">
            <w:pPr>
              <w:ind w:right="-425"/>
              <w:jc w:val="both"/>
              <w:rPr>
                <w:rFonts w:cs="Arial"/>
              </w:rPr>
            </w:pPr>
            <w:r w:rsidRPr="00490B40">
              <w:rPr>
                <w:rFonts w:cs="Arial"/>
              </w:rPr>
              <w:t>HV</w:t>
            </w:r>
          </w:p>
        </w:tc>
        <w:tc>
          <w:tcPr>
            <w:tcW w:w="992" w:type="dxa"/>
            <w:vAlign w:val="bottom"/>
          </w:tcPr>
          <w:p w14:paraId="16976329" w14:textId="637A42B6" w:rsidR="00CF4C42" w:rsidRPr="00900EA0" w:rsidRDefault="00CF4C42" w:rsidP="00CF4C42">
            <w:pPr>
              <w:jc w:val="right"/>
            </w:pPr>
            <w:r>
              <w:rPr>
                <w:rFonts w:cs="Arial"/>
              </w:rPr>
              <w:t>7</w:t>
            </w:r>
          </w:p>
        </w:tc>
        <w:tc>
          <w:tcPr>
            <w:tcW w:w="1134" w:type="dxa"/>
            <w:vAlign w:val="bottom"/>
          </w:tcPr>
          <w:p w14:paraId="48C3CD7F" w14:textId="645E2592" w:rsidR="00CF4C42" w:rsidRPr="00900EA0" w:rsidRDefault="00CF4C42" w:rsidP="00CF4C42">
            <w:pPr>
              <w:jc w:val="right"/>
            </w:pPr>
            <w:r>
              <w:rPr>
                <w:rFonts w:cs="Arial"/>
              </w:rPr>
              <w:t>0</w:t>
            </w:r>
          </w:p>
        </w:tc>
        <w:tc>
          <w:tcPr>
            <w:tcW w:w="992" w:type="dxa"/>
            <w:vAlign w:val="bottom"/>
          </w:tcPr>
          <w:p w14:paraId="1AAF646B" w14:textId="0AD43519" w:rsidR="00CF4C42" w:rsidRPr="00900EA0" w:rsidRDefault="00CF4C42" w:rsidP="00CF4C42">
            <w:pPr>
              <w:jc w:val="right"/>
              <w:rPr>
                <w:b/>
                <w:bCs/>
              </w:rPr>
            </w:pPr>
            <w:r>
              <w:rPr>
                <w:rFonts w:cs="Arial"/>
                <w:b/>
                <w:bCs/>
              </w:rPr>
              <w:t>7</w:t>
            </w:r>
          </w:p>
        </w:tc>
      </w:tr>
      <w:tr w:rsidR="00CF4C42" w14:paraId="50F69E1F" w14:textId="77777777" w:rsidTr="00237AB1">
        <w:tc>
          <w:tcPr>
            <w:tcW w:w="1555" w:type="dxa"/>
          </w:tcPr>
          <w:p w14:paraId="48DBAB63" w14:textId="77777777" w:rsidR="00CF4C42" w:rsidRPr="00490B40" w:rsidRDefault="00CF4C42" w:rsidP="00CF4C42">
            <w:pPr>
              <w:ind w:right="-425"/>
              <w:jc w:val="both"/>
              <w:rPr>
                <w:rFonts w:cs="Arial"/>
              </w:rPr>
            </w:pPr>
            <w:r w:rsidRPr="00490B40">
              <w:rPr>
                <w:rFonts w:cs="Arial"/>
              </w:rPr>
              <w:t>MG</w:t>
            </w:r>
          </w:p>
        </w:tc>
        <w:tc>
          <w:tcPr>
            <w:tcW w:w="992" w:type="dxa"/>
            <w:vAlign w:val="bottom"/>
          </w:tcPr>
          <w:p w14:paraId="2E4ACC08" w14:textId="0A05B882" w:rsidR="00CF4C42" w:rsidRPr="00900EA0" w:rsidRDefault="00CF4C42" w:rsidP="00CF4C42">
            <w:pPr>
              <w:jc w:val="right"/>
            </w:pPr>
            <w:r>
              <w:rPr>
                <w:rFonts w:cs="Arial"/>
              </w:rPr>
              <w:t>7</w:t>
            </w:r>
          </w:p>
        </w:tc>
        <w:tc>
          <w:tcPr>
            <w:tcW w:w="1134" w:type="dxa"/>
            <w:vAlign w:val="bottom"/>
          </w:tcPr>
          <w:p w14:paraId="06822B4C" w14:textId="1883FE17" w:rsidR="00CF4C42" w:rsidRPr="00900EA0" w:rsidRDefault="00CF4C42" w:rsidP="00CF4C42">
            <w:pPr>
              <w:jc w:val="right"/>
            </w:pPr>
            <w:r>
              <w:rPr>
                <w:rFonts w:cs="Arial"/>
              </w:rPr>
              <w:t>0</w:t>
            </w:r>
          </w:p>
        </w:tc>
        <w:tc>
          <w:tcPr>
            <w:tcW w:w="992" w:type="dxa"/>
            <w:vAlign w:val="bottom"/>
          </w:tcPr>
          <w:p w14:paraId="4AC3B4A9" w14:textId="1AB767F0" w:rsidR="00CF4C42" w:rsidRPr="00900EA0" w:rsidRDefault="00CF4C42" w:rsidP="00CF4C42">
            <w:pPr>
              <w:jc w:val="right"/>
              <w:rPr>
                <w:b/>
                <w:bCs/>
              </w:rPr>
            </w:pPr>
            <w:r>
              <w:rPr>
                <w:rFonts w:cs="Arial"/>
                <w:b/>
                <w:bCs/>
              </w:rPr>
              <w:t>7</w:t>
            </w:r>
          </w:p>
        </w:tc>
      </w:tr>
      <w:tr w:rsidR="00CF4C42" w14:paraId="7BC56D75" w14:textId="77777777" w:rsidTr="00237AB1">
        <w:tc>
          <w:tcPr>
            <w:tcW w:w="1555" w:type="dxa"/>
          </w:tcPr>
          <w:p w14:paraId="201CE63A" w14:textId="77777777" w:rsidR="00CF4C42" w:rsidRPr="00776C26" w:rsidRDefault="00CF4C42" w:rsidP="00CF4C42">
            <w:pPr>
              <w:ind w:right="-425"/>
              <w:jc w:val="both"/>
              <w:rPr>
                <w:rFonts w:cs="Arial"/>
                <w:b/>
                <w:bCs/>
              </w:rPr>
            </w:pPr>
            <w:r w:rsidRPr="00776C26">
              <w:rPr>
                <w:rFonts w:cs="Arial"/>
                <w:b/>
                <w:bCs/>
              </w:rPr>
              <w:t>Total</w:t>
            </w:r>
          </w:p>
        </w:tc>
        <w:tc>
          <w:tcPr>
            <w:tcW w:w="992" w:type="dxa"/>
            <w:vAlign w:val="bottom"/>
          </w:tcPr>
          <w:p w14:paraId="0FB9062E" w14:textId="091B22C8" w:rsidR="00CF4C42" w:rsidRPr="00900EA0" w:rsidRDefault="00CF4C42" w:rsidP="00CF4C42">
            <w:pPr>
              <w:jc w:val="right"/>
              <w:rPr>
                <w:b/>
                <w:bCs/>
              </w:rPr>
            </w:pPr>
            <w:r>
              <w:rPr>
                <w:rFonts w:cs="Arial"/>
                <w:b/>
                <w:bCs/>
              </w:rPr>
              <w:t>86</w:t>
            </w:r>
          </w:p>
        </w:tc>
        <w:tc>
          <w:tcPr>
            <w:tcW w:w="1134" w:type="dxa"/>
            <w:vAlign w:val="bottom"/>
          </w:tcPr>
          <w:p w14:paraId="482ED4A6" w14:textId="7111F5CC" w:rsidR="00CF4C42" w:rsidRPr="00900EA0" w:rsidRDefault="00CF4C42" w:rsidP="00CF4C42">
            <w:pPr>
              <w:jc w:val="right"/>
              <w:rPr>
                <w:b/>
                <w:bCs/>
              </w:rPr>
            </w:pPr>
            <w:r>
              <w:rPr>
                <w:rFonts w:cs="Arial"/>
                <w:b/>
                <w:bCs/>
              </w:rPr>
              <w:t>0</w:t>
            </w:r>
          </w:p>
        </w:tc>
        <w:tc>
          <w:tcPr>
            <w:tcW w:w="992" w:type="dxa"/>
            <w:vAlign w:val="bottom"/>
          </w:tcPr>
          <w:p w14:paraId="47A0B826" w14:textId="590F7437" w:rsidR="00CF4C42" w:rsidRPr="00900EA0" w:rsidRDefault="00CF4C42" w:rsidP="00CF4C42">
            <w:pPr>
              <w:jc w:val="right"/>
              <w:rPr>
                <w:b/>
                <w:bCs/>
              </w:rPr>
            </w:pPr>
            <w:r>
              <w:rPr>
                <w:rFonts w:cs="Arial"/>
                <w:b/>
                <w:bCs/>
              </w:rPr>
              <w:t>86</w:t>
            </w:r>
          </w:p>
        </w:tc>
      </w:tr>
    </w:tbl>
    <w:p w14:paraId="600511AC" w14:textId="77777777" w:rsidR="00237AB1" w:rsidRDefault="00237AB1" w:rsidP="00237AB1">
      <w:pPr>
        <w:ind w:left="-142" w:right="-425"/>
        <w:jc w:val="both"/>
        <w:rPr>
          <w:rFonts w:cs="Arial"/>
        </w:rPr>
      </w:pPr>
    </w:p>
    <w:p w14:paraId="07242880" w14:textId="3322D14F"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7"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7"/>
      <w:r w:rsidRPr="0002195A">
        <w:rPr>
          <w:bCs/>
          <w:sz w:val="16"/>
          <w:szCs w:val="16"/>
        </w:rPr>
        <w:t xml:space="preserve">from </w:t>
      </w:r>
      <w:r w:rsidR="007B7E78">
        <w:rPr>
          <w:bCs/>
          <w:sz w:val="16"/>
          <w:szCs w:val="16"/>
        </w:rPr>
        <w:t>1 October</w:t>
      </w:r>
      <w:r w:rsidR="00415BC8">
        <w:rPr>
          <w:bCs/>
          <w:sz w:val="16"/>
          <w:szCs w:val="16"/>
        </w:rPr>
        <w:t xml:space="preserve"> 2022</w:t>
      </w:r>
      <w:r w:rsidRPr="0002195A">
        <w:rPr>
          <w:bCs/>
          <w:sz w:val="16"/>
          <w:szCs w:val="16"/>
        </w:rPr>
        <w:t xml:space="preserve"> to </w:t>
      </w:r>
      <w:r w:rsidR="007B7E78">
        <w:rPr>
          <w:bCs/>
          <w:sz w:val="16"/>
          <w:szCs w:val="16"/>
        </w:rPr>
        <w:t xml:space="preserve">31 December </w:t>
      </w:r>
      <w:r w:rsidR="001A5C4C">
        <w:rPr>
          <w:bCs/>
          <w:sz w:val="16"/>
          <w:szCs w:val="16"/>
        </w:rPr>
        <w:t>2022</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505D16">
        <w:rPr>
          <w:sz w:val="16"/>
          <w:szCs w:val="16"/>
          <w:vertAlign w:val="superscript"/>
        </w:rPr>
        <w:t>5</w:t>
      </w:r>
      <w:r w:rsidR="0002195A" w:rsidRPr="00152D32">
        <w:rPr>
          <w:sz w:val="16"/>
          <w:szCs w:val="16"/>
          <w:vertAlign w:val="superscript"/>
        </w:rPr>
        <w:fldChar w:fldCharType="end"/>
      </w:r>
    </w:p>
    <w:tbl>
      <w:tblPr>
        <w:tblStyle w:val="TableGrid"/>
        <w:tblW w:w="9526" w:type="dxa"/>
        <w:tblInd w:w="108" w:type="dxa"/>
        <w:tblLook w:val="04A0" w:firstRow="1" w:lastRow="0" w:firstColumn="1" w:lastColumn="0" w:noHBand="0" w:noVBand="1"/>
      </w:tblPr>
      <w:tblGrid>
        <w:gridCol w:w="997"/>
        <w:gridCol w:w="444"/>
        <w:gridCol w:w="1098"/>
        <w:gridCol w:w="1083"/>
        <w:gridCol w:w="488"/>
        <w:gridCol w:w="1071"/>
        <w:gridCol w:w="719"/>
        <w:gridCol w:w="1071"/>
        <w:gridCol w:w="1046"/>
        <w:gridCol w:w="951"/>
        <w:gridCol w:w="558"/>
      </w:tblGrid>
      <w:tr w:rsidR="006D207F" w:rsidRPr="00FD5669" w14:paraId="571CD3EE" w14:textId="77777777" w:rsidTr="00804FDC">
        <w:tc>
          <w:tcPr>
            <w:tcW w:w="9526" w:type="dxa"/>
            <w:gridSpan w:val="11"/>
          </w:tcPr>
          <w:p w14:paraId="12FB8B54" w14:textId="6B21299A" w:rsidR="006D207F" w:rsidRPr="006D207F" w:rsidRDefault="006D207F" w:rsidP="006D207F">
            <w:pPr>
              <w:jc w:val="center"/>
              <w:rPr>
                <w:rFonts w:cs="Arial"/>
                <w:b/>
                <w:bCs/>
                <w:sz w:val="12"/>
                <w:szCs w:val="12"/>
              </w:rPr>
            </w:pPr>
            <w:r w:rsidRPr="006D207F">
              <w:rPr>
                <w:rFonts w:cs="Arial"/>
                <w:b/>
                <w:bCs/>
                <w:sz w:val="12"/>
                <w:szCs w:val="12"/>
              </w:rPr>
              <w:t>Decision by Order</w:t>
            </w:r>
          </w:p>
        </w:tc>
      </w:tr>
      <w:tr w:rsidR="006D207F" w:rsidRPr="00FD5669" w14:paraId="00D64F33" w14:textId="77777777" w:rsidTr="006D207F">
        <w:tc>
          <w:tcPr>
            <w:tcW w:w="997" w:type="dxa"/>
          </w:tcPr>
          <w:p w14:paraId="4D5DE928" w14:textId="77777777" w:rsidR="00FD5669" w:rsidRPr="00FD5669" w:rsidRDefault="00FD5669" w:rsidP="00FD5669">
            <w:pPr>
              <w:ind w:right="-425"/>
              <w:jc w:val="both"/>
              <w:rPr>
                <w:rFonts w:cs="Arial"/>
                <w:b/>
                <w:bCs/>
                <w:sz w:val="12"/>
                <w:szCs w:val="12"/>
              </w:rPr>
            </w:pPr>
            <w:r w:rsidRPr="00FD5669">
              <w:rPr>
                <w:rFonts w:cs="Arial"/>
                <w:b/>
                <w:bCs/>
                <w:sz w:val="12"/>
                <w:szCs w:val="12"/>
              </w:rPr>
              <w:t>Community</w:t>
            </w:r>
          </w:p>
        </w:tc>
        <w:tc>
          <w:tcPr>
            <w:tcW w:w="444" w:type="dxa"/>
          </w:tcPr>
          <w:p w14:paraId="26C6768E" w14:textId="2E14333C" w:rsidR="00FD5669" w:rsidRPr="00FD5669" w:rsidRDefault="00FD5669" w:rsidP="00FD5669">
            <w:pPr>
              <w:jc w:val="center"/>
              <w:rPr>
                <w:rFonts w:cs="Arial"/>
                <w:b/>
                <w:bCs/>
                <w:sz w:val="12"/>
                <w:szCs w:val="12"/>
              </w:rPr>
            </w:pPr>
            <w:r w:rsidRPr="00FD5669">
              <w:rPr>
                <w:rFonts w:cs="Arial"/>
                <w:b/>
                <w:bCs/>
                <w:sz w:val="12"/>
                <w:szCs w:val="12"/>
              </w:rPr>
              <w:t>CP</w:t>
            </w:r>
          </w:p>
        </w:tc>
        <w:tc>
          <w:tcPr>
            <w:tcW w:w="1098" w:type="dxa"/>
          </w:tcPr>
          <w:p w14:paraId="26BEE2F4" w14:textId="3559A601" w:rsidR="00FD5669" w:rsidRPr="00FD5669" w:rsidRDefault="00FD5669" w:rsidP="00FD5669">
            <w:pPr>
              <w:jc w:val="center"/>
              <w:rPr>
                <w:rFonts w:cs="Arial"/>
                <w:b/>
                <w:bCs/>
                <w:sz w:val="12"/>
                <w:szCs w:val="12"/>
              </w:rPr>
            </w:pPr>
            <w:r w:rsidRPr="00FD5669">
              <w:rPr>
                <w:rFonts w:cs="Arial"/>
                <w:b/>
                <w:bCs/>
                <w:sz w:val="12"/>
                <w:szCs w:val="12"/>
              </w:rPr>
              <w:t xml:space="preserve">CP &amp; CIM Concurrently </w:t>
            </w:r>
          </w:p>
        </w:tc>
        <w:tc>
          <w:tcPr>
            <w:tcW w:w="1083" w:type="dxa"/>
          </w:tcPr>
          <w:p w14:paraId="04157B6B" w14:textId="76113084" w:rsidR="00FD5669" w:rsidRPr="00FD5669" w:rsidRDefault="00FD5669" w:rsidP="00FD5669">
            <w:pPr>
              <w:jc w:val="center"/>
              <w:rPr>
                <w:rFonts w:cs="Arial"/>
                <w:b/>
                <w:bCs/>
                <w:sz w:val="12"/>
                <w:szCs w:val="12"/>
              </w:rPr>
            </w:pPr>
            <w:r w:rsidRPr="00FD5669">
              <w:rPr>
                <w:rFonts w:cs="Arial"/>
                <w:b/>
                <w:bCs/>
                <w:sz w:val="12"/>
                <w:szCs w:val="12"/>
              </w:rPr>
              <w:t>CCP, CIM, Rescheduled</w:t>
            </w:r>
          </w:p>
        </w:tc>
        <w:tc>
          <w:tcPr>
            <w:tcW w:w="488" w:type="dxa"/>
          </w:tcPr>
          <w:p w14:paraId="02F458D5" w14:textId="3F87D2FD" w:rsidR="00FD5669" w:rsidRPr="00FD5669" w:rsidRDefault="00FD5669" w:rsidP="00FD5669">
            <w:pPr>
              <w:jc w:val="center"/>
              <w:rPr>
                <w:rFonts w:cs="Arial"/>
                <w:b/>
                <w:bCs/>
                <w:sz w:val="12"/>
                <w:szCs w:val="12"/>
              </w:rPr>
            </w:pPr>
            <w:r w:rsidRPr="00FD5669">
              <w:rPr>
                <w:rFonts w:cs="Arial"/>
                <w:b/>
                <w:bCs/>
                <w:sz w:val="12"/>
                <w:szCs w:val="12"/>
              </w:rPr>
              <w:t>CIM</w:t>
            </w:r>
          </w:p>
        </w:tc>
        <w:tc>
          <w:tcPr>
            <w:tcW w:w="1071" w:type="dxa"/>
          </w:tcPr>
          <w:p w14:paraId="0D0553AE" w14:textId="3F1ACC2C" w:rsidR="00FD5669" w:rsidRPr="00FD5669" w:rsidRDefault="00FD5669" w:rsidP="00FD5669">
            <w:pPr>
              <w:jc w:val="center"/>
              <w:rPr>
                <w:rFonts w:cs="Arial"/>
                <w:b/>
                <w:bCs/>
                <w:sz w:val="12"/>
                <w:szCs w:val="12"/>
              </w:rPr>
            </w:pPr>
            <w:r w:rsidRPr="00FD5669">
              <w:rPr>
                <w:rFonts w:cs="Arial"/>
                <w:b/>
                <w:bCs/>
                <w:sz w:val="12"/>
                <w:szCs w:val="12"/>
              </w:rPr>
              <w:t>CIM, Rescheduled</w:t>
            </w:r>
          </w:p>
        </w:tc>
        <w:tc>
          <w:tcPr>
            <w:tcW w:w="719" w:type="dxa"/>
          </w:tcPr>
          <w:p w14:paraId="20680178" w14:textId="6BB01735" w:rsidR="00FD5669" w:rsidRPr="00FD5669" w:rsidRDefault="00FD5669" w:rsidP="00FD5669">
            <w:pPr>
              <w:jc w:val="center"/>
              <w:rPr>
                <w:rFonts w:cs="Arial"/>
                <w:b/>
                <w:bCs/>
                <w:sz w:val="12"/>
                <w:szCs w:val="12"/>
              </w:rPr>
            </w:pPr>
            <w:r w:rsidRPr="00FD5669">
              <w:rPr>
                <w:rFonts w:cs="Arial"/>
                <w:b/>
                <w:bCs/>
                <w:sz w:val="12"/>
                <w:szCs w:val="12"/>
              </w:rPr>
              <w:t>No Further Action</w:t>
            </w:r>
          </w:p>
        </w:tc>
        <w:tc>
          <w:tcPr>
            <w:tcW w:w="1071" w:type="dxa"/>
          </w:tcPr>
          <w:p w14:paraId="2D3617F2" w14:textId="68A7F8C7" w:rsidR="00FD5669" w:rsidRPr="00FD5669" w:rsidRDefault="00FD5669" w:rsidP="00FD5669">
            <w:pPr>
              <w:jc w:val="right"/>
              <w:rPr>
                <w:rFonts w:cs="Arial"/>
                <w:b/>
                <w:bCs/>
                <w:sz w:val="12"/>
                <w:szCs w:val="12"/>
              </w:rPr>
            </w:pPr>
            <w:r w:rsidRPr="00FD5669">
              <w:rPr>
                <w:rFonts w:cs="Arial"/>
                <w:b/>
                <w:bCs/>
                <w:sz w:val="12"/>
                <w:szCs w:val="12"/>
              </w:rPr>
              <w:t>No Further Action, Rescheduled</w:t>
            </w:r>
          </w:p>
        </w:tc>
        <w:tc>
          <w:tcPr>
            <w:tcW w:w="1046" w:type="dxa"/>
          </w:tcPr>
          <w:p w14:paraId="2F640541" w14:textId="16D47D4F" w:rsidR="00FD5669" w:rsidRPr="00FD5669" w:rsidRDefault="00FD5669" w:rsidP="00FD5669">
            <w:pPr>
              <w:jc w:val="right"/>
              <w:rPr>
                <w:rFonts w:cs="Arial"/>
                <w:b/>
                <w:bCs/>
                <w:sz w:val="12"/>
                <w:szCs w:val="12"/>
              </w:rPr>
            </w:pPr>
            <w:r w:rsidRPr="00FD5669">
              <w:rPr>
                <w:rFonts w:cs="Arial"/>
                <w:b/>
                <w:bCs/>
                <w:sz w:val="12"/>
                <w:szCs w:val="12"/>
              </w:rPr>
              <w:t>Recommend Support Service</w:t>
            </w:r>
          </w:p>
        </w:tc>
        <w:tc>
          <w:tcPr>
            <w:tcW w:w="951" w:type="dxa"/>
          </w:tcPr>
          <w:p w14:paraId="733FB272" w14:textId="70D80AC6" w:rsidR="00FD5669" w:rsidRPr="00FD5669" w:rsidRDefault="00FD5669" w:rsidP="00FD5669">
            <w:pPr>
              <w:jc w:val="right"/>
              <w:rPr>
                <w:rFonts w:cs="Arial"/>
                <w:b/>
                <w:bCs/>
                <w:sz w:val="12"/>
                <w:szCs w:val="12"/>
              </w:rPr>
            </w:pPr>
            <w:r w:rsidRPr="00FD5669">
              <w:rPr>
                <w:rFonts w:cs="Arial"/>
                <w:b/>
                <w:bCs/>
                <w:sz w:val="12"/>
                <w:szCs w:val="12"/>
              </w:rPr>
              <w:t>Reprimand</w:t>
            </w:r>
          </w:p>
        </w:tc>
        <w:tc>
          <w:tcPr>
            <w:tcW w:w="558" w:type="dxa"/>
          </w:tcPr>
          <w:p w14:paraId="510D2877" w14:textId="34D89101" w:rsidR="00FD5669" w:rsidRPr="00FD5669" w:rsidRDefault="00FD5669" w:rsidP="00FD5669">
            <w:pPr>
              <w:jc w:val="right"/>
              <w:rPr>
                <w:rFonts w:cs="Arial"/>
                <w:b/>
                <w:bCs/>
                <w:sz w:val="12"/>
                <w:szCs w:val="12"/>
              </w:rPr>
            </w:pPr>
            <w:r w:rsidRPr="00FD5669">
              <w:rPr>
                <w:rFonts w:cs="Arial"/>
                <w:b/>
                <w:bCs/>
                <w:sz w:val="12"/>
                <w:szCs w:val="12"/>
              </w:rPr>
              <w:t>Total</w:t>
            </w:r>
          </w:p>
        </w:tc>
      </w:tr>
      <w:tr w:rsidR="006D207F" w:rsidRPr="00FD5669" w14:paraId="1020AB47" w14:textId="77777777" w:rsidTr="006D207F">
        <w:tc>
          <w:tcPr>
            <w:tcW w:w="997" w:type="dxa"/>
          </w:tcPr>
          <w:p w14:paraId="38A91592" w14:textId="77777777" w:rsidR="006D207F" w:rsidRPr="00FD5669" w:rsidRDefault="006D207F" w:rsidP="006D207F">
            <w:pPr>
              <w:ind w:right="-425"/>
              <w:jc w:val="both"/>
              <w:rPr>
                <w:rFonts w:cs="Arial"/>
                <w:sz w:val="12"/>
                <w:szCs w:val="12"/>
              </w:rPr>
            </w:pPr>
            <w:r w:rsidRPr="00FD5669">
              <w:rPr>
                <w:rFonts w:cs="Arial"/>
                <w:sz w:val="12"/>
                <w:szCs w:val="12"/>
              </w:rPr>
              <w:t>AU</w:t>
            </w:r>
          </w:p>
        </w:tc>
        <w:tc>
          <w:tcPr>
            <w:tcW w:w="444" w:type="dxa"/>
          </w:tcPr>
          <w:p w14:paraId="49AD44CD" w14:textId="0CA9CFFA" w:rsidR="006D207F" w:rsidRPr="006D207F" w:rsidRDefault="006D207F" w:rsidP="006D207F">
            <w:pPr>
              <w:jc w:val="right"/>
              <w:rPr>
                <w:sz w:val="16"/>
                <w:szCs w:val="16"/>
              </w:rPr>
            </w:pPr>
            <w:r w:rsidRPr="006D207F">
              <w:rPr>
                <w:rFonts w:cs="Arial"/>
                <w:color w:val="000000"/>
                <w:sz w:val="16"/>
                <w:szCs w:val="16"/>
              </w:rPr>
              <w:t>5</w:t>
            </w:r>
          </w:p>
        </w:tc>
        <w:tc>
          <w:tcPr>
            <w:tcW w:w="1098" w:type="dxa"/>
          </w:tcPr>
          <w:p w14:paraId="17354BB6" w14:textId="31A23C87" w:rsidR="006D207F" w:rsidRPr="006D207F" w:rsidRDefault="006D207F" w:rsidP="006D207F">
            <w:pPr>
              <w:jc w:val="right"/>
              <w:rPr>
                <w:sz w:val="16"/>
                <w:szCs w:val="16"/>
              </w:rPr>
            </w:pPr>
            <w:r w:rsidRPr="006D207F">
              <w:rPr>
                <w:rFonts w:cs="Arial"/>
                <w:color w:val="000000"/>
                <w:sz w:val="16"/>
                <w:szCs w:val="16"/>
              </w:rPr>
              <w:t>1</w:t>
            </w:r>
          </w:p>
        </w:tc>
        <w:tc>
          <w:tcPr>
            <w:tcW w:w="1083" w:type="dxa"/>
          </w:tcPr>
          <w:p w14:paraId="72A6336C" w14:textId="37F8DF02" w:rsidR="006D207F" w:rsidRPr="006D207F" w:rsidRDefault="006D207F" w:rsidP="006D207F">
            <w:pPr>
              <w:jc w:val="right"/>
              <w:rPr>
                <w:sz w:val="16"/>
                <w:szCs w:val="16"/>
              </w:rPr>
            </w:pPr>
            <w:r w:rsidRPr="006D207F">
              <w:rPr>
                <w:rFonts w:cs="Arial"/>
                <w:color w:val="000000"/>
                <w:sz w:val="16"/>
                <w:szCs w:val="16"/>
              </w:rPr>
              <w:t>0</w:t>
            </w:r>
          </w:p>
        </w:tc>
        <w:tc>
          <w:tcPr>
            <w:tcW w:w="488" w:type="dxa"/>
          </w:tcPr>
          <w:p w14:paraId="7AF566B8" w14:textId="61903301" w:rsidR="006D207F" w:rsidRPr="006D207F" w:rsidRDefault="006D207F" w:rsidP="006D207F">
            <w:pPr>
              <w:jc w:val="right"/>
              <w:rPr>
                <w:sz w:val="16"/>
                <w:szCs w:val="16"/>
              </w:rPr>
            </w:pPr>
            <w:r w:rsidRPr="006D207F">
              <w:rPr>
                <w:rFonts w:cs="Arial"/>
                <w:color w:val="000000"/>
                <w:sz w:val="16"/>
                <w:szCs w:val="16"/>
              </w:rPr>
              <w:t>4</w:t>
            </w:r>
          </w:p>
        </w:tc>
        <w:tc>
          <w:tcPr>
            <w:tcW w:w="1071" w:type="dxa"/>
          </w:tcPr>
          <w:p w14:paraId="0A8CA9D7" w14:textId="7401A10D" w:rsidR="006D207F" w:rsidRPr="006D207F" w:rsidRDefault="006D207F" w:rsidP="006D207F">
            <w:pPr>
              <w:jc w:val="right"/>
              <w:rPr>
                <w:sz w:val="16"/>
                <w:szCs w:val="16"/>
              </w:rPr>
            </w:pPr>
            <w:r w:rsidRPr="006D207F">
              <w:rPr>
                <w:rFonts w:cs="Arial"/>
                <w:color w:val="000000"/>
                <w:sz w:val="16"/>
                <w:szCs w:val="16"/>
              </w:rPr>
              <w:t>0</w:t>
            </w:r>
          </w:p>
        </w:tc>
        <w:tc>
          <w:tcPr>
            <w:tcW w:w="719" w:type="dxa"/>
          </w:tcPr>
          <w:p w14:paraId="515C5886" w14:textId="7D8C5AF1" w:rsidR="006D207F" w:rsidRPr="006D207F" w:rsidRDefault="006D207F" w:rsidP="006D207F">
            <w:pPr>
              <w:jc w:val="right"/>
              <w:rPr>
                <w:sz w:val="16"/>
                <w:szCs w:val="16"/>
              </w:rPr>
            </w:pPr>
            <w:r w:rsidRPr="006D207F">
              <w:rPr>
                <w:rFonts w:cs="Arial"/>
                <w:color w:val="000000"/>
                <w:sz w:val="16"/>
                <w:szCs w:val="16"/>
              </w:rPr>
              <w:t>7</w:t>
            </w:r>
          </w:p>
        </w:tc>
        <w:tc>
          <w:tcPr>
            <w:tcW w:w="1071" w:type="dxa"/>
          </w:tcPr>
          <w:p w14:paraId="595E685A" w14:textId="0C89CD0F" w:rsidR="006D207F" w:rsidRPr="006D207F" w:rsidRDefault="006D207F" w:rsidP="006D207F">
            <w:pPr>
              <w:jc w:val="right"/>
              <w:rPr>
                <w:b/>
                <w:bCs/>
                <w:sz w:val="16"/>
                <w:szCs w:val="16"/>
              </w:rPr>
            </w:pPr>
            <w:r w:rsidRPr="006D207F">
              <w:rPr>
                <w:rFonts w:cs="Arial"/>
                <w:color w:val="000000"/>
                <w:sz w:val="16"/>
                <w:szCs w:val="16"/>
              </w:rPr>
              <w:t>0</w:t>
            </w:r>
          </w:p>
        </w:tc>
        <w:tc>
          <w:tcPr>
            <w:tcW w:w="1046" w:type="dxa"/>
          </w:tcPr>
          <w:p w14:paraId="148E8079" w14:textId="1D8C7585" w:rsidR="006D207F" w:rsidRPr="006D207F" w:rsidRDefault="006D207F" w:rsidP="006D207F">
            <w:pPr>
              <w:jc w:val="right"/>
              <w:rPr>
                <w:b/>
                <w:bCs/>
                <w:sz w:val="16"/>
                <w:szCs w:val="16"/>
              </w:rPr>
            </w:pPr>
            <w:r w:rsidRPr="006D207F">
              <w:rPr>
                <w:rFonts w:cs="Arial"/>
                <w:color w:val="000000"/>
                <w:sz w:val="16"/>
                <w:szCs w:val="16"/>
              </w:rPr>
              <w:t>1</w:t>
            </w:r>
          </w:p>
        </w:tc>
        <w:tc>
          <w:tcPr>
            <w:tcW w:w="951" w:type="dxa"/>
          </w:tcPr>
          <w:p w14:paraId="3ABFE30D" w14:textId="30852438" w:rsidR="006D207F" w:rsidRPr="006D207F" w:rsidRDefault="006D207F" w:rsidP="006D207F">
            <w:pPr>
              <w:jc w:val="right"/>
              <w:rPr>
                <w:b/>
                <w:bCs/>
                <w:sz w:val="16"/>
                <w:szCs w:val="16"/>
              </w:rPr>
            </w:pPr>
            <w:r w:rsidRPr="006D207F">
              <w:rPr>
                <w:rFonts w:cs="Arial"/>
                <w:color w:val="000000"/>
                <w:sz w:val="16"/>
                <w:szCs w:val="16"/>
              </w:rPr>
              <w:t>17</w:t>
            </w:r>
          </w:p>
        </w:tc>
        <w:tc>
          <w:tcPr>
            <w:tcW w:w="558" w:type="dxa"/>
            <w:vAlign w:val="bottom"/>
          </w:tcPr>
          <w:p w14:paraId="5EBCE817" w14:textId="7ECB34F5" w:rsidR="006D207F" w:rsidRPr="006D207F" w:rsidRDefault="006D207F" w:rsidP="006D207F">
            <w:pPr>
              <w:jc w:val="right"/>
              <w:rPr>
                <w:b/>
                <w:bCs/>
                <w:sz w:val="16"/>
                <w:szCs w:val="16"/>
              </w:rPr>
            </w:pPr>
            <w:r w:rsidRPr="006D207F">
              <w:rPr>
                <w:rFonts w:cs="Arial"/>
                <w:b/>
                <w:bCs/>
                <w:sz w:val="16"/>
                <w:szCs w:val="16"/>
              </w:rPr>
              <w:t>35</w:t>
            </w:r>
          </w:p>
        </w:tc>
      </w:tr>
      <w:tr w:rsidR="006D207F" w:rsidRPr="00FD5669" w14:paraId="301C6385" w14:textId="77777777" w:rsidTr="006D207F">
        <w:tc>
          <w:tcPr>
            <w:tcW w:w="997" w:type="dxa"/>
          </w:tcPr>
          <w:p w14:paraId="50576C01" w14:textId="77777777" w:rsidR="006D207F" w:rsidRPr="00FD5669" w:rsidRDefault="006D207F" w:rsidP="006D207F">
            <w:pPr>
              <w:ind w:right="-425"/>
              <w:jc w:val="both"/>
              <w:rPr>
                <w:rFonts w:cs="Arial"/>
                <w:sz w:val="12"/>
                <w:szCs w:val="12"/>
              </w:rPr>
            </w:pPr>
            <w:r w:rsidRPr="00FD5669">
              <w:rPr>
                <w:rFonts w:cs="Arial"/>
                <w:sz w:val="12"/>
                <w:szCs w:val="12"/>
              </w:rPr>
              <w:t>CO</w:t>
            </w:r>
          </w:p>
        </w:tc>
        <w:tc>
          <w:tcPr>
            <w:tcW w:w="444" w:type="dxa"/>
          </w:tcPr>
          <w:p w14:paraId="44D73875" w14:textId="3BF0756B" w:rsidR="006D207F" w:rsidRPr="006D207F" w:rsidRDefault="006D207F" w:rsidP="006D207F">
            <w:pPr>
              <w:jc w:val="right"/>
              <w:rPr>
                <w:sz w:val="16"/>
                <w:szCs w:val="16"/>
              </w:rPr>
            </w:pPr>
            <w:r w:rsidRPr="006D207F">
              <w:rPr>
                <w:rFonts w:cs="Arial"/>
                <w:color w:val="000000"/>
                <w:sz w:val="16"/>
                <w:szCs w:val="16"/>
              </w:rPr>
              <w:t>1</w:t>
            </w:r>
          </w:p>
        </w:tc>
        <w:tc>
          <w:tcPr>
            <w:tcW w:w="1098" w:type="dxa"/>
          </w:tcPr>
          <w:p w14:paraId="0F9DAF08" w14:textId="1EBB362A" w:rsidR="006D207F" w:rsidRPr="006D207F" w:rsidRDefault="006D207F" w:rsidP="006D207F">
            <w:pPr>
              <w:jc w:val="right"/>
              <w:rPr>
                <w:sz w:val="16"/>
                <w:szCs w:val="16"/>
              </w:rPr>
            </w:pPr>
            <w:r w:rsidRPr="006D207F">
              <w:rPr>
                <w:rFonts w:cs="Arial"/>
                <w:color w:val="000000"/>
                <w:sz w:val="16"/>
                <w:szCs w:val="16"/>
              </w:rPr>
              <w:t>0</w:t>
            </w:r>
          </w:p>
        </w:tc>
        <w:tc>
          <w:tcPr>
            <w:tcW w:w="1083" w:type="dxa"/>
          </w:tcPr>
          <w:p w14:paraId="2F50872C" w14:textId="0F19A102" w:rsidR="006D207F" w:rsidRPr="006D207F" w:rsidRDefault="006D207F" w:rsidP="006D207F">
            <w:pPr>
              <w:jc w:val="right"/>
              <w:rPr>
                <w:sz w:val="16"/>
                <w:szCs w:val="16"/>
              </w:rPr>
            </w:pPr>
            <w:r w:rsidRPr="006D207F">
              <w:rPr>
                <w:rFonts w:cs="Arial"/>
                <w:color w:val="000000"/>
                <w:sz w:val="16"/>
                <w:szCs w:val="16"/>
              </w:rPr>
              <w:t>0</w:t>
            </w:r>
          </w:p>
        </w:tc>
        <w:tc>
          <w:tcPr>
            <w:tcW w:w="488" w:type="dxa"/>
          </w:tcPr>
          <w:p w14:paraId="4D1AF7D1" w14:textId="65428298" w:rsidR="006D207F" w:rsidRPr="006D207F" w:rsidRDefault="006D207F" w:rsidP="006D207F">
            <w:pPr>
              <w:jc w:val="right"/>
              <w:rPr>
                <w:sz w:val="16"/>
                <w:szCs w:val="16"/>
              </w:rPr>
            </w:pPr>
            <w:r w:rsidRPr="006D207F">
              <w:rPr>
                <w:rFonts w:cs="Arial"/>
                <w:color w:val="000000"/>
                <w:sz w:val="16"/>
                <w:szCs w:val="16"/>
              </w:rPr>
              <w:t>0</w:t>
            </w:r>
          </w:p>
        </w:tc>
        <w:tc>
          <w:tcPr>
            <w:tcW w:w="1071" w:type="dxa"/>
          </w:tcPr>
          <w:p w14:paraId="225B50B4" w14:textId="4398FC40" w:rsidR="006D207F" w:rsidRPr="006D207F" w:rsidRDefault="006D207F" w:rsidP="006D207F">
            <w:pPr>
              <w:jc w:val="right"/>
              <w:rPr>
                <w:sz w:val="16"/>
                <w:szCs w:val="16"/>
              </w:rPr>
            </w:pPr>
            <w:r w:rsidRPr="006D207F">
              <w:rPr>
                <w:rFonts w:cs="Arial"/>
                <w:color w:val="000000"/>
                <w:sz w:val="16"/>
                <w:szCs w:val="16"/>
              </w:rPr>
              <w:t>0</w:t>
            </w:r>
          </w:p>
        </w:tc>
        <w:tc>
          <w:tcPr>
            <w:tcW w:w="719" w:type="dxa"/>
          </w:tcPr>
          <w:p w14:paraId="2433CFD3" w14:textId="5F1206D4" w:rsidR="006D207F" w:rsidRPr="006D207F" w:rsidRDefault="006D207F" w:rsidP="006D207F">
            <w:pPr>
              <w:jc w:val="right"/>
              <w:rPr>
                <w:sz w:val="16"/>
                <w:szCs w:val="16"/>
              </w:rPr>
            </w:pPr>
            <w:r w:rsidRPr="006D207F">
              <w:rPr>
                <w:rFonts w:cs="Arial"/>
                <w:color w:val="000000"/>
                <w:sz w:val="16"/>
                <w:szCs w:val="16"/>
              </w:rPr>
              <w:t>0</w:t>
            </w:r>
          </w:p>
        </w:tc>
        <w:tc>
          <w:tcPr>
            <w:tcW w:w="1071" w:type="dxa"/>
          </w:tcPr>
          <w:p w14:paraId="524FE016" w14:textId="519CDC37" w:rsidR="006D207F" w:rsidRPr="006D207F" w:rsidRDefault="006D207F" w:rsidP="006D207F">
            <w:pPr>
              <w:jc w:val="right"/>
              <w:rPr>
                <w:b/>
                <w:bCs/>
                <w:sz w:val="16"/>
                <w:szCs w:val="16"/>
              </w:rPr>
            </w:pPr>
            <w:r w:rsidRPr="006D207F">
              <w:rPr>
                <w:rFonts w:cs="Arial"/>
                <w:color w:val="000000"/>
                <w:sz w:val="16"/>
                <w:szCs w:val="16"/>
              </w:rPr>
              <w:t>0</w:t>
            </w:r>
          </w:p>
        </w:tc>
        <w:tc>
          <w:tcPr>
            <w:tcW w:w="1046" w:type="dxa"/>
          </w:tcPr>
          <w:p w14:paraId="607C9E91" w14:textId="09B904B9" w:rsidR="006D207F" w:rsidRPr="006D207F" w:rsidRDefault="006D207F" w:rsidP="006D207F">
            <w:pPr>
              <w:jc w:val="right"/>
              <w:rPr>
                <w:b/>
                <w:bCs/>
                <w:sz w:val="16"/>
                <w:szCs w:val="16"/>
              </w:rPr>
            </w:pPr>
            <w:r w:rsidRPr="006D207F">
              <w:rPr>
                <w:rFonts w:cs="Arial"/>
                <w:color w:val="000000"/>
                <w:sz w:val="16"/>
                <w:szCs w:val="16"/>
              </w:rPr>
              <w:t>2</w:t>
            </w:r>
          </w:p>
        </w:tc>
        <w:tc>
          <w:tcPr>
            <w:tcW w:w="951" w:type="dxa"/>
          </w:tcPr>
          <w:p w14:paraId="467E65DA" w14:textId="19F6DF69" w:rsidR="006D207F" w:rsidRPr="006D207F" w:rsidRDefault="006D207F" w:rsidP="006D207F">
            <w:pPr>
              <w:jc w:val="right"/>
              <w:rPr>
                <w:b/>
                <w:bCs/>
                <w:sz w:val="16"/>
                <w:szCs w:val="16"/>
              </w:rPr>
            </w:pPr>
            <w:r w:rsidRPr="006D207F">
              <w:rPr>
                <w:rFonts w:cs="Arial"/>
                <w:color w:val="000000"/>
                <w:sz w:val="16"/>
                <w:szCs w:val="16"/>
              </w:rPr>
              <w:t>0</w:t>
            </w:r>
          </w:p>
        </w:tc>
        <w:tc>
          <w:tcPr>
            <w:tcW w:w="558" w:type="dxa"/>
            <w:vAlign w:val="bottom"/>
          </w:tcPr>
          <w:p w14:paraId="72B8A199" w14:textId="2EE58D72" w:rsidR="006D207F" w:rsidRPr="006D207F" w:rsidRDefault="006D207F" w:rsidP="006D207F">
            <w:pPr>
              <w:jc w:val="right"/>
              <w:rPr>
                <w:b/>
                <w:bCs/>
                <w:sz w:val="16"/>
                <w:szCs w:val="16"/>
              </w:rPr>
            </w:pPr>
            <w:r w:rsidRPr="006D207F">
              <w:rPr>
                <w:rFonts w:cs="Arial"/>
                <w:b/>
                <w:bCs/>
                <w:sz w:val="16"/>
                <w:szCs w:val="16"/>
              </w:rPr>
              <w:t>3</w:t>
            </w:r>
          </w:p>
        </w:tc>
      </w:tr>
      <w:tr w:rsidR="006D207F" w:rsidRPr="00FD5669" w14:paraId="1AF88ED4" w14:textId="77777777" w:rsidTr="006D207F">
        <w:tc>
          <w:tcPr>
            <w:tcW w:w="997" w:type="dxa"/>
          </w:tcPr>
          <w:p w14:paraId="4C229F63" w14:textId="77777777" w:rsidR="006D207F" w:rsidRPr="00FD5669" w:rsidRDefault="006D207F" w:rsidP="006D207F">
            <w:pPr>
              <w:ind w:right="-425"/>
              <w:jc w:val="both"/>
              <w:rPr>
                <w:rFonts w:cs="Arial"/>
                <w:sz w:val="12"/>
                <w:szCs w:val="12"/>
              </w:rPr>
            </w:pPr>
            <w:r w:rsidRPr="00FD5669">
              <w:rPr>
                <w:rFonts w:cs="Arial"/>
                <w:sz w:val="12"/>
                <w:szCs w:val="12"/>
              </w:rPr>
              <w:t>DM</w:t>
            </w:r>
          </w:p>
        </w:tc>
        <w:tc>
          <w:tcPr>
            <w:tcW w:w="444" w:type="dxa"/>
          </w:tcPr>
          <w:p w14:paraId="67496A09" w14:textId="63B40392" w:rsidR="006D207F" w:rsidRPr="006D207F" w:rsidRDefault="006D207F" w:rsidP="006D207F">
            <w:pPr>
              <w:jc w:val="right"/>
              <w:rPr>
                <w:sz w:val="16"/>
                <w:szCs w:val="16"/>
              </w:rPr>
            </w:pPr>
            <w:r w:rsidRPr="006D207F">
              <w:rPr>
                <w:rFonts w:cs="Arial"/>
                <w:color w:val="000000"/>
                <w:sz w:val="16"/>
                <w:szCs w:val="16"/>
              </w:rPr>
              <w:t>22</w:t>
            </w:r>
          </w:p>
        </w:tc>
        <w:tc>
          <w:tcPr>
            <w:tcW w:w="1098" w:type="dxa"/>
          </w:tcPr>
          <w:p w14:paraId="0675C9A5" w14:textId="0B12099C" w:rsidR="006D207F" w:rsidRPr="006D207F" w:rsidRDefault="006D207F" w:rsidP="006D207F">
            <w:pPr>
              <w:jc w:val="right"/>
              <w:rPr>
                <w:sz w:val="16"/>
                <w:szCs w:val="16"/>
              </w:rPr>
            </w:pPr>
            <w:r w:rsidRPr="006D207F">
              <w:rPr>
                <w:rFonts w:cs="Arial"/>
                <w:color w:val="000000"/>
                <w:sz w:val="16"/>
                <w:szCs w:val="16"/>
              </w:rPr>
              <w:t>7</w:t>
            </w:r>
          </w:p>
        </w:tc>
        <w:tc>
          <w:tcPr>
            <w:tcW w:w="1083" w:type="dxa"/>
          </w:tcPr>
          <w:p w14:paraId="6FC56168" w14:textId="4E0766B6" w:rsidR="006D207F" w:rsidRPr="006D207F" w:rsidRDefault="006D207F" w:rsidP="006D207F">
            <w:pPr>
              <w:jc w:val="right"/>
              <w:rPr>
                <w:sz w:val="16"/>
                <w:szCs w:val="16"/>
              </w:rPr>
            </w:pPr>
            <w:r w:rsidRPr="006D207F">
              <w:rPr>
                <w:rFonts w:cs="Arial"/>
                <w:color w:val="000000"/>
                <w:sz w:val="16"/>
                <w:szCs w:val="16"/>
              </w:rPr>
              <w:t>1</w:t>
            </w:r>
          </w:p>
        </w:tc>
        <w:tc>
          <w:tcPr>
            <w:tcW w:w="488" w:type="dxa"/>
          </w:tcPr>
          <w:p w14:paraId="44389DB6" w14:textId="0CFC2112" w:rsidR="006D207F" w:rsidRPr="006D207F" w:rsidRDefault="006D207F" w:rsidP="006D207F">
            <w:pPr>
              <w:jc w:val="right"/>
              <w:rPr>
                <w:sz w:val="16"/>
                <w:szCs w:val="16"/>
              </w:rPr>
            </w:pPr>
            <w:r w:rsidRPr="006D207F">
              <w:rPr>
                <w:rFonts w:cs="Arial"/>
                <w:color w:val="000000"/>
                <w:sz w:val="16"/>
                <w:szCs w:val="16"/>
              </w:rPr>
              <w:t>4</w:t>
            </w:r>
          </w:p>
        </w:tc>
        <w:tc>
          <w:tcPr>
            <w:tcW w:w="1071" w:type="dxa"/>
          </w:tcPr>
          <w:p w14:paraId="09B97CC9" w14:textId="3F8D77EC" w:rsidR="006D207F" w:rsidRPr="006D207F" w:rsidRDefault="006D207F" w:rsidP="006D207F">
            <w:pPr>
              <w:jc w:val="right"/>
              <w:rPr>
                <w:sz w:val="16"/>
                <w:szCs w:val="16"/>
              </w:rPr>
            </w:pPr>
            <w:r w:rsidRPr="006D207F">
              <w:rPr>
                <w:rFonts w:cs="Arial"/>
                <w:color w:val="000000"/>
                <w:sz w:val="16"/>
                <w:szCs w:val="16"/>
              </w:rPr>
              <w:t>1</w:t>
            </w:r>
          </w:p>
        </w:tc>
        <w:tc>
          <w:tcPr>
            <w:tcW w:w="719" w:type="dxa"/>
          </w:tcPr>
          <w:p w14:paraId="2BF4D189" w14:textId="313E5E0B" w:rsidR="006D207F" w:rsidRPr="006D207F" w:rsidRDefault="006D207F" w:rsidP="006D207F">
            <w:pPr>
              <w:jc w:val="right"/>
              <w:rPr>
                <w:sz w:val="16"/>
                <w:szCs w:val="16"/>
              </w:rPr>
            </w:pPr>
            <w:r w:rsidRPr="006D207F">
              <w:rPr>
                <w:rFonts w:cs="Arial"/>
                <w:color w:val="000000"/>
                <w:sz w:val="16"/>
                <w:szCs w:val="16"/>
              </w:rPr>
              <w:t>20</w:t>
            </w:r>
          </w:p>
        </w:tc>
        <w:tc>
          <w:tcPr>
            <w:tcW w:w="1071" w:type="dxa"/>
          </w:tcPr>
          <w:p w14:paraId="11A44B44" w14:textId="40AAA682" w:rsidR="006D207F" w:rsidRPr="006D207F" w:rsidRDefault="006D207F" w:rsidP="006D207F">
            <w:pPr>
              <w:jc w:val="right"/>
              <w:rPr>
                <w:b/>
                <w:bCs/>
                <w:sz w:val="16"/>
                <w:szCs w:val="16"/>
              </w:rPr>
            </w:pPr>
            <w:r w:rsidRPr="006D207F">
              <w:rPr>
                <w:rFonts w:cs="Arial"/>
                <w:color w:val="000000"/>
                <w:sz w:val="16"/>
                <w:szCs w:val="16"/>
              </w:rPr>
              <w:t>1</w:t>
            </w:r>
          </w:p>
        </w:tc>
        <w:tc>
          <w:tcPr>
            <w:tcW w:w="1046" w:type="dxa"/>
          </w:tcPr>
          <w:p w14:paraId="3CCA6FC4" w14:textId="6DC2B33F" w:rsidR="006D207F" w:rsidRPr="006D207F" w:rsidRDefault="006D207F" w:rsidP="006D207F">
            <w:pPr>
              <w:jc w:val="right"/>
              <w:rPr>
                <w:b/>
                <w:bCs/>
                <w:sz w:val="16"/>
                <w:szCs w:val="16"/>
              </w:rPr>
            </w:pPr>
            <w:r w:rsidRPr="006D207F">
              <w:rPr>
                <w:rFonts w:cs="Arial"/>
                <w:color w:val="000000"/>
                <w:sz w:val="16"/>
                <w:szCs w:val="16"/>
              </w:rPr>
              <w:t>8</w:t>
            </w:r>
          </w:p>
        </w:tc>
        <w:tc>
          <w:tcPr>
            <w:tcW w:w="951" w:type="dxa"/>
          </w:tcPr>
          <w:p w14:paraId="40C7CD15" w14:textId="616378E9" w:rsidR="006D207F" w:rsidRPr="006D207F" w:rsidRDefault="006D207F" w:rsidP="006D207F">
            <w:pPr>
              <w:jc w:val="right"/>
              <w:rPr>
                <w:b/>
                <w:bCs/>
                <w:sz w:val="16"/>
                <w:szCs w:val="16"/>
              </w:rPr>
            </w:pPr>
            <w:r w:rsidRPr="006D207F">
              <w:rPr>
                <w:rFonts w:cs="Arial"/>
                <w:color w:val="000000"/>
                <w:sz w:val="16"/>
                <w:szCs w:val="16"/>
              </w:rPr>
              <w:t>7</w:t>
            </w:r>
          </w:p>
        </w:tc>
        <w:tc>
          <w:tcPr>
            <w:tcW w:w="558" w:type="dxa"/>
            <w:vAlign w:val="bottom"/>
          </w:tcPr>
          <w:p w14:paraId="6A174D2C" w14:textId="40227AC1" w:rsidR="006D207F" w:rsidRPr="006D207F" w:rsidRDefault="006D207F" w:rsidP="006D207F">
            <w:pPr>
              <w:jc w:val="right"/>
              <w:rPr>
                <w:b/>
                <w:bCs/>
                <w:sz w:val="16"/>
                <w:szCs w:val="16"/>
              </w:rPr>
            </w:pPr>
            <w:r w:rsidRPr="006D207F">
              <w:rPr>
                <w:rFonts w:cs="Arial"/>
                <w:b/>
                <w:bCs/>
                <w:sz w:val="16"/>
                <w:szCs w:val="16"/>
              </w:rPr>
              <w:t>71</w:t>
            </w:r>
          </w:p>
        </w:tc>
      </w:tr>
      <w:tr w:rsidR="006D207F" w:rsidRPr="00FD5669" w14:paraId="0B079D3E" w14:textId="77777777" w:rsidTr="006D207F">
        <w:tc>
          <w:tcPr>
            <w:tcW w:w="997" w:type="dxa"/>
          </w:tcPr>
          <w:p w14:paraId="4C8C2425" w14:textId="77777777" w:rsidR="006D207F" w:rsidRPr="00FD5669" w:rsidRDefault="006D207F" w:rsidP="006D207F">
            <w:pPr>
              <w:ind w:right="-425"/>
              <w:jc w:val="both"/>
              <w:rPr>
                <w:rFonts w:cs="Arial"/>
                <w:sz w:val="12"/>
                <w:szCs w:val="12"/>
              </w:rPr>
            </w:pPr>
            <w:r w:rsidRPr="00FD5669">
              <w:rPr>
                <w:rFonts w:cs="Arial"/>
                <w:sz w:val="12"/>
                <w:szCs w:val="12"/>
              </w:rPr>
              <w:t>HV</w:t>
            </w:r>
          </w:p>
        </w:tc>
        <w:tc>
          <w:tcPr>
            <w:tcW w:w="444" w:type="dxa"/>
          </w:tcPr>
          <w:p w14:paraId="37538412" w14:textId="02B9D211" w:rsidR="006D207F" w:rsidRPr="006D207F" w:rsidRDefault="006D207F" w:rsidP="006D207F">
            <w:pPr>
              <w:jc w:val="right"/>
              <w:rPr>
                <w:sz w:val="16"/>
                <w:szCs w:val="16"/>
              </w:rPr>
            </w:pPr>
            <w:r w:rsidRPr="006D207F">
              <w:rPr>
                <w:rFonts w:cs="Arial"/>
                <w:color w:val="000000"/>
                <w:sz w:val="16"/>
                <w:szCs w:val="16"/>
              </w:rPr>
              <w:t>5</w:t>
            </w:r>
          </w:p>
        </w:tc>
        <w:tc>
          <w:tcPr>
            <w:tcW w:w="1098" w:type="dxa"/>
          </w:tcPr>
          <w:p w14:paraId="19FE7E35" w14:textId="32EB9503" w:rsidR="006D207F" w:rsidRPr="006D207F" w:rsidRDefault="006D207F" w:rsidP="006D207F">
            <w:pPr>
              <w:jc w:val="right"/>
              <w:rPr>
                <w:sz w:val="16"/>
                <w:szCs w:val="16"/>
              </w:rPr>
            </w:pPr>
            <w:r w:rsidRPr="006D207F">
              <w:rPr>
                <w:rFonts w:cs="Arial"/>
                <w:color w:val="000000"/>
                <w:sz w:val="16"/>
                <w:szCs w:val="16"/>
              </w:rPr>
              <w:t>0</w:t>
            </w:r>
          </w:p>
        </w:tc>
        <w:tc>
          <w:tcPr>
            <w:tcW w:w="1083" w:type="dxa"/>
          </w:tcPr>
          <w:p w14:paraId="533C7EA9" w14:textId="12C05102" w:rsidR="006D207F" w:rsidRPr="006D207F" w:rsidRDefault="006D207F" w:rsidP="006D207F">
            <w:pPr>
              <w:jc w:val="right"/>
              <w:rPr>
                <w:sz w:val="16"/>
                <w:szCs w:val="16"/>
              </w:rPr>
            </w:pPr>
            <w:r w:rsidRPr="006D207F">
              <w:rPr>
                <w:rFonts w:cs="Arial"/>
                <w:color w:val="000000"/>
                <w:sz w:val="16"/>
                <w:szCs w:val="16"/>
              </w:rPr>
              <w:t>0</w:t>
            </w:r>
          </w:p>
        </w:tc>
        <w:tc>
          <w:tcPr>
            <w:tcW w:w="488" w:type="dxa"/>
          </w:tcPr>
          <w:p w14:paraId="6CDAAF40" w14:textId="76F0870D" w:rsidR="006D207F" w:rsidRPr="006D207F" w:rsidRDefault="006D207F" w:rsidP="006D207F">
            <w:pPr>
              <w:jc w:val="right"/>
              <w:rPr>
                <w:sz w:val="16"/>
                <w:szCs w:val="16"/>
              </w:rPr>
            </w:pPr>
            <w:r w:rsidRPr="006D207F">
              <w:rPr>
                <w:rFonts w:cs="Arial"/>
                <w:color w:val="000000"/>
                <w:sz w:val="16"/>
                <w:szCs w:val="16"/>
              </w:rPr>
              <w:t>2</w:t>
            </w:r>
          </w:p>
        </w:tc>
        <w:tc>
          <w:tcPr>
            <w:tcW w:w="1071" w:type="dxa"/>
          </w:tcPr>
          <w:p w14:paraId="28BF6F9E" w14:textId="0479E8F3" w:rsidR="006D207F" w:rsidRPr="006D207F" w:rsidRDefault="006D207F" w:rsidP="006D207F">
            <w:pPr>
              <w:jc w:val="right"/>
              <w:rPr>
                <w:sz w:val="16"/>
                <w:szCs w:val="16"/>
              </w:rPr>
            </w:pPr>
            <w:r w:rsidRPr="006D207F">
              <w:rPr>
                <w:rFonts w:cs="Arial"/>
                <w:color w:val="000000"/>
                <w:sz w:val="16"/>
                <w:szCs w:val="16"/>
              </w:rPr>
              <w:t>0</w:t>
            </w:r>
          </w:p>
        </w:tc>
        <w:tc>
          <w:tcPr>
            <w:tcW w:w="719" w:type="dxa"/>
          </w:tcPr>
          <w:p w14:paraId="5329BF30" w14:textId="53EA630E" w:rsidR="006D207F" w:rsidRPr="006D207F" w:rsidRDefault="006D207F" w:rsidP="006D207F">
            <w:pPr>
              <w:jc w:val="right"/>
              <w:rPr>
                <w:sz w:val="16"/>
                <w:szCs w:val="16"/>
              </w:rPr>
            </w:pPr>
            <w:r w:rsidRPr="006D207F">
              <w:rPr>
                <w:rFonts w:cs="Arial"/>
                <w:color w:val="000000"/>
                <w:sz w:val="16"/>
                <w:szCs w:val="16"/>
              </w:rPr>
              <w:t>18</w:t>
            </w:r>
          </w:p>
        </w:tc>
        <w:tc>
          <w:tcPr>
            <w:tcW w:w="1071" w:type="dxa"/>
          </w:tcPr>
          <w:p w14:paraId="7321874D" w14:textId="61E6F370" w:rsidR="006D207F" w:rsidRPr="006D207F" w:rsidRDefault="006D207F" w:rsidP="006D207F">
            <w:pPr>
              <w:jc w:val="right"/>
              <w:rPr>
                <w:b/>
                <w:bCs/>
                <w:sz w:val="16"/>
                <w:szCs w:val="16"/>
              </w:rPr>
            </w:pPr>
            <w:r w:rsidRPr="006D207F">
              <w:rPr>
                <w:rFonts w:cs="Arial"/>
                <w:color w:val="000000"/>
                <w:sz w:val="16"/>
                <w:szCs w:val="16"/>
              </w:rPr>
              <w:t>0</w:t>
            </w:r>
          </w:p>
        </w:tc>
        <w:tc>
          <w:tcPr>
            <w:tcW w:w="1046" w:type="dxa"/>
          </w:tcPr>
          <w:p w14:paraId="3A7239B1" w14:textId="74160A58" w:rsidR="006D207F" w:rsidRPr="006D207F" w:rsidRDefault="006D207F" w:rsidP="006D207F">
            <w:pPr>
              <w:jc w:val="right"/>
              <w:rPr>
                <w:b/>
                <w:bCs/>
                <w:sz w:val="16"/>
                <w:szCs w:val="16"/>
              </w:rPr>
            </w:pPr>
            <w:r w:rsidRPr="006D207F">
              <w:rPr>
                <w:rFonts w:cs="Arial"/>
                <w:color w:val="000000"/>
                <w:sz w:val="16"/>
                <w:szCs w:val="16"/>
              </w:rPr>
              <w:t>3</w:t>
            </w:r>
          </w:p>
        </w:tc>
        <w:tc>
          <w:tcPr>
            <w:tcW w:w="951" w:type="dxa"/>
          </w:tcPr>
          <w:p w14:paraId="1EBA0B08" w14:textId="0C97B913" w:rsidR="006D207F" w:rsidRPr="006D207F" w:rsidRDefault="006D207F" w:rsidP="006D207F">
            <w:pPr>
              <w:jc w:val="right"/>
              <w:rPr>
                <w:b/>
                <w:bCs/>
                <w:sz w:val="16"/>
                <w:szCs w:val="16"/>
              </w:rPr>
            </w:pPr>
            <w:r w:rsidRPr="006D207F">
              <w:rPr>
                <w:rFonts w:cs="Arial"/>
                <w:color w:val="000000"/>
                <w:sz w:val="16"/>
                <w:szCs w:val="16"/>
              </w:rPr>
              <w:t>0</w:t>
            </w:r>
          </w:p>
        </w:tc>
        <w:tc>
          <w:tcPr>
            <w:tcW w:w="558" w:type="dxa"/>
            <w:vAlign w:val="bottom"/>
          </w:tcPr>
          <w:p w14:paraId="03987686" w14:textId="33A3BEFB" w:rsidR="006D207F" w:rsidRPr="006D207F" w:rsidRDefault="006D207F" w:rsidP="006D207F">
            <w:pPr>
              <w:jc w:val="right"/>
              <w:rPr>
                <w:b/>
                <w:bCs/>
                <w:sz w:val="16"/>
                <w:szCs w:val="16"/>
              </w:rPr>
            </w:pPr>
            <w:r w:rsidRPr="006D207F">
              <w:rPr>
                <w:rFonts w:cs="Arial"/>
                <w:b/>
                <w:bCs/>
                <w:sz w:val="16"/>
                <w:szCs w:val="16"/>
              </w:rPr>
              <w:t>28</w:t>
            </w:r>
          </w:p>
        </w:tc>
      </w:tr>
      <w:tr w:rsidR="006D207F" w:rsidRPr="00FD5669" w14:paraId="1A110982" w14:textId="77777777" w:rsidTr="006D207F">
        <w:tc>
          <w:tcPr>
            <w:tcW w:w="997" w:type="dxa"/>
          </w:tcPr>
          <w:p w14:paraId="3E280D98" w14:textId="77777777" w:rsidR="006D207F" w:rsidRPr="00FD5669" w:rsidRDefault="006D207F" w:rsidP="006D207F">
            <w:pPr>
              <w:ind w:right="-425"/>
              <w:jc w:val="both"/>
              <w:rPr>
                <w:rFonts w:cs="Arial"/>
                <w:sz w:val="12"/>
                <w:szCs w:val="12"/>
              </w:rPr>
            </w:pPr>
            <w:r w:rsidRPr="00FD5669">
              <w:rPr>
                <w:rFonts w:cs="Arial"/>
                <w:sz w:val="12"/>
                <w:szCs w:val="12"/>
              </w:rPr>
              <w:t>MG</w:t>
            </w:r>
          </w:p>
        </w:tc>
        <w:tc>
          <w:tcPr>
            <w:tcW w:w="444" w:type="dxa"/>
          </w:tcPr>
          <w:p w14:paraId="219E514B" w14:textId="2ABDC289" w:rsidR="006D207F" w:rsidRPr="006D207F" w:rsidRDefault="006D207F" w:rsidP="006D207F">
            <w:pPr>
              <w:jc w:val="right"/>
              <w:rPr>
                <w:sz w:val="16"/>
                <w:szCs w:val="16"/>
              </w:rPr>
            </w:pPr>
            <w:r w:rsidRPr="006D207F">
              <w:rPr>
                <w:rFonts w:cs="Arial"/>
                <w:color w:val="000000"/>
                <w:sz w:val="16"/>
                <w:szCs w:val="16"/>
              </w:rPr>
              <w:t>2</w:t>
            </w:r>
          </w:p>
        </w:tc>
        <w:tc>
          <w:tcPr>
            <w:tcW w:w="1098" w:type="dxa"/>
          </w:tcPr>
          <w:p w14:paraId="51A17240" w14:textId="4C584A15" w:rsidR="006D207F" w:rsidRPr="006D207F" w:rsidRDefault="006D207F" w:rsidP="006D207F">
            <w:pPr>
              <w:jc w:val="right"/>
              <w:rPr>
                <w:sz w:val="16"/>
                <w:szCs w:val="16"/>
              </w:rPr>
            </w:pPr>
            <w:r w:rsidRPr="006D207F">
              <w:rPr>
                <w:rFonts w:cs="Arial"/>
                <w:color w:val="000000"/>
                <w:sz w:val="16"/>
                <w:szCs w:val="16"/>
              </w:rPr>
              <w:t>1</w:t>
            </w:r>
          </w:p>
        </w:tc>
        <w:tc>
          <w:tcPr>
            <w:tcW w:w="1083" w:type="dxa"/>
          </w:tcPr>
          <w:p w14:paraId="39A8F072" w14:textId="721EDACC" w:rsidR="006D207F" w:rsidRPr="006D207F" w:rsidRDefault="006D207F" w:rsidP="006D207F">
            <w:pPr>
              <w:jc w:val="right"/>
              <w:rPr>
                <w:sz w:val="16"/>
                <w:szCs w:val="16"/>
              </w:rPr>
            </w:pPr>
            <w:r w:rsidRPr="006D207F">
              <w:rPr>
                <w:rFonts w:cs="Arial"/>
                <w:color w:val="000000"/>
                <w:sz w:val="16"/>
                <w:szCs w:val="16"/>
              </w:rPr>
              <w:t>0</w:t>
            </w:r>
          </w:p>
        </w:tc>
        <w:tc>
          <w:tcPr>
            <w:tcW w:w="488" w:type="dxa"/>
          </w:tcPr>
          <w:p w14:paraId="4786E29E" w14:textId="24BCB5C7" w:rsidR="006D207F" w:rsidRPr="006D207F" w:rsidRDefault="006D207F" w:rsidP="006D207F">
            <w:pPr>
              <w:jc w:val="right"/>
              <w:rPr>
                <w:sz w:val="16"/>
                <w:szCs w:val="16"/>
              </w:rPr>
            </w:pPr>
            <w:r w:rsidRPr="006D207F">
              <w:rPr>
                <w:rFonts w:cs="Arial"/>
                <w:color w:val="000000"/>
                <w:sz w:val="16"/>
                <w:szCs w:val="16"/>
              </w:rPr>
              <w:t>0</w:t>
            </w:r>
          </w:p>
        </w:tc>
        <w:tc>
          <w:tcPr>
            <w:tcW w:w="1071" w:type="dxa"/>
          </w:tcPr>
          <w:p w14:paraId="72B56FC5" w14:textId="76965BE5" w:rsidR="006D207F" w:rsidRPr="006D207F" w:rsidRDefault="006D207F" w:rsidP="006D207F">
            <w:pPr>
              <w:jc w:val="right"/>
              <w:rPr>
                <w:sz w:val="16"/>
                <w:szCs w:val="16"/>
              </w:rPr>
            </w:pPr>
            <w:r w:rsidRPr="006D207F">
              <w:rPr>
                <w:rFonts w:cs="Arial"/>
                <w:color w:val="000000"/>
                <w:sz w:val="16"/>
                <w:szCs w:val="16"/>
              </w:rPr>
              <w:t>0</w:t>
            </w:r>
          </w:p>
        </w:tc>
        <w:tc>
          <w:tcPr>
            <w:tcW w:w="719" w:type="dxa"/>
          </w:tcPr>
          <w:p w14:paraId="358DC4D7" w14:textId="015060C6" w:rsidR="006D207F" w:rsidRPr="006D207F" w:rsidRDefault="006D207F" w:rsidP="006D207F">
            <w:pPr>
              <w:jc w:val="right"/>
              <w:rPr>
                <w:sz w:val="16"/>
                <w:szCs w:val="16"/>
              </w:rPr>
            </w:pPr>
            <w:r w:rsidRPr="006D207F">
              <w:rPr>
                <w:rFonts w:cs="Arial"/>
                <w:color w:val="000000"/>
                <w:sz w:val="16"/>
                <w:szCs w:val="16"/>
              </w:rPr>
              <w:t>0</w:t>
            </w:r>
          </w:p>
        </w:tc>
        <w:tc>
          <w:tcPr>
            <w:tcW w:w="1071" w:type="dxa"/>
          </w:tcPr>
          <w:p w14:paraId="761E9507" w14:textId="039D33B8" w:rsidR="006D207F" w:rsidRPr="006D207F" w:rsidRDefault="006D207F" w:rsidP="006D207F">
            <w:pPr>
              <w:jc w:val="right"/>
              <w:rPr>
                <w:b/>
                <w:bCs/>
                <w:sz w:val="16"/>
                <w:szCs w:val="16"/>
              </w:rPr>
            </w:pPr>
            <w:r w:rsidRPr="006D207F">
              <w:rPr>
                <w:rFonts w:cs="Arial"/>
                <w:color w:val="000000"/>
                <w:sz w:val="16"/>
                <w:szCs w:val="16"/>
              </w:rPr>
              <w:t>0</w:t>
            </w:r>
          </w:p>
        </w:tc>
        <w:tc>
          <w:tcPr>
            <w:tcW w:w="1046" w:type="dxa"/>
          </w:tcPr>
          <w:p w14:paraId="0CEB7435" w14:textId="40D5DEA1" w:rsidR="006D207F" w:rsidRPr="006D207F" w:rsidRDefault="006D207F" w:rsidP="006D207F">
            <w:pPr>
              <w:jc w:val="right"/>
              <w:rPr>
                <w:b/>
                <w:bCs/>
                <w:sz w:val="16"/>
                <w:szCs w:val="16"/>
              </w:rPr>
            </w:pPr>
            <w:r w:rsidRPr="006D207F">
              <w:rPr>
                <w:rFonts w:cs="Arial"/>
                <w:color w:val="000000"/>
                <w:sz w:val="16"/>
                <w:szCs w:val="16"/>
              </w:rPr>
              <w:t>1</w:t>
            </w:r>
          </w:p>
        </w:tc>
        <w:tc>
          <w:tcPr>
            <w:tcW w:w="951" w:type="dxa"/>
          </w:tcPr>
          <w:p w14:paraId="3088DABD" w14:textId="67CAA215" w:rsidR="006D207F" w:rsidRPr="006D207F" w:rsidRDefault="006D207F" w:rsidP="006D207F">
            <w:pPr>
              <w:jc w:val="right"/>
              <w:rPr>
                <w:b/>
                <w:bCs/>
                <w:sz w:val="16"/>
                <w:szCs w:val="16"/>
              </w:rPr>
            </w:pPr>
            <w:r w:rsidRPr="006D207F">
              <w:rPr>
                <w:rFonts w:cs="Arial"/>
                <w:color w:val="000000"/>
                <w:sz w:val="16"/>
                <w:szCs w:val="16"/>
              </w:rPr>
              <w:t>2</w:t>
            </w:r>
          </w:p>
        </w:tc>
        <w:tc>
          <w:tcPr>
            <w:tcW w:w="558" w:type="dxa"/>
            <w:vAlign w:val="bottom"/>
          </w:tcPr>
          <w:p w14:paraId="1AC531B7" w14:textId="63B8E72E" w:rsidR="006D207F" w:rsidRPr="006D207F" w:rsidRDefault="006D207F" w:rsidP="006D207F">
            <w:pPr>
              <w:jc w:val="right"/>
              <w:rPr>
                <w:b/>
                <w:bCs/>
                <w:sz w:val="16"/>
                <w:szCs w:val="16"/>
              </w:rPr>
            </w:pPr>
            <w:r w:rsidRPr="006D207F">
              <w:rPr>
                <w:rFonts w:cs="Arial"/>
                <w:b/>
                <w:bCs/>
                <w:sz w:val="16"/>
                <w:szCs w:val="16"/>
              </w:rPr>
              <w:t>6</w:t>
            </w:r>
          </w:p>
        </w:tc>
      </w:tr>
      <w:tr w:rsidR="006D207F" w:rsidRPr="00FD5669" w14:paraId="7D295E1A" w14:textId="77777777" w:rsidTr="006D207F">
        <w:tc>
          <w:tcPr>
            <w:tcW w:w="997" w:type="dxa"/>
          </w:tcPr>
          <w:p w14:paraId="1AA67368" w14:textId="77777777" w:rsidR="006D207F" w:rsidRPr="00FD5669" w:rsidRDefault="006D207F" w:rsidP="006D207F">
            <w:pPr>
              <w:ind w:right="-425"/>
              <w:jc w:val="both"/>
              <w:rPr>
                <w:rFonts w:cs="Arial"/>
                <w:b/>
                <w:bCs/>
                <w:sz w:val="12"/>
                <w:szCs w:val="12"/>
              </w:rPr>
            </w:pPr>
            <w:r w:rsidRPr="00FD5669">
              <w:rPr>
                <w:rFonts w:cs="Arial"/>
                <w:b/>
                <w:bCs/>
                <w:sz w:val="12"/>
                <w:szCs w:val="12"/>
              </w:rPr>
              <w:t>Total</w:t>
            </w:r>
          </w:p>
        </w:tc>
        <w:tc>
          <w:tcPr>
            <w:tcW w:w="444" w:type="dxa"/>
            <w:vAlign w:val="bottom"/>
          </w:tcPr>
          <w:p w14:paraId="7EA61294" w14:textId="07629616" w:rsidR="006D207F" w:rsidRPr="006D207F" w:rsidRDefault="006D207F" w:rsidP="006D207F">
            <w:pPr>
              <w:jc w:val="right"/>
              <w:rPr>
                <w:b/>
                <w:bCs/>
                <w:sz w:val="16"/>
                <w:szCs w:val="16"/>
              </w:rPr>
            </w:pPr>
            <w:r w:rsidRPr="006D207F">
              <w:rPr>
                <w:rFonts w:cs="Arial"/>
                <w:b/>
                <w:bCs/>
                <w:sz w:val="16"/>
                <w:szCs w:val="16"/>
              </w:rPr>
              <w:t>35</w:t>
            </w:r>
          </w:p>
        </w:tc>
        <w:tc>
          <w:tcPr>
            <w:tcW w:w="1098" w:type="dxa"/>
            <w:vAlign w:val="bottom"/>
          </w:tcPr>
          <w:p w14:paraId="4423A1A4" w14:textId="51B71631" w:rsidR="006D207F" w:rsidRPr="006D207F" w:rsidRDefault="006D207F" w:rsidP="006D207F">
            <w:pPr>
              <w:jc w:val="right"/>
              <w:rPr>
                <w:b/>
                <w:bCs/>
                <w:sz w:val="16"/>
                <w:szCs w:val="16"/>
              </w:rPr>
            </w:pPr>
            <w:r w:rsidRPr="006D207F">
              <w:rPr>
                <w:rFonts w:cs="Arial"/>
                <w:b/>
                <w:bCs/>
                <w:sz w:val="16"/>
                <w:szCs w:val="16"/>
              </w:rPr>
              <w:t>9</w:t>
            </w:r>
          </w:p>
        </w:tc>
        <w:tc>
          <w:tcPr>
            <w:tcW w:w="1083" w:type="dxa"/>
            <w:vAlign w:val="bottom"/>
          </w:tcPr>
          <w:p w14:paraId="25FCDD62" w14:textId="77DB3D20" w:rsidR="006D207F" w:rsidRPr="006D207F" w:rsidRDefault="006D207F" w:rsidP="006D207F">
            <w:pPr>
              <w:jc w:val="right"/>
              <w:rPr>
                <w:b/>
                <w:bCs/>
                <w:sz w:val="16"/>
                <w:szCs w:val="16"/>
              </w:rPr>
            </w:pPr>
            <w:r w:rsidRPr="006D207F">
              <w:rPr>
                <w:rFonts w:cs="Arial"/>
                <w:b/>
                <w:bCs/>
                <w:sz w:val="16"/>
                <w:szCs w:val="16"/>
              </w:rPr>
              <w:t>1</w:t>
            </w:r>
          </w:p>
        </w:tc>
        <w:tc>
          <w:tcPr>
            <w:tcW w:w="488" w:type="dxa"/>
            <w:vAlign w:val="bottom"/>
          </w:tcPr>
          <w:p w14:paraId="3CFBABCB" w14:textId="30C4E0F9" w:rsidR="006D207F" w:rsidRPr="006D207F" w:rsidRDefault="006D207F" w:rsidP="006D207F">
            <w:pPr>
              <w:jc w:val="right"/>
              <w:rPr>
                <w:b/>
                <w:bCs/>
                <w:sz w:val="16"/>
                <w:szCs w:val="16"/>
              </w:rPr>
            </w:pPr>
            <w:r w:rsidRPr="006D207F">
              <w:rPr>
                <w:rFonts w:cs="Arial"/>
                <w:b/>
                <w:bCs/>
                <w:sz w:val="16"/>
                <w:szCs w:val="16"/>
              </w:rPr>
              <w:t>10</w:t>
            </w:r>
          </w:p>
        </w:tc>
        <w:tc>
          <w:tcPr>
            <w:tcW w:w="1071" w:type="dxa"/>
            <w:vAlign w:val="bottom"/>
          </w:tcPr>
          <w:p w14:paraId="6B72A0E8" w14:textId="0BF77D1D" w:rsidR="006D207F" w:rsidRPr="006D207F" w:rsidRDefault="006D207F" w:rsidP="006D207F">
            <w:pPr>
              <w:jc w:val="right"/>
              <w:rPr>
                <w:b/>
                <w:bCs/>
                <w:sz w:val="16"/>
                <w:szCs w:val="16"/>
              </w:rPr>
            </w:pPr>
            <w:r w:rsidRPr="006D207F">
              <w:rPr>
                <w:rFonts w:cs="Arial"/>
                <w:b/>
                <w:bCs/>
                <w:sz w:val="16"/>
                <w:szCs w:val="16"/>
              </w:rPr>
              <w:t>1</w:t>
            </w:r>
          </w:p>
        </w:tc>
        <w:tc>
          <w:tcPr>
            <w:tcW w:w="719" w:type="dxa"/>
            <w:vAlign w:val="bottom"/>
          </w:tcPr>
          <w:p w14:paraId="2793E47C" w14:textId="30876E0B" w:rsidR="006D207F" w:rsidRPr="006D207F" w:rsidRDefault="006D207F" w:rsidP="006D207F">
            <w:pPr>
              <w:jc w:val="right"/>
              <w:rPr>
                <w:b/>
                <w:bCs/>
                <w:sz w:val="16"/>
                <w:szCs w:val="16"/>
              </w:rPr>
            </w:pPr>
            <w:r w:rsidRPr="006D207F">
              <w:rPr>
                <w:rFonts w:cs="Arial"/>
                <w:b/>
                <w:bCs/>
                <w:sz w:val="16"/>
                <w:szCs w:val="16"/>
              </w:rPr>
              <w:t>45</w:t>
            </w:r>
          </w:p>
        </w:tc>
        <w:tc>
          <w:tcPr>
            <w:tcW w:w="1071" w:type="dxa"/>
            <w:vAlign w:val="bottom"/>
          </w:tcPr>
          <w:p w14:paraId="7E249757" w14:textId="569571CA" w:rsidR="006D207F" w:rsidRPr="006D207F" w:rsidRDefault="006D207F" w:rsidP="006D207F">
            <w:pPr>
              <w:jc w:val="right"/>
              <w:rPr>
                <w:b/>
                <w:bCs/>
                <w:sz w:val="16"/>
                <w:szCs w:val="16"/>
              </w:rPr>
            </w:pPr>
            <w:r w:rsidRPr="006D207F">
              <w:rPr>
                <w:rFonts w:cs="Arial"/>
                <w:b/>
                <w:bCs/>
                <w:sz w:val="16"/>
                <w:szCs w:val="16"/>
              </w:rPr>
              <w:t>1</w:t>
            </w:r>
          </w:p>
        </w:tc>
        <w:tc>
          <w:tcPr>
            <w:tcW w:w="1046" w:type="dxa"/>
            <w:vAlign w:val="bottom"/>
          </w:tcPr>
          <w:p w14:paraId="0554D8B3" w14:textId="3E3B2B66" w:rsidR="006D207F" w:rsidRPr="006D207F" w:rsidRDefault="006D207F" w:rsidP="006D207F">
            <w:pPr>
              <w:jc w:val="right"/>
              <w:rPr>
                <w:b/>
                <w:bCs/>
                <w:sz w:val="16"/>
                <w:szCs w:val="16"/>
              </w:rPr>
            </w:pPr>
            <w:r w:rsidRPr="006D207F">
              <w:rPr>
                <w:rFonts w:cs="Arial"/>
                <w:b/>
                <w:bCs/>
                <w:sz w:val="16"/>
                <w:szCs w:val="16"/>
              </w:rPr>
              <w:t>15</w:t>
            </w:r>
          </w:p>
        </w:tc>
        <w:tc>
          <w:tcPr>
            <w:tcW w:w="951" w:type="dxa"/>
            <w:vAlign w:val="bottom"/>
          </w:tcPr>
          <w:p w14:paraId="5CC64B6B" w14:textId="7EFCB9CC" w:rsidR="006D207F" w:rsidRPr="006D207F" w:rsidRDefault="006D207F" w:rsidP="006D207F">
            <w:pPr>
              <w:jc w:val="right"/>
              <w:rPr>
                <w:b/>
                <w:bCs/>
                <w:sz w:val="16"/>
                <w:szCs w:val="16"/>
              </w:rPr>
            </w:pPr>
            <w:r w:rsidRPr="006D207F">
              <w:rPr>
                <w:rFonts w:cs="Arial"/>
                <w:b/>
                <w:bCs/>
                <w:sz w:val="16"/>
                <w:szCs w:val="16"/>
              </w:rPr>
              <w:t>26</w:t>
            </w:r>
          </w:p>
        </w:tc>
        <w:tc>
          <w:tcPr>
            <w:tcW w:w="558" w:type="dxa"/>
            <w:vAlign w:val="bottom"/>
          </w:tcPr>
          <w:p w14:paraId="6FB13ACB" w14:textId="4070CDD5" w:rsidR="006D207F" w:rsidRPr="006D207F" w:rsidRDefault="006D207F" w:rsidP="006D207F">
            <w:pPr>
              <w:jc w:val="right"/>
              <w:rPr>
                <w:b/>
                <w:bCs/>
                <w:sz w:val="16"/>
                <w:szCs w:val="16"/>
              </w:rPr>
            </w:pPr>
            <w:r w:rsidRPr="006D207F">
              <w:rPr>
                <w:rFonts w:cs="Arial"/>
                <w:b/>
                <w:bCs/>
                <w:sz w:val="16"/>
                <w:szCs w:val="16"/>
              </w:rPr>
              <w:t>143</w:t>
            </w:r>
          </w:p>
        </w:tc>
      </w:tr>
    </w:tbl>
    <w:p w14:paraId="370BFC10" w14:textId="6394BA5A" w:rsidR="00D505F2" w:rsidRDefault="00D505F2" w:rsidP="00237AB1">
      <w:pPr>
        <w:ind w:left="-142" w:right="-425"/>
        <w:jc w:val="both"/>
        <w:rPr>
          <w:rFonts w:cs="Arial"/>
        </w:rPr>
      </w:pPr>
    </w:p>
    <w:p w14:paraId="1C006F71" w14:textId="64A92227"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8"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8"/>
      <w:r w:rsidRPr="004B6F52">
        <w:rPr>
          <w:sz w:val="16"/>
          <w:szCs w:val="16"/>
        </w:rPr>
        <w:t xml:space="preserve">from </w:t>
      </w:r>
      <w:r w:rsidR="007B7E78">
        <w:rPr>
          <w:sz w:val="16"/>
          <w:szCs w:val="16"/>
        </w:rPr>
        <w:t>1 October</w:t>
      </w:r>
      <w:r w:rsidR="00415BC8">
        <w:rPr>
          <w:sz w:val="16"/>
          <w:szCs w:val="16"/>
        </w:rPr>
        <w:t xml:space="preserve"> 2022</w:t>
      </w:r>
      <w:r w:rsidRPr="004B6F52">
        <w:rPr>
          <w:sz w:val="16"/>
          <w:szCs w:val="16"/>
        </w:rPr>
        <w:t xml:space="preserve"> to </w:t>
      </w:r>
      <w:r w:rsidR="007B7E78">
        <w:rPr>
          <w:sz w:val="16"/>
          <w:szCs w:val="16"/>
        </w:rPr>
        <w:t xml:space="preserve">31 December </w:t>
      </w:r>
      <w:r w:rsidR="001A5C4C">
        <w:rPr>
          <w:sz w:val="16"/>
          <w:szCs w:val="16"/>
        </w:rPr>
        <w:t>2022</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505D16">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E30AA7" w14:paraId="5A3BBB23" w14:textId="77777777" w:rsidTr="00BD03F1">
        <w:trPr>
          <w:trHeight w:val="222"/>
        </w:trPr>
        <w:tc>
          <w:tcPr>
            <w:tcW w:w="1588" w:type="dxa"/>
          </w:tcPr>
          <w:p w14:paraId="0687FF23" w14:textId="77777777" w:rsidR="00E30AA7" w:rsidRPr="00294D17" w:rsidRDefault="00E30AA7" w:rsidP="00E30AA7">
            <w:pPr>
              <w:ind w:right="-425"/>
              <w:jc w:val="both"/>
              <w:rPr>
                <w:rFonts w:cs="Arial"/>
                <w:b/>
                <w:bCs/>
              </w:rPr>
            </w:pPr>
            <w:r w:rsidRPr="00294D17">
              <w:rPr>
                <w:rFonts w:cs="Arial"/>
                <w:b/>
                <w:bCs/>
              </w:rPr>
              <w:t>Total</w:t>
            </w:r>
          </w:p>
        </w:tc>
        <w:tc>
          <w:tcPr>
            <w:tcW w:w="992" w:type="dxa"/>
            <w:vAlign w:val="bottom"/>
          </w:tcPr>
          <w:p w14:paraId="5B6FF504" w14:textId="1AEB7506" w:rsidR="00E30AA7" w:rsidRPr="008742B2" w:rsidRDefault="00C1079F" w:rsidP="00E30AA7">
            <w:pPr>
              <w:jc w:val="right"/>
              <w:rPr>
                <w:b/>
                <w:bCs/>
              </w:rPr>
            </w:pPr>
            <w:r>
              <w:rPr>
                <w:b/>
                <w:bCs/>
              </w:rPr>
              <w:t>0</w:t>
            </w:r>
          </w:p>
        </w:tc>
        <w:tc>
          <w:tcPr>
            <w:tcW w:w="1418" w:type="dxa"/>
            <w:vAlign w:val="bottom"/>
          </w:tcPr>
          <w:p w14:paraId="2A53915F" w14:textId="2B43B4E1" w:rsidR="00E30AA7" w:rsidRPr="008742B2" w:rsidRDefault="00C1079F" w:rsidP="00E30AA7">
            <w:pPr>
              <w:jc w:val="right"/>
              <w:rPr>
                <w:b/>
                <w:bCs/>
              </w:rPr>
            </w:pPr>
            <w:r>
              <w:rPr>
                <w:b/>
                <w:bCs/>
              </w:rPr>
              <w:t>0</w:t>
            </w:r>
          </w:p>
        </w:tc>
        <w:tc>
          <w:tcPr>
            <w:tcW w:w="1134" w:type="dxa"/>
            <w:vAlign w:val="bottom"/>
          </w:tcPr>
          <w:p w14:paraId="62FCB111" w14:textId="1D3E6C12" w:rsidR="00E30AA7" w:rsidRPr="008742B2" w:rsidRDefault="00C1079F" w:rsidP="00E30AA7">
            <w:pPr>
              <w:jc w:val="right"/>
              <w:rPr>
                <w:b/>
                <w:bCs/>
              </w:rPr>
            </w:pPr>
            <w:r>
              <w:rPr>
                <w:b/>
                <w:bCs/>
              </w:rPr>
              <w:t>0</w:t>
            </w:r>
          </w:p>
        </w:tc>
        <w:tc>
          <w:tcPr>
            <w:tcW w:w="850" w:type="dxa"/>
            <w:vAlign w:val="bottom"/>
          </w:tcPr>
          <w:p w14:paraId="1321C4ED" w14:textId="3E1DA3F4" w:rsidR="00E30AA7" w:rsidRPr="008742B2" w:rsidRDefault="00C1079F" w:rsidP="00E30AA7">
            <w:pPr>
              <w:jc w:val="right"/>
              <w:rPr>
                <w:b/>
                <w:bCs/>
              </w:rPr>
            </w:pPr>
            <w:r>
              <w:rPr>
                <w:b/>
                <w:bCs/>
              </w:rPr>
              <w:t>1</w:t>
            </w:r>
          </w:p>
        </w:tc>
        <w:tc>
          <w:tcPr>
            <w:tcW w:w="1276" w:type="dxa"/>
            <w:vAlign w:val="bottom"/>
          </w:tcPr>
          <w:p w14:paraId="70642BB8" w14:textId="6420B6B0" w:rsidR="00E30AA7" w:rsidRPr="008742B2" w:rsidRDefault="00C1079F" w:rsidP="00E30AA7">
            <w:pPr>
              <w:jc w:val="right"/>
              <w:rPr>
                <w:b/>
                <w:bCs/>
              </w:rPr>
            </w:pPr>
            <w:r>
              <w:rPr>
                <w:b/>
                <w:bCs/>
              </w:rPr>
              <w:t>0</w:t>
            </w:r>
          </w:p>
        </w:tc>
        <w:tc>
          <w:tcPr>
            <w:tcW w:w="851" w:type="dxa"/>
            <w:vAlign w:val="bottom"/>
          </w:tcPr>
          <w:p w14:paraId="542CEAE2" w14:textId="71B253F2" w:rsidR="00E30AA7" w:rsidRPr="008742B2" w:rsidRDefault="00C1079F" w:rsidP="00E30AA7">
            <w:pPr>
              <w:jc w:val="right"/>
              <w:rPr>
                <w:b/>
                <w:bCs/>
              </w:rPr>
            </w:pPr>
            <w:r>
              <w:rPr>
                <w:b/>
                <w:bCs/>
              </w:rPr>
              <w:t>1</w:t>
            </w:r>
          </w:p>
        </w:tc>
      </w:tr>
    </w:tbl>
    <w:p w14:paraId="5681D27B" w14:textId="77777777" w:rsidR="00B23CEA" w:rsidRDefault="00B23CEA" w:rsidP="00CA7C48">
      <w:pPr>
        <w:spacing w:after="120" w:line="240" w:lineRule="auto"/>
        <w:ind w:left="794" w:hanging="794"/>
        <w:rPr>
          <w:b/>
          <w:sz w:val="16"/>
          <w:szCs w:val="16"/>
        </w:rPr>
      </w:pPr>
      <w:bookmarkStart w:id="19" w:name="_Hlk69483860"/>
    </w:p>
    <w:p w14:paraId="1B8999AA" w14:textId="4EA7DBAC"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7B7E78">
        <w:rPr>
          <w:sz w:val="16"/>
          <w:szCs w:val="16"/>
        </w:rPr>
        <w:t>1 October</w:t>
      </w:r>
      <w:r w:rsidR="00415BC8">
        <w:rPr>
          <w:sz w:val="16"/>
          <w:szCs w:val="16"/>
        </w:rPr>
        <w:t xml:space="preserve"> 2022</w:t>
      </w:r>
      <w:r w:rsidRPr="004B6F52">
        <w:rPr>
          <w:sz w:val="16"/>
          <w:szCs w:val="16"/>
        </w:rPr>
        <w:t xml:space="preserve"> to </w:t>
      </w:r>
      <w:r w:rsidR="007B7E78">
        <w:rPr>
          <w:sz w:val="16"/>
          <w:szCs w:val="16"/>
        </w:rPr>
        <w:t>31 December</w:t>
      </w:r>
      <w:r w:rsidR="00716F51">
        <w:rPr>
          <w:sz w:val="16"/>
          <w:szCs w:val="16"/>
        </w:rPr>
        <w:t xml:space="preserve"> </w:t>
      </w:r>
      <w:r w:rsidR="001A5C4C">
        <w:rPr>
          <w:sz w:val="16"/>
          <w:szCs w:val="16"/>
        </w:rPr>
        <w:t>2022</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E30AA7" w14:paraId="16A64130" w14:textId="77777777" w:rsidTr="00E65E47">
        <w:tc>
          <w:tcPr>
            <w:tcW w:w="1496" w:type="dxa"/>
          </w:tcPr>
          <w:p w14:paraId="11A0DFEF" w14:textId="77777777" w:rsidR="00E30AA7" w:rsidRPr="00294D17" w:rsidRDefault="00E30AA7" w:rsidP="00E30AA7">
            <w:pPr>
              <w:ind w:right="-425"/>
              <w:jc w:val="both"/>
              <w:rPr>
                <w:rFonts w:cs="Arial"/>
                <w:b/>
                <w:bCs/>
              </w:rPr>
            </w:pPr>
            <w:r w:rsidRPr="00294D17">
              <w:rPr>
                <w:rFonts w:cs="Arial"/>
                <w:b/>
                <w:bCs/>
              </w:rPr>
              <w:t>Total</w:t>
            </w:r>
          </w:p>
        </w:tc>
        <w:tc>
          <w:tcPr>
            <w:tcW w:w="1793" w:type="dxa"/>
            <w:vAlign w:val="bottom"/>
          </w:tcPr>
          <w:p w14:paraId="171714C6" w14:textId="70296BA3" w:rsidR="00E30AA7" w:rsidRPr="00900EA0" w:rsidRDefault="00C1079F" w:rsidP="00E30AA7">
            <w:pPr>
              <w:jc w:val="right"/>
              <w:rPr>
                <w:b/>
                <w:bCs/>
              </w:rPr>
            </w:pPr>
            <w:r>
              <w:rPr>
                <w:b/>
                <w:bCs/>
              </w:rPr>
              <w:t>1</w:t>
            </w:r>
          </w:p>
        </w:tc>
        <w:tc>
          <w:tcPr>
            <w:tcW w:w="1227" w:type="dxa"/>
            <w:vAlign w:val="bottom"/>
          </w:tcPr>
          <w:p w14:paraId="3DCD9CB4" w14:textId="3EF740AB" w:rsidR="00E30AA7" w:rsidRPr="00900EA0" w:rsidRDefault="00C1079F" w:rsidP="00E30AA7">
            <w:pPr>
              <w:jc w:val="right"/>
              <w:rPr>
                <w:b/>
                <w:bCs/>
              </w:rPr>
            </w:pPr>
            <w:r>
              <w:rPr>
                <w:b/>
                <w:bCs/>
              </w:rPr>
              <w:t>4</w:t>
            </w:r>
          </w:p>
        </w:tc>
        <w:tc>
          <w:tcPr>
            <w:tcW w:w="2742" w:type="dxa"/>
            <w:vAlign w:val="bottom"/>
          </w:tcPr>
          <w:p w14:paraId="1EDA8F9D" w14:textId="30C36E29" w:rsidR="00E30AA7" w:rsidRPr="00900EA0" w:rsidRDefault="00C1079F" w:rsidP="00E30AA7">
            <w:pPr>
              <w:jc w:val="right"/>
              <w:rPr>
                <w:b/>
                <w:bCs/>
              </w:rPr>
            </w:pPr>
            <w:r>
              <w:rPr>
                <w:b/>
                <w:bCs/>
              </w:rPr>
              <w:t>0</w:t>
            </w:r>
          </w:p>
        </w:tc>
        <w:tc>
          <w:tcPr>
            <w:tcW w:w="851" w:type="dxa"/>
            <w:vAlign w:val="bottom"/>
          </w:tcPr>
          <w:p w14:paraId="14017305" w14:textId="6D610CF1" w:rsidR="00E30AA7" w:rsidRPr="00900EA0" w:rsidRDefault="00C1079F" w:rsidP="00E30AA7">
            <w:pPr>
              <w:jc w:val="right"/>
              <w:rPr>
                <w:b/>
                <w:bCs/>
              </w:rPr>
            </w:pPr>
            <w:r>
              <w:rPr>
                <w:b/>
                <w:bCs/>
              </w:rPr>
              <w:t>5</w:t>
            </w:r>
          </w:p>
        </w:tc>
      </w:tr>
    </w:tbl>
    <w:p w14:paraId="466F9F6E" w14:textId="77777777" w:rsidR="002522F2" w:rsidRDefault="002522F2" w:rsidP="00A42818">
      <w:pPr>
        <w:ind w:left="-142" w:right="-425"/>
        <w:jc w:val="both"/>
        <w:rPr>
          <w:rFonts w:cs="Arial"/>
        </w:rPr>
      </w:pPr>
    </w:p>
    <w:p w14:paraId="27F37C5D" w14:textId="09226D07" w:rsidR="00152C1E" w:rsidRDefault="00237AB1" w:rsidP="00A42818">
      <w:pPr>
        <w:ind w:left="-142" w:right="-425"/>
        <w:jc w:val="both"/>
        <w:rPr>
          <w:rFonts w:cs="Arial"/>
        </w:rPr>
      </w:pPr>
      <w:r w:rsidRPr="00CE1294">
        <w:rPr>
          <w:rFonts w:cs="Arial"/>
        </w:rPr>
        <w:t xml:space="preserve">During quarter </w:t>
      </w:r>
      <w:r w:rsidR="00250129">
        <w:rPr>
          <w:rFonts w:cs="Arial"/>
        </w:rPr>
        <w:t>58</w:t>
      </w:r>
      <w:r w:rsidRPr="00CE1294">
        <w:rPr>
          <w:rFonts w:cs="Arial"/>
        </w:rPr>
        <w:t xml:space="preserve"> 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EF268C" w:rsidRPr="00EF268C">
        <w:rPr>
          <w:rFonts w:cs="Arial"/>
        </w:rPr>
        <w:t>2</w:t>
      </w:r>
      <w:r w:rsidR="00A13C31">
        <w:rPr>
          <w:rFonts w:cs="Arial"/>
        </w:rPr>
        <w:t>50</w:t>
      </w:r>
      <w:r w:rsidR="00EF268C" w:rsidRPr="00EF268C">
        <w:rPr>
          <w:rFonts w:cs="Arial"/>
        </w:rPr>
        <w:t xml:space="preserve"> </w:t>
      </w:r>
      <w:r w:rsidRPr="00EF268C">
        <w:rPr>
          <w:rFonts w:cs="Arial"/>
        </w:rPr>
        <w:t>clients (</w:t>
      </w:r>
      <w:r w:rsidR="00A13C31">
        <w:rPr>
          <w:rFonts w:cs="Arial"/>
        </w:rPr>
        <w:t>162</w:t>
      </w:r>
      <w:r w:rsidR="00A13C31" w:rsidRPr="00EF268C">
        <w:rPr>
          <w:rFonts w:cs="Arial"/>
        </w:rPr>
        <w:t xml:space="preserve"> </w:t>
      </w:r>
      <w:r w:rsidRPr="00EF268C">
        <w:rPr>
          <w:rFonts w:cs="Arial"/>
        </w:rPr>
        <w:t xml:space="preserve">female and </w:t>
      </w:r>
      <w:r w:rsidR="00A13C31">
        <w:rPr>
          <w:rFonts w:cs="Arial"/>
        </w:rPr>
        <w:t>88</w:t>
      </w:r>
      <w:r w:rsidR="00A13C31"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1A9A31B0" w:rsidR="00B9722A" w:rsidRPr="001B0466" w:rsidRDefault="00B9722A" w:rsidP="00C34899">
      <w:pPr>
        <w:tabs>
          <w:tab w:val="left" w:pos="1134"/>
        </w:tabs>
        <w:ind w:left="-142" w:right="-425"/>
        <w:jc w:val="both"/>
      </w:pPr>
      <w:r w:rsidRPr="001B0466">
        <w:t xml:space="preserve">The types of client interactions evident during quarter </w:t>
      </w:r>
      <w:r w:rsidR="00250129">
        <w:t>58</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7B7E78">
        <w:t>1 October</w:t>
      </w:r>
      <w:r w:rsidR="00415BC8" w:rsidRPr="001B0466">
        <w:t xml:space="preserve"> 2022</w:t>
      </w:r>
      <w:r w:rsidRPr="001B0466">
        <w:t xml:space="preserve"> to </w:t>
      </w:r>
      <w:r w:rsidR="007B7E78">
        <w:t>31 December</w:t>
      </w:r>
      <w:r w:rsidR="00716F51">
        <w:t xml:space="preserve"> </w:t>
      </w:r>
      <w:r w:rsidR="001A5C4C" w:rsidRPr="001B0466">
        <w:t>2022</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1499A22C" w:rsidR="00B9722A" w:rsidRPr="001B0466" w:rsidRDefault="00A4765D"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4</w:t>
      </w:r>
      <w:r w:rsidR="00540899">
        <w:rPr>
          <w:rFonts w:ascii="Verdana" w:hAnsi="Verdana" w:cs="Arial"/>
          <w:sz w:val="20"/>
          <w:szCs w:val="20"/>
        </w:rPr>
        <w:t>4</w:t>
      </w:r>
      <w:r w:rsidRPr="001B0466">
        <w:rPr>
          <w:rFonts w:ascii="Verdana" w:hAnsi="Verdana" w:cs="Arial"/>
          <w:sz w:val="20"/>
          <w:szCs w:val="20"/>
        </w:rPr>
        <w:t xml:space="preserve"> </w:t>
      </w:r>
      <w:r w:rsidR="00B9722A" w:rsidRPr="001B0466">
        <w:rPr>
          <w:rFonts w:ascii="Verdana" w:hAnsi="Verdana" w:cs="Arial"/>
          <w:sz w:val="20"/>
          <w:szCs w:val="20"/>
        </w:rPr>
        <w:t xml:space="preserve">percent of clients </w:t>
      </w:r>
      <w:r w:rsidR="00887699" w:rsidRPr="001B0466">
        <w:t xml:space="preserve">at some point during the quarter </w:t>
      </w:r>
      <w:r w:rsidR="0031338E" w:rsidRPr="001B0466">
        <w:t xml:space="preserve">may have done one or more of the following: </w:t>
      </w:r>
      <w:r w:rsidR="00DE0E94" w:rsidRPr="001B0466">
        <w:rPr>
          <w:rFonts w:ascii="Verdana" w:hAnsi="Verdana" w:cs="Arial"/>
          <w:sz w:val="20"/>
          <w:szCs w:val="20"/>
        </w:rPr>
        <w:t>self-referr</w:t>
      </w:r>
      <w:r w:rsidR="0031338E" w:rsidRPr="001B0466">
        <w:rPr>
          <w:rFonts w:ascii="Verdana" w:hAnsi="Verdana" w:cs="Arial"/>
          <w:sz w:val="20"/>
          <w:szCs w:val="20"/>
        </w:rPr>
        <w:t>ed</w:t>
      </w:r>
      <w:r w:rsidR="00DE0E94" w:rsidRPr="001B0466">
        <w:rPr>
          <w:rFonts w:ascii="Verdana" w:hAnsi="Verdana" w:cs="Arial"/>
          <w:sz w:val="20"/>
          <w:szCs w:val="20"/>
        </w:rPr>
        <w:t xml:space="preserve"> to the FRC</w:t>
      </w:r>
      <w:r w:rsidR="0031338E" w:rsidRPr="001B0466">
        <w:rPr>
          <w:rFonts w:ascii="Verdana" w:hAnsi="Verdana" w:cs="Arial"/>
          <w:sz w:val="20"/>
          <w:szCs w:val="20"/>
        </w:rPr>
        <w:t xml:space="preserve"> </w:t>
      </w:r>
      <w:r w:rsidR="00F76774" w:rsidRPr="001B0466">
        <w:rPr>
          <w:rFonts w:ascii="Verdana" w:hAnsi="Verdana" w:cs="Arial"/>
          <w:sz w:val="20"/>
          <w:szCs w:val="20"/>
        </w:rPr>
        <w:t xml:space="preserve">for a VCP or a </w:t>
      </w:r>
      <w:r w:rsidR="0031338E" w:rsidRPr="001B0466">
        <w:rPr>
          <w:rFonts w:ascii="Verdana" w:hAnsi="Verdana" w:cs="Arial"/>
          <w:sz w:val="20"/>
          <w:szCs w:val="20"/>
        </w:rPr>
        <w:t>VIM</w:t>
      </w:r>
      <w:r w:rsidR="00177928" w:rsidRPr="001B0466">
        <w:rPr>
          <w:rFonts w:ascii="Verdana" w:hAnsi="Verdana" w:cs="Arial"/>
          <w:sz w:val="20"/>
          <w:szCs w:val="20"/>
        </w:rPr>
        <w:t xml:space="preserve">; </w:t>
      </w:r>
      <w:r w:rsidR="00B9722A" w:rsidRPr="001B0466">
        <w:rPr>
          <w:rFonts w:ascii="Verdana" w:hAnsi="Verdana" w:cs="Arial"/>
          <w:sz w:val="20"/>
          <w:szCs w:val="20"/>
        </w:rPr>
        <w:t>enter</w:t>
      </w:r>
      <w:r w:rsidR="0031338E" w:rsidRPr="001B0466">
        <w:rPr>
          <w:rFonts w:ascii="Verdana" w:hAnsi="Verdana" w:cs="Arial"/>
          <w:sz w:val="20"/>
          <w:szCs w:val="20"/>
        </w:rPr>
        <w:t>ed</w:t>
      </w:r>
      <w:r w:rsidR="00B9722A" w:rsidRPr="001B0466">
        <w:rPr>
          <w:rFonts w:ascii="Verdana" w:hAnsi="Verdana" w:cs="Arial"/>
          <w:sz w:val="20"/>
          <w:szCs w:val="20"/>
        </w:rPr>
        <w:t xml:space="preserve"> into a Family Responsibilities Agreement</w:t>
      </w:r>
      <w:r w:rsidR="00177928" w:rsidRPr="001B0466">
        <w:rPr>
          <w:rFonts w:ascii="Verdana" w:hAnsi="Verdana" w:cs="Arial"/>
          <w:sz w:val="20"/>
          <w:szCs w:val="20"/>
        </w:rPr>
        <w:t>;</w:t>
      </w:r>
      <w:r w:rsidR="005B7F9C" w:rsidRPr="001B0466">
        <w:rPr>
          <w:rFonts w:ascii="Verdana" w:hAnsi="Verdana" w:cs="Arial"/>
          <w:sz w:val="20"/>
          <w:szCs w:val="20"/>
        </w:rPr>
        <w:t xml:space="preserve"> </w:t>
      </w:r>
      <w:r w:rsidR="00DE0E94" w:rsidRPr="001B0466">
        <w:rPr>
          <w:rFonts w:ascii="Verdana" w:hAnsi="Verdana" w:cs="Arial"/>
          <w:sz w:val="20"/>
          <w:szCs w:val="20"/>
        </w:rPr>
        <w:t>successfully appl</w:t>
      </w:r>
      <w:r w:rsidR="0031338E" w:rsidRPr="001B0466">
        <w:rPr>
          <w:rFonts w:ascii="Verdana" w:hAnsi="Verdana" w:cs="Arial"/>
          <w:sz w:val="20"/>
          <w:szCs w:val="20"/>
        </w:rPr>
        <w:t>ied</w:t>
      </w:r>
      <w:r w:rsidR="00DE0E94" w:rsidRPr="001B0466">
        <w:rPr>
          <w:rFonts w:ascii="Verdana" w:hAnsi="Verdana" w:cs="Arial"/>
          <w:sz w:val="20"/>
          <w:szCs w:val="20"/>
        </w:rPr>
        <w:t xml:space="preserve"> to end or amend their decision by order or a</w:t>
      </w:r>
      <w:r w:rsidR="002A33C4" w:rsidRPr="001B0466">
        <w:rPr>
          <w:rFonts w:ascii="Verdana" w:hAnsi="Verdana" w:cs="Arial"/>
          <w:sz w:val="20"/>
          <w:szCs w:val="20"/>
        </w:rPr>
        <w:t>greement</w:t>
      </w:r>
      <w:r w:rsidR="00C34899" w:rsidRPr="001B0466">
        <w:rPr>
          <w:rFonts w:ascii="Verdana" w:hAnsi="Verdana" w:cs="Arial"/>
          <w:sz w:val="20"/>
          <w:szCs w:val="20"/>
        </w:rPr>
        <w:t>;</w:t>
      </w:r>
    </w:p>
    <w:p w14:paraId="0B6EF2B3" w14:textId="207AED6D"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A4765D">
        <w:rPr>
          <w:rFonts w:ascii="Verdana" w:hAnsi="Verdana" w:cs="Arial"/>
          <w:sz w:val="20"/>
          <w:szCs w:val="20"/>
        </w:rPr>
        <w:t>1</w:t>
      </w:r>
      <w:r w:rsidR="00540899">
        <w:rPr>
          <w:rFonts w:ascii="Verdana" w:hAnsi="Verdana" w:cs="Arial"/>
          <w:sz w:val="20"/>
          <w:szCs w:val="20"/>
        </w:rPr>
        <w:t>8</w:t>
      </w:r>
      <w:r w:rsidR="00A4765D" w:rsidRPr="001B0466">
        <w:rPr>
          <w:rFonts w:ascii="Verdana" w:hAnsi="Verdana" w:cs="Arial"/>
          <w:sz w:val="20"/>
          <w:szCs w:val="20"/>
        </w:rPr>
        <w:t xml:space="preserve"> </w:t>
      </w:r>
      <w:r w:rsidR="00B9722A" w:rsidRPr="001B0466">
        <w:rPr>
          <w:rFonts w:ascii="Verdana" w:hAnsi="Verdana" w:cs="Arial"/>
          <w:sz w:val="20"/>
          <w:szCs w:val="20"/>
        </w:rPr>
        <w:t xml:space="preserve">percent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4142D698" w:rsidR="00B9722A" w:rsidRPr="001B0466" w:rsidRDefault="00A4765D"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w:t>
      </w:r>
      <w:r w:rsidR="00540899">
        <w:rPr>
          <w:rFonts w:ascii="Verdana" w:hAnsi="Verdana" w:cs="Arial"/>
          <w:sz w:val="20"/>
          <w:szCs w:val="20"/>
        </w:rPr>
        <w:t>2</w:t>
      </w:r>
      <w:r w:rsidRPr="001B0466">
        <w:rPr>
          <w:rFonts w:ascii="Verdana" w:hAnsi="Verdana" w:cs="Arial"/>
          <w:sz w:val="20"/>
          <w:szCs w:val="20"/>
        </w:rPr>
        <w:t xml:space="preserve"> </w:t>
      </w:r>
      <w:r w:rsidR="00B9722A" w:rsidRPr="001B0466">
        <w:rPr>
          <w:rFonts w:ascii="Verdana" w:hAnsi="Verdana" w:cs="Arial"/>
          <w:sz w:val="20"/>
          <w:szCs w:val="20"/>
        </w:rPr>
        <w:t xml:space="preserve">percent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r w:rsidR="00826269" w:rsidRPr="001B0466">
        <w:rPr>
          <w:rFonts w:ascii="Verdana" w:hAnsi="Verdana" w:cs="Arial"/>
          <w:sz w:val="20"/>
          <w:szCs w:val="20"/>
        </w:rPr>
        <w:t xml:space="preserve"> and</w:t>
      </w:r>
    </w:p>
    <w:p w14:paraId="46767E6D" w14:textId="00073974" w:rsidR="00B9722A" w:rsidRPr="001B0466" w:rsidRDefault="00A4765D"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9</w:t>
      </w:r>
      <w:r w:rsidR="00CD2393" w:rsidRPr="001B0466">
        <w:rPr>
          <w:rFonts w:ascii="Verdana" w:hAnsi="Verdana" w:cs="Arial"/>
          <w:sz w:val="20"/>
          <w:szCs w:val="20"/>
        </w:rPr>
        <w:t xml:space="preserve"> </w:t>
      </w:r>
      <w:r w:rsidR="00B9722A" w:rsidRPr="001B0466">
        <w:rPr>
          <w:rFonts w:ascii="Verdana" w:hAnsi="Verdana" w:cs="Arial"/>
          <w:sz w:val="20"/>
          <w:szCs w:val="20"/>
        </w:rPr>
        <w:t xml:space="preserve">percent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78EF6562" w14:textId="0EFCA60B" w:rsidR="00240AAF" w:rsidRPr="001B0466" w:rsidRDefault="00106839" w:rsidP="002522F2">
      <w:pPr>
        <w:tabs>
          <w:tab w:val="decimal" w:pos="284"/>
        </w:tabs>
        <w:ind w:left="-142" w:right="-425"/>
        <w:jc w:val="both"/>
      </w:pPr>
      <w:bookmarkStart w:id="20" w:name="_Hlk97302962"/>
      <w:r w:rsidRPr="001B0466">
        <w:rPr>
          <w:rFonts w:cs="Arial"/>
        </w:rPr>
        <w:t xml:space="preserve">There </w:t>
      </w:r>
      <w:r w:rsidR="0032035F" w:rsidRPr="001B0466">
        <w:rPr>
          <w:rFonts w:cs="Arial"/>
        </w:rPr>
        <w:t>remains</w:t>
      </w:r>
      <w:r w:rsidRPr="001B0466">
        <w:rPr>
          <w:rFonts w:cs="Arial"/>
        </w:rPr>
        <w:t xml:space="preserve"> a </w:t>
      </w:r>
      <w:r w:rsidR="005D6EF0" w:rsidRPr="001B0466">
        <w:rPr>
          <w:rFonts w:cs="Arial"/>
        </w:rPr>
        <w:t xml:space="preserve">small </w:t>
      </w:r>
      <w:r w:rsidRPr="001B0466">
        <w:rPr>
          <w:rFonts w:cs="Arial"/>
        </w:rPr>
        <w:t xml:space="preserve">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20"/>
      <w:r w:rsidR="002522F2">
        <w:t xml:space="preserve"> </w:t>
      </w:r>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5D074311" w:rsidR="007B1F5A" w:rsidRPr="001B0466" w:rsidRDefault="00B43DA5" w:rsidP="007B1F5A">
      <w:pPr>
        <w:tabs>
          <w:tab w:val="decimal" w:pos="720"/>
        </w:tabs>
        <w:ind w:left="-142" w:right="-425"/>
        <w:jc w:val="both"/>
        <w:rPr>
          <w:rFonts w:cs="Arial"/>
        </w:rPr>
      </w:pPr>
      <w:r w:rsidRPr="001B0466">
        <w:rPr>
          <w:rFonts w:cs="Arial"/>
        </w:rPr>
        <w:tab/>
      </w:r>
      <w:r w:rsidR="00B53B44">
        <w:rPr>
          <w:rFonts w:cs="Arial"/>
        </w:rPr>
        <w:t>13</w:t>
      </w:r>
      <w:r w:rsidR="00992DE1" w:rsidRPr="001B0466">
        <w:rPr>
          <w:rFonts w:cs="Arial"/>
        </w:rPr>
        <w:t xml:space="preserve"> </w:t>
      </w:r>
      <w:r w:rsidR="007B1F5A" w:rsidRPr="001B0466">
        <w:rPr>
          <w:rFonts w:cs="Arial"/>
        </w:rPr>
        <w:t xml:space="preserve">percent of clients </w:t>
      </w:r>
      <w:r w:rsidR="007B1F5A" w:rsidRPr="001B0466">
        <w:rPr>
          <w:lang w:val="en-US"/>
        </w:rPr>
        <w:t>were ordered to attend a support service under a case plan;</w:t>
      </w:r>
    </w:p>
    <w:p w14:paraId="039AEB9E" w14:textId="5AA6DD80" w:rsidR="00EB52B2" w:rsidRPr="001B0466" w:rsidRDefault="007B1F5A" w:rsidP="00EB52B2">
      <w:pPr>
        <w:tabs>
          <w:tab w:val="decimal" w:pos="720"/>
        </w:tabs>
        <w:ind w:left="-142" w:right="-425"/>
        <w:jc w:val="both"/>
        <w:rPr>
          <w:rFonts w:cs="Arial"/>
        </w:rPr>
      </w:pPr>
      <w:r w:rsidRPr="001B0466">
        <w:rPr>
          <w:rFonts w:cs="Arial"/>
        </w:rPr>
        <w:tab/>
      </w:r>
      <w:r w:rsidR="00B53B44">
        <w:rPr>
          <w:rFonts w:cs="Arial"/>
        </w:rPr>
        <w:t>4</w:t>
      </w:r>
      <w:r w:rsidR="00CD2393" w:rsidRPr="001B0466">
        <w:rPr>
          <w:rFonts w:cs="Arial"/>
        </w:rPr>
        <w:t xml:space="preserve"> </w:t>
      </w:r>
      <w:r w:rsidR="00EB52B2" w:rsidRPr="001B0466">
        <w:rPr>
          <w:rFonts w:cs="Arial"/>
        </w:rPr>
        <w:t xml:space="preserve">percent of clients </w:t>
      </w:r>
      <w:r w:rsidR="00EB52B2" w:rsidRPr="001B0466">
        <w:rPr>
          <w:lang w:val="en-US"/>
        </w:rPr>
        <w:t>were placed on a CIM order</w:t>
      </w:r>
      <w:r w:rsidR="00EB52B2" w:rsidRPr="001B0466">
        <w:rPr>
          <w:rFonts w:cs="Arial"/>
        </w:rPr>
        <w:t>;</w:t>
      </w:r>
      <w:r w:rsidRPr="001B0466">
        <w:rPr>
          <w:rFonts w:cs="Arial"/>
        </w:rPr>
        <w:t xml:space="preserve"> and</w:t>
      </w:r>
    </w:p>
    <w:p w14:paraId="19F8E19F" w14:textId="2484806F" w:rsidR="00334048" w:rsidRPr="005C0A9F" w:rsidRDefault="001B3846" w:rsidP="00334048">
      <w:pPr>
        <w:tabs>
          <w:tab w:val="decimal" w:pos="720"/>
        </w:tabs>
        <w:ind w:left="-142" w:right="-425"/>
        <w:jc w:val="both"/>
        <w:rPr>
          <w:rFonts w:cs="Arial"/>
        </w:rPr>
      </w:pPr>
      <w:r w:rsidRPr="001B0466">
        <w:rPr>
          <w:rFonts w:cs="Arial"/>
        </w:rPr>
        <w:tab/>
      </w:r>
      <w:r w:rsidR="00B53B44">
        <w:rPr>
          <w:rFonts w:cs="Arial"/>
        </w:rPr>
        <w:t>4</w:t>
      </w:r>
      <w:r w:rsidR="00334048" w:rsidRPr="001B0466">
        <w:rPr>
          <w:rFonts w:cs="Arial"/>
        </w:rPr>
        <w:t xml:space="preserve"> percent of clients </w:t>
      </w:r>
      <w:r w:rsidR="00334048" w:rsidRPr="001B0466">
        <w:rPr>
          <w:lang w:val="en-US"/>
        </w:rPr>
        <w:t>were placed on a CIM order and ordered to attend a support service</w:t>
      </w:r>
      <w:r w:rsidR="00B43DA5" w:rsidRPr="001B0466">
        <w:rPr>
          <w:lang w:val="en-US"/>
        </w:rPr>
        <w:t>.</w:t>
      </w:r>
    </w:p>
    <w:p w14:paraId="218C2B05" w14:textId="50F7BA61" w:rsidR="00334048" w:rsidRPr="009F26E9" w:rsidRDefault="00334048" w:rsidP="009F26E9">
      <w:pPr>
        <w:tabs>
          <w:tab w:val="decimal" w:pos="284"/>
        </w:tabs>
        <w:ind w:left="-142" w:right="-425"/>
        <w:jc w:val="both"/>
        <w:rPr>
          <w:rFonts w:cs="Arial"/>
        </w:rPr>
      </w:pPr>
    </w:p>
    <w:bookmarkEnd w:id="19"/>
    <w:p w14:paraId="373B0154" w14:textId="77777777" w:rsidR="002522F2" w:rsidRDefault="002522F2">
      <w:pPr>
        <w:spacing w:line="240" w:lineRule="auto"/>
        <w:rPr>
          <w:rFonts w:cs="Arial"/>
          <w:b/>
          <w:bCs/>
          <w:spacing w:val="-4"/>
          <w:kern w:val="28"/>
          <w:sz w:val="22"/>
          <w:szCs w:val="22"/>
        </w:rPr>
      </w:pPr>
      <w:r>
        <w:br w:type="page"/>
      </w:r>
    </w:p>
    <w:p w14:paraId="01840B62" w14:textId="0D7AB33E" w:rsidR="00986092" w:rsidRPr="00143FBB" w:rsidRDefault="00986092" w:rsidP="00CB1032">
      <w:pPr>
        <w:pStyle w:val="Heading2"/>
      </w:pPr>
      <w:r w:rsidRPr="00143FBB">
        <w:lastRenderedPageBreak/>
        <w:t>Notices</w:t>
      </w:r>
    </w:p>
    <w:p w14:paraId="41B569DF" w14:textId="11C30B01"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250129">
        <w:rPr>
          <w:rFonts w:cs="Arial"/>
        </w:rPr>
        <w:t>58</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w:t>
      </w:r>
      <w:r w:rsidR="00FB1F5D">
        <w:rPr>
          <w:rFonts w:cs="Arial"/>
        </w:rPr>
        <w:t>1</w:t>
      </w:r>
      <w:r w:rsidR="009025B1">
        <w:rPr>
          <w:rFonts w:cs="Arial"/>
        </w:rPr>
        <w:t>6</w:t>
      </w:r>
      <w:r w:rsidR="00866A26">
        <w:rPr>
          <w:rFonts w:cs="Arial"/>
        </w:rPr>
        <w:t>6</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9025B1">
        <w:rPr>
          <w:rFonts w:cs="Arial"/>
        </w:rPr>
        <w:t>2</w:t>
      </w:r>
      <w:r w:rsidR="00866A26">
        <w:rPr>
          <w:rFonts w:cs="Arial"/>
        </w:rPr>
        <w:t>21</w:t>
      </w:r>
      <w:r w:rsidR="005174DF" w:rsidRPr="006042AF">
        <w:rPr>
          <w:rFonts w:cs="Arial"/>
        </w:rPr>
        <w:t xml:space="preserve"> </w:t>
      </w:r>
      <w:r w:rsidRPr="006042AF">
        <w:rPr>
          <w:rFonts w:cs="Arial"/>
        </w:rPr>
        <w:t>notices (</w:t>
      </w:r>
      <w:r w:rsidR="00BD5C09">
        <w:rPr>
          <w:rFonts w:cs="Arial"/>
        </w:rPr>
        <w:t>5</w:t>
      </w:r>
      <w:r w:rsidR="009025B1">
        <w:rPr>
          <w:rFonts w:cs="Arial"/>
        </w:rPr>
        <w:t>6</w:t>
      </w:r>
      <w:r w:rsidR="00BD5C09">
        <w:rPr>
          <w:rFonts w:cs="Arial"/>
        </w:rPr>
        <w:t xml:space="preserve"> </w:t>
      </w:r>
      <w:r w:rsidRPr="006042AF">
        <w:rPr>
          <w:rFonts w:cs="Arial"/>
        </w:rPr>
        <w:t>percent)</w:t>
      </w:r>
      <w:r w:rsidR="00F257B3" w:rsidRPr="006042AF">
        <w:rPr>
          <w:rFonts w:cs="Arial"/>
        </w:rPr>
        <w:t xml:space="preserve"> relating to </w:t>
      </w:r>
      <w:r w:rsidR="009025B1">
        <w:rPr>
          <w:rFonts w:cs="Arial"/>
        </w:rPr>
        <w:t>67</w:t>
      </w:r>
      <w:r w:rsidR="0046366A">
        <w:rPr>
          <w:rFonts w:cs="Arial"/>
        </w:rPr>
        <w:t>2</w:t>
      </w:r>
      <w:r w:rsidR="009025B1"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9025B1">
        <w:rPr>
          <w:rFonts w:cs="Arial"/>
        </w:rPr>
        <w:t xml:space="preserve">945 </w:t>
      </w:r>
      <w:r w:rsidRPr="006042AF">
        <w:rPr>
          <w:rFonts w:cs="Arial"/>
        </w:rPr>
        <w:t>notices (</w:t>
      </w:r>
      <w:r w:rsidR="009025B1">
        <w:rPr>
          <w:rFonts w:cs="Arial"/>
        </w:rPr>
        <w:t xml:space="preserve">44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77236B59" w:rsidR="005A5B78" w:rsidRDefault="00C7128D" w:rsidP="00C7128D">
      <w:pPr>
        <w:spacing w:after="120" w:line="240" w:lineRule="auto"/>
        <w:ind w:right="-425"/>
        <w:rPr>
          <w:rFonts w:cs="Arial"/>
          <w:b/>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7B7E78">
        <w:rPr>
          <w:sz w:val="16"/>
          <w:szCs w:val="16"/>
        </w:rPr>
        <w:t>1 October</w:t>
      </w:r>
      <w:r w:rsidR="00415BC8">
        <w:rPr>
          <w:sz w:val="16"/>
          <w:szCs w:val="16"/>
        </w:rPr>
        <w:t xml:space="preserve"> 2022</w:t>
      </w:r>
      <w:r w:rsidR="00A41820">
        <w:rPr>
          <w:sz w:val="16"/>
          <w:szCs w:val="16"/>
        </w:rPr>
        <w:t xml:space="preserve"> to </w:t>
      </w:r>
      <w:r w:rsidR="007B7E78">
        <w:rPr>
          <w:sz w:val="16"/>
          <w:szCs w:val="16"/>
        </w:rPr>
        <w:t>31 December</w:t>
      </w:r>
      <w:r w:rsidR="009025B1">
        <w:rPr>
          <w:sz w:val="16"/>
          <w:szCs w:val="16"/>
        </w:rPr>
        <w:t xml:space="preserve"> </w:t>
      </w:r>
      <w:r w:rsidR="001A5C4C">
        <w:rPr>
          <w:sz w:val="16"/>
          <w:szCs w:val="16"/>
        </w:rPr>
        <w:t>2022</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9025B1"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9025B1" w:rsidRPr="005E0531" w:rsidRDefault="009025B1" w:rsidP="009025B1">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058A10DC" w:rsidR="009025B1" w:rsidRPr="003D78AF" w:rsidRDefault="009025B1" w:rsidP="009025B1">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1CB57FBF" w:rsidR="009025B1" w:rsidRPr="003D78AF" w:rsidRDefault="009025B1" w:rsidP="009025B1">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79F28239" w:rsidR="009025B1" w:rsidRPr="003D78AF" w:rsidRDefault="009025B1" w:rsidP="009025B1">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677ABB9E" w:rsidR="009025B1" w:rsidRPr="003D78AF" w:rsidRDefault="009025B1" w:rsidP="009025B1">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6A7C806D" w:rsidR="009025B1" w:rsidRPr="003D78AF" w:rsidRDefault="009025B1" w:rsidP="009025B1">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4557C23E" w:rsidR="009025B1" w:rsidRPr="003D78AF" w:rsidRDefault="009025B1" w:rsidP="009025B1">
            <w:pPr>
              <w:spacing w:line="240" w:lineRule="auto"/>
              <w:jc w:val="right"/>
              <w:rPr>
                <w:rFonts w:cs="Arial"/>
                <w:b/>
                <w:bCs/>
                <w:lang w:eastAsia="en-AU"/>
              </w:rPr>
            </w:pPr>
            <w:r>
              <w:rPr>
                <w:rFonts w:cs="Arial"/>
                <w:b/>
                <w:bCs/>
              </w:rPr>
              <w:t>0</w:t>
            </w:r>
          </w:p>
        </w:tc>
      </w:tr>
      <w:tr w:rsidR="009025B1"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9025B1" w:rsidRPr="0040594D" w:rsidRDefault="009025B1" w:rsidP="009025B1">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52C3ACE6" w:rsidR="009025B1" w:rsidRPr="003D78AF" w:rsidRDefault="009025B1" w:rsidP="009025B1">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545D481" w14:textId="37CCCE5E" w:rsidR="009025B1" w:rsidRPr="003D78AF" w:rsidRDefault="009025B1" w:rsidP="009025B1">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4715CBAF" w:rsidR="009025B1" w:rsidRPr="003D78AF" w:rsidRDefault="009025B1" w:rsidP="009025B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2A33C2C1" w:rsidR="009025B1" w:rsidRPr="003D78AF" w:rsidRDefault="009025B1" w:rsidP="009025B1">
            <w:pPr>
              <w:spacing w:line="240" w:lineRule="auto"/>
              <w:jc w:val="right"/>
              <w:rPr>
                <w:rFonts w:cs="Arial"/>
                <w:lang w:eastAsia="en-AU"/>
              </w:rPr>
            </w:pPr>
            <w:r>
              <w:rPr>
                <w:rFonts w:cs="Arial"/>
              </w:rPr>
              <w:t>3</w:t>
            </w:r>
          </w:p>
        </w:tc>
        <w:tc>
          <w:tcPr>
            <w:tcW w:w="706" w:type="dxa"/>
            <w:tcBorders>
              <w:top w:val="nil"/>
              <w:left w:val="nil"/>
              <w:bottom w:val="single" w:sz="4" w:space="0" w:color="auto"/>
              <w:right w:val="single" w:sz="4" w:space="0" w:color="auto"/>
            </w:tcBorders>
            <w:vAlign w:val="center"/>
          </w:tcPr>
          <w:p w14:paraId="7909412F" w14:textId="1EC33936" w:rsidR="009025B1" w:rsidRPr="003D78AF" w:rsidRDefault="009025B1" w:rsidP="009025B1">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731692A8" w14:textId="427690F4" w:rsidR="009025B1" w:rsidRPr="003D78AF" w:rsidRDefault="009025B1" w:rsidP="009025B1">
            <w:pPr>
              <w:spacing w:line="240" w:lineRule="auto"/>
              <w:jc w:val="right"/>
              <w:rPr>
                <w:rFonts w:cs="Arial"/>
                <w:b/>
                <w:lang w:eastAsia="en-AU"/>
              </w:rPr>
            </w:pPr>
            <w:r>
              <w:rPr>
                <w:rFonts w:cs="Arial"/>
                <w:b/>
                <w:bCs/>
              </w:rPr>
              <w:t>4</w:t>
            </w:r>
          </w:p>
        </w:tc>
      </w:tr>
      <w:tr w:rsidR="009025B1"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9025B1" w:rsidRDefault="009025B1" w:rsidP="009025B1">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59A3AD4B" w:rsidR="009025B1" w:rsidRPr="003D78AF" w:rsidRDefault="009025B1" w:rsidP="009025B1">
            <w:pPr>
              <w:spacing w:line="240" w:lineRule="auto"/>
              <w:jc w:val="right"/>
              <w:rPr>
                <w:rFonts w:cs="Arial"/>
                <w:lang w:eastAsia="en-AU"/>
              </w:rPr>
            </w:pPr>
            <w:r>
              <w:rPr>
                <w:rFonts w:cs="Arial"/>
              </w:rPr>
              <w:t>164</w:t>
            </w:r>
          </w:p>
        </w:tc>
        <w:tc>
          <w:tcPr>
            <w:tcW w:w="850" w:type="dxa"/>
            <w:tcBorders>
              <w:top w:val="nil"/>
              <w:left w:val="nil"/>
              <w:bottom w:val="single" w:sz="4" w:space="0" w:color="auto"/>
              <w:right w:val="single" w:sz="4" w:space="0" w:color="auto"/>
            </w:tcBorders>
            <w:shd w:val="clear" w:color="auto" w:fill="auto"/>
            <w:vAlign w:val="center"/>
          </w:tcPr>
          <w:p w14:paraId="42DE6DE7" w14:textId="773BE91D" w:rsidR="009025B1" w:rsidRPr="003D78AF" w:rsidRDefault="009025B1" w:rsidP="009025B1">
            <w:pPr>
              <w:spacing w:line="240" w:lineRule="auto"/>
              <w:jc w:val="right"/>
              <w:rPr>
                <w:rFonts w:cs="Arial"/>
                <w:lang w:eastAsia="en-AU"/>
              </w:rPr>
            </w:pPr>
            <w:r>
              <w:rPr>
                <w:rFonts w:cs="Arial"/>
              </w:rPr>
              <w:t>23</w:t>
            </w:r>
          </w:p>
        </w:tc>
        <w:tc>
          <w:tcPr>
            <w:tcW w:w="779" w:type="dxa"/>
            <w:tcBorders>
              <w:top w:val="nil"/>
              <w:left w:val="nil"/>
              <w:bottom w:val="single" w:sz="4" w:space="0" w:color="auto"/>
              <w:right w:val="single" w:sz="4" w:space="0" w:color="auto"/>
            </w:tcBorders>
            <w:vAlign w:val="center"/>
          </w:tcPr>
          <w:p w14:paraId="6A2B0F8E" w14:textId="506AF9B1" w:rsidR="009025B1" w:rsidRPr="003D78AF" w:rsidRDefault="009025B1" w:rsidP="009025B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32F9D464" w:rsidR="009025B1" w:rsidRPr="003D78AF" w:rsidRDefault="009025B1" w:rsidP="009025B1">
            <w:pPr>
              <w:spacing w:line="240" w:lineRule="auto"/>
              <w:jc w:val="right"/>
              <w:rPr>
                <w:rFonts w:cs="Arial"/>
                <w:lang w:eastAsia="en-AU"/>
              </w:rPr>
            </w:pPr>
            <w:r>
              <w:rPr>
                <w:rFonts w:cs="Arial"/>
              </w:rPr>
              <w:t>52</w:t>
            </w:r>
          </w:p>
        </w:tc>
        <w:tc>
          <w:tcPr>
            <w:tcW w:w="706" w:type="dxa"/>
            <w:tcBorders>
              <w:top w:val="nil"/>
              <w:left w:val="nil"/>
              <w:bottom w:val="single" w:sz="4" w:space="0" w:color="auto"/>
              <w:right w:val="single" w:sz="4" w:space="0" w:color="auto"/>
            </w:tcBorders>
            <w:vAlign w:val="center"/>
          </w:tcPr>
          <w:p w14:paraId="635B50F1" w14:textId="3555D90B" w:rsidR="009025B1" w:rsidRPr="003D78AF" w:rsidRDefault="009025B1" w:rsidP="009025B1">
            <w:pPr>
              <w:spacing w:line="240" w:lineRule="auto"/>
              <w:jc w:val="right"/>
              <w:rPr>
                <w:rFonts w:cs="Arial"/>
                <w:lang w:eastAsia="en-AU"/>
              </w:rPr>
            </w:pPr>
            <w:r>
              <w:rPr>
                <w:rFonts w:cs="Arial"/>
              </w:rPr>
              <w:t>30</w:t>
            </w:r>
          </w:p>
        </w:tc>
        <w:tc>
          <w:tcPr>
            <w:tcW w:w="849" w:type="dxa"/>
            <w:tcBorders>
              <w:top w:val="nil"/>
              <w:left w:val="nil"/>
              <w:bottom w:val="single" w:sz="4" w:space="0" w:color="auto"/>
              <w:right w:val="single" w:sz="4" w:space="0" w:color="auto"/>
            </w:tcBorders>
            <w:vAlign w:val="center"/>
          </w:tcPr>
          <w:p w14:paraId="413D1C25" w14:textId="3974573C" w:rsidR="009025B1" w:rsidRPr="003D78AF" w:rsidRDefault="009025B1" w:rsidP="009025B1">
            <w:pPr>
              <w:spacing w:line="240" w:lineRule="auto"/>
              <w:jc w:val="right"/>
              <w:rPr>
                <w:rFonts w:cs="Arial"/>
                <w:b/>
                <w:lang w:eastAsia="en-AU"/>
              </w:rPr>
            </w:pPr>
            <w:r>
              <w:rPr>
                <w:rFonts w:cs="Arial"/>
                <w:b/>
                <w:bCs/>
              </w:rPr>
              <w:t>269</w:t>
            </w:r>
          </w:p>
        </w:tc>
      </w:tr>
      <w:tr w:rsidR="009025B1"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9025B1" w:rsidRDefault="009025B1" w:rsidP="009025B1">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3F436347" w:rsidR="009025B1" w:rsidRPr="003D78AF" w:rsidRDefault="009025B1" w:rsidP="009025B1">
            <w:pPr>
              <w:spacing w:line="240" w:lineRule="auto"/>
              <w:jc w:val="right"/>
              <w:rPr>
                <w:rFonts w:cs="Arial"/>
                <w:lang w:eastAsia="en-AU"/>
              </w:rPr>
            </w:pPr>
            <w:r>
              <w:rPr>
                <w:rFonts w:cs="Arial"/>
              </w:rPr>
              <w:t>24</w:t>
            </w:r>
          </w:p>
        </w:tc>
        <w:tc>
          <w:tcPr>
            <w:tcW w:w="850" w:type="dxa"/>
            <w:tcBorders>
              <w:top w:val="nil"/>
              <w:left w:val="nil"/>
              <w:bottom w:val="single" w:sz="4" w:space="0" w:color="auto"/>
              <w:right w:val="single" w:sz="4" w:space="0" w:color="auto"/>
            </w:tcBorders>
            <w:shd w:val="clear" w:color="auto" w:fill="auto"/>
            <w:vAlign w:val="center"/>
          </w:tcPr>
          <w:p w14:paraId="1BA99C8E" w14:textId="17446367" w:rsidR="009025B1" w:rsidRPr="003D78AF" w:rsidRDefault="009025B1" w:rsidP="009025B1">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35A61A45" w:rsidR="009025B1" w:rsidRPr="003D78AF" w:rsidRDefault="009025B1" w:rsidP="009025B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404A9738" w:rsidR="009025B1" w:rsidRPr="003D78AF" w:rsidRDefault="009025B1" w:rsidP="009025B1">
            <w:pPr>
              <w:spacing w:line="240" w:lineRule="auto"/>
              <w:jc w:val="right"/>
              <w:rPr>
                <w:rFonts w:cs="Arial"/>
                <w:lang w:eastAsia="en-AU"/>
              </w:rPr>
            </w:pPr>
            <w:r>
              <w:rPr>
                <w:rFonts w:cs="Arial"/>
              </w:rPr>
              <w:t>11</w:t>
            </w:r>
          </w:p>
        </w:tc>
        <w:tc>
          <w:tcPr>
            <w:tcW w:w="706" w:type="dxa"/>
            <w:tcBorders>
              <w:top w:val="nil"/>
              <w:left w:val="nil"/>
              <w:bottom w:val="single" w:sz="4" w:space="0" w:color="auto"/>
              <w:right w:val="single" w:sz="4" w:space="0" w:color="auto"/>
            </w:tcBorders>
            <w:vAlign w:val="center"/>
          </w:tcPr>
          <w:p w14:paraId="772FC04E" w14:textId="08980422" w:rsidR="009025B1" w:rsidRPr="003D78AF" w:rsidRDefault="009025B1" w:rsidP="009025B1">
            <w:pPr>
              <w:spacing w:line="240" w:lineRule="auto"/>
              <w:jc w:val="right"/>
              <w:rPr>
                <w:rFonts w:cs="Arial"/>
                <w:lang w:eastAsia="en-AU"/>
              </w:rPr>
            </w:pPr>
            <w:r>
              <w:rPr>
                <w:rFonts w:cs="Arial"/>
              </w:rPr>
              <w:t>5</w:t>
            </w:r>
          </w:p>
        </w:tc>
        <w:tc>
          <w:tcPr>
            <w:tcW w:w="849" w:type="dxa"/>
            <w:tcBorders>
              <w:top w:val="nil"/>
              <w:left w:val="nil"/>
              <w:bottom w:val="single" w:sz="4" w:space="0" w:color="auto"/>
              <w:right w:val="single" w:sz="4" w:space="0" w:color="auto"/>
            </w:tcBorders>
            <w:vAlign w:val="center"/>
          </w:tcPr>
          <w:p w14:paraId="7DF1704F" w14:textId="4AE33616" w:rsidR="009025B1" w:rsidRPr="003D78AF" w:rsidRDefault="009025B1" w:rsidP="009025B1">
            <w:pPr>
              <w:spacing w:line="240" w:lineRule="auto"/>
              <w:jc w:val="right"/>
              <w:rPr>
                <w:rFonts w:cs="Arial"/>
                <w:b/>
                <w:lang w:eastAsia="en-AU"/>
              </w:rPr>
            </w:pPr>
            <w:r>
              <w:rPr>
                <w:rFonts w:cs="Arial"/>
                <w:b/>
                <w:bCs/>
              </w:rPr>
              <w:t>41</w:t>
            </w:r>
          </w:p>
        </w:tc>
      </w:tr>
      <w:tr w:rsidR="009025B1"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9025B1" w:rsidRDefault="009025B1" w:rsidP="009025B1">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099ECA81" w:rsidR="009025B1" w:rsidRPr="003D78AF" w:rsidRDefault="009025B1" w:rsidP="009025B1">
            <w:pPr>
              <w:spacing w:line="240" w:lineRule="auto"/>
              <w:jc w:val="right"/>
              <w:rPr>
                <w:rFonts w:cs="Arial"/>
                <w:lang w:eastAsia="en-AU"/>
              </w:rPr>
            </w:pPr>
            <w:r>
              <w:rPr>
                <w:rFonts w:cs="Arial"/>
              </w:rPr>
              <w:t>50</w:t>
            </w:r>
          </w:p>
        </w:tc>
        <w:tc>
          <w:tcPr>
            <w:tcW w:w="850" w:type="dxa"/>
            <w:tcBorders>
              <w:top w:val="nil"/>
              <w:left w:val="nil"/>
              <w:bottom w:val="single" w:sz="4" w:space="0" w:color="auto"/>
              <w:right w:val="single" w:sz="4" w:space="0" w:color="auto"/>
            </w:tcBorders>
            <w:shd w:val="clear" w:color="auto" w:fill="auto"/>
            <w:vAlign w:val="center"/>
          </w:tcPr>
          <w:p w14:paraId="375C9925" w14:textId="2BCB688B" w:rsidR="009025B1" w:rsidRPr="003D78AF" w:rsidRDefault="009025B1" w:rsidP="009025B1">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766C043E" w14:textId="35766062" w:rsidR="009025B1" w:rsidRPr="003D78AF" w:rsidRDefault="009025B1" w:rsidP="009025B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195C58CF" w:rsidR="009025B1" w:rsidRPr="003D78AF" w:rsidRDefault="009025B1" w:rsidP="009025B1">
            <w:pPr>
              <w:spacing w:line="240" w:lineRule="auto"/>
              <w:jc w:val="right"/>
              <w:rPr>
                <w:rFonts w:cs="Arial"/>
                <w:lang w:eastAsia="en-AU"/>
              </w:rPr>
            </w:pPr>
            <w:r>
              <w:rPr>
                <w:rFonts w:cs="Arial"/>
              </w:rPr>
              <w:t>25</w:t>
            </w:r>
          </w:p>
        </w:tc>
        <w:tc>
          <w:tcPr>
            <w:tcW w:w="706" w:type="dxa"/>
            <w:tcBorders>
              <w:top w:val="nil"/>
              <w:left w:val="nil"/>
              <w:bottom w:val="single" w:sz="4" w:space="0" w:color="auto"/>
              <w:right w:val="single" w:sz="4" w:space="0" w:color="auto"/>
            </w:tcBorders>
            <w:vAlign w:val="center"/>
          </w:tcPr>
          <w:p w14:paraId="76B03AEF" w14:textId="06C7C270" w:rsidR="009025B1" w:rsidRPr="003D78AF" w:rsidRDefault="009025B1" w:rsidP="009025B1">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61D1E9D8" w14:textId="387AEFDF" w:rsidR="009025B1" w:rsidRPr="003D78AF" w:rsidRDefault="009025B1" w:rsidP="009025B1">
            <w:pPr>
              <w:spacing w:line="240" w:lineRule="auto"/>
              <w:jc w:val="right"/>
              <w:rPr>
                <w:rFonts w:cs="Arial"/>
                <w:b/>
                <w:lang w:eastAsia="en-AU"/>
              </w:rPr>
            </w:pPr>
            <w:r>
              <w:rPr>
                <w:rFonts w:cs="Arial"/>
                <w:b/>
                <w:bCs/>
              </w:rPr>
              <w:t>80</w:t>
            </w:r>
          </w:p>
        </w:tc>
      </w:tr>
      <w:tr w:rsidR="009025B1"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9025B1" w:rsidRPr="0040594D" w:rsidRDefault="009025B1" w:rsidP="009025B1">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5F5105CB" w:rsidR="009025B1" w:rsidRPr="003D78AF" w:rsidRDefault="009025B1" w:rsidP="009025B1">
            <w:pPr>
              <w:spacing w:line="240" w:lineRule="auto"/>
              <w:jc w:val="right"/>
              <w:rPr>
                <w:rFonts w:cs="Arial"/>
                <w:lang w:eastAsia="en-AU"/>
              </w:rPr>
            </w:pPr>
            <w:r>
              <w:rPr>
                <w:rFonts w:cs="Arial"/>
              </w:rPr>
              <w:t>133</w:t>
            </w:r>
          </w:p>
        </w:tc>
        <w:tc>
          <w:tcPr>
            <w:tcW w:w="850" w:type="dxa"/>
            <w:tcBorders>
              <w:top w:val="nil"/>
              <w:left w:val="nil"/>
              <w:bottom w:val="single" w:sz="4" w:space="0" w:color="auto"/>
              <w:right w:val="single" w:sz="4" w:space="0" w:color="auto"/>
            </w:tcBorders>
            <w:shd w:val="clear" w:color="auto" w:fill="auto"/>
            <w:vAlign w:val="center"/>
          </w:tcPr>
          <w:p w14:paraId="5D2BA765" w14:textId="25874996" w:rsidR="009025B1" w:rsidRPr="003D78AF" w:rsidRDefault="009025B1" w:rsidP="009025B1">
            <w:pPr>
              <w:spacing w:line="240" w:lineRule="auto"/>
              <w:jc w:val="right"/>
              <w:rPr>
                <w:rFonts w:cs="Arial"/>
                <w:lang w:eastAsia="en-AU"/>
              </w:rPr>
            </w:pPr>
            <w:r>
              <w:rPr>
                <w:rFonts w:cs="Arial"/>
              </w:rPr>
              <w:t>3</w:t>
            </w:r>
            <w:r w:rsidR="00866A26">
              <w:rPr>
                <w:rFonts w:cs="Arial"/>
              </w:rPr>
              <w:t>3</w:t>
            </w:r>
          </w:p>
        </w:tc>
        <w:tc>
          <w:tcPr>
            <w:tcW w:w="779" w:type="dxa"/>
            <w:tcBorders>
              <w:top w:val="nil"/>
              <w:left w:val="nil"/>
              <w:bottom w:val="single" w:sz="4" w:space="0" w:color="auto"/>
              <w:right w:val="single" w:sz="4" w:space="0" w:color="auto"/>
            </w:tcBorders>
            <w:vAlign w:val="center"/>
          </w:tcPr>
          <w:p w14:paraId="6EC1BDB5" w14:textId="48788963" w:rsidR="009025B1" w:rsidRPr="003D78AF" w:rsidRDefault="009025B1" w:rsidP="009025B1">
            <w:pPr>
              <w:spacing w:line="240" w:lineRule="auto"/>
              <w:jc w:val="right"/>
              <w:rPr>
                <w:rFonts w:cs="Arial"/>
                <w:lang w:eastAsia="en-AU"/>
              </w:rPr>
            </w:pPr>
            <w:r>
              <w:rPr>
                <w:rFonts w:cs="Arial"/>
              </w:rPr>
              <w:t>365</w:t>
            </w:r>
          </w:p>
        </w:tc>
        <w:tc>
          <w:tcPr>
            <w:tcW w:w="643" w:type="dxa"/>
            <w:tcBorders>
              <w:top w:val="nil"/>
              <w:left w:val="nil"/>
              <w:bottom w:val="single" w:sz="4" w:space="0" w:color="auto"/>
              <w:right w:val="single" w:sz="4" w:space="0" w:color="auto"/>
            </w:tcBorders>
            <w:vAlign w:val="center"/>
          </w:tcPr>
          <w:p w14:paraId="1997B7CD" w14:textId="4CA98030" w:rsidR="009025B1" w:rsidRPr="003D78AF" w:rsidRDefault="009025B1" w:rsidP="009025B1">
            <w:pPr>
              <w:spacing w:line="240" w:lineRule="auto"/>
              <w:jc w:val="right"/>
              <w:rPr>
                <w:rFonts w:cs="Arial"/>
                <w:lang w:eastAsia="en-AU"/>
              </w:rPr>
            </w:pPr>
            <w:r>
              <w:rPr>
                <w:rFonts w:cs="Arial"/>
              </w:rPr>
              <w:t>15</w:t>
            </w:r>
            <w:r w:rsidR="00866A26">
              <w:rPr>
                <w:rFonts w:cs="Arial"/>
              </w:rPr>
              <w:t>6</w:t>
            </w:r>
          </w:p>
        </w:tc>
        <w:tc>
          <w:tcPr>
            <w:tcW w:w="706" w:type="dxa"/>
            <w:tcBorders>
              <w:top w:val="nil"/>
              <w:left w:val="nil"/>
              <w:bottom w:val="single" w:sz="4" w:space="0" w:color="auto"/>
              <w:right w:val="single" w:sz="4" w:space="0" w:color="auto"/>
            </w:tcBorders>
            <w:vAlign w:val="center"/>
          </w:tcPr>
          <w:p w14:paraId="6C72EE70" w14:textId="4E194D45" w:rsidR="009025B1" w:rsidRPr="003D78AF" w:rsidRDefault="009025B1" w:rsidP="009025B1">
            <w:pPr>
              <w:spacing w:line="240" w:lineRule="auto"/>
              <w:jc w:val="right"/>
              <w:rPr>
                <w:rFonts w:cs="Arial"/>
                <w:lang w:eastAsia="en-AU"/>
              </w:rPr>
            </w:pPr>
            <w:r>
              <w:rPr>
                <w:rFonts w:cs="Arial"/>
              </w:rPr>
              <w:t>4</w:t>
            </w:r>
            <w:r w:rsidR="00866A26">
              <w:rPr>
                <w:rFonts w:cs="Arial"/>
              </w:rPr>
              <w:t>4</w:t>
            </w:r>
          </w:p>
        </w:tc>
        <w:tc>
          <w:tcPr>
            <w:tcW w:w="849" w:type="dxa"/>
            <w:tcBorders>
              <w:top w:val="nil"/>
              <w:left w:val="nil"/>
              <w:bottom w:val="single" w:sz="4" w:space="0" w:color="auto"/>
              <w:right w:val="single" w:sz="4" w:space="0" w:color="auto"/>
            </w:tcBorders>
            <w:vAlign w:val="center"/>
          </w:tcPr>
          <w:p w14:paraId="10323D05" w14:textId="51F7A520" w:rsidR="009025B1" w:rsidRPr="003D78AF" w:rsidRDefault="009025B1" w:rsidP="009025B1">
            <w:pPr>
              <w:spacing w:line="240" w:lineRule="auto"/>
              <w:jc w:val="right"/>
              <w:rPr>
                <w:rFonts w:cs="Arial"/>
                <w:b/>
                <w:lang w:eastAsia="en-AU"/>
              </w:rPr>
            </w:pPr>
            <w:r>
              <w:rPr>
                <w:rFonts w:cs="Arial"/>
                <w:b/>
                <w:bCs/>
              </w:rPr>
              <w:t>7</w:t>
            </w:r>
            <w:r w:rsidR="00866A26">
              <w:rPr>
                <w:rFonts w:cs="Arial"/>
                <w:b/>
                <w:bCs/>
              </w:rPr>
              <w:t>31</w:t>
            </w:r>
          </w:p>
        </w:tc>
      </w:tr>
      <w:tr w:rsidR="009025B1"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9025B1" w:rsidRPr="0040594D" w:rsidRDefault="009025B1" w:rsidP="009025B1">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1BD89750" w:rsidR="009025B1" w:rsidRPr="003D78AF" w:rsidRDefault="009025B1" w:rsidP="009025B1">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5F319DD2" w:rsidR="009025B1" w:rsidRPr="003D78AF" w:rsidRDefault="009025B1" w:rsidP="009025B1">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3CD99817" w14:textId="0D805F41" w:rsidR="009025B1" w:rsidRPr="003D78AF" w:rsidRDefault="009025B1" w:rsidP="009025B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10D2EB8D" w:rsidR="009025B1" w:rsidRPr="003D78AF" w:rsidRDefault="009025B1" w:rsidP="009025B1">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06A336C6" w:rsidR="009025B1" w:rsidRPr="003D78AF" w:rsidRDefault="009025B1" w:rsidP="009025B1">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3E790666" w:rsidR="009025B1" w:rsidRPr="003D78AF" w:rsidRDefault="009025B1" w:rsidP="009025B1">
            <w:pPr>
              <w:spacing w:line="240" w:lineRule="auto"/>
              <w:jc w:val="right"/>
              <w:rPr>
                <w:rFonts w:cs="Arial"/>
                <w:b/>
                <w:lang w:eastAsia="en-AU"/>
              </w:rPr>
            </w:pPr>
            <w:r>
              <w:rPr>
                <w:rFonts w:cs="Arial"/>
                <w:b/>
                <w:bCs/>
              </w:rPr>
              <w:t>1</w:t>
            </w:r>
          </w:p>
        </w:tc>
      </w:tr>
      <w:tr w:rsidR="00FB1F5D"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FB1F5D" w:rsidRPr="00371BE2" w:rsidRDefault="00FB1F5D" w:rsidP="00FB1F5D">
            <w:pPr>
              <w:spacing w:line="240" w:lineRule="auto"/>
              <w:rPr>
                <w:rFonts w:cs="Arial"/>
                <w:lang w:eastAsia="en-AU"/>
              </w:rPr>
            </w:pPr>
            <w:bookmarkStart w:id="21"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4916D98D" w:rsidR="00FB1F5D" w:rsidRPr="003D78AF" w:rsidRDefault="00FB1F5D" w:rsidP="00FB1F5D">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2BF3F550" w:rsidR="00FB1F5D" w:rsidRPr="003D78AF" w:rsidRDefault="00FB1F5D" w:rsidP="00FB1F5D">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0EB40A18" w:rsidR="00FB1F5D" w:rsidRPr="003D78AF" w:rsidRDefault="00FB1F5D" w:rsidP="00FB1F5D">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31546BB0" w:rsidR="00FB1F5D" w:rsidRPr="003D78AF" w:rsidRDefault="00FB1F5D" w:rsidP="00FB1F5D">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6C8B2697" w:rsidR="00FB1F5D" w:rsidRPr="003D78AF" w:rsidRDefault="00FB1F5D" w:rsidP="00FB1F5D">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593F4D73" w:rsidR="00FB1F5D" w:rsidRPr="003D78AF" w:rsidRDefault="00FB1F5D" w:rsidP="00FB1F5D">
            <w:pPr>
              <w:spacing w:line="240" w:lineRule="auto"/>
              <w:jc w:val="right"/>
              <w:rPr>
                <w:rFonts w:cs="Arial"/>
                <w:b/>
                <w:lang w:eastAsia="en-AU"/>
              </w:rPr>
            </w:pPr>
          </w:p>
        </w:tc>
      </w:tr>
      <w:bookmarkEnd w:id="21"/>
      <w:tr w:rsidR="009025B1"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9025B1" w:rsidRPr="00371BE2" w:rsidRDefault="009025B1" w:rsidP="009025B1">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7954736A" w:rsidR="009025B1" w:rsidRPr="003D78AF" w:rsidRDefault="009025B1" w:rsidP="009025B1">
            <w:pPr>
              <w:spacing w:line="240" w:lineRule="auto"/>
              <w:jc w:val="right"/>
              <w:rPr>
                <w:rFonts w:cs="Arial"/>
              </w:rPr>
            </w:pPr>
            <w:r>
              <w:rPr>
                <w:rFonts w:cs="Arial"/>
              </w:rPr>
              <w:t>8</w:t>
            </w:r>
          </w:p>
        </w:tc>
        <w:tc>
          <w:tcPr>
            <w:tcW w:w="850" w:type="dxa"/>
            <w:tcBorders>
              <w:top w:val="nil"/>
              <w:left w:val="nil"/>
              <w:bottom w:val="single" w:sz="4" w:space="0" w:color="auto"/>
              <w:right w:val="single" w:sz="4" w:space="0" w:color="auto"/>
            </w:tcBorders>
            <w:shd w:val="clear" w:color="auto" w:fill="auto"/>
            <w:vAlign w:val="center"/>
          </w:tcPr>
          <w:p w14:paraId="503CD381" w14:textId="37DC9F25" w:rsidR="009025B1" w:rsidRPr="003D78AF" w:rsidRDefault="009025B1" w:rsidP="009025B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25D22F2D" w:rsidR="009025B1" w:rsidRPr="003D78AF" w:rsidRDefault="009025B1" w:rsidP="009025B1">
            <w:pPr>
              <w:spacing w:line="240" w:lineRule="auto"/>
              <w:jc w:val="right"/>
              <w:rPr>
                <w:rFonts w:cs="Arial"/>
              </w:rPr>
            </w:pPr>
            <w:r>
              <w:rPr>
                <w:rFonts w:cs="Arial"/>
              </w:rPr>
              <w:t>70</w:t>
            </w:r>
          </w:p>
        </w:tc>
        <w:tc>
          <w:tcPr>
            <w:tcW w:w="643" w:type="dxa"/>
            <w:tcBorders>
              <w:top w:val="nil"/>
              <w:left w:val="nil"/>
              <w:bottom w:val="single" w:sz="4" w:space="0" w:color="auto"/>
              <w:right w:val="single" w:sz="4" w:space="0" w:color="auto"/>
            </w:tcBorders>
            <w:vAlign w:val="center"/>
          </w:tcPr>
          <w:p w14:paraId="0FE1FB54" w14:textId="0B6897EF" w:rsidR="009025B1" w:rsidRPr="003D78AF" w:rsidRDefault="009025B1" w:rsidP="009025B1">
            <w:pPr>
              <w:spacing w:line="240" w:lineRule="auto"/>
              <w:jc w:val="right"/>
              <w:rPr>
                <w:rFonts w:cs="Arial"/>
              </w:rPr>
            </w:pPr>
            <w:r>
              <w:rPr>
                <w:rFonts w:cs="Arial"/>
              </w:rPr>
              <w:t>8</w:t>
            </w:r>
          </w:p>
        </w:tc>
        <w:tc>
          <w:tcPr>
            <w:tcW w:w="706" w:type="dxa"/>
            <w:tcBorders>
              <w:top w:val="nil"/>
              <w:left w:val="nil"/>
              <w:bottom w:val="single" w:sz="4" w:space="0" w:color="auto"/>
              <w:right w:val="single" w:sz="4" w:space="0" w:color="auto"/>
            </w:tcBorders>
            <w:vAlign w:val="center"/>
          </w:tcPr>
          <w:p w14:paraId="6B736C1A" w14:textId="46996359" w:rsidR="009025B1" w:rsidRPr="003D78AF" w:rsidRDefault="009025B1" w:rsidP="009025B1">
            <w:pPr>
              <w:spacing w:line="240" w:lineRule="auto"/>
              <w:jc w:val="right"/>
              <w:rPr>
                <w:rFonts w:cs="Arial"/>
              </w:rPr>
            </w:pPr>
            <w:r>
              <w:rPr>
                <w:rFonts w:cs="Arial"/>
              </w:rPr>
              <w:t>1</w:t>
            </w:r>
          </w:p>
        </w:tc>
        <w:tc>
          <w:tcPr>
            <w:tcW w:w="849" w:type="dxa"/>
            <w:tcBorders>
              <w:top w:val="nil"/>
              <w:left w:val="nil"/>
              <w:bottom w:val="single" w:sz="4" w:space="0" w:color="auto"/>
              <w:right w:val="single" w:sz="4" w:space="0" w:color="auto"/>
            </w:tcBorders>
            <w:vAlign w:val="center"/>
          </w:tcPr>
          <w:p w14:paraId="46071030" w14:textId="058517AA" w:rsidR="009025B1" w:rsidRPr="003D78AF" w:rsidRDefault="009025B1" w:rsidP="009025B1">
            <w:pPr>
              <w:spacing w:line="240" w:lineRule="auto"/>
              <w:jc w:val="right"/>
              <w:rPr>
                <w:rFonts w:cs="Arial"/>
                <w:b/>
                <w:bCs/>
              </w:rPr>
            </w:pPr>
            <w:r>
              <w:rPr>
                <w:rFonts w:cs="Arial"/>
                <w:b/>
                <w:bCs/>
              </w:rPr>
              <w:t>87</w:t>
            </w:r>
          </w:p>
        </w:tc>
      </w:tr>
      <w:tr w:rsidR="009025B1"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9025B1" w:rsidRPr="00371BE2" w:rsidRDefault="009025B1" w:rsidP="009025B1">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5DE98F6D" w:rsidR="009025B1" w:rsidRPr="003D78AF" w:rsidRDefault="009025B1" w:rsidP="009025B1">
            <w:pPr>
              <w:spacing w:line="240" w:lineRule="auto"/>
              <w:jc w:val="right"/>
              <w:rPr>
                <w:rFonts w:cs="Arial"/>
              </w:rPr>
            </w:pPr>
            <w:r>
              <w:rPr>
                <w:rFonts w:cs="Arial"/>
              </w:rPr>
              <w:t>1</w:t>
            </w:r>
          </w:p>
        </w:tc>
        <w:tc>
          <w:tcPr>
            <w:tcW w:w="850" w:type="dxa"/>
            <w:tcBorders>
              <w:top w:val="nil"/>
              <w:left w:val="nil"/>
              <w:bottom w:val="single" w:sz="4" w:space="0" w:color="auto"/>
              <w:right w:val="single" w:sz="4" w:space="0" w:color="auto"/>
            </w:tcBorders>
            <w:shd w:val="clear" w:color="auto" w:fill="auto"/>
            <w:vAlign w:val="center"/>
          </w:tcPr>
          <w:p w14:paraId="0611116F" w14:textId="64302B0D" w:rsidR="009025B1" w:rsidRPr="003D78AF" w:rsidRDefault="009025B1" w:rsidP="009025B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26F0857D" w:rsidR="009025B1" w:rsidRPr="003D78AF" w:rsidRDefault="009025B1" w:rsidP="009025B1">
            <w:pPr>
              <w:spacing w:line="240" w:lineRule="auto"/>
              <w:jc w:val="right"/>
              <w:rPr>
                <w:rFonts w:cs="Arial"/>
              </w:rPr>
            </w:pPr>
            <w:r>
              <w:rPr>
                <w:rFonts w:cs="Arial"/>
              </w:rPr>
              <w:t>5</w:t>
            </w:r>
          </w:p>
        </w:tc>
        <w:tc>
          <w:tcPr>
            <w:tcW w:w="643" w:type="dxa"/>
            <w:tcBorders>
              <w:top w:val="nil"/>
              <w:left w:val="nil"/>
              <w:bottom w:val="single" w:sz="4" w:space="0" w:color="auto"/>
              <w:right w:val="single" w:sz="4" w:space="0" w:color="auto"/>
            </w:tcBorders>
            <w:vAlign w:val="center"/>
          </w:tcPr>
          <w:p w14:paraId="5E3C036C" w14:textId="743DD83C" w:rsidR="009025B1" w:rsidRPr="003D78AF" w:rsidRDefault="009025B1" w:rsidP="009025B1">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039D6F1C" w:rsidR="009025B1" w:rsidRPr="003D78AF" w:rsidRDefault="009025B1" w:rsidP="009025B1">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49BC3BA5" w:rsidR="009025B1" w:rsidRPr="003D78AF" w:rsidRDefault="009025B1" w:rsidP="009025B1">
            <w:pPr>
              <w:spacing w:line="240" w:lineRule="auto"/>
              <w:jc w:val="right"/>
              <w:rPr>
                <w:rFonts w:cs="Arial"/>
                <w:b/>
                <w:bCs/>
              </w:rPr>
            </w:pPr>
            <w:r>
              <w:rPr>
                <w:rFonts w:cs="Arial"/>
                <w:b/>
                <w:bCs/>
              </w:rPr>
              <w:t>6</w:t>
            </w:r>
          </w:p>
        </w:tc>
      </w:tr>
      <w:tr w:rsidR="009025B1"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9025B1" w:rsidRPr="00371BE2" w:rsidRDefault="009025B1" w:rsidP="009025B1">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554904CD" w:rsidR="009025B1" w:rsidRPr="003D78AF" w:rsidRDefault="009025B1" w:rsidP="009025B1">
            <w:pPr>
              <w:spacing w:line="240" w:lineRule="auto"/>
              <w:jc w:val="right"/>
              <w:rPr>
                <w:rFonts w:cs="Arial"/>
                <w:lang w:eastAsia="en-AU"/>
              </w:rPr>
            </w:pPr>
            <w:r>
              <w:rPr>
                <w:rFonts w:cs="Arial"/>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6D4A20D5" w:rsidR="009025B1" w:rsidRPr="003D78AF" w:rsidRDefault="009025B1" w:rsidP="009025B1">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4FDA8EF4" w:rsidR="009025B1" w:rsidRPr="003D78AF" w:rsidRDefault="009025B1" w:rsidP="009025B1">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0EAAFEFC" w:rsidR="009025B1" w:rsidRPr="003D78AF" w:rsidRDefault="009025B1" w:rsidP="009025B1">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5104C2F1" w:rsidR="009025B1" w:rsidRPr="003D78AF" w:rsidRDefault="009025B1" w:rsidP="009025B1">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3EB776A3" w:rsidR="009025B1" w:rsidRPr="003D78AF" w:rsidRDefault="009025B1" w:rsidP="009025B1">
            <w:pPr>
              <w:spacing w:line="240" w:lineRule="auto"/>
              <w:jc w:val="right"/>
              <w:rPr>
                <w:rFonts w:cs="Arial"/>
                <w:b/>
                <w:lang w:eastAsia="en-AU"/>
              </w:rPr>
            </w:pPr>
            <w:r>
              <w:rPr>
                <w:rFonts w:cs="Arial"/>
                <w:b/>
                <w:bCs/>
              </w:rPr>
              <w:t>2</w:t>
            </w:r>
          </w:p>
        </w:tc>
      </w:tr>
      <w:tr w:rsidR="009025B1"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9025B1" w:rsidRPr="00371BE2" w:rsidRDefault="009025B1" w:rsidP="009025B1">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1F4F11F3" w:rsidR="009025B1" w:rsidRPr="003D78AF" w:rsidRDefault="009025B1" w:rsidP="009025B1">
            <w:pPr>
              <w:spacing w:line="240" w:lineRule="auto"/>
              <w:jc w:val="right"/>
              <w:rPr>
                <w:rFonts w:cs="Arial"/>
                <w:b/>
                <w:lang w:eastAsia="en-AU"/>
              </w:rPr>
            </w:pPr>
            <w:r>
              <w:rPr>
                <w:rFonts w:cs="Arial"/>
                <w:b/>
                <w:bCs/>
              </w:rPr>
              <w:t>382</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33EEB410" w:rsidR="009025B1" w:rsidRPr="003D78AF" w:rsidRDefault="009025B1" w:rsidP="009025B1">
            <w:pPr>
              <w:spacing w:line="240" w:lineRule="auto"/>
              <w:jc w:val="right"/>
              <w:rPr>
                <w:rFonts w:cs="Arial"/>
                <w:b/>
                <w:lang w:eastAsia="en-AU"/>
              </w:rPr>
            </w:pPr>
            <w:r>
              <w:rPr>
                <w:rFonts w:cs="Arial"/>
                <w:b/>
                <w:bCs/>
              </w:rPr>
              <w:t>6</w:t>
            </w:r>
            <w:r w:rsidR="00866A26">
              <w:rPr>
                <w:rFonts w:cs="Arial"/>
                <w:b/>
                <w:bCs/>
              </w:rPr>
              <w:t>2</w:t>
            </w:r>
          </w:p>
        </w:tc>
        <w:tc>
          <w:tcPr>
            <w:tcW w:w="779" w:type="dxa"/>
            <w:tcBorders>
              <w:top w:val="single" w:sz="4" w:space="0" w:color="auto"/>
              <w:left w:val="nil"/>
              <w:bottom w:val="single" w:sz="4" w:space="0" w:color="auto"/>
              <w:right w:val="single" w:sz="4" w:space="0" w:color="auto"/>
            </w:tcBorders>
            <w:vAlign w:val="center"/>
          </w:tcPr>
          <w:p w14:paraId="4ECA5E82" w14:textId="6CA280BF" w:rsidR="009025B1" w:rsidRPr="003D78AF" w:rsidRDefault="009025B1" w:rsidP="009025B1">
            <w:pPr>
              <w:spacing w:line="240" w:lineRule="auto"/>
              <w:jc w:val="right"/>
              <w:rPr>
                <w:rFonts w:cs="Arial"/>
                <w:b/>
                <w:lang w:eastAsia="en-AU"/>
              </w:rPr>
            </w:pPr>
            <w:r>
              <w:rPr>
                <w:rFonts w:cs="Arial"/>
                <w:b/>
                <w:bCs/>
              </w:rPr>
              <w:t>440</w:t>
            </w:r>
          </w:p>
        </w:tc>
        <w:tc>
          <w:tcPr>
            <w:tcW w:w="643" w:type="dxa"/>
            <w:tcBorders>
              <w:top w:val="single" w:sz="4" w:space="0" w:color="auto"/>
              <w:left w:val="nil"/>
              <w:bottom w:val="single" w:sz="4" w:space="0" w:color="auto"/>
              <w:right w:val="single" w:sz="4" w:space="0" w:color="auto"/>
            </w:tcBorders>
            <w:vAlign w:val="center"/>
          </w:tcPr>
          <w:p w14:paraId="4498767F" w14:textId="6F409D02" w:rsidR="009025B1" w:rsidRPr="003D78AF" w:rsidRDefault="009025B1" w:rsidP="009025B1">
            <w:pPr>
              <w:spacing w:line="240" w:lineRule="auto"/>
              <w:jc w:val="right"/>
              <w:rPr>
                <w:rFonts w:cs="Arial"/>
                <w:b/>
                <w:lang w:eastAsia="en-AU"/>
              </w:rPr>
            </w:pPr>
            <w:r>
              <w:rPr>
                <w:rFonts w:cs="Arial"/>
                <w:b/>
                <w:bCs/>
              </w:rPr>
              <w:t>25</w:t>
            </w:r>
            <w:r w:rsidR="00866A26">
              <w:rPr>
                <w:rFonts w:cs="Arial"/>
                <w:b/>
                <w:bCs/>
              </w:rPr>
              <w:t>5</w:t>
            </w:r>
          </w:p>
        </w:tc>
        <w:tc>
          <w:tcPr>
            <w:tcW w:w="706" w:type="dxa"/>
            <w:tcBorders>
              <w:top w:val="single" w:sz="4" w:space="0" w:color="auto"/>
              <w:left w:val="nil"/>
              <w:bottom w:val="single" w:sz="4" w:space="0" w:color="auto"/>
              <w:right w:val="single" w:sz="4" w:space="0" w:color="auto"/>
            </w:tcBorders>
            <w:vAlign w:val="center"/>
          </w:tcPr>
          <w:p w14:paraId="2806B4BD" w14:textId="6FB729C3" w:rsidR="009025B1" w:rsidRPr="003D78AF" w:rsidRDefault="00866A26" w:rsidP="009025B1">
            <w:pPr>
              <w:spacing w:line="240" w:lineRule="auto"/>
              <w:jc w:val="right"/>
              <w:rPr>
                <w:rFonts w:cs="Arial"/>
                <w:b/>
                <w:lang w:eastAsia="en-AU"/>
              </w:rPr>
            </w:pPr>
            <w:r>
              <w:rPr>
                <w:rFonts w:cs="Arial"/>
                <w:b/>
              </w:rPr>
              <w:t>82</w:t>
            </w:r>
          </w:p>
        </w:tc>
        <w:tc>
          <w:tcPr>
            <w:tcW w:w="849" w:type="dxa"/>
            <w:tcBorders>
              <w:top w:val="single" w:sz="4" w:space="0" w:color="auto"/>
              <w:left w:val="nil"/>
              <w:bottom w:val="single" w:sz="4" w:space="0" w:color="auto"/>
              <w:right w:val="single" w:sz="4" w:space="0" w:color="auto"/>
            </w:tcBorders>
            <w:vAlign w:val="center"/>
          </w:tcPr>
          <w:p w14:paraId="24507EE5" w14:textId="0261A8ED" w:rsidR="009025B1" w:rsidRPr="003D78AF" w:rsidRDefault="009025B1" w:rsidP="009025B1">
            <w:pPr>
              <w:spacing w:line="240" w:lineRule="auto"/>
              <w:jc w:val="right"/>
              <w:rPr>
                <w:rFonts w:cs="Arial"/>
                <w:b/>
                <w:lang w:eastAsia="en-AU"/>
              </w:rPr>
            </w:pPr>
            <w:r>
              <w:rPr>
                <w:rFonts w:cs="Arial"/>
                <w:b/>
                <w:bCs/>
              </w:rPr>
              <w:t>12</w:t>
            </w:r>
            <w:r w:rsidR="00866A26">
              <w:rPr>
                <w:rFonts w:cs="Arial"/>
                <w:b/>
                <w:bCs/>
              </w:rPr>
              <w:t>21</w:t>
            </w:r>
          </w:p>
        </w:tc>
      </w:tr>
    </w:tbl>
    <w:p w14:paraId="68A14D11" w14:textId="77777777" w:rsidR="00557E24" w:rsidRDefault="00557E24" w:rsidP="008D3D27">
      <w:pPr>
        <w:spacing w:line="240" w:lineRule="auto"/>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055608BA"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FB1F5D">
        <w:rPr>
          <w:rFonts w:ascii="Verdana" w:hAnsi="Verdana" w:cs="Arial"/>
          <w:sz w:val="20"/>
          <w:szCs w:val="20"/>
        </w:rPr>
        <w:t>38</w:t>
      </w:r>
      <w:r w:rsidR="00B60875">
        <w:rPr>
          <w:rFonts w:ascii="Verdana" w:hAnsi="Verdana" w:cs="Arial"/>
          <w:sz w:val="20"/>
          <w:szCs w:val="20"/>
        </w:rPr>
        <w:t>2</w:t>
      </w:r>
      <w:r w:rsidR="00FB1F5D"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B60875">
        <w:rPr>
          <w:rFonts w:ascii="Verdana" w:hAnsi="Verdana" w:cs="Arial"/>
          <w:sz w:val="20"/>
          <w:szCs w:val="20"/>
        </w:rPr>
        <w:t>192</w:t>
      </w:r>
      <w:r w:rsidR="00B60875"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108</w:t>
      </w:r>
      <w:r w:rsidR="00B60875"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84</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007C2620"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B60875">
        <w:rPr>
          <w:rFonts w:ascii="Verdana" w:hAnsi="Verdana" w:cs="Arial"/>
          <w:sz w:val="20"/>
          <w:szCs w:val="20"/>
        </w:rPr>
        <w:t>6</w:t>
      </w:r>
      <w:r w:rsidR="00866A26">
        <w:rPr>
          <w:rFonts w:ascii="Verdana" w:hAnsi="Verdana" w:cs="Arial"/>
          <w:sz w:val="20"/>
          <w:szCs w:val="20"/>
        </w:rPr>
        <w:t>2</w:t>
      </w:r>
      <w:r w:rsidR="00B60875"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B60875">
        <w:rPr>
          <w:rFonts w:ascii="Verdana" w:hAnsi="Verdana" w:cs="Arial"/>
          <w:sz w:val="20"/>
          <w:szCs w:val="20"/>
        </w:rPr>
        <w:t>3</w:t>
      </w:r>
      <w:r w:rsidR="00AA031E">
        <w:rPr>
          <w:rFonts w:ascii="Verdana" w:hAnsi="Verdana" w:cs="Arial"/>
          <w:sz w:val="20"/>
          <w:szCs w:val="20"/>
        </w:rPr>
        <w:t>6</w:t>
      </w:r>
      <w:r w:rsidR="00B6087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2</w:t>
      </w:r>
      <w:r w:rsidR="00AA031E">
        <w:rPr>
          <w:rFonts w:ascii="Verdana" w:hAnsi="Verdana" w:cs="Arial"/>
          <w:sz w:val="20"/>
          <w:szCs w:val="20"/>
        </w:rPr>
        <w:t>3</w:t>
      </w:r>
      <w:r w:rsidR="00B6087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13</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4DF9A08E"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B60875">
        <w:rPr>
          <w:rFonts w:ascii="Verdana" w:hAnsi="Verdana" w:cs="Arial"/>
          <w:sz w:val="20"/>
          <w:szCs w:val="20"/>
        </w:rPr>
        <w:t>440</w:t>
      </w:r>
      <w:r w:rsidR="00B60875"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B60875">
        <w:rPr>
          <w:rFonts w:ascii="Verdana" w:hAnsi="Verdana" w:cs="Arial"/>
          <w:sz w:val="20"/>
          <w:szCs w:val="20"/>
        </w:rPr>
        <w:t>245</w:t>
      </w:r>
      <w:r w:rsidR="00B6087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169</w:t>
      </w:r>
      <w:r w:rsidR="00B6087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76</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5D82DA07"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B60875">
        <w:rPr>
          <w:rFonts w:ascii="Verdana" w:hAnsi="Verdana" w:cs="Arial"/>
          <w:sz w:val="20"/>
          <w:szCs w:val="20"/>
        </w:rPr>
        <w:t>25</w:t>
      </w:r>
      <w:r w:rsidR="00AA031E">
        <w:rPr>
          <w:rFonts w:ascii="Verdana" w:hAnsi="Verdana" w:cs="Arial"/>
          <w:sz w:val="20"/>
          <w:szCs w:val="20"/>
        </w:rPr>
        <w:t>5</w:t>
      </w:r>
      <w:r w:rsidR="00B60875"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B60875">
        <w:rPr>
          <w:rFonts w:ascii="Verdana" w:hAnsi="Verdana" w:cs="Arial"/>
          <w:sz w:val="20"/>
          <w:szCs w:val="20"/>
        </w:rPr>
        <w:t>16</w:t>
      </w:r>
      <w:r w:rsidR="0046366A">
        <w:rPr>
          <w:rFonts w:ascii="Verdana" w:hAnsi="Verdana" w:cs="Arial"/>
          <w:sz w:val="20"/>
          <w:szCs w:val="20"/>
        </w:rPr>
        <w:t>0</w:t>
      </w:r>
      <w:r w:rsidR="00B6087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90</w:t>
      </w:r>
      <w:r w:rsidR="00B6087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7</w:t>
      </w:r>
      <w:r w:rsidR="0046366A">
        <w:rPr>
          <w:rFonts w:ascii="Verdana" w:hAnsi="Verdana" w:cs="Arial"/>
          <w:sz w:val="20"/>
          <w:szCs w:val="20"/>
        </w:rPr>
        <w:t>0</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7EE36764"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AA031E">
        <w:rPr>
          <w:rFonts w:ascii="Verdana" w:hAnsi="Verdana" w:cs="Arial"/>
          <w:sz w:val="20"/>
          <w:szCs w:val="20"/>
        </w:rPr>
        <w:t>82</w:t>
      </w:r>
      <w:r w:rsidR="00B60875"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B60875">
        <w:rPr>
          <w:rFonts w:ascii="Verdana" w:hAnsi="Verdana" w:cs="Arial"/>
          <w:sz w:val="20"/>
          <w:szCs w:val="20"/>
        </w:rPr>
        <w:t>3</w:t>
      </w:r>
      <w:r w:rsidR="00AA031E">
        <w:rPr>
          <w:rFonts w:ascii="Verdana" w:hAnsi="Verdana" w:cs="Arial"/>
          <w:sz w:val="20"/>
          <w:szCs w:val="20"/>
        </w:rPr>
        <w:t>9</w:t>
      </w:r>
      <w:r w:rsidR="00B6087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22</w:t>
      </w:r>
      <w:r w:rsidR="00B6087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1</w:t>
      </w:r>
      <w:r w:rsidR="00AA031E">
        <w:rPr>
          <w:rFonts w:ascii="Verdana" w:hAnsi="Verdana" w:cs="Arial"/>
          <w:sz w:val="20"/>
          <w:szCs w:val="20"/>
        </w:rPr>
        <w:t>7</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77777777" w:rsidR="00893877" w:rsidRDefault="00893877" w:rsidP="00893877">
      <w:pPr>
        <w:ind w:left="-142" w:right="-425"/>
        <w:jc w:val="both"/>
        <w:rPr>
          <w:rFonts w:cs="Arial"/>
        </w:rPr>
      </w:pPr>
      <w:r>
        <w:rPr>
          <w:rFonts w:cs="Arial"/>
        </w:rPr>
        <w:t>For quarter 58, 43</w:t>
      </w:r>
      <w:r w:rsidRPr="004A208F">
        <w:rPr>
          <w:rFonts w:cs="Arial"/>
        </w:rPr>
        <w:t xml:space="preserve"> percent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(57</w:t>
      </w:r>
      <w:r w:rsidRPr="004A208F">
        <w:rPr>
          <w:rFonts w:cs="Arial"/>
        </w:rPr>
        <w:t xml:space="preserve"> </w:t>
      </w:r>
      <w:r>
        <w:rPr>
          <w:rFonts w:cs="Arial"/>
        </w:rPr>
        <w:t>percent)</w:t>
      </w:r>
      <w:r w:rsidRPr="004A208F">
        <w:rPr>
          <w:rFonts w:cs="Arial"/>
        </w:rPr>
        <w:t xml:space="preserve"> have received only one notice</w:t>
      </w:r>
      <w:r>
        <w:rPr>
          <w:rFonts w:cs="Arial"/>
        </w:rPr>
        <w:t xml:space="preserve"> during the reporting period. Thirty-one </w:t>
      </w:r>
      <w:r w:rsidRPr="00626560">
        <w:rPr>
          <w:rFonts w:cs="Arial"/>
        </w:rPr>
        <w:t>new</w:t>
      </w:r>
      <w:r>
        <w:rPr>
          <w:rFonts w:cs="Arial"/>
        </w:rPr>
        <w:t xml:space="preserve"> clients were added to the Commission’s database during the quarter.</w:t>
      </w:r>
    </w:p>
    <w:p w14:paraId="68C4DC64" w14:textId="77777777" w:rsidR="0086649F" w:rsidRDefault="0086649F" w:rsidP="005A5B78">
      <w:pPr>
        <w:ind w:left="-142" w:right="-425"/>
        <w:rPr>
          <w:rFonts w:cs="Arial"/>
          <w:b/>
          <w:sz w:val="16"/>
          <w:szCs w:val="16"/>
        </w:rPr>
      </w:pPr>
    </w:p>
    <w:p w14:paraId="534CB927" w14:textId="77777777" w:rsidR="0086649F" w:rsidRDefault="0086649F" w:rsidP="005A5B78">
      <w:pPr>
        <w:ind w:left="-142" w:right="-425"/>
        <w:rPr>
          <w:rFonts w:cs="Arial"/>
          <w:b/>
          <w:sz w:val="16"/>
          <w:szCs w:val="16"/>
        </w:rPr>
      </w:pPr>
    </w:p>
    <w:p w14:paraId="4D40A4EE" w14:textId="77777777" w:rsidR="0086649F" w:rsidRDefault="0086649F" w:rsidP="005A5B78">
      <w:pPr>
        <w:ind w:left="-142" w:right="-425"/>
        <w:rPr>
          <w:rFonts w:cs="Arial"/>
          <w:b/>
          <w:sz w:val="16"/>
          <w:szCs w:val="16"/>
        </w:rPr>
      </w:pPr>
    </w:p>
    <w:p w14:paraId="3A0B89CC" w14:textId="223FFD81" w:rsidR="008E6726" w:rsidRDefault="008E6726" w:rsidP="005A5B78">
      <w:pPr>
        <w:ind w:left="-142" w:right="-425"/>
        <w:rPr>
          <w:rFonts w:cs="Arial"/>
          <w:b/>
          <w:noProof/>
          <w:sz w:val="16"/>
          <w:szCs w:val="16"/>
        </w:rPr>
      </w:pPr>
    </w:p>
    <w:p w14:paraId="0BECFCCE" w14:textId="25AAD953" w:rsidR="00F45586" w:rsidRDefault="00F45586" w:rsidP="005A5B78">
      <w:pPr>
        <w:ind w:left="-142" w:right="-425"/>
        <w:rPr>
          <w:rFonts w:cs="Arial"/>
          <w:b/>
          <w:noProof/>
          <w:sz w:val="16"/>
          <w:szCs w:val="16"/>
        </w:rPr>
      </w:pPr>
    </w:p>
    <w:p w14:paraId="26600F2F" w14:textId="4E33433C" w:rsidR="00F45586" w:rsidRDefault="00F45586" w:rsidP="005A5B78">
      <w:pPr>
        <w:ind w:left="-142" w:right="-425"/>
        <w:rPr>
          <w:rFonts w:cs="Arial"/>
          <w:b/>
          <w:noProof/>
          <w:sz w:val="16"/>
          <w:szCs w:val="16"/>
        </w:rPr>
      </w:pPr>
    </w:p>
    <w:p w14:paraId="1FA72160" w14:textId="69B82BC6" w:rsidR="00F45586" w:rsidRDefault="00F45586" w:rsidP="005A5B78">
      <w:pPr>
        <w:ind w:left="-142" w:right="-425"/>
        <w:rPr>
          <w:rFonts w:cs="Arial"/>
          <w:b/>
          <w:noProof/>
          <w:sz w:val="16"/>
          <w:szCs w:val="16"/>
        </w:rPr>
      </w:pPr>
    </w:p>
    <w:p w14:paraId="59744B35" w14:textId="5D7608E5" w:rsidR="00F45586" w:rsidRDefault="00F45586" w:rsidP="005A5B78">
      <w:pPr>
        <w:ind w:left="-142" w:right="-425"/>
        <w:rPr>
          <w:rFonts w:cs="Arial"/>
          <w:b/>
          <w:noProof/>
          <w:sz w:val="16"/>
          <w:szCs w:val="16"/>
        </w:rPr>
      </w:pPr>
    </w:p>
    <w:p w14:paraId="14400E76" w14:textId="78779377" w:rsidR="00F45586" w:rsidRDefault="00F45586" w:rsidP="005A5B78">
      <w:pPr>
        <w:ind w:left="-142" w:right="-425"/>
        <w:rPr>
          <w:rFonts w:cs="Arial"/>
          <w:b/>
          <w:noProof/>
          <w:sz w:val="16"/>
          <w:szCs w:val="16"/>
        </w:rPr>
      </w:pPr>
    </w:p>
    <w:p w14:paraId="1E612AD4" w14:textId="10B4BE64" w:rsidR="00F45586" w:rsidRDefault="00F45586" w:rsidP="005A5B78">
      <w:pPr>
        <w:ind w:left="-142" w:right="-425"/>
        <w:rPr>
          <w:rFonts w:cs="Arial"/>
          <w:b/>
          <w:noProof/>
          <w:sz w:val="16"/>
          <w:szCs w:val="16"/>
        </w:rPr>
      </w:pPr>
    </w:p>
    <w:p w14:paraId="00F8BEB9" w14:textId="61B9821E" w:rsidR="00F45586" w:rsidRDefault="00F45586" w:rsidP="005A5B78">
      <w:pPr>
        <w:ind w:left="-142" w:right="-425"/>
        <w:rPr>
          <w:rFonts w:cs="Arial"/>
          <w:b/>
          <w:noProof/>
          <w:sz w:val="16"/>
          <w:szCs w:val="16"/>
        </w:rPr>
      </w:pPr>
    </w:p>
    <w:p w14:paraId="24C19A9C" w14:textId="77777777" w:rsidR="00F45586" w:rsidRDefault="00F45586" w:rsidP="005A5B78">
      <w:pPr>
        <w:ind w:left="-142" w:right="-425"/>
        <w:rPr>
          <w:rFonts w:cs="Arial"/>
          <w:b/>
          <w:sz w:val="16"/>
          <w:szCs w:val="16"/>
        </w:rPr>
      </w:pPr>
    </w:p>
    <w:p w14:paraId="42673DA9" w14:textId="1734D3D3" w:rsidR="0086649F" w:rsidRPr="00D925BE" w:rsidRDefault="0086649F" w:rsidP="0086649F">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October 2021 to 31 December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86649F" w:rsidRPr="0093030B" w14:paraId="0ECCB4A7" w14:textId="325E0686" w:rsidTr="0086649F">
        <w:trPr>
          <w:trHeight w:val="480"/>
        </w:trPr>
        <w:tc>
          <w:tcPr>
            <w:tcW w:w="3460" w:type="dxa"/>
            <w:tcBorders>
              <w:top w:val="single" w:sz="4" w:space="0" w:color="auto"/>
              <w:left w:val="single" w:sz="4" w:space="0" w:color="auto"/>
              <w:bottom w:val="single" w:sz="4" w:space="0" w:color="auto"/>
              <w:right w:val="single" w:sz="4" w:space="0" w:color="auto"/>
            </w:tcBorders>
            <w:hideMark/>
          </w:tcPr>
          <w:p w14:paraId="0DB55257" w14:textId="77777777" w:rsidR="0086649F" w:rsidRPr="0093030B" w:rsidRDefault="0086649F" w:rsidP="00D6309C">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16560BAC" w14:textId="77777777" w:rsidR="0086649F" w:rsidRDefault="0086649F" w:rsidP="00D6309C">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7E0A803A" w14:textId="77777777" w:rsidR="0086649F" w:rsidRDefault="0086649F" w:rsidP="00D6309C">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73E628DC" w14:textId="77777777" w:rsidR="0086649F" w:rsidRDefault="0086649F" w:rsidP="00D6309C">
            <w:pPr>
              <w:pStyle w:val="TableText"/>
              <w:jc w:val="right"/>
              <w:rPr>
                <w:b/>
                <w:lang w:eastAsia="en-AU"/>
              </w:rPr>
            </w:pPr>
            <w:r>
              <w:rPr>
                <w:b/>
                <w:lang w:eastAsia="en-AU"/>
              </w:rPr>
              <w:t>Qtr 56</w:t>
            </w:r>
          </w:p>
        </w:tc>
        <w:tc>
          <w:tcPr>
            <w:tcW w:w="1012" w:type="dxa"/>
            <w:tcBorders>
              <w:top w:val="single" w:sz="4" w:space="0" w:color="auto"/>
              <w:left w:val="nil"/>
              <w:bottom w:val="single" w:sz="4" w:space="0" w:color="auto"/>
              <w:right w:val="single" w:sz="4" w:space="0" w:color="auto"/>
            </w:tcBorders>
          </w:tcPr>
          <w:p w14:paraId="5FBA72A3" w14:textId="77777777" w:rsidR="0086649F" w:rsidRDefault="0086649F" w:rsidP="00D6309C">
            <w:pPr>
              <w:pStyle w:val="TableText"/>
              <w:jc w:val="right"/>
              <w:rPr>
                <w:b/>
                <w:lang w:eastAsia="en-AU"/>
              </w:rPr>
            </w:pPr>
            <w:r>
              <w:rPr>
                <w:b/>
                <w:lang w:eastAsia="en-AU"/>
              </w:rPr>
              <w:t>Qtr 57</w:t>
            </w:r>
          </w:p>
        </w:tc>
        <w:tc>
          <w:tcPr>
            <w:tcW w:w="1012" w:type="dxa"/>
            <w:tcBorders>
              <w:top w:val="single" w:sz="4" w:space="0" w:color="auto"/>
              <w:left w:val="nil"/>
              <w:bottom w:val="single" w:sz="4" w:space="0" w:color="auto"/>
              <w:right w:val="single" w:sz="4" w:space="0" w:color="auto"/>
            </w:tcBorders>
          </w:tcPr>
          <w:p w14:paraId="5C2D0AD6" w14:textId="6A0A803C" w:rsidR="0086649F" w:rsidRDefault="0086649F" w:rsidP="00D6309C">
            <w:pPr>
              <w:pStyle w:val="TableText"/>
              <w:jc w:val="right"/>
              <w:rPr>
                <w:b/>
                <w:lang w:eastAsia="en-AU"/>
              </w:rPr>
            </w:pPr>
            <w:r>
              <w:rPr>
                <w:b/>
                <w:lang w:eastAsia="en-AU"/>
              </w:rPr>
              <w:t>Qtr 58</w:t>
            </w:r>
          </w:p>
        </w:tc>
      </w:tr>
      <w:tr w:rsidR="0086649F" w:rsidRPr="0093030B" w14:paraId="134E71DE" w14:textId="47058A82" w:rsidTr="0086649F">
        <w:trPr>
          <w:trHeight w:val="255"/>
        </w:trPr>
        <w:tc>
          <w:tcPr>
            <w:tcW w:w="3460" w:type="dxa"/>
            <w:tcBorders>
              <w:top w:val="nil"/>
              <w:left w:val="single" w:sz="4" w:space="0" w:color="auto"/>
              <w:bottom w:val="single" w:sz="4" w:space="0" w:color="auto"/>
              <w:right w:val="single" w:sz="4" w:space="0" w:color="auto"/>
            </w:tcBorders>
            <w:noWrap/>
            <w:vAlign w:val="bottom"/>
          </w:tcPr>
          <w:p w14:paraId="5E3B318C" w14:textId="77777777" w:rsidR="0086649F" w:rsidRDefault="0086649F" w:rsidP="00D6309C">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3F58AA9B" w14:textId="77777777" w:rsidR="0086649F" w:rsidRDefault="0086649F" w:rsidP="00D6309C">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795DED7" w14:textId="77777777" w:rsidR="0086649F" w:rsidRDefault="0086649F" w:rsidP="00D6309C">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B92B279" w14:textId="77777777" w:rsidR="0086649F" w:rsidRDefault="0086649F" w:rsidP="00D6309C">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5D5BA07" w14:textId="77777777" w:rsidR="0086649F" w:rsidRDefault="0086649F" w:rsidP="00D6309C">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A9F841B" w14:textId="2FE66ABE" w:rsidR="0086649F" w:rsidRDefault="0086649F" w:rsidP="00D6309C">
            <w:pPr>
              <w:jc w:val="right"/>
              <w:rPr>
                <w:rFonts w:cs="Arial"/>
              </w:rPr>
            </w:pPr>
            <w:r>
              <w:rPr>
                <w:rFonts w:cs="Arial"/>
              </w:rPr>
              <w:t>0</w:t>
            </w:r>
          </w:p>
        </w:tc>
      </w:tr>
      <w:tr w:rsidR="0086649F" w:rsidRPr="0093030B" w14:paraId="0732874A" w14:textId="149BC259" w:rsidTr="0086649F">
        <w:trPr>
          <w:trHeight w:val="255"/>
        </w:trPr>
        <w:tc>
          <w:tcPr>
            <w:tcW w:w="3460" w:type="dxa"/>
            <w:tcBorders>
              <w:top w:val="nil"/>
              <w:left w:val="single" w:sz="4" w:space="0" w:color="auto"/>
              <w:bottom w:val="single" w:sz="4" w:space="0" w:color="auto"/>
              <w:right w:val="single" w:sz="4" w:space="0" w:color="auto"/>
            </w:tcBorders>
            <w:noWrap/>
            <w:vAlign w:val="bottom"/>
          </w:tcPr>
          <w:p w14:paraId="43730486" w14:textId="77777777" w:rsidR="0086649F" w:rsidRPr="0093030B" w:rsidRDefault="0086649F" w:rsidP="00D6309C">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3698E3E0" w14:textId="77777777" w:rsidR="0086649F" w:rsidRDefault="0086649F" w:rsidP="00D6309C">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226AD39B" w14:textId="77777777" w:rsidR="0086649F" w:rsidRDefault="0086649F" w:rsidP="00D6309C">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7744A2DE" w14:textId="77777777" w:rsidR="0086649F" w:rsidRDefault="0086649F" w:rsidP="00D6309C">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1F291C61" w14:textId="77777777" w:rsidR="0086649F" w:rsidRDefault="0086649F" w:rsidP="00D6309C">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367B8F33" w14:textId="3599D8E9" w:rsidR="0086649F" w:rsidRDefault="0086649F" w:rsidP="00D6309C">
            <w:pPr>
              <w:jc w:val="right"/>
              <w:rPr>
                <w:rFonts w:cs="Arial"/>
              </w:rPr>
            </w:pPr>
            <w:r>
              <w:rPr>
                <w:rFonts w:cs="Arial"/>
              </w:rPr>
              <w:t>4</w:t>
            </w:r>
          </w:p>
        </w:tc>
      </w:tr>
      <w:tr w:rsidR="0086649F" w:rsidRPr="0093030B" w14:paraId="4C998221" w14:textId="3D315A37" w:rsidTr="0086649F">
        <w:trPr>
          <w:trHeight w:val="255"/>
        </w:trPr>
        <w:tc>
          <w:tcPr>
            <w:tcW w:w="3460" w:type="dxa"/>
            <w:tcBorders>
              <w:top w:val="nil"/>
              <w:left w:val="single" w:sz="4" w:space="0" w:color="auto"/>
              <w:bottom w:val="single" w:sz="4" w:space="0" w:color="auto"/>
              <w:right w:val="single" w:sz="4" w:space="0" w:color="auto"/>
            </w:tcBorders>
            <w:noWrap/>
            <w:vAlign w:val="bottom"/>
            <w:hideMark/>
          </w:tcPr>
          <w:p w14:paraId="387CD163" w14:textId="77777777" w:rsidR="0086649F" w:rsidRPr="0093030B" w:rsidRDefault="0086649F" w:rsidP="00D6309C">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006D11E8" w14:textId="77777777" w:rsidR="0086649F" w:rsidRDefault="0086649F" w:rsidP="00D6309C">
            <w:pPr>
              <w:jc w:val="right"/>
              <w:rPr>
                <w:rFonts w:cs="Arial"/>
              </w:rPr>
            </w:pPr>
            <w:r>
              <w:rPr>
                <w:rFonts w:cs="Arial"/>
              </w:rPr>
              <w:t>326</w:t>
            </w:r>
          </w:p>
        </w:tc>
        <w:tc>
          <w:tcPr>
            <w:tcW w:w="1012" w:type="dxa"/>
            <w:tcBorders>
              <w:top w:val="nil"/>
              <w:left w:val="nil"/>
              <w:bottom w:val="single" w:sz="4" w:space="0" w:color="auto"/>
              <w:right w:val="single" w:sz="4" w:space="0" w:color="auto"/>
            </w:tcBorders>
          </w:tcPr>
          <w:p w14:paraId="7354ABA6" w14:textId="77777777" w:rsidR="0086649F" w:rsidRPr="001F4FDB" w:rsidRDefault="0086649F" w:rsidP="00D6309C">
            <w:pPr>
              <w:jc w:val="right"/>
              <w:rPr>
                <w:rFonts w:cs="Arial"/>
              </w:rPr>
            </w:pPr>
            <w:r>
              <w:rPr>
                <w:rFonts w:cs="Arial"/>
              </w:rPr>
              <w:t>388</w:t>
            </w:r>
          </w:p>
        </w:tc>
        <w:tc>
          <w:tcPr>
            <w:tcW w:w="1012" w:type="dxa"/>
            <w:tcBorders>
              <w:top w:val="nil"/>
              <w:left w:val="nil"/>
              <w:bottom w:val="single" w:sz="4" w:space="0" w:color="auto"/>
              <w:right w:val="single" w:sz="4" w:space="0" w:color="auto"/>
            </w:tcBorders>
          </w:tcPr>
          <w:p w14:paraId="1249EC41" w14:textId="77777777" w:rsidR="0086649F" w:rsidRDefault="0086649F" w:rsidP="00D6309C">
            <w:pPr>
              <w:jc w:val="right"/>
              <w:rPr>
                <w:rFonts w:cs="Arial"/>
              </w:rPr>
            </w:pPr>
            <w:r>
              <w:rPr>
                <w:rFonts w:cs="Arial"/>
              </w:rPr>
              <w:t>273</w:t>
            </w:r>
          </w:p>
        </w:tc>
        <w:tc>
          <w:tcPr>
            <w:tcW w:w="1012" w:type="dxa"/>
            <w:tcBorders>
              <w:top w:val="nil"/>
              <w:left w:val="nil"/>
              <w:bottom w:val="single" w:sz="4" w:space="0" w:color="auto"/>
              <w:right w:val="single" w:sz="4" w:space="0" w:color="auto"/>
            </w:tcBorders>
          </w:tcPr>
          <w:p w14:paraId="38F93CAD" w14:textId="77777777" w:rsidR="0086649F" w:rsidRDefault="0086649F" w:rsidP="00D6309C">
            <w:pPr>
              <w:jc w:val="right"/>
              <w:rPr>
                <w:rFonts w:cs="Arial"/>
              </w:rPr>
            </w:pPr>
            <w:r>
              <w:rPr>
                <w:rFonts w:cs="Arial"/>
              </w:rPr>
              <w:t>333</w:t>
            </w:r>
          </w:p>
        </w:tc>
        <w:tc>
          <w:tcPr>
            <w:tcW w:w="1012" w:type="dxa"/>
            <w:tcBorders>
              <w:top w:val="nil"/>
              <w:left w:val="nil"/>
              <w:bottom w:val="single" w:sz="4" w:space="0" w:color="auto"/>
              <w:right w:val="single" w:sz="4" w:space="0" w:color="auto"/>
            </w:tcBorders>
          </w:tcPr>
          <w:p w14:paraId="295EBCC9" w14:textId="10BAF6DF" w:rsidR="0086649F" w:rsidRDefault="0086649F" w:rsidP="00D6309C">
            <w:pPr>
              <w:jc w:val="right"/>
              <w:rPr>
                <w:rFonts w:cs="Arial"/>
              </w:rPr>
            </w:pPr>
            <w:r>
              <w:rPr>
                <w:rFonts w:cs="Arial"/>
              </w:rPr>
              <w:t>269</w:t>
            </w:r>
          </w:p>
        </w:tc>
      </w:tr>
      <w:tr w:rsidR="0086649F" w:rsidRPr="0093030B" w14:paraId="42453DD6" w14:textId="327D2577" w:rsidTr="0086649F">
        <w:trPr>
          <w:trHeight w:val="255"/>
        </w:trPr>
        <w:tc>
          <w:tcPr>
            <w:tcW w:w="3460" w:type="dxa"/>
            <w:tcBorders>
              <w:top w:val="nil"/>
              <w:left w:val="single" w:sz="4" w:space="0" w:color="auto"/>
              <w:bottom w:val="single" w:sz="4" w:space="0" w:color="auto"/>
              <w:right w:val="single" w:sz="4" w:space="0" w:color="auto"/>
            </w:tcBorders>
            <w:noWrap/>
            <w:vAlign w:val="bottom"/>
          </w:tcPr>
          <w:p w14:paraId="3821F831" w14:textId="77777777" w:rsidR="0086649F" w:rsidRPr="0093030B" w:rsidRDefault="0086649F" w:rsidP="00D6309C">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1DF55C3B" w14:textId="77777777" w:rsidR="0086649F" w:rsidRDefault="0086649F" w:rsidP="00D6309C">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68DFF3D6" w14:textId="77777777" w:rsidR="0086649F" w:rsidRPr="001F4FDB" w:rsidRDefault="0086649F" w:rsidP="00D6309C">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729A3F9E" w14:textId="77777777" w:rsidR="0086649F" w:rsidRDefault="0086649F" w:rsidP="00D6309C">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2287794D" w14:textId="77777777" w:rsidR="0086649F" w:rsidRDefault="0086649F" w:rsidP="00D6309C">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061313C9" w14:textId="05E06E8E" w:rsidR="0086649F" w:rsidRDefault="0086649F" w:rsidP="00D6309C">
            <w:pPr>
              <w:jc w:val="right"/>
              <w:rPr>
                <w:rFonts w:cs="Arial"/>
              </w:rPr>
            </w:pPr>
            <w:r>
              <w:rPr>
                <w:rFonts w:cs="Arial"/>
              </w:rPr>
              <w:t>41</w:t>
            </w:r>
          </w:p>
        </w:tc>
      </w:tr>
      <w:tr w:rsidR="0086649F" w:rsidRPr="0093030B" w14:paraId="609E51AB" w14:textId="24EAB96C" w:rsidTr="0086649F">
        <w:trPr>
          <w:trHeight w:val="255"/>
        </w:trPr>
        <w:tc>
          <w:tcPr>
            <w:tcW w:w="3460" w:type="dxa"/>
            <w:tcBorders>
              <w:top w:val="nil"/>
              <w:left w:val="single" w:sz="4" w:space="0" w:color="auto"/>
              <w:bottom w:val="single" w:sz="4" w:space="0" w:color="auto"/>
              <w:right w:val="single" w:sz="4" w:space="0" w:color="auto"/>
            </w:tcBorders>
            <w:noWrap/>
            <w:vAlign w:val="bottom"/>
          </w:tcPr>
          <w:p w14:paraId="756223CA" w14:textId="77777777" w:rsidR="0086649F" w:rsidRPr="0093030B" w:rsidRDefault="0086649F" w:rsidP="00D6309C">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1F09AEBE" w14:textId="77777777" w:rsidR="0086649F" w:rsidRDefault="0086649F" w:rsidP="00D6309C">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5181838B" w14:textId="77777777" w:rsidR="0086649F" w:rsidRPr="001F4FDB" w:rsidRDefault="0086649F" w:rsidP="00D6309C">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70A04123" w14:textId="77777777" w:rsidR="0086649F" w:rsidRDefault="0086649F" w:rsidP="00D6309C">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4EEFCD28" w14:textId="77777777" w:rsidR="0086649F" w:rsidRDefault="0086649F" w:rsidP="00D6309C">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5BD82EF0" w14:textId="610D5061" w:rsidR="0086649F" w:rsidRDefault="0086649F" w:rsidP="00D6309C">
            <w:pPr>
              <w:jc w:val="right"/>
              <w:rPr>
                <w:rFonts w:cs="Arial"/>
              </w:rPr>
            </w:pPr>
            <w:r>
              <w:rPr>
                <w:rFonts w:cs="Arial"/>
              </w:rPr>
              <w:t>80</w:t>
            </w:r>
          </w:p>
        </w:tc>
      </w:tr>
      <w:tr w:rsidR="0086649F" w:rsidRPr="0093030B" w14:paraId="230E48C9" w14:textId="0F8D8AB4" w:rsidTr="0086649F">
        <w:trPr>
          <w:trHeight w:val="255"/>
        </w:trPr>
        <w:tc>
          <w:tcPr>
            <w:tcW w:w="3460" w:type="dxa"/>
            <w:tcBorders>
              <w:top w:val="nil"/>
              <w:left w:val="single" w:sz="4" w:space="0" w:color="auto"/>
              <w:bottom w:val="single" w:sz="4" w:space="0" w:color="auto"/>
              <w:right w:val="single" w:sz="4" w:space="0" w:color="auto"/>
            </w:tcBorders>
            <w:noWrap/>
            <w:vAlign w:val="bottom"/>
            <w:hideMark/>
          </w:tcPr>
          <w:p w14:paraId="34AFFAAB" w14:textId="77777777" w:rsidR="0086649F" w:rsidRPr="0093030B" w:rsidRDefault="0086649F" w:rsidP="00D6309C">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7B554B43" w14:textId="77777777" w:rsidR="0086649F" w:rsidRDefault="0086649F" w:rsidP="00D6309C">
            <w:pPr>
              <w:jc w:val="right"/>
              <w:rPr>
                <w:rFonts w:cs="Arial"/>
              </w:rPr>
            </w:pPr>
            <w:r>
              <w:rPr>
                <w:rFonts w:cs="Arial"/>
              </w:rPr>
              <w:t>604</w:t>
            </w:r>
          </w:p>
        </w:tc>
        <w:tc>
          <w:tcPr>
            <w:tcW w:w="1012" w:type="dxa"/>
            <w:tcBorders>
              <w:top w:val="nil"/>
              <w:left w:val="nil"/>
              <w:bottom w:val="single" w:sz="4" w:space="0" w:color="auto"/>
              <w:right w:val="single" w:sz="4" w:space="0" w:color="auto"/>
            </w:tcBorders>
          </w:tcPr>
          <w:p w14:paraId="123553BC" w14:textId="77777777" w:rsidR="0086649F" w:rsidRPr="001F4FDB" w:rsidRDefault="0086649F" w:rsidP="00D6309C">
            <w:pPr>
              <w:jc w:val="right"/>
              <w:rPr>
                <w:rFonts w:cs="Arial"/>
              </w:rPr>
            </w:pPr>
            <w:r>
              <w:rPr>
                <w:rFonts w:cs="Arial"/>
              </w:rPr>
              <w:t>612</w:t>
            </w:r>
          </w:p>
        </w:tc>
        <w:tc>
          <w:tcPr>
            <w:tcW w:w="1012" w:type="dxa"/>
            <w:tcBorders>
              <w:top w:val="nil"/>
              <w:left w:val="nil"/>
              <w:bottom w:val="single" w:sz="4" w:space="0" w:color="auto"/>
              <w:right w:val="single" w:sz="4" w:space="0" w:color="auto"/>
            </w:tcBorders>
          </w:tcPr>
          <w:p w14:paraId="22DA19A8" w14:textId="77777777" w:rsidR="0086649F" w:rsidRDefault="0086649F" w:rsidP="00D6309C">
            <w:pPr>
              <w:jc w:val="right"/>
              <w:rPr>
                <w:rFonts w:cs="Arial"/>
              </w:rPr>
            </w:pPr>
            <w:r>
              <w:rPr>
                <w:rFonts w:cs="Arial"/>
              </w:rPr>
              <w:t>690</w:t>
            </w:r>
          </w:p>
        </w:tc>
        <w:tc>
          <w:tcPr>
            <w:tcW w:w="1012" w:type="dxa"/>
            <w:tcBorders>
              <w:top w:val="nil"/>
              <w:left w:val="nil"/>
              <w:bottom w:val="single" w:sz="4" w:space="0" w:color="auto"/>
              <w:right w:val="single" w:sz="4" w:space="0" w:color="auto"/>
            </w:tcBorders>
          </w:tcPr>
          <w:p w14:paraId="24170B03" w14:textId="77777777" w:rsidR="0086649F" w:rsidRDefault="0086649F" w:rsidP="00D6309C">
            <w:pPr>
              <w:jc w:val="right"/>
              <w:rPr>
                <w:rFonts w:cs="Arial"/>
              </w:rPr>
            </w:pPr>
            <w:r>
              <w:rPr>
                <w:rFonts w:cs="Arial"/>
              </w:rPr>
              <w:t>539</w:t>
            </w:r>
          </w:p>
        </w:tc>
        <w:tc>
          <w:tcPr>
            <w:tcW w:w="1012" w:type="dxa"/>
            <w:tcBorders>
              <w:top w:val="nil"/>
              <w:left w:val="nil"/>
              <w:bottom w:val="single" w:sz="4" w:space="0" w:color="auto"/>
              <w:right w:val="single" w:sz="4" w:space="0" w:color="auto"/>
            </w:tcBorders>
          </w:tcPr>
          <w:p w14:paraId="440EC2E1" w14:textId="00D626D1" w:rsidR="0086649F" w:rsidRDefault="0086649F" w:rsidP="00D6309C">
            <w:pPr>
              <w:jc w:val="right"/>
              <w:rPr>
                <w:rFonts w:cs="Arial"/>
              </w:rPr>
            </w:pPr>
            <w:r>
              <w:rPr>
                <w:rFonts w:cs="Arial"/>
              </w:rPr>
              <w:t>731</w:t>
            </w:r>
          </w:p>
        </w:tc>
      </w:tr>
      <w:tr w:rsidR="0086649F" w:rsidRPr="0093030B" w14:paraId="6E995287" w14:textId="05570104" w:rsidTr="0086649F">
        <w:trPr>
          <w:trHeight w:val="255"/>
        </w:trPr>
        <w:tc>
          <w:tcPr>
            <w:tcW w:w="3460" w:type="dxa"/>
            <w:tcBorders>
              <w:top w:val="nil"/>
              <w:left w:val="single" w:sz="4" w:space="0" w:color="auto"/>
              <w:bottom w:val="single" w:sz="4" w:space="0" w:color="auto"/>
              <w:right w:val="single" w:sz="4" w:space="0" w:color="auto"/>
            </w:tcBorders>
            <w:noWrap/>
            <w:vAlign w:val="bottom"/>
          </w:tcPr>
          <w:p w14:paraId="760B0090" w14:textId="77777777" w:rsidR="0086649F" w:rsidRPr="0093030B" w:rsidRDefault="0086649F" w:rsidP="00D6309C">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636B7ECE" w14:textId="77777777" w:rsidR="0086649F" w:rsidRDefault="0086649F" w:rsidP="00D6309C">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2DEC9860" w14:textId="77777777" w:rsidR="0086649F" w:rsidRPr="001F4FDB" w:rsidRDefault="0086649F" w:rsidP="00D6309C">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689E7829" w14:textId="77777777" w:rsidR="0086649F" w:rsidRDefault="0086649F" w:rsidP="00D6309C">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22749C35" w14:textId="77777777" w:rsidR="0086649F" w:rsidRDefault="0086649F" w:rsidP="00D6309C">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75CEB0AB" w14:textId="329BD56D" w:rsidR="0086649F" w:rsidRDefault="0086649F" w:rsidP="00D6309C">
            <w:pPr>
              <w:jc w:val="right"/>
              <w:rPr>
                <w:rFonts w:cs="Arial"/>
              </w:rPr>
            </w:pPr>
            <w:r>
              <w:rPr>
                <w:rFonts w:cs="Arial"/>
              </w:rPr>
              <w:t>1</w:t>
            </w:r>
          </w:p>
        </w:tc>
      </w:tr>
      <w:tr w:rsidR="0086649F" w:rsidRPr="0093030B" w14:paraId="27323DB8" w14:textId="155C957F" w:rsidTr="0086649F">
        <w:trPr>
          <w:trHeight w:val="255"/>
        </w:trPr>
        <w:tc>
          <w:tcPr>
            <w:tcW w:w="3460" w:type="dxa"/>
            <w:tcBorders>
              <w:top w:val="nil"/>
              <w:left w:val="single" w:sz="4" w:space="0" w:color="auto"/>
              <w:bottom w:val="single" w:sz="4" w:space="0" w:color="auto"/>
              <w:right w:val="single" w:sz="4" w:space="0" w:color="auto"/>
            </w:tcBorders>
            <w:noWrap/>
            <w:vAlign w:val="bottom"/>
            <w:hideMark/>
          </w:tcPr>
          <w:p w14:paraId="0AFFE481" w14:textId="77777777" w:rsidR="0086649F" w:rsidRPr="0093030B" w:rsidRDefault="0086649F" w:rsidP="00D6309C">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638C2BDC" w14:textId="77777777" w:rsidR="0086649F" w:rsidRDefault="0086649F" w:rsidP="00D6309C">
            <w:pPr>
              <w:jc w:val="right"/>
              <w:rPr>
                <w:rFonts w:cs="Arial"/>
              </w:rPr>
            </w:pPr>
            <w:r>
              <w:rPr>
                <w:rFonts w:cs="Arial"/>
              </w:rPr>
              <w:t>73</w:t>
            </w:r>
          </w:p>
        </w:tc>
        <w:tc>
          <w:tcPr>
            <w:tcW w:w="1012" w:type="dxa"/>
            <w:tcBorders>
              <w:top w:val="nil"/>
              <w:left w:val="nil"/>
              <w:bottom w:val="single" w:sz="4" w:space="0" w:color="auto"/>
              <w:right w:val="single" w:sz="4" w:space="0" w:color="auto"/>
            </w:tcBorders>
          </w:tcPr>
          <w:p w14:paraId="137B7902" w14:textId="77777777" w:rsidR="0086649F" w:rsidRPr="001F4FDB" w:rsidRDefault="0086649F" w:rsidP="00D6309C">
            <w:pPr>
              <w:jc w:val="right"/>
              <w:rPr>
                <w:rFonts w:cs="Arial"/>
              </w:rPr>
            </w:pPr>
            <w:r>
              <w:rPr>
                <w:rFonts w:cs="Arial"/>
              </w:rPr>
              <w:t>74</w:t>
            </w:r>
          </w:p>
        </w:tc>
        <w:tc>
          <w:tcPr>
            <w:tcW w:w="1012" w:type="dxa"/>
            <w:tcBorders>
              <w:top w:val="nil"/>
              <w:left w:val="nil"/>
              <w:bottom w:val="single" w:sz="4" w:space="0" w:color="auto"/>
              <w:right w:val="single" w:sz="4" w:space="0" w:color="auto"/>
            </w:tcBorders>
          </w:tcPr>
          <w:p w14:paraId="02DDEC4A" w14:textId="77777777" w:rsidR="0086649F" w:rsidRDefault="0086649F" w:rsidP="00D6309C">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16BE8CF5" w14:textId="77777777" w:rsidR="0086649F" w:rsidRDefault="0086649F" w:rsidP="00D6309C">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1BDFE8E7" w14:textId="7B86CA4A" w:rsidR="0086649F" w:rsidRDefault="0086649F" w:rsidP="00D6309C">
            <w:pPr>
              <w:jc w:val="right"/>
              <w:rPr>
                <w:rFonts w:cs="Arial"/>
              </w:rPr>
            </w:pPr>
            <w:r>
              <w:rPr>
                <w:rFonts w:cs="Arial"/>
              </w:rPr>
              <w:t>93</w:t>
            </w:r>
          </w:p>
        </w:tc>
      </w:tr>
      <w:tr w:rsidR="0086649F" w:rsidRPr="0093030B" w14:paraId="3F4EBBCD" w14:textId="77F6AF7F" w:rsidTr="0086649F">
        <w:trPr>
          <w:trHeight w:val="255"/>
        </w:trPr>
        <w:tc>
          <w:tcPr>
            <w:tcW w:w="3460" w:type="dxa"/>
            <w:tcBorders>
              <w:top w:val="nil"/>
              <w:left w:val="single" w:sz="4" w:space="0" w:color="auto"/>
              <w:bottom w:val="single" w:sz="4" w:space="0" w:color="auto"/>
              <w:right w:val="single" w:sz="4" w:space="0" w:color="auto"/>
            </w:tcBorders>
            <w:noWrap/>
            <w:vAlign w:val="bottom"/>
            <w:hideMark/>
          </w:tcPr>
          <w:p w14:paraId="4D76747D" w14:textId="77777777" w:rsidR="0086649F" w:rsidRPr="0093030B" w:rsidRDefault="0086649F" w:rsidP="00D6309C">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792A08B6" w14:textId="77777777" w:rsidR="0086649F" w:rsidRDefault="0086649F" w:rsidP="00D6309C">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5C9D1631" w14:textId="77777777" w:rsidR="0086649F" w:rsidRPr="001F4FDB" w:rsidRDefault="0086649F" w:rsidP="00D6309C">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1693B2F" w14:textId="77777777" w:rsidR="0086649F" w:rsidRDefault="0086649F" w:rsidP="00D6309C">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0D102456" w14:textId="77777777" w:rsidR="0086649F" w:rsidRDefault="0086649F" w:rsidP="00D6309C">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4DB78336" w14:textId="7D0B863B" w:rsidR="0086649F" w:rsidRDefault="0086649F" w:rsidP="00D6309C">
            <w:pPr>
              <w:jc w:val="right"/>
              <w:rPr>
                <w:rFonts w:cs="Arial"/>
              </w:rPr>
            </w:pPr>
            <w:r>
              <w:rPr>
                <w:rFonts w:cs="Arial"/>
              </w:rPr>
              <w:t>2</w:t>
            </w:r>
          </w:p>
        </w:tc>
      </w:tr>
      <w:tr w:rsidR="0086649F" w:rsidRPr="0093030B" w14:paraId="0008F90C" w14:textId="14319400" w:rsidTr="0086649F">
        <w:trPr>
          <w:trHeight w:val="255"/>
        </w:trPr>
        <w:tc>
          <w:tcPr>
            <w:tcW w:w="3460" w:type="dxa"/>
            <w:tcBorders>
              <w:top w:val="nil"/>
              <w:left w:val="single" w:sz="4" w:space="0" w:color="auto"/>
              <w:bottom w:val="single" w:sz="4" w:space="0" w:color="auto"/>
              <w:right w:val="single" w:sz="4" w:space="0" w:color="auto"/>
            </w:tcBorders>
            <w:noWrap/>
            <w:hideMark/>
          </w:tcPr>
          <w:p w14:paraId="4A878907" w14:textId="77777777" w:rsidR="0086649F" w:rsidRPr="0093030B" w:rsidRDefault="0086649F" w:rsidP="00D6309C">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DB5BF6D" w14:textId="77777777" w:rsidR="0086649F" w:rsidRDefault="0086649F" w:rsidP="00D6309C">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507D870C" w14:textId="77777777" w:rsidR="0086649F" w:rsidRDefault="0086649F" w:rsidP="00D6309C">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7AB2B803" w14:textId="77777777" w:rsidR="0086649F" w:rsidRDefault="0086649F" w:rsidP="00D6309C">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354A576E" w14:textId="77777777" w:rsidR="0086649F" w:rsidRDefault="0086649F" w:rsidP="00D6309C">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4D076E42" w14:textId="2BB2D0BB" w:rsidR="0086649F" w:rsidRDefault="00F45586" w:rsidP="00D6309C">
            <w:pPr>
              <w:jc w:val="right"/>
              <w:rPr>
                <w:rFonts w:cs="Arial"/>
                <w:b/>
                <w:bCs/>
              </w:rPr>
            </w:pPr>
            <w:r>
              <w:rPr>
                <w:rFonts w:cs="Arial"/>
                <w:b/>
                <w:bCs/>
              </w:rPr>
              <w:t>1221</w:t>
            </w:r>
          </w:p>
        </w:tc>
      </w:tr>
    </w:tbl>
    <w:p w14:paraId="594C1BBA" w14:textId="77777777" w:rsidR="0086649F" w:rsidRDefault="0086649F" w:rsidP="005A5B78">
      <w:pPr>
        <w:ind w:left="-142" w:right="-425"/>
        <w:rPr>
          <w:rFonts w:cs="Arial"/>
          <w:b/>
          <w:sz w:val="16"/>
          <w:szCs w:val="16"/>
        </w:rPr>
      </w:pPr>
    </w:p>
    <w:p w14:paraId="0772F769" w14:textId="39AF3673" w:rsidR="00F45586" w:rsidRDefault="00F45586" w:rsidP="00F45586">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w:t>
      </w:r>
      <w:r w:rsidR="00B91E81" w:rsidRPr="008451D3">
        <w:rPr>
          <w:sz w:val="16"/>
          <w:szCs w:val="16"/>
        </w:rPr>
        <w:t xml:space="preserve">1 </w:t>
      </w:r>
      <w:r w:rsidR="00B91E81">
        <w:rPr>
          <w:sz w:val="16"/>
          <w:szCs w:val="16"/>
        </w:rPr>
        <w:t>October 2021 to 31 December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F45586" w:rsidRPr="0093030B" w14:paraId="6BBC483B" w14:textId="6B791073" w:rsidTr="00F45586">
        <w:trPr>
          <w:trHeight w:val="480"/>
        </w:trPr>
        <w:tc>
          <w:tcPr>
            <w:tcW w:w="3460" w:type="dxa"/>
            <w:tcBorders>
              <w:top w:val="single" w:sz="4" w:space="0" w:color="auto"/>
              <w:left w:val="single" w:sz="4" w:space="0" w:color="auto"/>
              <w:bottom w:val="single" w:sz="4" w:space="0" w:color="auto"/>
              <w:right w:val="single" w:sz="4" w:space="0" w:color="auto"/>
            </w:tcBorders>
            <w:hideMark/>
          </w:tcPr>
          <w:p w14:paraId="608A3D47" w14:textId="77777777" w:rsidR="00F45586" w:rsidRPr="0093030B" w:rsidRDefault="00F45586" w:rsidP="00D6309C">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4DE5657D" w14:textId="77777777" w:rsidR="00F45586" w:rsidRDefault="00F45586" w:rsidP="00D6309C">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74734B31" w14:textId="77777777" w:rsidR="00F45586" w:rsidRDefault="00F45586" w:rsidP="00D6309C">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06188E64" w14:textId="77777777" w:rsidR="00F45586" w:rsidRDefault="00F45586" w:rsidP="00D6309C">
            <w:pPr>
              <w:pStyle w:val="TableText"/>
              <w:jc w:val="right"/>
              <w:rPr>
                <w:b/>
                <w:lang w:eastAsia="en-AU"/>
              </w:rPr>
            </w:pPr>
            <w:r>
              <w:rPr>
                <w:b/>
                <w:lang w:eastAsia="en-AU"/>
              </w:rPr>
              <w:t>Qtr 56</w:t>
            </w:r>
          </w:p>
        </w:tc>
        <w:tc>
          <w:tcPr>
            <w:tcW w:w="1012" w:type="dxa"/>
            <w:tcBorders>
              <w:top w:val="single" w:sz="4" w:space="0" w:color="auto"/>
              <w:left w:val="nil"/>
              <w:bottom w:val="single" w:sz="4" w:space="0" w:color="auto"/>
              <w:right w:val="single" w:sz="4" w:space="0" w:color="auto"/>
            </w:tcBorders>
          </w:tcPr>
          <w:p w14:paraId="771B41E8" w14:textId="77777777" w:rsidR="00F45586" w:rsidRDefault="00F45586" w:rsidP="00D6309C">
            <w:pPr>
              <w:pStyle w:val="TableText"/>
              <w:jc w:val="right"/>
              <w:rPr>
                <w:b/>
                <w:lang w:eastAsia="en-AU"/>
              </w:rPr>
            </w:pPr>
            <w:r>
              <w:rPr>
                <w:b/>
                <w:lang w:eastAsia="en-AU"/>
              </w:rPr>
              <w:t>Qtr 57</w:t>
            </w:r>
          </w:p>
        </w:tc>
        <w:tc>
          <w:tcPr>
            <w:tcW w:w="1012" w:type="dxa"/>
            <w:tcBorders>
              <w:top w:val="single" w:sz="4" w:space="0" w:color="auto"/>
              <w:left w:val="nil"/>
              <w:bottom w:val="single" w:sz="4" w:space="0" w:color="auto"/>
              <w:right w:val="single" w:sz="4" w:space="0" w:color="auto"/>
            </w:tcBorders>
          </w:tcPr>
          <w:p w14:paraId="1E78F0B5" w14:textId="51F581C4" w:rsidR="00F45586" w:rsidRDefault="00F45586" w:rsidP="00D6309C">
            <w:pPr>
              <w:pStyle w:val="TableText"/>
              <w:jc w:val="right"/>
              <w:rPr>
                <w:b/>
                <w:lang w:eastAsia="en-AU"/>
              </w:rPr>
            </w:pPr>
            <w:r>
              <w:rPr>
                <w:b/>
                <w:lang w:eastAsia="en-AU"/>
              </w:rPr>
              <w:t>Qtr 58</w:t>
            </w:r>
          </w:p>
        </w:tc>
      </w:tr>
      <w:tr w:rsidR="00F45586" w:rsidRPr="0093030B" w14:paraId="61FF3130" w14:textId="20B71D02" w:rsidTr="00F45586">
        <w:trPr>
          <w:trHeight w:val="255"/>
        </w:trPr>
        <w:tc>
          <w:tcPr>
            <w:tcW w:w="3460" w:type="dxa"/>
            <w:tcBorders>
              <w:top w:val="nil"/>
              <w:left w:val="single" w:sz="4" w:space="0" w:color="auto"/>
              <w:bottom w:val="single" w:sz="4" w:space="0" w:color="auto"/>
              <w:right w:val="single" w:sz="4" w:space="0" w:color="auto"/>
            </w:tcBorders>
            <w:noWrap/>
            <w:vAlign w:val="bottom"/>
          </w:tcPr>
          <w:p w14:paraId="312BEF74" w14:textId="77777777" w:rsidR="00F45586" w:rsidRPr="0093030B" w:rsidRDefault="00F45586" w:rsidP="00D6309C">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B522257" w14:textId="77777777" w:rsidR="00F45586" w:rsidRDefault="00F45586" w:rsidP="00D6309C">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28FC5007" w14:textId="77777777" w:rsidR="00F45586" w:rsidRPr="001F4FDB" w:rsidRDefault="00F45586" w:rsidP="00D6309C">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7296F003" w14:textId="77777777" w:rsidR="00F45586" w:rsidRDefault="00F45586" w:rsidP="00D6309C">
            <w:pPr>
              <w:jc w:val="right"/>
              <w:rPr>
                <w:rFonts w:cs="Arial"/>
              </w:rPr>
            </w:pPr>
            <w:r>
              <w:rPr>
                <w:rFonts w:cs="Arial"/>
              </w:rPr>
              <w:t>498</w:t>
            </w:r>
          </w:p>
        </w:tc>
        <w:tc>
          <w:tcPr>
            <w:tcW w:w="1012" w:type="dxa"/>
            <w:tcBorders>
              <w:top w:val="nil"/>
              <w:left w:val="nil"/>
              <w:bottom w:val="single" w:sz="4" w:space="0" w:color="auto"/>
              <w:right w:val="single" w:sz="4" w:space="0" w:color="auto"/>
            </w:tcBorders>
          </w:tcPr>
          <w:p w14:paraId="23828A45" w14:textId="77777777" w:rsidR="00F45586" w:rsidRDefault="00F45586" w:rsidP="00D6309C">
            <w:pPr>
              <w:jc w:val="right"/>
              <w:rPr>
                <w:rFonts w:cs="Arial"/>
              </w:rPr>
            </w:pPr>
            <w:r>
              <w:rPr>
                <w:rFonts w:cs="Arial"/>
              </w:rPr>
              <w:t>387</w:t>
            </w:r>
          </w:p>
        </w:tc>
        <w:tc>
          <w:tcPr>
            <w:tcW w:w="1012" w:type="dxa"/>
            <w:tcBorders>
              <w:top w:val="nil"/>
              <w:left w:val="nil"/>
              <w:bottom w:val="single" w:sz="4" w:space="0" w:color="auto"/>
              <w:right w:val="single" w:sz="4" w:space="0" w:color="auto"/>
            </w:tcBorders>
          </w:tcPr>
          <w:p w14:paraId="2BE0939E" w14:textId="286EE58C" w:rsidR="00F45586" w:rsidRDefault="00F45586" w:rsidP="00D6309C">
            <w:pPr>
              <w:jc w:val="right"/>
              <w:rPr>
                <w:rFonts w:cs="Arial"/>
              </w:rPr>
            </w:pPr>
            <w:r>
              <w:rPr>
                <w:rFonts w:cs="Arial"/>
              </w:rPr>
              <w:t>382</w:t>
            </w:r>
          </w:p>
        </w:tc>
      </w:tr>
      <w:tr w:rsidR="00F45586" w:rsidRPr="0093030B" w14:paraId="58E99B0A" w14:textId="618BEF96" w:rsidTr="00F45586">
        <w:trPr>
          <w:trHeight w:val="255"/>
        </w:trPr>
        <w:tc>
          <w:tcPr>
            <w:tcW w:w="3460" w:type="dxa"/>
            <w:tcBorders>
              <w:top w:val="nil"/>
              <w:left w:val="single" w:sz="4" w:space="0" w:color="auto"/>
              <w:bottom w:val="single" w:sz="4" w:space="0" w:color="auto"/>
              <w:right w:val="single" w:sz="4" w:space="0" w:color="auto"/>
            </w:tcBorders>
            <w:noWrap/>
            <w:vAlign w:val="bottom"/>
            <w:hideMark/>
          </w:tcPr>
          <w:p w14:paraId="160EDA27" w14:textId="77777777" w:rsidR="00F45586" w:rsidRPr="0093030B" w:rsidRDefault="00F45586" w:rsidP="00D6309C">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22021EE3" w14:textId="77777777" w:rsidR="00F45586" w:rsidRDefault="00F45586" w:rsidP="00D6309C">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4667C20E" w14:textId="77777777" w:rsidR="00F45586" w:rsidRPr="001F4FDB" w:rsidRDefault="00F45586" w:rsidP="00D6309C">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158C79E4" w14:textId="77777777" w:rsidR="00F45586" w:rsidRDefault="00F45586" w:rsidP="00D6309C">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492CDB65" w14:textId="77777777" w:rsidR="00F45586" w:rsidRDefault="00F45586" w:rsidP="00D6309C">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50732981" w14:textId="7229B6EF" w:rsidR="00F45586" w:rsidRDefault="00F45586" w:rsidP="00D6309C">
            <w:pPr>
              <w:jc w:val="right"/>
              <w:rPr>
                <w:rFonts w:cs="Arial"/>
              </w:rPr>
            </w:pPr>
            <w:r>
              <w:rPr>
                <w:rFonts w:cs="Arial"/>
              </w:rPr>
              <w:t>62</w:t>
            </w:r>
          </w:p>
        </w:tc>
      </w:tr>
      <w:tr w:rsidR="00F45586" w:rsidRPr="0093030B" w14:paraId="78267A96" w14:textId="6D0C15CC" w:rsidTr="00F45586">
        <w:trPr>
          <w:trHeight w:val="255"/>
        </w:trPr>
        <w:tc>
          <w:tcPr>
            <w:tcW w:w="3460" w:type="dxa"/>
            <w:tcBorders>
              <w:top w:val="nil"/>
              <w:left w:val="single" w:sz="4" w:space="0" w:color="auto"/>
              <w:bottom w:val="single" w:sz="4" w:space="0" w:color="auto"/>
              <w:right w:val="single" w:sz="4" w:space="0" w:color="auto"/>
            </w:tcBorders>
            <w:noWrap/>
            <w:vAlign w:val="bottom"/>
          </w:tcPr>
          <w:p w14:paraId="14EDB750" w14:textId="77777777" w:rsidR="00F45586" w:rsidRPr="0093030B" w:rsidRDefault="00F45586" w:rsidP="00D6309C">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138C0F3B" w14:textId="77777777" w:rsidR="00F45586" w:rsidRDefault="00F45586" w:rsidP="00D6309C">
            <w:pPr>
              <w:jc w:val="right"/>
              <w:rPr>
                <w:rFonts w:cs="Arial"/>
              </w:rPr>
            </w:pPr>
            <w:r>
              <w:rPr>
                <w:rFonts w:cs="Arial"/>
              </w:rPr>
              <w:t>297</w:t>
            </w:r>
          </w:p>
        </w:tc>
        <w:tc>
          <w:tcPr>
            <w:tcW w:w="1012" w:type="dxa"/>
            <w:tcBorders>
              <w:top w:val="nil"/>
              <w:left w:val="nil"/>
              <w:bottom w:val="single" w:sz="4" w:space="0" w:color="auto"/>
              <w:right w:val="single" w:sz="4" w:space="0" w:color="auto"/>
            </w:tcBorders>
          </w:tcPr>
          <w:p w14:paraId="7F31162F" w14:textId="77777777" w:rsidR="00F45586" w:rsidRPr="001F4FDB" w:rsidRDefault="00F45586" w:rsidP="00D6309C">
            <w:pPr>
              <w:jc w:val="right"/>
              <w:rPr>
                <w:rFonts w:cs="Arial"/>
              </w:rPr>
            </w:pPr>
            <w:r>
              <w:rPr>
                <w:rFonts w:cs="Arial"/>
              </w:rPr>
              <w:t>349</w:t>
            </w:r>
          </w:p>
        </w:tc>
        <w:tc>
          <w:tcPr>
            <w:tcW w:w="1012" w:type="dxa"/>
            <w:tcBorders>
              <w:top w:val="nil"/>
              <w:left w:val="nil"/>
              <w:bottom w:val="single" w:sz="4" w:space="0" w:color="auto"/>
              <w:right w:val="single" w:sz="4" w:space="0" w:color="auto"/>
            </w:tcBorders>
          </w:tcPr>
          <w:p w14:paraId="192CFB6B" w14:textId="77777777" w:rsidR="00F45586" w:rsidRDefault="00F45586" w:rsidP="00D6309C">
            <w:pPr>
              <w:jc w:val="right"/>
              <w:rPr>
                <w:rFonts w:cs="Arial"/>
              </w:rPr>
            </w:pPr>
            <w:r>
              <w:rPr>
                <w:rFonts w:cs="Arial"/>
              </w:rPr>
              <w:t>364</w:t>
            </w:r>
          </w:p>
        </w:tc>
        <w:tc>
          <w:tcPr>
            <w:tcW w:w="1012" w:type="dxa"/>
            <w:tcBorders>
              <w:top w:val="nil"/>
              <w:left w:val="nil"/>
              <w:bottom w:val="single" w:sz="4" w:space="0" w:color="auto"/>
              <w:right w:val="single" w:sz="4" w:space="0" w:color="auto"/>
            </w:tcBorders>
          </w:tcPr>
          <w:p w14:paraId="6DB5F28A" w14:textId="77777777" w:rsidR="00F45586" w:rsidRDefault="00F45586" w:rsidP="00D6309C">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03AD2E72" w14:textId="78C4C500" w:rsidR="00F45586" w:rsidRDefault="00F45586" w:rsidP="00D6309C">
            <w:pPr>
              <w:jc w:val="right"/>
              <w:rPr>
                <w:rFonts w:cs="Arial"/>
              </w:rPr>
            </w:pPr>
            <w:r>
              <w:rPr>
                <w:rFonts w:cs="Arial"/>
              </w:rPr>
              <w:t>440</w:t>
            </w:r>
          </w:p>
        </w:tc>
      </w:tr>
      <w:tr w:rsidR="00F45586" w:rsidRPr="0093030B" w14:paraId="704AF6C6" w14:textId="25DB7E4B" w:rsidTr="00F45586">
        <w:trPr>
          <w:trHeight w:val="255"/>
        </w:trPr>
        <w:tc>
          <w:tcPr>
            <w:tcW w:w="3460" w:type="dxa"/>
            <w:tcBorders>
              <w:top w:val="nil"/>
              <w:left w:val="single" w:sz="4" w:space="0" w:color="auto"/>
              <w:bottom w:val="single" w:sz="4" w:space="0" w:color="auto"/>
              <w:right w:val="single" w:sz="4" w:space="0" w:color="auto"/>
            </w:tcBorders>
            <w:noWrap/>
            <w:vAlign w:val="bottom"/>
          </w:tcPr>
          <w:p w14:paraId="7739C067" w14:textId="77777777" w:rsidR="00F45586" w:rsidRPr="0093030B" w:rsidRDefault="00F45586" w:rsidP="00D6309C">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2C0AB883" w14:textId="77777777" w:rsidR="00F45586" w:rsidRDefault="00F45586" w:rsidP="00D6309C">
            <w:pPr>
              <w:jc w:val="right"/>
              <w:rPr>
                <w:rFonts w:cs="Arial"/>
              </w:rPr>
            </w:pPr>
            <w:r>
              <w:rPr>
                <w:rFonts w:cs="Arial"/>
              </w:rPr>
              <w:t>207</w:t>
            </w:r>
          </w:p>
        </w:tc>
        <w:tc>
          <w:tcPr>
            <w:tcW w:w="1012" w:type="dxa"/>
            <w:tcBorders>
              <w:top w:val="nil"/>
              <w:left w:val="nil"/>
              <w:bottom w:val="single" w:sz="4" w:space="0" w:color="auto"/>
              <w:right w:val="single" w:sz="4" w:space="0" w:color="auto"/>
            </w:tcBorders>
          </w:tcPr>
          <w:p w14:paraId="325533A9" w14:textId="77777777" w:rsidR="00F45586" w:rsidRPr="001F4FDB" w:rsidRDefault="00F45586" w:rsidP="00D6309C">
            <w:pPr>
              <w:jc w:val="right"/>
              <w:rPr>
                <w:rFonts w:cs="Arial"/>
              </w:rPr>
            </w:pPr>
            <w:r>
              <w:rPr>
                <w:rFonts w:cs="Arial"/>
              </w:rPr>
              <w:t>144</w:t>
            </w:r>
          </w:p>
        </w:tc>
        <w:tc>
          <w:tcPr>
            <w:tcW w:w="1012" w:type="dxa"/>
            <w:tcBorders>
              <w:top w:val="nil"/>
              <w:left w:val="nil"/>
              <w:bottom w:val="single" w:sz="4" w:space="0" w:color="auto"/>
              <w:right w:val="single" w:sz="4" w:space="0" w:color="auto"/>
            </w:tcBorders>
          </w:tcPr>
          <w:p w14:paraId="09ABAB78" w14:textId="77777777" w:rsidR="00F45586" w:rsidRDefault="00F45586" w:rsidP="00D6309C">
            <w:pPr>
              <w:jc w:val="right"/>
              <w:rPr>
                <w:rFonts w:cs="Arial"/>
              </w:rPr>
            </w:pPr>
            <w:r>
              <w:rPr>
                <w:rFonts w:cs="Arial"/>
              </w:rPr>
              <w:t>211</w:t>
            </w:r>
          </w:p>
        </w:tc>
        <w:tc>
          <w:tcPr>
            <w:tcW w:w="1012" w:type="dxa"/>
            <w:tcBorders>
              <w:top w:val="nil"/>
              <w:left w:val="nil"/>
              <w:bottom w:val="single" w:sz="4" w:space="0" w:color="auto"/>
              <w:right w:val="single" w:sz="4" w:space="0" w:color="auto"/>
            </w:tcBorders>
          </w:tcPr>
          <w:p w14:paraId="19DDE29A" w14:textId="77777777" w:rsidR="00F45586" w:rsidRDefault="00F45586" w:rsidP="00D6309C">
            <w:pPr>
              <w:jc w:val="right"/>
              <w:rPr>
                <w:rFonts w:cs="Arial"/>
              </w:rPr>
            </w:pPr>
            <w:r>
              <w:rPr>
                <w:rFonts w:cs="Arial"/>
              </w:rPr>
              <w:t>206</w:t>
            </w:r>
          </w:p>
        </w:tc>
        <w:tc>
          <w:tcPr>
            <w:tcW w:w="1012" w:type="dxa"/>
            <w:tcBorders>
              <w:top w:val="nil"/>
              <w:left w:val="nil"/>
              <w:bottom w:val="single" w:sz="4" w:space="0" w:color="auto"/>
              <w:right w:val="single" w:sz="4" w:space="0" w:color="auto"/>
            </w:tcBorders>
          </w:tcPr>
          <w:p w14:paraId="7088C388" w14:textId="26A2FC81" w:rsidR="00F45586" w:rsidRDefault="00F45586" w:rsidP="00D6309C">
            <w:pPr>
              <w:jc w:val="right"/>
              <w:rPr>
                <w:rFonts w:cs="Arial"/>
              </w:rPr>
            </w:pPr>
            <w:r>
              <w:rPr>
                <w:rFonts w:cs="Arial"/>
              </w:rPr>
              <w:t>255</w:t>
            </w:r>
          </w:p>
        </w:tc>
      </w:tr>
      <w:tr w:rsidR="00F45586" w:rsidRPr="0093030B" w14:paraId="067EC543" w14:textId="49C232C4" w:rsidTr="00F45586">
        <w:trPr>
          <w:trHeight w:val="255"/>
        </w:trPr>
        <w:tc>
          <w:tcPr>
            <w:tcW w:w="3460" w:type="dxa"/>
            <w:tcBorders>
              <w:top w:val="nil"/>
              <w:left w:val="single" w:sz="4" w:space="0" w:color="auto"/>
              <w:bottom w:val="single" w:sz="4" w:space="0" w:color="auto"/>
              <w:right w:val="single" w:sz="4" w:space="0" w:color="auto"/>
            </w:tcBorders>
            <w:noWrap/>
            <w:vAlign w:val="bottom"/>
            <w:hideMark/>
          </w:tcPr>
          <w:p w14:paraId="06E9F90D" w14:textId="77777777" w:rsidR="00F45586" w:rsidRPr="0093030B" w:rsidRDefault="00F45586" w:rsidP="00D6309C">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0FBC2C5F" w14:textId="77777777" w:rsidR="00F45586" w:rsidRDefault="00F45586" w:rsidP="00D6309C">
            <w:pPr>
              <w:jc w:val="right"/>
              <w:rPr>
                <w:rFonts w:cs="Arial"/>
              </w:rPr>
            </w:pPr>
            <w:r>
              <w:rPr>
                <w:rFonts w:cs="Arial"/>
              </w:rPr>
              <w:t>52</w:t>
            </w:r>
          </w:p>
        </w:tc>
        <w:tc>
          <w:tcPr>
            <w:tcW w:w="1012" w:type="dxa"/>
            <w:tcBorders>
              <w:top w:val="nil"/>
              <w:left w:val="nil"/>
              <w:bottom w:val="single" w:sz="4" w:space="0" w:color="auto"/>
              <w:right w:val="single" w:sz="4" w:space="0" w:color="auto"/>
            </w:tcBorders>
          </w:tcPr>
          <w:p w14:paraId="40FEF9ED" w14:textId="77777777" w:rsidR="00F45586" w:rsidRPr="001F4FDB" w:rsidRDefault="00F45586" w:rsidP="00D6309C">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10C6C288" w14:textId="77777777" w:rsidR="00F45586" w:rsidRDefault="00F45586" w:rsidP="00D6309C">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34218F2F" w14:textId="77777777" w:rsidR="00F45586" w:rsidRDefault="00F45586" w:rsidP="00D6309C">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3A225482" w14:textId="6AA4DD94" w:rsidR="00F45586" w:rsidRDefault="00F45586" w:rsidP="00D6309C">
            <w:pPr>
              <w:jc w:val="right"/>
              <w:rPr>
                <w:rFonts w:cs="Arial"/>
              </w:rPr>
            </w:pPr>
            <w:r>
              <w:rPr>
                <w:rFonts w:cs="Arial"/>
              </w:rPr>
              <w:t>82</w:t>
            </w:r>
          </w:p>
        </w:tc>
      </w:tr>
      <w:tr w:rsidR="00F45586" w:rsidRPr="0093030B" w14:paraId="770637F3" w14:textId="5210C7C2" w:rsidTr="00F45586">
        <w:trPr>
          <w:trHeight w:val="255"/>
        </w:trPr>
        <w:tc>
          <w:tcPr>
            <w:tcW w:w="3460" w:type="dxa"/>
            <w:tcBorders>
              <w:top w:val="nil"/>
              <w:left w:val="single" w:sz="4" w:space="0" w:color="auto"/>
              <w:bottom w:val="single" w:sz="4" w:space="0" w:color="auto"/>
              <w:right w:val="single" w:sz="4" w:space="0" w:color="auto"/>
            </w:tcBorders>
            <w:noWrap/>
            <w:hideMark/>
          </w:tcPr>
          <w:p w14:paraId="48623DE2" w14:textId="77777777" w:rsidR="00F45586" w:rsidRPr="0093030B" w:rsidRDefault="00F45586" w:rsidP="00D6309C">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7FA40AE" w14:textId="77777777" w:rsidR="00F45586" w:rsidRDefault="00F45586" w:rsidP="00D6309C">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66903FEE" w14:textId="77777777" w:rsidR="00F45586" w:rsidRPr="001F4FDB" w:rsidRDefault="00F45586" w:rsidP="00D6309C">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46F17CCE" w14:textId="77777777" w:rsidR="00F45586" w:rsidRDefault="00F45586" w:rsidP="00D6309C">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394DC187" w14:textId="77777777" w:rsidR="00F45586" w:rsidRDefault="00F45586" w:rsidP="00D6309C">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68CC30B8" w14:textId="6DD8D987" w:rsidR="00F45586" w:rsidRDefault="00F45586" w:rsidP="00F45586">
            <w:pPr>
              <w:jc w:val="center"/>
              <w:rPr>
                <w:rFonts w:cs="Arial"/>
                <w:b/>
                <w:bCs/>
              </w:rPr>
            </w:pPr>
            <w:r>
              <w:rPr>
                <w:rFonts w:cs="Arial"/>
                <w:b/>
                <w:bCs/>
              </w:rPr>
              <w:t>1221</w:t>
            </w:r>
          </w:p>
        </w:tc>
      </w:tr>
    </w:tbl>
    <w:p w14:paraId="790D7349" w14:textId="77777777" w:rsidR="0086649F" w:rsidRDefault="0086649F" w:rsidP="005A5B78">
      <w:pPr>
        <w:ind w:left="-142" w:right="-425"/>
        <w:rPr>
          <w:rFonts w:cs="Arial"/>
          <w:b/>
          <w:sz w:val="16"/>
          <w:szCs w:val="16"/>
        </w:rPr>
      </w:pPr>
    </w:p>
    <w:p w14:paraId="6BA31C39" w14:textId="1F669103" w:rsidR="005A5B78" w:rsidRDefault="005A5B78" w:rsidP="00F45586">
      <w:pPr>
        <w:ind w:right="-425"/>
        <w:jc w:val="both"/>
        <w:rPr>
          <w:rFonts w:cs="Arial"/>
        </w:rPr>
      </w:pPr>
    </w:p>
    <w:p w14:paraId="5D53EAA0" w14:textId="77777777" w:rsidR="005A5B78" w:rsidRPr="00143FBB" w:rsidRDefault="005A5B78" w:rsidP="00CB1032">
      <w:pPr>
        <w:pStyle w:val="Heading2"/>
      </w:pPr>
      <w:r w:rsidRPr="00143FBB">
        <w:t>Conferences</w:t>
      </w:r>
    </w:p>
    <w:p w14:paraId="775CD6DC" w14:textId="0B5B0302" w:rsidR="00DD1B0A" w:rsidRDefault="001C4411" w:rsidP="00CB1032">
      <w:pPr>
        <w:ind w:left="-142" w:right="-425"/>
        <w:jc w:val="both"/>
        <w:rPr>
          <w:rFonts w:cs="Arial"/>
        </w:rPr>
      </w:pPr>
      <w:r>
        <w:rPr>
          <w:rFonts w:cs="Arial"/>
        </w:rPr>
        <w:t xml:space="preserve">In quarter 58 313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8637A3">
        <w:rPr>
          <w:rFonts w:cs="Arial"/>
        </w:rPr>
        <w:t xml:space="preserve">266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8637A3">
        <w:t xml:space="preserve">increased </w:t>
      </w:r>
      <w:r w:rsidR="00803D0A">
        <w:t xml:space="preserve">from </w:t>
      </w:r>
      <w:r w:rsidR="000130C1">
        <w:t>6</w:t>
      </w:r>
      <w:r w:rsidR="008637A3">
        <w:t>4.2</w:t>
      </w:r>
      <w:r w:rsidR="00E720CE">
        <w:t xml:space="preserve"> </w:t>
      </w:r>
      <w:r w:rsidR="00FC7C1D">
        <w:rPr>
          <w:rFonts w:cs="Arial"/>
        </w:rPr>
        <w:t xml:space="preserve">percent </w:t>
      </w:r>
      <w:r w:rsidR="00803D0A">
        <w:t xml:space="preserve">in quarter </w:t>
      </w:r>
      <w:r w:rsidR="000F408B">
        <w:t>5</w:t>
      </w:r>
      <w:r w:rsidR="008637A3">
        <w:t>7</w:t>
      </w:r>
      <w:r w:rsidR="00803D0A">
        <w:t xml:space="preserve"> to </w:t>
      </w:r>
      <w:r w:rsidR="00347D3E">
        <w:t>6</w:t>
      </w:r>
      <w:r w:rsidR="008637A3">
        <w:t>6.1</w:t>
      </w:r>
      <w:r w:rsidR="00E720CE">
        <w:t xml:space="preserve"> </w:t>
      </w:r>
      <w:r w:rsidR="00FC7C1D">
        <w:rPr>
          <w:rFonts w:cs="Arial"/>
        </w:rPr>
        <w:t xml:space="preserve">percent </w:t>
      </w:r>
      <w:r w:rsidR="00803D0A">
        <w:t xml:space="preserve">in quarter </w:t>
      </w:r>
      <w:r w:rsidR="00250129">
        <w:t>58</w:t>
      </w:r>
      <w:r w:rsidR="008637A3">
        <w:t>.</w:t>
      </w:r>
    </w:p>
    <w:p w14:paraId="3945DDA5" w14:textId="48472794" w:rsidR="00D70D59" w:rsidRDefault="00D70D59" w:rsidP="005A5B78">
      <w:pPr>
        <w:ind w:left="-142" w:right="-425"/>
        <w:jc w:val="both"/>
        <w:rPr>
          <w:rFonts w:cs="Arial"/>
        </w:rPr>
      </w:pPr>
    </w:p>
    <w:p w14:paraId="08425E5B" w14:textId="0F29F48D" w:rsidR="00B91E81" w:rsidRPr="00D925BE" w:rsidRDefault="00B91E81" w:rsidP="00B91E81">
      <w:pPr>
        <w:spacing w:after="120" w:line="240" w:lineRule="auto"/>
        <w:ind w:right="-425"/>
        <w:jc w:val="both"/>
        <w:rPr>
          <w:b/>
          <w:sz w:val="16"/>
          <w:szCs w:val="16"/>
        </w:rPr>
      </w:pPr>
      <w:r w:rsidRPr="00D93672">
        <w:rPr>
          <w:b/>
          <w:sz w:val="16"/>
          <w:szCs w:val="16"/>
        </w:rPr>
        <w:t xml:space="preserve">Table </w:t>
      </w:r>
      <w:r>
        <w:rPr>
          <w:b/>
          <w:sz w:val="16"/>
          <w:szCs w:val="16"/>
        </w:rPr>
        <w:t>12</w:t>
      </w:r>
      <w:r w:rsidRPr="00D93672">
        <w:rPr>
          <w:b/>
          <w:sz w:val="16"/>
          <w:szCs w:val="16"/>
        </w:rPr>
        <w:t xml:space="preserve">: </w:t>
      </w:r>
      <w:r w:rsidRPr="00D93672">
        <w:rPr>
          <w:sz w:val="16"/>
          <w:szCs w:val="16"/>
        </w:rPr>
        <w:t xml:space="preserve">Conferences by community and quarter </w:t>
      </w:r>
      <w:r>
        <w:rPr>
          <w:rFonts w:cs="Arial"/>
          <w:sz w:val="16"/>
          <w:szCs w:val="16"/>
        </w:rPr>
        <w:t>1 October 2021 to 31 December 2022</w:t>
      </w:r>
    </w:p>
    <w:tbl>
      <w:tblPr>
        <w:tblW w:w="6880" w:type="dxa"/>
        <w:tblInd w:w="93" w:type="dxa"/>
        <w:tblLook w:val="04A0" w:firstRow="1" w:lastRow="0" w:firstColumn="1" w:lastColumn="0" w:noHBand="0" w:noVBand="1"/>
      </w:tblPr>
      <w:tblGrid>
        <w:gridCol w:w="2080"/>
        <w:gridCol w:w="960"/>
        <w:gridCol w:w="960"/>
        <w:gridCol w:w="960"/>
        <w:gridCol w:w="960"/>
        <w:gridCol w:w="960"/>
      </w:tblGrid>
      <w:tr w:rsidR="00B91E81" w:rsidRPr="00C5395B" w14:paraId="43D49B22" w14:textId="6AB4450B" w:rsidTr="00B91E81">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752A896B" w14:textId="77777777" w:rsidR="00B91E81" w:rsidRPr="00C5395B" w:rsidRDefault="00B91E81" w:rsidP="00D6309C">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0A79EC8" w14:textId="77777777" w:rsidR="00B91E81" w:rsidRDefault="00B91E81" w:rsidP="00D6309C">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198354F8" w14:textId="77777777" w:rsidR="00B91E81" w:rsidRDefault="00B91E81" w:rsidP="00D6309C">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5E5F80AA" w14:textId="77777777" w:rsidR="00B91E81" w:rsidRDefault="00B91E81" w:rsidP="00D6309C">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10D7DA0B" w14:textId="77777777" w:rsidR="00B91E81" w:rsidRDefault="00B91E81" w:rsidP="00D6309C">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20C9A106" w14:textId="7A03D4A2" w:rsidR="00B91E81" w:rsidRDefault="00B91E81" w:rsidP="00D6309C">
            <w:pPr>
              <w:pStyle w:val="TableText"/>
              <w:jc w:val="right"/>
              <w:rPr>
                <w:b/>
                <w:lang w:eastAsia="en-AU"/>
              </w:rPr>
            </w:pPr>
            <w:r>
              <w:rPr>
                <w:b/>
                <w:lang w:eastAsia="en-AU"/>
              </w:rPr>
              <w:t>Qtr 58</w:t>
            </w:r>
          </w:p>
        </w:tc>
      </w:tr>
      <w:tr w:rsidR="00B91E81" w:rsidRPr="00C5395B" w14:paraId="6A027276" w14:textId="7233177A" w:rsidTr="00B91E81">
        <w:trPr>
          <w:trHeight w:val="255"/>
        </w:trPr>
        <w:tc>
          <w:tcPr>
            <w:tcW w:w="2080" w:type="dxa"/>
            <w:tcBorders>
              <w:top w:val="nil"/>
              <w:left w:val="single" w:sz="4" w:space="0" w:color="auto"/>
              <w:bottom w:val="single" w:sz="4" w:space="0" w:color="auto"/>
              <w:right w:val="single" w:sz="4" w:space="0" w:color="auto"/>
            </w:tcBorders>
            <w:noWrap/>
            <w:hideMark/>
          </w:tcPr>
          <w:p w14:paraId="4E503799" w14:textId="77777777" w:rsidR="00B91E81" w:rsidRPr="00C5395B" w:rsidRDefault="00B91E81" w:rsidP="00D6309C">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852F758" w14:textId="77777777" w:rsidR="00B91E81" w:rsidRPr="00B8398E" w:rsidRDefault="00B91E81" w:rsidP="00D6309C">
            <w:pPr>
              <w:jc w:val="right"/>
              <w:rPr>
                <w:rFonts w:cs="Arial"/>
              </w:rPr>
            </w:pPr>
            <w:r>
              <w:rPr>
                <w:rFonts w:cs="Arial"/>
              </w:rPr>
              <w:t>128</w:t>
            </w:r>
          </w:p>
        </w:tc>
        <w:tc>
          <w:tcPr>
            <w:tcW w:w="960" w:type="dxa"/>
            <w:tcBorders>
              <w:top w:val="nil"/>
              <w:left w:val="nil"/>
              <w:bottom w:val="single" w:sz="4" w:space="0" w:color="auto"/>
              <w:right w:val="single" w:sz="4" w:space="0" w:color="auto"/>
            </w:tcBorders>
          </w:tcPr>
          <w:p w14:paraId="71E7AFAD" w14:textId="77777777" w:rsidR="00B91E81" w:rsidRPr="0078302F" w:rsidRDefault="00B91E81" w:rsidP="00D6309C">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604B6F57" w14:textId="77777777" w:rsidR="00B91E81" w:rsidRPr="003A524F" w:rsidRDefault="00B91E81" w:rsidP="00D6309C">
            <w:pPr>
              <w:jc w:val="right"/>
              <w:rPr>
                <w:rFonts w:cs="Arial"/>
              </w:rPr>
            </w:pPr>
            <w:r>
              <w:rPr>
                <w:rFonts w:cs="Arial"/>
              </w:rPr>
              <w:t>109</w:t>
            </w:r>
          </w:p>
        </w:tc>
        <w:tc>
          <w:tcPr>
            <w:tcW w:w="960" w:type="dxa"/>
            <w:tcBorders>
              <w:top w:val="nil"/>
              <w:left w:val="nil"/>
              <w:bottom w:val="single" w:sz="4" w:space="0" w:color="auto"/>
              <w:right w:val="single" w:sz="4" w:space="0" w:color="auto"/>
            </w:tcBorders>
          </w:tcPr>
          <w:p w14:paraId="48FB413C" w14:textId="77777777" w:rsidR="00B91E81" w:rsidRDefault="00B91E81" w:rsidP="00D6309C">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2D189B48" w14:textId="03887146" w:rsidR="00B91E81" w:rsidRDefault="00B91E81" w:rsidP="00D6309C">
            <w:pPr>
              <w:jc w:val="right"/>
              <w:rPr>
                <w:rFonts w:cs="Arial"/>
              </w:rPr>
            </w:pPr>
            <w:r>
              <w:rPr>
                <w:rFonts w:cs="Arial"/>
              </w:rPr>
              <w:t>121</w:t>
            </w:r>
          </w:p>
        </w:tc>
      </w:tr>
      <w:tr w:rsidR="00B91E81" w:rsidRPr="00C5395B" w14:paraId="39DB7502" w14:textId="2409EBA8" w:rsidTr="00B91E81">
        <w:trPr>
          <w:trHeight w:val="255"/>
        </w:trPr>
        <w:tc>
          <w:tcPr>
            <w:tcW w:w="2080" w:type="dxa"/>
            <w:tcBorders>
              <w:top w:val="nil"/>
              <w:left w:val="single" w:sz="4" w:space="0" w:color="auto"/>
              <w:bottom w:val="single" w:sz="4" w:space="0" w:color="auto"/>
              <w:right w:val="single" w:sz="4" w:space="0" w:color="auto"/>
            </w:tcBorders>
            <w:noWrap/>
            <w:hideMark/>
          </w:tcPr>
          <w:p w14:paraId="7AEE06A2" w14:textId="77777777" w:rsidR="00B91E81" w:rsidRPr="00C5395B" w:rsidRDefault="00B91E81" w:rsidP="00D6309C">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A0CC4E7" w14:textId="77777777" w:rsidR="00B91E81" w:rsidRPr="00B8398E" w:rsidRDefault="00B91E81" w:rsidP="00D6309C">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16EAB713" w14:textId="77777777" w:rsidR="00B91E81" w:rsidRPr="0078302F" w:rsidRDefault="00B91E81" w:rsidP="00D6309C">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457E0F9F" w14:textId="77777777" w:rsidR="00B91E81" w:rsidRPr="003A524F" w:rsidRDefault="00B91E81" w:rsidP="00D6309C">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102A17B0" w14:textId="77777777" w:rsidR="00B91E81" w:rsidRDefault="00B91E81"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BA23EFC" w14:textId="246E343E" w:rsidR="00B91E81" w:rsidRDefault="00B91E81" w:rsidP="00D6309C">
            <w:pPr>
              <w:jc w:val="right"/>
              <w:rPr>
                <w:rFonts w:cs="Arial"/>
              </w:rPr>
            </w:pPr>
            <w:r>
              <w:rPr>
                <w:rFonts w:cs="Arial"/>
              </w:rPr>
              <w:t>7</w:t>
            </w:r>
          </w:p>
        </w:tc>
      </w:tr>
      <w:tr w:rsidR="00B91E81" w:rsidRPr="00C5395B" w14:paraId="4E1E2FB2" w14:textId="0A5710CF" w:rsidTr="00B91E81">
        <w:trPr>
          <w:trHeight w:val="255"/>
        </w:trPr>
        <w:tc>
          <w:tcPr>
            <w:tcW w:w="2080" w:type="dxa"/>
            <w:tcBorders>
              <w:top w:val="nil"/>
              <w:left w:val="single" w:sz="4" w:space="0" w:color="auto"/>
              <w:bottom w:val="single" w:sz="4" w:space="0" w:color="auto"/>
              <w:right w:val="single" w:sz="4" w:space="0" w:color="auto"/>
            </w:tcBorders>
            <w:noWrap/>
          </w:tcPr>
          <w:p w14:paraId="33249ECD" w14:textId="77777777" w:rsidR="00B91E81" w:rsidRPr="00C5395B" w:rsidRDefault="00B91E81" w:rsidP="00D6309C">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152C585" w14:textId="77777777" w:rsidR="00B91E81" w:rsidRPr="00B8398E" w:rsidRDefault="00B91E81" w:rsidP="00D6309C">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5F7021B5" w14:textId="77777777" w:rsidR="00B91E81" w:rsidRPr="0078302F" w:rsidRDefault="00B91E81" w:rsidP="00D6309C">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6BCA04E7" w14:textId="77777777" w:rsidR="00B91E81" w:rsidRPr="003A524F" w:rsidRDefault="00B91E81" w:rsidP="00D6309C">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402B09A7" w14:textId="77777777" w:rsidR="00B91E81" w:rsidRDefault="00B91E81" w:rsidP="00D6309C">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492C7EB6" w14:textId="697546F9" w:rsidR="00B91E81" w:rsidRDefault="00B91E81" w:rsidP="00D6309C">
            <w:pPr>
              <w:jc w:val="right"/>
              <w:rPr>
                <w:rFonts w:cs="Arial"/>
              </w:rPr>
            </w:pPr>
            <w:r>
              <w:rPr>
                <w:rFonts w:cs="Arial"/>
              </w:rPr>
              <w:t>114</w:t>
            </w:r>
          </w:p>
        </w:tc>
      </w:tr>
      <w:tr w:rsidR="00B91E81" w:rsidRPr="00C5395B" w14:paraId="09F113FC" w14:textId="4B05D7B8" w:rsidTr="00B91E81">
        <w:trPr>
          <w:trHeight w:val="255"/>
        </w:trPr>
        <w:tc>
          <w:tcPr>
            <w:tcW w:w="2080" w:type="dxa"/>
            <w:tcBorders>
              <w:top w:val="nil"/>
              <w:left w:val="single" w:sz="4" w:space="0" w:color="auto"/>
              <w:bottom w:val="single" w:sz="4" w:space="0" w:color="auto"/>
              <w:right w:val="single" w:sz="4" w:space="0" w:color="auto"/>
            </w:tcBorders>
            <w:noWrap/>
            <w:hideMark/>
          </w:tcPr>
          <w:p w14:paraId="7718AC4F" w14:textId="77777777" w:rsidR="00B91E81" w:rsidRPr="00C5395B" w:rsidRDefault="00B91E81" w:rsidP="00D6309C">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CC222CB" w14:textId="77777777" w:rsidR="00B91E81" w:rsidRPr="00B8398E" w:rsidRDefault="00B91E81" w:rsidP="00D6309C">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2EBD85E3" w14:textId="77777777" w:rsidR="00B91E81" w:rsidRPr="0078302F" w:rsidRDefault="00B91E81" w:rsidP="00D6309C">
            <w:pPr>
              <w:jc w:val="right"/>
              <w:rPr>
                <w:rFonts w:cs="Arial"/>
              </w:rPr>
            </w:pPr>
            <w:r>
              <w:rPr>
                <w:rFonts w:cs="Arial"/>
              </w:rPr>
              <w:t>21</w:t>
            </w:r>
          </w:p>
        </w:tc>
        <w:tc>
          <w:tcPr>
            <w:tcW w:w="960" w:type="dxa"/>
            <w:tcBorders>
              <w:top w:val="nil"/>
              <w:left w:val="nil"/>
              <w:bottom w:val="single" w:sz="4" w:space="0" w:color="auto"/>
              <w:right w:val="single" w:sz="4" w:space="0" w:color="auto"/>
            </w:tcBorders>
          </w:tcPr>
          <w:p w14:paraId="37C61B86" w14:textId="77777777" w:rsidR="00B91E81" w:rsidRPr="003A524F" w:rsidRDefault="00B91E81" w:rsidP="00D6309C">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461AB726" w14:textId="77777777" w:rsidR="00B91E81" w:rsidRDefault="00B91E81" w:rsidP="00D6309C">
            <w:pPr>
              <w:jc w:val="right"/>
              <w:rPr>
                <w:rFonts w:cs="Arial"/>
              </w:rPr>
            </w:pPr>
            <w:r>
              <w:rPr>
                <w:rFonts w:cs="Arial"/>
              </w:rPr>
              <w:t>80</w:t>
            </w:r>
          </w:p>
        </w:tc>
        <w:tc>
          <w:tcPr>
            <w:tcW w:w="960" w:type="dxa"/>
            <w:tcBorders>
              <w:top w:val="nil"/>
              <w:left w:val="nil"/>
              <w:bottom w:val="single" w:sz="4" w:space="0" w:color="auto"/>
              <w:right w:val="single" w:sz="4" w:space="0" w:color="auto"/>
            </w:tcBorders>
          </w:tcPr>
          <w:p w14:paraId="3A319240" w14:textId="0D0CCDBB" w:rsidR="00B91E81" w:rsidRDefault="00B91E81" w:rsidP="00D6309C">
            <w:pPr>
              <w:jc w:val="right"/>
              <w:rPr>
                <w:rFonts w:cs="Arial"/>
              </w:rPr>
            </w:pPr>
            <w:r>
              <w:rPr>
                <w:rFonts w:cs="Arial"/>
              </w:rPr>
              <w:t>40</w:t>
            </w:r>
          </w:p>
        </w:tc>
      </w:tr>
      <w:tr w:rsidR="00B91E81" w:rsidRPr="00C5395B" w14:paraId="7816DF38" w14:textId="1AC46404" w:rsidTr="00B91E81">
        <w:trPr>
          <w:trHeight w:val="255"/>
        </w:trPr>
        <w:tc>
          <w:tcPr>
            <w:tcW w:w="2080" w:type="dxa"/>
            <w:tcBorders>
              <w:top w:val="nil"/>
              <w:left w:val="single" w:sz="4" w:space="0" w:color="auto"/>
              <w:bottom w:val="single" w:sz="4" w:space="0" w:color="auto"/>
              <w:right w:val="single" w:sz="4" w:space="0" w:color="auto"/>
            </w:tcBorders>
            <w:noWrap/>
            <w:hideMark/>
          </w:tcPr>
          <w:p w14:paraId="00986299" w14:textId="77777777" w:rsidR="00B91E81" w:rsidRPr="00C5395B" w:rsidRDefault="00B91E81" w:rsidP="00D6309C">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62208EA" w14:textId="77777777" w:rsidR="00B91E81" w:rsidRPr="00B8398E" w:rsidRDefault="00B91E81" w:rsidP="00D6309C">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72BCE99F" w14:textId="77777777" w:rsidR="00B91E81" w:rsidRPr="0078302F" w:rsidRDefault="00B91E81" w:rsidP="00D6309C">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545B7930" w14:textId="77777777" w:rsidR="00B91E81" w:rsidRPr="003A524F" w:rsidRDefault="00B91E81" w:rsidP="00D6309C">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54450D2A" w14:textId="77777777" w:rsidR="00B91E81" w:rsidRDefault="00B91E81" w:rsidP="00D6309C">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7B3D9ADB" w14:textId="287C0690" w:rsidR="00B91E81" w:rsidRDefault="00B91E81" w:rsidP="00D6309C">
            <w:pPr>
              <w:jc w:val="right"/>
              <w:rPr>
                <w:rFonts w:cs="Arial"/>
              </w:rPr>
            </w:pPr>
            <w:r>
              <w:rPr>
                <w:rFonts w:cs="Arial"/>
              </w:rPr>
              <w:t>31</w:t>
            </w:r>
          </w:p>
        </w:tc>
      </w:tr>
      <w:tr w:rsidR="00B91E81" w:rsidRPr="00C5395B" w14:paraId="6C71EB19" w14:textId="056AC69D" w:rsidTr="00B91E81">
        <w:trPr>
          <w:trHeight w:val="255"/>
        </w:trPr>
        <w:tc>
          <w:tcPr>
            <w:tcW w:w="2080" w:type="dxa"/>
            <w:tcBorders>
              <w:top w:val="nil"/>
              <w:left w:val="single" w:sz="4" w:space="0" w:color="auto"/>
              <w:bottom w:val="single" w:sz="4" w:space="0" w:color="auto"/>
              <w:right w:val="single" w:sz="4" w:space="0" w:color="auto"/>
            </w:tcBorders>
            <w:noWrap/>
            <w:hideMark/>
          </w:tcPr>
          <w:p w14:paraId="207E54D1" w14:textId="77777777" w:rsidR="00B91E81" w:rsidRPr="00C5395B" w:rsidRDefault="00B91E81" w:rsidP="00D6309C">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839ACFF" w14:textId="77777777" w:rsidR="00B91E81" w:rsidRPr="00B8398E" w:rsidRDefault="00B91E81" w:rsidP="00D6309C">
            <w:pPr>
              <w:jc w:val="right"/>
              <w:rPr>
                <w:rFonts w:cs="Arial"/>
                <w:b/>
                <w:bCs/>
              </w:rPr>
            </w:pPr>
            <w:r>
              <w:rPr>
                <w:rFonts w:cs="Arial"/>
                <w:b/>
                <w:bCs/>
              </w:rPr>
              <w:t>335</w:t>
            </w:r>
          </w:p>
        </w:tc>
        <w:tc>
          <w:tcPr>
            <w:tcW w:w="960" w:type="dxa"/>
            <w:tcBorders>
              <w:top w:val="nil"/>
              <w:left w:val="nil"/>
              <w:bottom w:val="single" w:sz="4" w:space="0" w:color="auto"/>
              <w:right w:val="single" w:sz="4" w:space="0" w:color="auto"/>
            </w:tcBorders>
          </w:tcPr>
          <w:p w14:paraId="57AEB888" w14:textId="77777777" w:rsidR="00B91E81" w:rsidRPr="003A524F" w:rsidRDefault="00B91E81" w:rsidP="00D6309C">
            <w:pPr>
              <w:jc w:val="right"/>
              <w:rPr>
                <w:rFonts w:cs="Arial"/>
                <w:b/>
                <w:bCs/>
              </w:rPr>
            </w:pPr>
            <w:r>
              <w:rPr>
                <w:rFonts w:cs="Arial"/>
                <w:b/>
                <w:bCs/>
              </w:rPr>
              <w:t>118</w:t>
            </w:r>
          </w:p>
        </w:tc>
        <w:tc>
          <w:tcPr>
            <w:tcW w:w="960" w:type="dxa"/>
            <w:tcBorders>
              <w:top w:val="nil"/>
              <w:left w:val="nil"/>
              <w:bottom w:val="single" w:sz="4" w:space="0" w:color="auto"/>
              <w:right w:val="single" w:sz="4" w:space="0" w:color="auto"/>
            </w:tcBorders>
          </w:tcPr>
          <w:p w14:paraId="64EA2A06" w14:textId="77777777" w:rsidR="00B91E81" w:rsidRPr="003A524F" w:rsidRDefault="00B91E81" w:rsidP="00D6309C">
            <w:pPr>
              <w:jc w:val="right"/>
              <w:rPr>
                <w:rFonts w:cs="Arial"/>
                <w:b/>
                <w:bCs/>
              </w:rPr>
            </w:pPr>
            <w:r>
              <w:rPr>
                <w:rFonts w:cs="Arial"/>
                <w:b/>
                <w:bCs/>
              </w:rPr>
              <w:t>229</w:t>
            </w:r>
          </w:p>
        </w:tc>
        <w:tc>
          <w:tcPr>
            <w:tcW w:w="960" w:type="dxa"/>
            <w:tcBorders>
              <w:top w:val="nil"/>
              <w:left w:val="nil"/>
              <w:bottom w:val="single" w:sz="4" w:space="0" w:color="auto"/>
              <w:right w:val="single" w:sz="4" w:space="0" w:color="auto"/>
            </w:tcBorders>
          </w:tcPr>
          <w:p w14:paraId="065B023F" w14:textId="77777777" w:rsidR="00B91E81" w:rsidRDefault="00B91E81" w:rsidP="00D6309C">
            <w:pPr>
              <w:jc w:val="right"/>
              <w:rPr>
                <w:rFonts w:cs="Arial"/>
                <w:b/>
                <w:bCs/>
              </w:rPr>
            </w:pPr>
            <w:r>
              <w:rPr>
                <w:rFonts w:cs="Arial"/>
                <w:b/>
                <w:bCs/>
              </w:rPr>
              <w:t>296</w:t>
            </w:r>
          </w:p>
        </w:tc>
        <w:tc>
          <w:tcPr>
            <w:tcW w:w="960" w:type="dxa"/>
            <w:tcBorders>
              <w:top w:val="nil"/>
              <w:left w:val="nil"/>
              <w:bottom w:val="single" w:sz="4" w:space="0" w:color="auto"/>
              <w:right w:val="single" w:sz="4" w:space="0" w:color="auto"/>
            </w:tcBorders>
          </w:tcPr>
          <w:p w14:paraId="6C521CAB" w14:textId="48A6F664" w:rsidR="00B91E81" w:rsidRDefault="00B91E81" w:rsidP="00D6309C">
            <w:pPr>
              <w:jc w:val="right"/>
              <w:rPr>
                <w:rFonts w:cs="Arial"/>
                <w:b/>
                <w:bCs/>
              </w:rPr>
            </w:pPr>
            <w:r>
              <w:rPr>
                <w:rFonts w:cs="Arial"/>
                <w:b/>
                <w:bCs/>
              </w:rPr>
              <w:t>313</w:t>
            </w:r>
          </w:p>
        </w:tc>
      </w:tr>
    </w:tbl>
    <w:p w14:paraId="7BAC4A8E" w14:textId="77777777" w:rsidR="005A5B78" w:rsidRPr="002E156B" w:rsidRDefault="005A5B78" w:rsidP="005A5B78">
      <w:pPr>
        <w:ind w:left="-142" w:right="-425"/>
        <w:jc w:val="both"/>
        <w:rPr>
          <w:rFonts w:cs="Arial"/>
        </w:rPr>
      </w:pPr>
    </w:p>
    <w:p w14:paraId="7BAE3B75" w14:textId="0EC2B52B" w:rsidR="005A5B78" w:rsidRPr="002D4651" w:rsidRDefault="005A5B78" w:rsidP="00CB1032">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3FBDB7CC" w:rsidR="00C872F0" w:rsidRDefault="006F3F88" w:rsidP="00964A63">
      <w:pPr>
        <w:ind w:left="-142" w:right="-425"/>
        <w:jc w:val="both"/>
        <w:rPr>
          <w:rFonts w:cs="Arial"/>
        </w:rPr>
      </w:pPr>
      <w:r>
        <w:rPr>
          <w:rFonts w:cs="Arial"/>
        </w:rPr>
        <w:t xml:space="preserve">A total of </w:t>
      </w:r>
      <w:r w:rsidR="001266C1">
        <w:rPr>
          <w:rFonts w:cs="Arial"/>
        </w:rPr>
        <w:t xml:space="preserve">154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1266C1">
        <w:rPr>
          <w:rFonts w:cs="Arial"/>
        </w:rPr>
        <w:t>131</w:t>
      </w:r>
      <w:r w:rsidR="001266C1" w:rsidRPr="003573E3">
        <w:rPr>
          <w:rFonts w:cs="Arial"/>
        </w:rPr>
        <w:t xml:space="preserve"> </w:t>
      </w:r>
      <w:r w:rsidR="001E5AFF" w:rsidRPr="003573E3">
        <w:rPr>
          <w:rFonts w:cs="Arial"/>
        </w:rPr>
        <w:t xml:space="preserve">clients </w:t>
      </w:r>
      <w:r>
        <w:rPr>
          <w:rFonts w:cs="Arial"/>
        </w:rPr>
        <w:t xml:space="preserve">were made in quarter </w:t>
      </w:r>
      <w:r w:rsidR="00250129">
        <w:rPr>
          <w:rFonts w:cs="Arial"/>
        </w:rPr>
        <w:t>5</w:t>
      </w:r>
      <w:r w:rsidR="00250129" w:rsidRPr="00C75E8D">
        <w:rPr>
          <w:rFonts w:cs="Arial"/>
        </w:rPr>
        <w:t>8</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6A11405C" w14:textId="67A5CE40" w:rsidR="00742C7E" w:rsidRDefault="00742C7E" w:rsidP="00695B67">
      <w:pPr>
        <w:tabs>
          <w:tab w:val="left" w:pos="0"/>
        </w:tabs>
        <w:ind w:left="426" w:right="-425" w:hanging="568"/>
        <w:jc w:val="both"/>
        <w:rPr>
          <w:rFonts w:cs="Arial"/>
          <w:b/>
          <w:noProof/>
          <w:sz w:val="16"/>
          <w:szCs w:val="16"/>
        </w:rPr>
      </w:pPr>
    </w:p>
    <w:p w14:paraId="5EE65CF7" w14:textId="77777777" w:rsidR="00C0495B" w:rsidRDefault="00C0495B" w:rsidP="00695B67">
      <w:pPr>
        <w:tabs>
          <w:tab w:val="left" w:pos="0"/>
        </w:tabs>
        <w:ind w:left="426" w:right="-425" w:hanging="568"/>
        <w:jc w:val="both"/>
        <w:rPr>
          <w:rFonts w:cs="Arial"/>
          <w:b/>
          <w:sz w:val="16"/>
          <w:szCs w:val="16"/>
        </w:rPr>
      </w:pPr>
    </w:p>
    <w:p w14:paraId="54EA6D79" w14:textId="5CB9CFEF" w:rsidR="0088282D" w:rsidRPr="00C0495B" w:rsidRDefault="0088282D" w:rsidP="00695B67">
      <w:pPr>
        <w:tabs>
          <w:tab w:val="left" w:pos="0"/>
        </w:tabs>
        <w:ind w:left="426" w:right="-425" w:hanging="568"/>
        <w:jc w:val="both"/>
        <w:rPr>
          <w:rFonts w:cs="Arial"/>
          <w:color w:val="FF0000"/>
          <w:sz w:val="16"/>
          <w:szCs w:val="16"/>
        </w:rPr>
      </w:pPr>
    </w:p>
    <w:p w14:paraId="24F6EFB4" w14:textId="2A4F0B44" w:rsidR="0088282D" w:rsidRPr="00C0495B" w:rsidRDefault="0088282D" w:rsidP="00235A61">
      <w:pPr>
        <w:spacing w:after="120" w:line="240" w:lineRule="auto"/>
        <w:ind w:right="-425"/>
        <w:jc w:val="both"/>
        <w:rPr>
          <w:b/>
          <w:sz w:val="16"/>
          <w:szCs w:val="16"/>
        </w:rPr>
      </w:pPr>
      <w:r w:rsidRPr="00C0495B">
        <w:rPr>
          <w:b/>
          <w:sz w:val="16"/>
        </w:rPr>
        <w:t>Table 1</w:t>
      </w:r>
      <w:r w:rsidRPr="00C0495B">
        <w:rPr>
          <w:b/>
          <w:i/>
          <w:sz w:val="16"/>
        </w:rPr>
        <w:t>3</w:t>
      </w:r>
      <w:r w:rsidRPr="00C0495B">
        <w:rPr>
          <w:b/>
          <w:sz w:val="16"/>
        </w:rPr>
        <w:t xml:space="preserve">: </w:t>
      </w:r>
      <w:r w:rsidR="00C0495B" w:rsidRPr="00C0495B">
        <w:rPr>
          <w:rFonts w:cs="Arial"/>
          <w:sz w:val="16"/>
          <w:szCs w:val="16"/>
        </w:rPr>
        <w:t>Referrals by community and quarter 1 October 2021 to 31 December 2022</w:t>
      </w:r>
    </w:p>
    <w:tbl>
      <w:tblPr>
        <w:tblW w:w="6993" w:type="dxa"/>
        <w:tblInd w:w="93" w:type="dxa"/>
        <w:tblLook w:val="04A0" w:firstRow="1" w:lastRow="0" w:firstColumn="1" w:lastColumn="0" w:noHBand="0" w:noVBand="1"/>
      </w:tblPr>
      <w:tblGrid>
        <w:gridCol w:w="2029"/>
        <w:gridCol w:w="992"/>
        <w:gridCol w:w="993"/>
        <w:gridCol w:w="993"/>
        <w:gridCol w:w="993"/>
        <w:gridCol w:w="993"/>
      </w:tblGrid>
      <w:tr w:rsidR="00235A61" w:rsidRPr="00C5395B" w14:paraId="48708AEC" w14:textId="398A8E40" w:rsidTr="00235A61">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056924D" w14:textId="77777777" w:rsidR="00235A61" w:rsidRPr="00C5395B" w:rsidRDefault="00235A61" w:rsidP="00D6309C">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A719948" w14:textId="77777777" w:rsidR="00235A61" w:rsidRDefault="00235A61" w:rsidP="00D6309C">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53123CD1" w14:textId="77777777" w:rsidR="00235A61" w:rsidRDefault="00235A61" w:rsidP="00D6309C">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7DB3F9B6" w14:textId="77777777" w:rsidR="00235A61" w:rsidRDefault="00235A61" w:rsidP="00D6309C">
            <w:pPr>
              <w:pStyle w:val="TableText"/>
              <w:jc w:val="right"/>
              <w:rPr>
                <w:b/>
                <w:lang w:eastAsia="en-AU"/>
              </w:rPr>
            </w:pPr>
            <w:r>
              <w:rPr>
                <w:b/>
                <w:lang w:eastAsia="en-AU"/>
              </w:rPr>
              <w:t>Qtr 56</w:t>
            </w:r>
          </w:p>
        </w:tc>
        <w:tc>
          <w:tcPr>
            <w:tcW w:w="993" w:type="dxa"/>
            <w:tcBorders>
              <w:top w:val="single" w:sz="4" w:space="0" w:color="auto"/>
              <w:left w:val="nil"/>
              <w:bottom w:val="single" w:sz="4" w:space="0" w:color="auto"/>
              <w:right w:val="single" w:sz="4" w:space="0" w:color="auto"/>
            </w:tcBorders>
          </w:tcPr>
          <w:p w14:paraId="7C7FA882" w14:textId="77777777" w:rsidR="00235A61" w:rsidRDefault="00235A61" w:rsidP="00D6309C">
            <w:pPr>
              <w:pStyle w:val="TableText"/>
              <w:jc w:val="right"/>
              <w:rPr>
                <w:b/>
                <w:lang w:eastAsia="en-AU"/>
              </w:rPr>
            </w:pPr>
            <w:r>
              <w:rPr>
                <w:b/>
                <w:lang w:eastAsia="en-AU"/>
              </w:rPr>
              <w:t>Qtr 57</w:t>
            </w:r>
          </w:p>
        </w:tc>
        <w:tc>
          <w:tcPr>
            <w:tcW w:w="993" w:type="dxa"/>
            <w:tcBorders>
              <w:top w:val="single" w:sz="4" w:space="0" w:color="auto"/>
              <w:left w:val="nil"/>
              <w:bottom w:val="single" w:sz="4" w:space="0" w:color="auto"/>
              <w:right w:val="single" w:sz="4" w:space="0" w:color="auto"/>
            </w:tcBorders>
          </w:tcPr>
          <w:p w14:paraId="13800691" w14:textId="120D8127" w:rsidR="00235A61" w:rsidRDefault="00235A61" w:rsidP="00D6309C">
            <w:pPr>
              <w:pStyle w:val="TableText"/>
              <w:jc w:val="right"/>
              <w:rPr>
                <w:b/>
                <w:lang w:eastAsia="en-AU"/>
              </w:rPr>
            </w:pPr>
            <w:r>
              <w:rPr>
                <w:b/>
                <w:lang w:eastAsia="en-AU"/>
              </w:rPr>
              <w:t>Qtr 58</w:t>
            </w:r>
          </w:p>
        </w:tc>
      </w:tr>
      <w:tr w:rsidR="00235A61" w:rsidRPr="00C5395B" w14:paraId="25EE33E5" w14:textId="3188AFEF" w:rsidTr="00235A61">
        <w:trPr>
          <w:trHeight w:val="255"/>
        </w:trPr>
        <w:tc>
          <w:tcPr>
            <w:tcW w:w="2029" w:type="dxa"/>
            <w:tcBorders>
              <w:top w:val="nil"/>
              <w:left w:val="single" w:sz="4" w:space="0" w:color="auto"/>
              <w:bottom w:val="single" w:sz="4" w:space="0" w:color="auto"/>
              <w:right w:val="single" w:sz="4" w:space="0" w:color="auto"/>
            </w:tcBorders>
            <w:noWrap/>
            <w:hideMark/>
          </w:tcPr>
          <w:p w14:paraId="208E57C7" w14:textId="77777777" w:rsidR="00235A61" w:rsidRPr="00C5395B" w:rsidRDefault="00235A61" w:rsidP="00D6309C">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5ACD7AEA" w14:textId="77777777" w:rsidR="00235A61" w:rsidRPr="00DF7212" w:rsidRDefault="00235A61" w:rsidP="00D6309C">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17F14E9C" w14:textId="77777777" w:rsidR="00235A61" w:rsidRPr="007E5A38" w:rsidRDefault="00235A61" w:rsidP="00D6309C">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1F6163DB" w14:textId="77777777" w:rsidR="00235A61" w:rsidRPr="003069C4" w:rsidRDefault="00235A61" w:rsidP="00D6309C">
            <w:pPr>
              <w:jc w:val="right"/>
              <w:rPr>
                <w:rFonts w:cs="Arial"/>
              </w:rPr>
            </w:pPr>
            <w:r>
              <w:rPr>
                <w:rFonts w:cs="Arial"/>
              </w:rPr>
              <w:t>60</w:t>
            </w:r>
          </w:p>
        </w:tc>
        <w:tc>
          <w:tcPr>
            <w:tcW w:w="993" w:type="dxa"/>
            <w:tcBorders>
              <w:top w:val="nil"/>
              <w:left w:val="nil"/>
              <w:bottom w:val="single" w:sz="4" w:space="0" w:color="auto"/>
              <w:right w:val="single" w:sz="4" w:space="0" w:color="auto"/>
            </w:tcBorders>
          </w:tcPr>
          <w:p w14:paraId="76409056" w14:textId="77777777" w:rsidR="00235A61" w:rsidRDefault="00235A61" w:rsidP="00D6309C">
            <w:pPr>
              <w:jc w:val="right"/>
              <w:rPr>
                <w:rFonts w:cs="Arial"/>
              </w:rPr>
            </w:pPr>
            <w:r>
              <w:rPr>
                <w:rFonts w:cs="Arial"/>
              </w:rPr>
              <w:t>35</w:t>
            </w:r>
          </w:p>
        </w:tc>
        <w:tc>
          <w:tcPr>
            <w:tcW w:w="993" w:type="dxa"/>
            <w:tcBorders>
              <w:top w:val="nil"/>
              <w:left w:val="nil"/>
              <w:bottom w:val="single" w:sz="4" w:space="0" w:color="auto"/>
              <w:right w:val="single" w:sz="4" w:space="0" w:color="auto"/>
            </w:tcBorders>
          </w:tcPr>
          <w:p w14:paraId="63D233B2" w14:textId="1801B518" w:rsidR="00235A61" w:rsidRDefault="00235A61" w:rsidP="00D6309C">
            <w:pPr>
              <w:jc w:val="right"/>
              <w:rPr>
                <w:rFonts w:cs="Arial"/>
              </w:rPr>
            </w:pPr>
            <w:r>
              <w:rPr>
                <w:rFonts w:cs="Arial"/>
              </w:rPr>
              <w:t>82</w:t>
            </w:r>
          </w:p>
        </w:tc>
      </w:tr>
      <w:tr w:rsidR="00235A61" w:rsidRPr="00C5395B" w14:paraId="0D5D151B" w14:textId="121625A2" w:rsidTr="00235A61">
        <w:trPr>
          <w:trHeight w:val="255"/>
        </w:trPr>
        <w:tc>
          <w:tcPr>
            <w:tcW w:w="2029" w:type="dxa"/>
            <w:tcBorders>
              <w:top w:val="nil"/>
              <w:left w:val="single" w:sz="4" w:space="0" w:color="auto"/>
              <w:bottom w:val="single" w:sz="4" w:space="0" w:color="auto"/>
              <w:right w:val="single" w:sz="4" w:space="0" w:color="auto"/>
            </w:tcBorders>
            <w:noWrap/>
            <w:hideMark/>
          </w:tcPr>
          <w:p w14:paraId="3E49AD63" w14:textId="77777777" w:rsidR="00235A61" w:rsidRPr="00C5395B" w:rsidRDefault="00235A61" w:rsidP="00D6309C">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6D0B97EE" w14:textId="77777777" w:rsidR="00235A61" w:rsidRPr="00DF7212" w:rsidRDefault="00235A61" w:rsidP="00D6309C">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70D0892F" w14:textId="77777777" w:rsidR="00235A61" w:rsidRPr="007E5A38" w:rsidRDefault="00235A61" w:rsidP="00D6309C">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0B2BB681" w14:textId="77777777" w:rsidR="00235A61" w:rsidRPr="003069C4" w:rsidRDefault="00235A61" w:rsidP="00D6309C">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27053208" w14:textId="77777777" w:rsidR="00235A61" w:rsidRDefault="00235A61" w:rsidP="00D6309C">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76AE75E4" w14:textId="148D25A0" w:rsidR="00235A61" w:rsidRDefault="00235A61" w:rsidP="00D6309C">
            <w:pPr>
              <w:jc w:val="right"/>
              <w:rPr>
                <w:rFonts w:cs="Arial"/>
              </w:rPr>
            </w:pPr>
            <w:r>
              <w:rPr>
                <w:rFonts w:cs="Arial"/>
              </w:rPr>
              <w:t>6</w:t>
            </w:r>
          </w:p>
        </w:tc>
      </w:tr>
      <w:tr w:rsidR="00235A61" w:rsidRPr="00C5395B" w14:paraId="067C519B" w14:textId="1DED94F4" w:rsidTr="00235A61">
        <w:trPr>
          <w:trHeight w:val="255"/>
        </w:trPr>
        <w:tc>
          <w:tcPr>
            <w:tcW w:w="2029" w:type="dxa"/>
            <w:tcBorders>
              <w:top w:val="nil"/>
              <w:left w:val="single" w:sz="4" w:space="0" w:color="auto"/>
              <w:bottom w:val="single" w:sz="4" w:space="0" w:color="auto"/>
              <w:right w:val="single" w:sz="4" w:space="0" w:color="auto"/>
            </w:tcBorders>
            <w:noWrap/>
          </w:tcPr>
          <w:p w14:paraId="46FF6920" w14:textId="77777777" w:rsidR="00235A61" w:rsidRPr="00C5395B" w:rsidRDefault="00235A61" w:rsidP="00D6309C">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tcPr>
          <w:p w14:paraId="3658DA4A" w14:textId="77777777" w:rsidR="00235A61" w:rsidRPr="00DF7212" w:rsidRDefault="00235A61" w:rsidP="00D6309C">
            <w:pPr>
              <w:jc w:val="right"/>
              <w:rPr>
                <w:rFonts w:cs="Arial"/>
              </w:rPr>
            </w:pPr>
            <w:r>
              <w:rPr>
                <w:rFonts w:cs="Arial"/>
              </w:rPr>
              <w:t>31</w:t>
            </w:r>
          </w:p>
        </w:tc>
        <w:tc>
          <w:tcPr>
            <w:tcW w:w="993" w:type="dxa"/>
            <w:tcBorders>
              <w:top w:val="nil"/>
              <w:left w:val="nil"/>
              <w:bottom w:val="single" w:sz="4" w:space="0" w:color="auto"/>
              <w:right w:val="single" w:sz="4" w:space="0" w:color="auto"/>
            </w:tcBorders>
          </w:tcPr>
          <w:p w14:paraId="09BB1CF5" w14:textId="77777777" w:rsidR="00235A61" w:rsidRPr="007E5A38" w:rsidRDefault="00235A61" w:rsidP="00D6309C">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6A528ED6" w14:textId="77777777" w:rsidR="00235A61" w:rsidRPr="003069C4" w:rsidRDefault="00235A61" w:rsidP="00D6309C">
            <w:pPr>
              <w:jc w:val="right"/>
              <w:rPr>
                <w:rFonts w:cs="Arial"/>
              </w:rPr>
            </w:pPr>
            <w:r>
              <w:rPr>
                <w:rFonts w:cs="Arial"/>
              </w:rPr>
              <w:t>51</w:t>
            </w:r>
          </w:p>
        </w:tc>
        <w:tc>
          <w:tcPr>
            <w:tcW w:w="993" w:type="dxa"/>
            <w:tcBorders>
              <w:top w:val="nil"/>
              <w:left w:val="nil"/>
              <w:bottom w:val="single" w:sz="4" w:space="0" w:color="auto"/>
              <w:right w:val="single" w:sz="4" w:space="0" w:color="auto"/>
            </w:tcBorders>
          </w:tcPr>
          <w:p w14:paraId="7C3E8B8B" w14:textId="77777777" w:rsidR="00235A61" w:rsidRDefault="00235A61" w:rsidP="00D6309C">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3E78287C" w14:textId="5B4AAB7D" w:rsidR="00235A61" w:rsidRDefault="00235A61" w:rsidP="00D6309C">
            <w:pPr>
              <w:jc w:val="right"/>
              <w:rPr>
                <w:rFonts w:cs="Arial"/>
              </w:rPr>
            </w:pPr>
            <w:r>
              <w:rPr>
                <w:rFonts w:cs="Arial"/>
              </w:rPr>
              <w:t>41</w:t>
            </w:r>
          </w:p>
        </w:tc>
      </w:tr>
      <w:tr w:rsidR="00235A61" w:rsidRPr="00C5395B" w14:paraId="09D51E67" w14:textId="22B600B4" w:rsidTr="00235A61">
        <w:trPr>
          <w:trHeight w:val="255"/>
        </w:trPr>
        <w:tc>
          <w:tcPr>
            <w:tcW w:w="2029" w:type="dxa"/>
            <w:tcBorders>
              <w:top w:val="nil"/>
              <w:left w:val="single" w:sz="4" w:space="0" w:color="auto"/>
              <w:bottom w:val="single" w:sz="4" w:space="0" w:color="auto"/>
              <w:right w:val="single" w:sz="4" w:space="0" w:color="auto"/>
            </w:tcBorders>
            <w:noWrap/>
          </w:tcPr>
          <w:p w14:paraId="6A534F65" w14:textId="77777777" w:rsidR="00235A61" w:rsidRPr="00C5395B" w:rsidRDefault="00235A61" w:rsidP="00D6309C">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0A755A50" w14:textId="77777777" w:rsidR="00235A61" w:rsidRPr="00DF7212" w:rsidRDefault="00235A61" w:rsidP="00D6309C">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53166AB4" w14:textId="77777777" w:rsidR="00235A61" w:rsidRPr="007E5A38" w:rsidRDefault="00235A61" w:rsidP="00D6309C">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1E086BB6" w14:textId="77777777" w:rsidR="00235A61" w:rsidRPr="003069C4" w:rsidRDefault="00235A61" w:rsidP="00D6309C">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418E34F" w14:textId="77777777" w:rsidR="00235A61" w:rsidRDefault="00235A61" w:rsidP="00D6309C">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3B45C332" w14:textId="07DD74D1" w:rsidR="00235A61" w:rsidRDefault="00235A61" w:rsidP="00D6309C">
            <w:pPr>
              <w:jc w:val="right"/>
              <w:rPr>
                <w:rFonts w:cs="Arial"/>
              </w:rPr>
            </w:pPr>
            <w:r>
              <w:rPr>
                <w:rFonts w:cs="Arial"/>
              </w:rPr>
              <w:t>12</w:t>
            </w:r>
          </w:p>
        </w:tc>
      </w:tr>
      <w:tr w:rsidR="00235A61" w:rsidRPr="00C5395B" w14:paraId="0927991C" w14:textId="7E5E2BC7" w:rsidTr="00235A61">
        <w:trPr>
          <w:trHeight w:val="255"/>
        </w:trPr>
        <w:tc>
          <w:tcPr>
            <w:tcW w:w="2029" w:type="dxa"/>
            <w:tcBorders>
              <w:top w:val="nil"/>
              <w:left w:val="single" w:sz="4" w:space="0" w:color="auto"/>
              <w:bottom w:val="single" w:sz="4" w:space="0" w:color="auto"/>
              <w:right w:val="single" w:sz="4" w:space="0" w:color="auto"/>
            </w:tcBorders>
            <w:noWrap/>
            <w:hideMark/>
          </w:tcPr>
          <w:p w14:paraId="4FFBFA95" w14:textId="77777777" w:rsidR="00235A61" w:rsidRPr="00C5395B" w:rsidRDefault="00235A61" w:rsidP="00D6309C">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0A9A9890" w14:textId="77777777" w:rsidR="00235A61" w:rsidRPr="00DF7212" w:rsidRDefault="00235A61" w:rsidP="00D6309C">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67DB7958" w14:textId="77777777" w:rsidR="00235A61" w:rsidRPr="007E5A38" w:rsidRDefault="00235A61" w:rsidP="00D6309C">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69CB052D" w14:textId="77777777" w:rsidR="00235A61" w:rsidRPr="003069C4" w:rsidRDefault="00235A61" w:rsidP="00D6309C">
            <w:pPr>
              <w:jc w:val="right"/>
              <w:rPr>
                <w:rFonts w:cs="Arial"/>
              </w:rPr>
            </w:pPr>
            <w:r>
              <w:rPr>
                <w:rFonts w:cs="Arial"/>
              </w:rPr>
              <w:t>2</w:t>
            </w:r>
          </w:p>
        </w:tc>
        <w:tc>
          <w:tcPr>
            <w:tcW w:w="993" w:type="dxa"/>
            <w:tcBorders>
              <w:top w:val="nil"/>
              <w:left w:val="nil"/>
              <w:bottom w:val="single" w:sz="4" w:space="0" w:color="auto"/>
              <w:right w:val="single" w:sz="4" w:space="0" w:color="auto"/>
            </w:tcBorders>
          </w:tcPr>
          <w:p w14:paraId="2C9271E1" w14:textId="77777777" w:rsidR="00235A61" w:rsidRDefault="00235A61" w:rsidP="00D6309C">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7DC27098" w14:textId="37B8A47B" w:rsidR="00235A61" w:rsidRDefault="00235A61" w:rsidP="00D6309C">
            <w:pPr>
              <w:jc w:val="right"/>
              <w:rPr>
                <w:rFonts w:cs="Arial"/>
              </w:rPr>
            </w:pPr>
            <w:r>
              <w:rPr>
                <w:rFonts w:cs="Arial"/>
              </w:rPr>
              <w:t>13</w:t>
            </w:r>
          </w:p>
        </w:tc>
      </w:tr>
      <w:tr w:rsidR="00235A61" w:rsidRPr="00C5395B" w14:paraId="6AA78C28" w14:textId="27666870" w:rsidTr="00235A61">
        <w:trPr>
          <w:trHeight w:val="255"/>
        </w:trPr>
        <w:tc>
          <w:tcPr>
            <w:tcW w:w="2029" w:type="dxa"/>
            <w:tcBorders>
              <w:top w:val="nil"/>
              <w:left w:val="single" w:sz="4" w:space="0" w:color="auto"/>
              <w:bottom w:val="single" w:sz="4" w:space="0" w:color="auto"/>
              <w:right w:val="single" w:sz="4" w:space="0" w:color="auto"/>
            </w:tcBorders>
            <w:noWrap/>
            <w:hideMark/>
          </w:tcPr>
          <w:p w14:paraId="4F298EE1" w14:textId="77777777" w:rsidR="00235A61" w:rsidRPr="00C5395B" w:rsidRDefault="00235A61" w:rsidP="00D6309C">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2B1015B1" w14:textId="77777777" w:rsidR="00235A61" w:rsidRPr="00DF7212" w:rsidRDefault="00235A61" w:rsidP="00D6309C">
            <w:pPr>
              <w:pStyle w:val="TableText"/>
              <w:jc w:val="right"/>
              <w:rPr>
                <w:rFonts w:cs="Arial"/>
                <w:b/>
                <w:bCs/>
              </w:rPr>
            </w:pPr>
            <w:r>
              <w:rPr>
                <w:rFonts w:cs="Arial"/>
                <w:b/>
                <w:bCs/>
              </w:rPr>
              <w:t>105</w:t>
            </w:r>
          </w:p>
        </w:tc>
        <w:tc>
          <w:tcPr>
            <w:tcW w:w="993" w:type="dxa"/>
            <w:tcBorders>
              <w:top w:val="nil"/>
              <w:left w:val="nil"/>
              <w:bottom w:val="single" w:sz="4" w:space="0" w:color="auto"/>
              <w:right w:val="single" w:sz="4" w:space="0" w:color="auto"/>
            </w:tcBorders>
          </w:tcPr>
          <w:p w14:paraId="231CE797" w14:textId="77777777" w:rsidR="00235A61" w:rsidRPr="003069C4" w:rsidRDefault="00235A61" w:rsidP="00D6309C">
            <w:pPr>
              <w:jc w:val="right"/>
              <w:rPr>
                <w:rFonts w:cs="Arial"/>
                <w:b/>
                <w:bCs/>
              </w:rPr>
            </w:pPr>
            <w:r>
              <w:rPr>
                <w:rFonts w:cs="Arial"/>
                <w:b/>
                <w:bCs/>
              </w:rPr>
              <w:t>74</w:t>
            </w:r>
          </w:p>
        </w:tc>
        <w:tc>
          <w:tcPr>
            <w:tcW w:w="993" w:type="dxa"/>
            <w:tcBorders>
              <w:top w:val="nil"/>
              <w:left w:val="nil"/>
              <w:bottom w:val="single" w:sz="4" w:space="0" w:color="auto"/>
              <w:right w:val="single" w:sz="4" w:space="0" w:color="auto"/>
            </w:tcBorders>
          </w:tcPr>
          <w:p w14:paraId="26ED5FDA" w14:textId="77777777" w:rsidR="00235A61" w:rsidRPr="003069C4" w:rsidRDefault="00235A61" w:rsidP="00D6309C">
            <w:pPr>
              <w:jc w:val="right"/>
              <w:rPr>
                <w:rFonts w:cs="Arial"/>
                <w:b/>
                <w:bCs/>
              </w:rPr>
            </w:pPr>
            <w:r>
              <w:rPr>
                <w:rFonts w:cs="Arial"/>
                <w:b/>
                <w:bCs/>
              </w:rPr>
              <w:t>128</w:t>
            </w:r>
          </w:p>
        </w:tc>
        <w:tc>
          <w:tcPr>
            <w:tcW w:w="993" w:type="dxa"/>
            <w:tcBorders>
              <w:top w:val="nil"/>
              <w:left w:val="nil"/>
              <w:bottom w:val="single" w:sz="4" w:space="0" w:color="auto"/>
              <w:right w:val="single" w:sz="4" w:space="0" w:color="auto"/>
            </w:tcBorders>
          </w:tcPr>
          <w:p w14:paraId="7B82F96C" w14:textId="77777777" w:rsidR="00235A61" w:rsidRDefault="00235A61" w:rsidP="00D6309C">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1EC155D9" w14:textId="38812C53" w:rsidR="00235A61" w:rsidRDefault="00235A61" w:rsidP="00D6309C">
            <w:pPr>
              <w:jc w:val="right"/>
              <w:rPr>
                <w:rFonts w:cs="Arial"/>
                <w:b/>
                <w:bCs/>
              </w:rPr>
            </w:pPr>
            <w:r>
              <w:rPr>
                <w:rFonts w:cs="Arial"/>
                <w:b/>
                <w:bCs/>
              </w:rPr>
              <w:t>154</w:t>
            </w:r>
          </w:p>
        </w:tc>
      </w:tr>
    </w:tbl>
    <w:p w14:paraId="5F6AF2F1" w14:textId="77777777" w:rsidR="0088282D" w:rsidRDefault="0088282D" w:rsidP="00695B67">
      <w:pPr>
        <w:tabs>
          <w:tab w:val="left" w:pos="0"/>
        </w:tabs>
        <w:ind w:left="426" w:right="-425" w:hanging="568"/>
        <w:jc w:val="both"/>
        <w:rPr>
          <w:rFonts w:cs="Arial"/>
          <w:sz w:val="16"/>
          <w:szCs w:val="16"/>
        </w:rPr>
      </w:pPr>
    </w:p>
    <w:p w14:paraId="732139F8" w14:textId="77777777" w:rsidR="0088282D" w:rsidRDefault="0088282D" w:rsidP="00695B67">
      <w:pPr>
        <w:tabs>
          <w:tab w:val="left" w:pos="0"/>
        </w:tabs>
        <w:ind w:left="426" w:right="-425" w:hanging="568"/>
        <w:jc w:val="both"/>
        <w:rPr>
          <w:rFonts w:cs="Arial"/>
          <w:sz w:val="16"/>
          <w:szCs w:val="16"/>
        </w:rPr>
      </w:pPr>
    </w:p>
    <w:p w14:paraId="3DA4D471" w14:textId="3D83B91D" w:rsidR="005A5B78" w:rsidRPr="00076ED0" w:rsidRDefault="005A5B78" w:rsidP="00CB1032">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1793376D"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A12191">
        <w:rPr>
          <w:rFonts w:cs="Arial"/>
        </w:rPr>
        <w:t xml:space="preserve">21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A12191">
        <w:rPr>
          <w:rFonts w:cs="Arial"/>
        </w:rPr>
        <w:t xml:space="preserve">21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250129">
        <w:rPr>
          <w:rFonts w:cs="Arial"/>
        </w:rPr>
        <w:t>58</w:t>
      </w:r>
      <w:r w:rsidR="00324B7B">
        <w:rPr>
          <w:rFonts w:cs="Arial"/>
        </w:rPr>
        <w:t xml:space="preserve">. </w:t>
      </w:r>
      <w:r w:rsidR="00A82BE3">
        <w:rPr>
          <w:rFonts w:cs="Arial"/>
        </w:rPr>
        <w:t>Sixty-</w:t>
      </w:r>
      <w:r w:rsidR="00A12191">
        <w:rPr>
          <w:rFonts w:cs="Arial"/>
        </w:rPr>
        <w:t xml:space="preserve">two </w:t>
      </w:r>
      <w:r w:rsidR="00DE1B45">
        <w:rPr>
          <w:rFonts w:cs="Arial"/>
        </w:rPr>
        <w:t>percent of CIMs</w:t>
      </w:r>
      <w:r w:rsidR="00324B7B">
        <w:rPr>
          <w:rFonts w:cs="Arial"/>
        </w:rPr>
        <w:t xml:space="preserve"> quarantine</w:t>
      </w:r>
      <w:r w:rsidR="00DE1B45">
        <w:rPr>
          <w:rFonts w:cs="Arial"/>
        </w:rPr>
        <w:t>d</w:t>
      </w:r>
      <w:r w:rsidR="00324B7B">
        <w:rPr>
          <w:rFonts w:cs="Arial"/>
        </w:rPr>
        <w:t xml:space="preserve"> </w:t>
      </w:r>
      <w:r w:rsidR="00C41FA3">
        <w:rPr>
          <w:rFonts w:cs="Arial"/>
        </w:rPr>
        <w:t xml:space="preserve">60 percent </w:t>
      </w:r>
      <w:r w:rsidR="00364C47">
        <w:rPr>
          <w:rFonts w:cs="Arial"/>
        </w:rPr>
        <w:t>of welfare payments</w:t>
      </w:r>
      <w:r w:rsidR="00180AEF">
        <w:rPr>
          <w:rFonts w:cs="Arial"/>
        </w:rPr>
        <w:t xml:space="preserve"> </w:t>
      </w:r>
      <w:r w:rsidR="00364C47">
        <w:rPr>
          <w:rFonts w:cs="Arial"/>
        </w:rPr>
        <w:t xml:space="preserve">with </w:t>
      </w:r>
      <w:r w:rsidR="004B215D">
        <w:rPr>
          <w:rFonts w:cs="Arial"/>
        </w:rPr>
        <w:t>all</w:t>
      </w:r>
      <w:r w:rsidR="00333954">
        <w:rPr>
          <w:rFonts w:cs="Arial"/>
        </w:rPr>
        <w:t xml:space="preserve"> </w:t>
      </w:r>
      <w:r w:rsidR="00364C47">
        <w:rPr>
          <w:rFonts w:cs="Arial"/>
        </w:rPr>
        <w:t xml:space="preserve">CIMs issued for a </w:t>
      </w:r>
      <w:r w:rsidR="00A82BE3">
        <w:rPr>
          <w:rFonts w:cs="Arial"/>
        </w:rPr>
        <w:t>6</w:t>
      </w:r>
      <w:r w:rsidR="00364C47">
        <w:rPr>
          <w:rFonts w:cs="Arial"/>
        </w:rPr>
        <w:t>-month duration</w:t>
      </w:r>
      <w:r w:rsidR="0061573D">
        <w:rPr>
          <w:rFonts w:cs="Arial"/>
        </w:rPr>
        <w:t>.</w:t>
      </w:r>
    </w:p>
    <w:p w14:paraId="23F5549F" w14:textId="77777777" w:rsidR="005A5B78" w:rsidRPr="00386FF7" w:rsidRDefault="005A5B78" w:rsidP="005A5B78">
      <w:pPr>
        <w:ind w:left="-142" w:right="-425"/>
        <w:jc w:val="both"/>
        <w:rPr>
          <w:rFonts w:cs="Arial"/>
        </w:rPr>
      </w:pPr>
    </w:p>
    <w:p w14:paraId="15BC289D" w14:textId="35F4EA7A" w:rsidR="005A5B78" w:rsidRDefault="005A5B78" w:rsidP="005A5B78">
      <w:pPr>
        <w:ind w:left="-142" w:right="-425"/>
        <w:jc w:val="both"/>
        <w:rPr>
          <w:rFonts w:cs="Arial"/>
        </w:rPr>
      </w:pPr>
      <w:r w:rsidRPr="00C313D5">
        <w:rPr>
          <w:rFonts w:cs="Arial"/>
        </w:rPr>
        <w:t xml:space="preserve">As at </w:t>
      </w:r>
      <w:r w:rsidR="007B7E78">
        <w:rPr>
          <w:rFonts w:cs="Arial"/>
        </w:rPr>
        <w:t>31 December</w:t>
      </w:r>
      <w:r w:rsidR="006F2D52">
        <w:rPr>
          <w:rFonts w:cs="Arial"/>
        </w:rPr>
        <w:t xml:space="preserve"> </w:t>
      </w:r>
      <w:r w:rsidR="001A5C4C">
        <w:rPr>
          <w:rFonts w:cs="Arial"/>
        </w:rPr>
        <w:t>2022</w:t>
      </w:r>
      <w:r w:rsidRPr="00C313D5">
        <w:rPr>
          <w:rFonts w:cs="Arial"/>
        </w:rPr>
        <w:t xml:space="preserve"> there were </w:t>
      </w:r>
      <w:r w:rsidR="00605B59">
        <w:rPr>
          <w:rFonts w:cs="Arial"/>
        </w:rPr>
        <w:t>36</w:t>
      </w:r>
      <w:r w:rsidR="00605B59" w:rsidRPr="00C313D5">
        <w:rPr>
          <w:rFonts w:cs="Arial"/>
        </w:rPr>
        <w:t xml:space="preserve"> </w:t>
      </w:r>
      <w:r w:rsidRPr="00C313D5">
        <w:rPr>
          <w:rFonts w:cs="Arial"/>
        </w:rPr>
        <w:t xml:space="preserve">clients subject to a </w:t>
      </w:r>
      <w:r w:rsidR="00A20D65" w:rsidRPr="00C313D5">
        <w:rPr>
          <w:rFonts w:cs="Arial"/>
        </w:rPr>
        <w:t>cur</w:t>
      </w:r>
      <w:r w:rsidR="00A20D65" w:rsidRPr="00FB5E62">
        <w:rPr>
          <w:rFonts w:cs="Arial"/>
        </w:rPr>
        <w:t xml:space="preserve">rent </w:t>
      </w:r>
      <w:r w:rsidRPr="00FB5E62">
        <w:rPr>
          <w:rFonts w:cs="Arial"/>
        </w:rPr>
        <w:t>CIM</w:t>
      </w:r>
      <w:r w:rsidR="004034AE" w:rsidRPr="00FB5E62">
        <w:rPr>
          <w:rFonts w:cs="Arial"/>
        </w:rPr>
        <w:t xml:space="preserve"> who were responsib</w:t>
      </w:r>
      <w:r w:rsidR="004034AE" w:rsidRPr="0053484D">
        <w:rPr>
          <w:rFonts w:cs="Arial"/>
        </w:rPr>
        <w:t xml:space="preserve">le for </w:t>
      </w:r>
      <w:r w:rsidR="0053484D" w:rsidRPr="0053484D">
        <w:rPr>
          <w:rFonts w:cs="Arial"/>
        </w:rPr>
        <w:t xml:space="preserve">50 </w:t>
      </w:r>
      <w:r w:rsidR="004034AE" w:rsidRPr="0053484D">
        <w:rPr>
          <w:rFonts w:cs="Arial"/>
        </w:rPr>
        <w:t>children in their care (</w:t>
      </w:r>
      <w:r w:rsidR="0053484D" w:rsidRPr="0053484D">
        <w:rPr>
          <w:rFonts w:cs="Arial"/>
        </w:rPr>
        <w:t xml:space="preserve">37 </w:t>
      </w:r>
      <w:r w:rsidR="004034AE" w:rsidRPr="0053484D">
        <w:rPr>
          <w:rFonts w:cs="Arial"/>
        </w:rPr>
        <w:t>of whom were school aged children</w:t>
      </w:r>
      <w:r w:rsidR="004573F7" w:rsidRPr="0053484D">
        <w:rPr>
          <w:rFonts w:cs="Arial"/>
        </w:rPr>
        <w:t>)</w:t>
      </w:r>
      <w:r w:rsidR="004034AE" w:rsidRPr="0053484D">
        <w:rPr>
          <w:rFonts w:cs="Arial"/>
        </w:rPr>
        <w:t>.</w:t>
      </w:r>
      <w:r w:rsidR="004034AE">
        <w:rPr>
          <w:rFonts w:cs="Arial"/>
        </w:rPr>
        <w:t xml:space="preserve"> </w:t>
      </w:r>
      <w:r w:rsidR="00AF3A15">
        <w:rPr>
          <w:rFonts w:cs="Arial"/>
        </w:rPr>
        <w:t>Sixty-one</w:t>
      </w:r>
      <w:r w:rsidR="004034AE">
        <w:rPr>
          <w:rFonts w:cs="Arial"/>
        </w:rPr>
        <w:t xml:space="preserve"> percent of the </w:t>
      </w:r>
      <w:r w:rsidR="00AF3A15">
        <w:rPr>
          <w:rFonts w:cs="Arial"/>
        </w:rPr>
        <w:t xml:space="preserve">36 </w:t>
      </w:r>
      <w:r w:rsidR="004034AE">
        <w:rPr>
          <w:rFonts w:cs="Arial"/>
        </w:rPr>
        <w:t xml:space="preserve">clients were income managed </w:t>
      </w:r>
      <w:bookmarkStart w:id="22" w:name="_Hlk80798728"/>
      <w:r w:rsidR="004573F7">
        <w:rPr>
          <w:rFonts w:cs="Arial"/>
        </w:rPr>
        <w:t xml:space="preserve">at </w:t>
      </w:r>
      <w:r w:rsidR="00984127">
        <w:rPr>
          <w:rFonts w:cs="Arial"/>
        </w:rPr>
        <w:t xml:space="preserve">60 percent </w:t>
      </w:r>
      <w:r w:rsidR="004034AE">
        <w:rPr>
          <w:rFonts w:cs="Arial"/>
        </w:rPr>
        <w:t>whilst duration ranged from</w:t>
      </w:r>
      <w:r w:rsidR="004573F7">
        <w:rPr>
          <w:rFonts w:cs="Arial"/>
        </w:rPr>
        <w:t xml:space="preserve"> </w:t>
      </w:r>
      <w:r w:rsidR="00AF3A15">
        <w:rPr>
          <w:rFonts w:cs="Arial"/>
        </w:rPr>
        <w:t xml:space="preserve">94 </w:t>
      </w:r>
      <w:r w:rsidR="005177D6">
        <w:rPr>
          <w:rFonts w:cs="Arial"/>
        </w:rPr>
        <w:t>percent for a 6-month duration</w:t>
      </w:r>
      <w:r w:rsidR="001E792B">
        <w:rPr>
          <w:rFonts w:cs="Arial"/>
        </w:rPr>
        <w:t xml:space="preserve"> </w:t>
      </w:r>
      <w:r w:rsidR="00AF3A15">
        <w:rPr>
          <w:rFonts w:cs="Arial"/>
        </w:rPr>
        <w:t>and 6</w:t>
      </w:r>
      <w:r w:rsidR="001E792B">
        <w:rPr>
          <w:rFonts w:cs="Arial"/>
        </w:rPr>
        <w:t xml:space="preserve"> percent for 9-month duration</w:t>
      </w:r>
      <w:r w:rsidR="00CE5828" w:rsidRPr="00C313D5">
        <w:rPr>
          <w:rFonts w:cs="Arial"/>
        </w:rPr>
        <w:t>.</w:t>
      </w:r>
      <w:r w:rsidR="0061573D">
        <w:rPr>
          <w:rFonts w:cs="Arial"/>
        </w:rPr>
        <w:t xml:space="preserve"> </w:t>
      </w:r>
      <w:bookmarkEnd w:id="22"/>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041B5BFB" w14:textId="28A471B8" w:rsidR="00166CE5" w:rsidRDefault="00166CE5" w:rsidP="005A5B78">
      <w:pPr>
        <w:ind w:left="-142" w:right="-425"/>
        <w:jc w:val="both"/>
      </w:pPr>
    </w:p>
    <w:p w14:paraId="3EFA5F25" w14:textId="42E28008" w:rsidR="00C0495B" w:rsidRPr="00B01FE8" w:rsidRDefault="00C0495B" w:rsidP="00C0495B">
      <w:pPr>
        <w:pStyle w:val="TableCaption"/>
        <w:spacing w:before="0"/>
        <w:ind w:left="0" w:right="-425"/>
        <w:rPr>
          <w:b/>
          <w:i w:val="0"/>
          <w:sz w:val="16"/>
        </w:rPr>
      </w:pPr>
      <w:r w:rsidRPr="00B01FE8">
        <w:rPr>
          <w:b/>
          <w:i w:val="0"/>
          <w:sz w:val="16"/>
        </w:rPr>
        <w:t>Table 1</w:t>
      </w:r>
      <w:r>
        <w:rPr>
          <w:b/>
          <w:i w:val="0"/>
          <w:sz w:val="16"/>
        </w:rPr>
        <w:t>4</w:t>
      </w:r>
      <w:r w:rsidRPr="00B01FE8">
        <w:rPr>
          <w:b/>
          <w:i w:val="0"/>
          <w:sz w:val="16"/>
        </w:rPr>
        <w:t xml:space="preserve">: </w:t>
      </w:r>
      <w:r w:rsidRPr="00C0495B">
        <w:rPr>
          <w:rFonts w:cs="Arial"/>
          <w:i w:val="0"/>
          <w:iCs/>
          <w:sz w:val="16"/>
          <w:szCs w:val="16"/>
        </w:rPr>
        <w:t>Conditional income management by community and quarter 1 October 2021 to 31 December 2022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C0495B" w:rsidRPr="00C5395B" w14:paraId="41AA8A7C" w14:textId="70A5606D" w:rsidTr="00C0495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2620D28E" w14:textId="77777777" w:rsidR="00C0495B" w:rsidRPr="00C5395B" w:rsidRDefault="00C0495B" w:rsidP="00D6309C">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B1C211D" w14:textId="77777777" w:rsidR="00C0495B" w:rsidRDefault="00C0495B" w:rsidP="00D6309C">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612F2A34" w14:textId="77777777" w:rsidR="00C0495B" w:rsidRDefault="00C0495B" w:rsidP="00D6309C">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6972F078" w14:textId="77777777" w:rsidR="00C0495B" w:rsidRDefault="00C0495B" w:rsidP="00D6309C">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798014CA" w14:textId="77777777" w:rsidR="00C0495B" w:rsidRDefault="00C0495B" w:rsidP="00D6309C">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137119EE" w14:textId="607F56DA" w:rsidR="00C0495B" w:rsidRDefault="00C0495B" w:rsidP="00D6309C">
            <w:pPr>
              <w:pStyle w:val="TableText"/>
              <w:jc w:val="right"/>
              <w:rPr>
                <w:b/>
                <w:lang w:eastAsia="en-AU"/>
              </w:rPr>
            </w:pPr>
            <w:r>
              <w:rPr>
                <w:b/>
                <w:lang w:eastAsia="en-AU"/>
              </w:rPr>
              <w:t>Qtr 58</w:t>
            </w:r>
          </w:p>
        </w:tc>
      </w:tr>
      <w:tr w:rsidR="00C0495B" w:rsidRPr="00C5395B" w14:paraId="2E339BF2" w14:textId="74FC7B53" w:rsidTr="00C0495B">
        <w:trPr>
          <w:trHeight w:val="255"/>
        </w:trPr>
        <w:tc>
          <w:tcPr>
            <w:tcW w:w="2040" w:type="dxa"/>
            <w:tcBorders>
              <w:top w:val="nil"/>
              <w:left w:val="single" w:sz="4" w:space="0" w:color="auto"/>
              <w:bottom w:val="single" w:sz="4" w:space="0" w:color="auto"/>
              <w:right w:val="single" w:sz="4" w:space="0" w:color="auto"/>
            </w:tcBorders>
            <w:noWrap/>
            <w:hideMark/>
          </w:tcPr>
          <w:p w14:paraId="468F8FB0" w14:textId="77777777" w:rsidR="00C0495B" w:rsidRPr="00C5395B" w:rsidRDefault="00C0495B" w:rsidP="00D6309C">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E7B47DA" w14:textId="77777777" w:rsidR="00C0495B" w:rsidRPr="00EE6BD7" w:rsidRDefault="00C0495B" w:rsidP="00D6309C">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3A8064CA" w14:textId="77777777" w:rsidR="00C0495B" w:rsidRPr="00A969C0" w:rsidRDefault="00C0495B"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AA7771E" w14:textId="77777777" w:rsidR="00C0495B" w:rsidRPr="00A969C0" w:rsidRDefault="00C0495B" w:rsidP="00D6309C">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35919CA8" w14:textId="77777777" w:rsidR="00C0495B" w:rsidRDefault="00C0495B" w:rsidP="00D6309C">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15142461" w14:textId="1033C775" w:rsidR="00C0495B" w:rsidRDefault="00C0495B" w:rsidP="00D6309C">
            <w:pPr>
              <w:jc w:val="right"/>
              <w:rPr>
                <w:rFonts w:cs="Arial"/>
              </w:rPr>
            </w:pPr>
            <w:r>
              <w:rPr>
                <w:rFonts w:cs="Arial"/>
              </w:rPr>
              <w:t>5</w:t>
            </w:r>
          </w:p>
        </w:tc>
      </w:tr>
      <w:tr w:rsidR="00C0495B" w:rsidRPr="00C5395B" w14:paraId="0623F83C" w14:textId="40C44F37" w:rsidTr="00C0495B">
        <w:trPr>
          <w:trHeight w:val="255"/>
        </w:trPr>
        <w:tc>
          <w:tcPr>
            <w:tcW w:w="2040" w:type="dxa"/>
            <w:tcBorders>
              <w:top w:val="nil"/>
              <w:left w:val="single" w:sz="4" w:space="0" w:color="auto"/>
              <w:bottom w:val="single" w:sz="4" w:space="0" w:color="auto"/>
              <w:right w:val="single" w:sz="4" w:space="0" w:color="auto"/>
            </w:tcBorders>
            <w:noWrap/>
            <w:hideMark/>
          </w:tcPr>
          <w:p w14:paraId="0CF24E43" w14:textId="77777777" w:rsidR="00C0495B" w:rsidRPr="00C5395B" w:rsidRDefault="00C0495B" w:rsidP="00D6309C">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18313EA" w14:textId="77777777" w:rsidR="00C0495B" w:rsidRPr="00EE6BD7" w:rsidRDefault="00C0495B"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C9FA0D7" w14:textId="77777777" w:rsidR="00C0495B" w:rsidRPr="00A969C0" w:rsidRDefault="00C0495B"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2EA5815" w14:textId="77777777" w:rsidR="00C0495B" w:rsidRPr="00A969C0" w:rsidRDefault="00C0495B"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34200C3" w14:textId="77777777" w:rsidR="00C0495B" w:rsidRDefault="00C0495B"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61FD0BD" w14:textId="2D779A50" w:rsidR="00C0495B" w:rsidRDefault="00C0495B" w:rsidP="00D6309C">
            <w:pPr>
              <w:jc w:val="right"/>
              <w:rPr>
                <w:rFonts w:cs="Arial"/>
              </w:rPr>
            </w:pPr>
            <w:r>
              <w:rPr>
                <w:rFonts w:cs="Arial"/>
              </w:rPr>
              <w:t>0</w:t>
            </w:r>
          </w:p>
        </w:tc>
      </w:tr>
      <w:tr w:rsidR="00C0495B" w:rsidRPr="00C5395B" w14:paraId="310C0431" w14:textId="4D97C1BE" w:rsidTr="00C0495B">
        <w:trPr>
          <w:trHeight w:val="255"/>
        </w:trPr>
        <w:tc>
          <w:tcPr>
            <w:tcW w:w="2040" w:type="dxa"/>
            <w:tcBorders>
              <w:top w:val="nil"/>
              <w:left w:val="single" w:sz="4" w:space="0" w:color="auto"/>
              <w:bottom w:val="single" w:sz="4" w:space="0" w:color="auto"/>
              <w:right w:val="single" w:sz="4" w:space="0" w:color="auto"/>
            </w:tcBorders>
            <w:noWrap/>
          </w:tcPr>
          <w:p w14:paraId="2CF6BC89" w14:textId="77777777" w:rsidR="00C0495B" w:rsidRPr="00C5395B" w:rsidRDefault="00C0495B" w:rsidP="00D6309C">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4A8F16D" w14:textId="77777777" w:rsidR="00C0495B" w:rsidRPr="00EE6BD7" w:rsidRDefault="00C0495B" w:rsidP="00D6309C">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00429780" w14:textId="77777777" w:rsidR="00C0495B" w:rsidRPr="00A969C0" w:rsidRDefault="00C0495B"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5BAC61F" w14:textId="77777777" w:rsidR="00C0495B" w:rsidRPr="00A969C0" w:rsidRDefault="00C0495B" w:rsidP="00D6309C">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94F44B7" w14:textId="77777777" w:rsidR="00C0495B" w:rsidRDefault="00C0495B"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1F0831E" w14:textId="06908EBE" w:rsidR="00C0495B" w:rsidRDefault="00C0495B" w:rsidP="00D6309C">
            <w:pPr>
              <w:jc w:val="right"/>
              <w:rPr>
                <w:rFonts w:cs="Arial"/>
              </w:rPr>
            </w:pPr>
            <w:r>
              <w:rPr>
                <w:rFonts w:cs="Arial"/>
              </w:rPr>
              <w:t>13</w:t>
            </w:r>
          </w:p>
        </w:tc>
      </w:tr>
      <w:tr w:rsidR="00C0495B" w:rsidRPr="00C5395B" w14:paraId="3D4172CA" w14:textId="12E301B9" w:rsidTr="00C0495B">
        <w:trPr>
          <w:trHeight w:val="255"/>
        </w:trPr>
        <w:tc>
          <w:tcPr>
            <w:tcW w:w="2040" w:type="dxa"/>
            <w:tcBorders>
              <w:top w:val="nil"/>
              <w:left w:val="single" w:sz="4" w:space="0" w:color="auto"/>
              <w:bottom w:val="single" w:sz="4" w:space="0" w:color="auto"/>
              <w:right w:val="single" w:sz="4" w:space="0" w:color="auto"/>
            </w:tcBorders>
            <w:noWrap/>
            <w:hideMark/>
          </w:tcPr>
          <w:p w14:paraId="3509A471" w14:textId="77777777" w:rsidR="00C0495B" w:rsidRPr="00C5395B" w:rsidRDefault="00C0495B" w:rsidP="00D6309C">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EA71063" w14:textId="77777777" w:rsidR="00C0495B" w:rsidRPr="00EE6BD7" w:rsidRDefault="00C0495B"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A2C948F" w14:textId="77777777" w:rsidR="00C0495B" w:rsidRPr="00A969C0" w:rsidRDefault="00C0495B"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B4C0FAF" w14:textId="77777777" w:rsidR="00C0495B" w:rsidRPr="00A969C0" w:rsidRDefault="00C0495B" w:rsidP="00D6309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0028F54" w14:textId="77777777" w:rsidR="00C0495B" w:rsidRDefault="00C0495B"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9C5D84C" w14:textId="72C0CAD0" w:rsidR="00C0495B" w:rsidRDefault="00C0495B" w:rsidP="00D6309C">
            <w:pPr>
              <w:jc w:val="right"/>
              <w:rPr>
                <w:rFonts w:cs="Arial"/>
              </w:rPr>
            </w:pPr>
            <w:r>
              <w:rPr>
                <w:rFonts w:cs="Arial"/>
              </w:rPr>
              <w:t>2</w:t>
            </w:r>
          </w:p>
        </w:tc>
      </w:tr>
      <w:tr w:rsidR="00C0495B" w:rsidRPr="00C5395B" w14:paraId="2359F8EC" w14:textId="26079708" w:rsidTr="00C0495B">
        <w:trPr>
          <w:trHeight w:val="255"/>
        </w:trPr>
        <w:tc>
          <w:tcPr>
            <w:tcW w:w="2040" w:type="dxa"/>
            <w:tcBorders>
              <w:top w:val="nil"/>
              <w:left w:val="single" w:sz="4" w:space="0" w:color="auto"/>
              <w:bottom w:val="single" w:sz="4" w:space="0" w:color="auto"/>
              <w:right w:val="single" w:sz="4" w:space="0" w:color="auto"/>
            </w:tcBorders>
            <w:noWrap/>
            <w:hideMark/>
          </w:tcPr>
          <w:p w14:paraId="12DD9118" w14:textId="77777777" w:rsidR="00C0495B" w:rsidRPr="00C5395B" w:rsidRDefault="00C0495B" w:rsidP="00D6309C">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D7CCE25" w14:textId="77777777" w:rsidR="00C0495B" w:rsidRPr="00EE6BD7" w:rsidRDefault="00C0495B"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7FD5700" w14:textId="77777777" w:rsidR="00C0495B" w:rsidRPr="00A969C0" w:rsidRDefault="00C0495B"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CFF9B0D" w14:textId="77777777" w:rsidR="00C0495B" w:rsidRPr="00A969C0" w:rsidRDefault="00C0495B"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4EC2BD1" w14:textId="77777777" w:rsidR="00C0495B" w:rsidRDefault="00C0495B"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C39C2F5" w14:textId="69318BD1" w:rsidR="00C0495B" w:rsidRDefault="00C0495B" w:rsidP="00D6309C">
            <w:pPr>
              <w:jc w:val="right"/>
              <w:rPr>
                <w:rFonts w:cs="Arial"/>
              </w:rPr>
            </w:pPr>
            <w:r>
              <w:rPr>
                <w:rFonts w:cs="Arial"/>
              </w:rPr>
              <w:t>1</w:t>
            </w:r>
          </w:p>
        </w:tc>
      </w:tr>
      <w:tr w:rsidR="00C0495B" w:rsidRPr="00C5395B" w14:paraId="54AD2445" w14:textId="1EF8FB8F" w:rsidTr="00C0495B">
        <w:trPr>
          <w:trHeight w:val="255"/>
        </w:trPr>
        <w:tc>
          <w:tcPr>
            <w:tcW w:w="2040" w:type="dxa"/>
            <w:tcBorders>
              <w:top w:val="nil"/>
              <w:left w:val="single" w:sz="4" w:space="0" w:color="auto"/>
              <w:bottom w:val="single" w:sz="4" w:space="0" w:color="auto"/>
              <w:right w:val="single" w:sz="4" w:space="0" w:color="auto"/>
            </w:tcBorders>
            <w:noWrap/>
            <w:hideMark/>
          </w:tcPr>
          <w:p w14:paraId="4DAF4349" w14:textId="77777777" w:rsidR="00C0495B" w:rsidRPr="00C5395B" w:rsidRDefault="00C0495B" w:rsidP="00D6309C">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ACAB839" w14:textId="77777777" w:rsidR="00C0495B" w:rsidRPr="00EE6BD7" w:rsidRDefault="00C0495B" w:rsidP="00D6309C">
            <w:pPr>
              <w:jc w:val="right"/>
              <w:rPr>
                <w:rFonts w:cs="Arial"/>
                <w:b/>
                <w:bCs/>
              </w:rPr>
            </w:pPr>
            <w:r>
              <w:rPr>
                <w:rFonts w:cs="Arial"/>
                <w:b/>
                <w:bCs/>
              </w:rPr>
              <w:t>29</w:t>
            </w:r>
          </w:p>
        </w:tc>
        <w:tc>
          <w:tcPr>
            <w:tcW w:w="960" w:type="dxa"/>
            <w:tcBorders>
              <w:top w:val="nil"/>
              <w:left w:val="nil"/>
              <w:bottom w:val="single" w:sz="4" w:space="0" w:color="auto"/>
              <w:right w:val="single" w:sz="4" w:space="0" w:color="auto"/>
            </w:tcBorders>
          </w:tcPr>
          <w:p w14:paraId="2E0A4038" w14:textId="77777777" w:rsidR="00C0495B" w:rsidRPr="00A969C0" w:rsidRDefault="00C0495B" w:rsidP="00D6309C">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5A4E7231" w14:textId="77777777" w:rsidR="00C0495B" w:rsidRPr="00A969C0" w:rsidRDefault="00C0495B" w:rsidP="00D6309C">
            <w:pPr>
              <w:jc w:val="right"/>
              <w:rPr>
                <w:rFonts w:cs="Arial"/>
                <w:b/>
                <w:bCs/>
              </w:rPr>
            </w:pPr>
            <w:r>
              <w:rPr>
                <w:rFonts w:cs="Arial"/>
                <w:b/>
                <w:bCs/>
              </w:rPr>
              <w:t>20</w:t>
            </w:r>
          </w:p>
        </w:tc>
        <w:tc>
          <w:tcPr>
            <w:tcW w:w="960" w:type="dxa"/>
            <w:tcBorders>
              <w:top w:val="nil"/>
              <w:left w:val="nil"/>
              <w:bottom w:val="single" w:sz="4" w:space="0" w:color="auto"/>
              <w:right w:val="single" w:sz="4" w:space="0" w:color="auto"/>
            </w:tcBorders>
          </w:tcPr>
          <w:p w14:paraId="0E7FB771" w14:textId="77777777" w:rsidR="00C0495B" w:rsidRDefault="00C0495B" w:rsidP="00D6309C">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50D76C86" w14:textId="4C8145C5" w:rsidR="00C0495B" w:rsidRDefault="00C0495B" w:rsidP="00D6309C">
            <w:pPr>
              <w:jc w:val="right"/>
              <w:rPr>
                <w:rFonts w:cs="Arial"/>
                <w:b/>
                <w:bCs/>
              </w:rPr>
            </w:pPr>
            <w:r>
              <w:rPr>
                <w:rFonts w:cs="Arial"/>
                <w:b/>
                <w:bCs/>
              </w:rPr>
              <w:t>21</w:t>
            </w:r>
          </w:p>
        </w:tc>
      </w:tr>
    </w:tbl>
    <w:p w14:paraId="054B90B0" w14:textId="77777777" w:rsidR="00C0495B" w:rsidRDefault="00C0495B" w:rsidP="005A5B78">
      <w:pPr>
        <w:tabs>
          <w:tab w:val="left" w:pos="0"/>
        </w:tabs>
        <w:ind w:left="426" w:right="-425" w:hanging="568"/>
        <w:jc w:val="both"/>
        <w:rPr>
          <w:rFonts w:cs="Arial"/>
          <w:sz w:val="16"/>
          <w:szCs w:val="16"/>
        </w:rPr>
      </w:pP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CB1032">
      <w:pPr>
        <w:pStyle w:val="Heading2"/>
      </w:pPr>
      <w:r>
        <w:t>Voluntary self-r</w:t>
      </w:r>
      <w:r w:rsidRPr="002D4651">
        <w:t>eferrals</w:t>
      </w:r>
      <w:r>
        <w:t xml:space="preserve"> from clients to the Commission</w:t>
      </w:r>
    </w:p>
    <w:p w14:paraId="77A10D70" w14:textId="7333D39D"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250129">
        <w:rPr>
          <w:rFonts w:cs="Arial"/>
        </w:rPr>
        <w:t>58</w:t>
      </w:r>
      <w:r w:rsidR="00F45BD7">
        <w:rPr>
          <w:rFonts w:cs="Arial"/>
        </w:rPr>
        <w:t>,</w:t>
      </w:r>
      <w:r>
        <w:rPr>
          <w:rFonts w:cs="Arial"/>
        </w:rPr>
        <w:t xml:space="preserve"> </w:t>
      </w:r>
      <w:r w:rsidR="00564711">
        <w:rPr>
          <w:rFonts w:cs="Arial"/>
        </w:rPr>
        <w:t xml:space="preserve">8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564711">
        <w:rPr>
          <w:rFonts w:cs="Arial"/>
        </w:rPr>
        <w:t xml:space="preserve">8 </w:t>
      </w:r>
      <w:r>
        <w:rPr>
          <w:rFonts w:cs="Arial"/>
        </w:rPr>
        <w:t>community support services under a case p</w:t>
      </w:r>
      <w:r w:rsidRPr="007F32E2">
        <w:rPr>
          <w:rFonts w:cs="Arial"/>
        </w:rPr>
        <w:t>lan</w:t>
      </w:r>
      <w:r w:rsidR="00B83421">
        <w:rPr>
          <w:rFonts w:cs="Arial"/>
        </w:rPr>
        <w:t xml:space="preserve"> relating to 8 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CB1032">
      <w:pPr>
        <w:pStyle w:val="Heading2"/>
      </w:pPr>
      <w:r w:rsidRPr="00113244">
        <w:t>Voluntary</w:t>
      </w:r>
      <w:r w:rsidR="00EC3C3E" w:rsidRPr="00113244">
        <w:t xml:space="preserve"> </w:t>
      </w:r>
      <w:r w:rsidR="00334F4D">
        <w:t>Income Management</w:t>
      </w:r>
    </w:p>
    <w:p w14:paraId="2F01F04F" w14:textId="66258587"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564711">
        <w:rPr>
          <w:rFonts w:cs="Arial"/>
        </w:rPr>
        <w:t xml:space="preserve">35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564711">
        <w:rPr>
          <w:rFonts w:cs="Arial"/>
        </w:rPr>
        <w:t xml:space="preserve">91 </w:t>
      </w:r>
      <w:r w:rsidR="00BB129A">
        <w:rPr>
          <w:rFonts w:cs="Arial"/>
        </w:rPr>
        <w:t>percent</w:t>
      </w:r>
      <w:r w:rsidR="004E765A" w:rsidRPr="009C5078">
        <w:rPr>
          <w:rFonts w:cs="Arial"/>
        </w:rPr>
        <w:t xml:space="preserve"> of clients electing to have</w:t>
      </w:r>
      <w:r w:rsidR="000F0D55" w:rsidRPr="009C5078">
        <w:rPr>
          <w:rFonts w:cs="Arial"/>
        </w:rPr>
        <w:t xml:space="preserve"> 60 percent</w:t>
      </w:r>
      <w:r w:rsidR="004E765A" w:rsidRPr="009C5078">
        <w:rPr>
          <w:rFonts w:cs="Arial"/>
        </w:rPr>
        <w:t xml:space="preserve"> of their welfare payments</w:t>
      </w:r>
      <w:r w:rsidR="000F0D55" w:rsidRPr="009C5078">
        <w:rPr>
          <w:rFonts w:cs="Arial"/>
        </w:rPr>
        <w:t xml:space="preserve"> voluntar</w:t>
      </w:r>
      <w:r w:rsidR="004E765A" w:rsidRPr="009C5078">
        <w:rPr>
          <w:rFonts w:cs="Arial"/>
        </w:rPr>
        <w:t>ily</w:t>
      </w:r>
      <w:r w:rsidR="000F0D55" w:rsidRPr="009C5078">
        <w:rPr>
          <w:rFonts w:cs="Arial"/>
        </w:rPr>
        <w:t xml:space="preserve"> income manag</w:t>
      </w:r>
      <w:r w:rsidR="004E765A" w:rsidRPr="009C5078">
        <w:rPr>
          <w:rFonts w:cs="Arial"/>
        </w:rPr>
        <w:t>ed</w:t>
      </w:r>
      <w:r w:rsidR="00AE4A0C" w:rsidRPr="009C5078">
        <w:rPr>
          <w:rFonts w:cs="Arial"/>
        </w:rPr>
        <w:t xml:space="preserve"> (see </w:t>
      </w:r>
      <w:r w:rsidR="009F28DA">
        <w:rPr>
          <w:rFonts w:cs="Arial"/>
        </w:rPr>
        <w:t>table 18</w:t>
      </w:r>
      <w:r w:rsidR="00AE4A0C" w:rsidRPr="009C5078">
        <w:rPr>
          <w:rFonts w:cs="Arial"/>
        </w:rPr>
        <w:t>)</w:t>
      </w:r>
      <w:r w:rsidR="004E765A" w:rsidRPr="009C5078">
        <w:rPr>
          <w:rFonts w:cs="Arial"/>
        </w:rPr>
        <w:t>.</w:t>
      </w:r>
      <w:r w:rsidR="000F0D55" w:rsidRPr="009C5078">
        <w:rPr>
          <w:rFonts w:cs="Arial"/>
        </w:rPr>
        <w:t xml:space="preserve"> </w:t>
      </w:r>
      <w:r w:rsidR="00AE4A0C" w:rsidRPr="009C5078">
        <w:rPr>
          <w:rFonts w:cs="Arial"/>
        </w:rPr>
        <w:t xml:space="preserve">Clients also showed a preference to be subjected to income </w:t>
      </w:r>
      <w:r w:rsidR="00AE4A0C" w:rsidRPr="009C5078">
        <w:rPr>
          <w:rFonts w:cs="Arial"/>
        </w:rPr>
        <w:lastRenderedPageBreak/>
        <w:t xml:space="preserve">management </w:t>
      </w:r>
      <w:r w:rsidR="00BB129A">
        <w:rPr>
          <w:rFonts w:cs="Arial"/>
        </w:rPr>
        <w:t xml:space="preserve">at 6 months </w:t>
      </w:r>
      <w:r w:rsidR="00AE4A0C" w:rsidRPr="009C5078">
        <w:rPr>
          <w:rFonts w:cs="Arial"/>
        </w:rPr>
        <w:t xml:space="preserve">(see </w:t>
      </w:r>
      <w:r w:rsidR="009F28DA">
        <w:rPr>
          <w:rFonts w:cs="Arial"/>
        </w:rPr>
        <w:t>table</w:t>
      </w:r>
      <w:r w:rsidR="00AE4A0C" w:rsidRPr="009C5078">
        <w:rPr>
          <w:rFonts w:cs="Arial"/>
        </w:rPr>
        <w:t xml:space="preserve"> </w:t>
      </w:r>
      <w:r w:rsidR="009F28DA">
        <w:rPr>
          <w:rFonts w:cs="Arial"/>
        </w:rPr>
        <w:t>16</w:t>
      </w:r>
      <w:r w:rsidR="00AE4A0C" w:rsidRPr="009C5078">
        <w:rPr>
          <w:rFonts w:cs="Arial"/>
        </w:rPr>
        <w:t>).</w:t>
      </w:r>
      <w:r w:rsidR="005A6206" w:rsidRPr="00246B5A">
        <w:rPr>
          <w:rFonts w:cs="Arial"/>
        </w:rPr>
        <w:t xml:space="preserve"> </w:t>
      </w:r>
      <w:r w:rsidR="00D30730" w:rsidRPr="00246B5A">
        <w:rPr>
          <w:rFonts w:cs="Arial"/>
        </w:rPr>
        <w:t xml:space="preserve">As at </w:t>
      </w:r>
      <w:r w:rsidR="007B7E78">
        <w:rPr>
          <w:rFonts w:cs="Arial"/>
        </w:rPr>
        <w:t>31 December</w:t>
      </w:r>
      <w:r w:rsidR="006F2D52">
        <w:rPr>
          <w:rFonts w:cs="Arial"/>
        </w:rPr>
        <w:t xml:space="preserve"> </w:t>
      </w:r>
      <w:r w:rsidR="001A5C4C" w:rsidRPr="00246B5A">
        <w:rPr>
          <w:rFonts w:cs="Arial"/>
        </w:rPr>
        <w:t>2022</w:t>
      </w:r>
      <w:r w:rsidR="00D30730" w:rsidRPr="00246B5A">
        <w:rPr>
          <w:rFonts w:cs="Arial"/>
        </w:rPr>
        <w:t xml:space="preserve"> there were </w:t>
      </w:r>
      <w:r w:rsidR="00C622A7">
        <w:rPr>
          <w:rFonts w:cs="Arial"/>
        </w:rPr>
        <w:t>81</w:t>
      </w:r>
      <w:r w:rsidR="00C622A7" w:rsidRPr="00246B5A">
        <w:rPr>
          <w:rFonts w:cs="Arial"/>
        </w:rPr>
        <w:t xml:space="preserve"> </w:t>
      </w:r>
      <w:r w:rsidR="00D30730" w:rsidRPr="00246B5A">
        <w:rPr>
          <w:rFonts w:cs="Arial"/>
        </w:rPr>
        <w:t>clients on a current VIM agreement</w:t>
      </w:r>
      <w:r w:rsidR="00BB129A" w:rsidRPr="00246B5A">
        <w:rPr>
          <w:rFonts w:cs="Arial"/>
        </w:rPr>
        <w:t xml:space="preserve"> </w:t>
      </w:r>
      <w:r w:rsidR="00BB129A" w:rsidRPr="00246B5A">
        <w:t xml:space="preserve">who had </w:t>
      </w:r>
      <w:r w:rsidR="00C622A7">
        <w:t>103</w:t>
      </w:r>
      <w:r w:rsidR="00C622A7" w:rsidRPr="00246B5A">
        <w:t xml:space="preserve"> </w:t>
      </w:r>
      <w:r w:rsidR="00BB129A" w:rsidRPr="00246B5A">
        <w:t>children in their care (</w:t>
      </w:r>
      <w:r w:rsidR="00C622A7">
        <w:t>65</w:t>
      </w:r>
      <w:r w:rsidR="00C622A7" w:rsidRPr="00246B5A">
        <w:t xml:space="preserve"> </w:t>
      </w:r>
      <w:r w:rsidR="00BB129A" w:rsidRPr="00246B5A">
        <w:t>of whom were school aged children)</w:t>
      </w:r>
      <w:r w:rsidR="007847CF" w:rsidRPr="00246B5A">
        <w:rPr>
          <w:rFonts w:cs="Arial"/>
        </w:rPr>
        <w:t>.</w:t>
      </w:r>
      <w:r w:rsidR="0090496B" w:rsidRPr="00246B5A">
        <w:rPr>
          <w:rFonts w:cs="Arial"/>
        </w:rPr>
        <w:t xml:space="preserve"> The</w:t>
      </w:r>
      <w:r w:rsidR="0090496B">
        <w:rPr>
          <w:rFonts w:cs="Arial"/>
        </w:rPr>
        <w:t xml:space="preserve"> growth in the number of community members willing to enter into a VIM agreement</w:t>
      </w:r>
      <w:r w:rsidR="009C2950">
        <w:rPr>
          <w:rFonts w:cs="Arial"/>
        </w:rPr>
        <w:t xml:space="preserve"> continues to exceed levels reported in periods prior to the introduction of the CDC in March 2021</w:t>
      </w:r>
      <w:r w:rsidR="00C14593">
        <w:rPr>
          <w:rFonts w:cs="Arial"/>
        </w:rPr>
        <w:t xml:space="preserve"> (see </w:t>
      </w:r>
      <w:r w:rsidR="002925DB">
        <w:rPr>
          <w:rFonts w:cs="Arial"/>
        </w:rPr>
        <w:t>section</w:t>
      </w:r>
      <w:r w:rsidR="00C14593">
        <w:rPr>
          <w:rFonts w:cs="Arial"/>
        </w:rPr>
        <w:t xml:space="preserve"> below </w:t>
      </w:r>
      <w:r w:rsidR="00DC3E72">
        <w:rPr>
          <w:rFonts w:cs="Arial"/>
        </w:rPr>
        <w:t xml:space="preserve">on the </w:t>
      </w:r>
      <w:r w:rsidR="00C14593">
        <w:rPr>
          <w:rFonts w:cs="Arial"/>
        </w:rPr>
        <w:t xml:space="preserve">Status of </w:t>
      </w:r>
      <w:r w:rsidR="00DC3E72">
        <w:rPr>
          <w:rFonts w:cs="Arial"/>
        </w:rPr>
        <w:t xml:space="preserve">the </w:t>
      </w:r>
      <w:r w:rsidR="00C14593">
        <w:rPr>
          <w:rFonts w:cs="Arial"/>
        </w:rPr>
        <w:t>CD</w:t>
      </w:r>
      <w:r w:rsidR="00DC3E72">
        <w:rPr>
          <w:rFonts w:cs="Arial"/>
        </w:rPr>
        <w:t>C).</w:t>
      </w:r>
    </w:p>
    <w:p w14:paraId="45432E30" w14:textId="1B99792C" w:rsidR="006B6030" w:rsidRDefault="006B6030" w:rsidP="005A02C1">
      <w:pPr>
        <w:ind w:left="-142" w:right="-425"/>
        <w:jc w:val="both"/>
        <w:rPr>
          <w:rFonts w:cs="Arial"/>
        </w:rPr>
      </w:pPr>
    </w:p>
    <w:p w14:paraId="1087AFFD" w14:textId="3D3EB066"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250129">
        <w:rPr>
          <w:rFonts w:cs="Arial"/>
          <w:b/>
          <w:bCs/>
        </w:rPr>
        <w:t>58</w:t>
      </w:r>
    </w:p>
    <w:p w14:paraId="677DD7A6" w14:textId="51E8EF00" w:rsidR="007B6069" w:rsidRDefault="00AC0CBD" w:rsidP="000948EE">
      <w:pPr>
        <w:ind w:left="-142" w:right="-425"/>
        <w:jc w:val="both"/>
        <w:rPr>
          <w:rFonts w:cs="Arial"/>
        </w:rPr>
      </w:pPr>
      <w:r>
        <w:rPr>
          <w:rFonts w:cs="Arial"/>
        </w:rPr>
        <w:t>Fifty-six</w:t>
      </w:r>
      <w:r w:rsidR="00046CFE">
        <w:rPr>
          <w:rFonts w:cs="Arial"/>
        </w:rPr>
        <w:t xml:space="preserve"> </w:t>
      </w:r>
      <w:r w:rsidR="003833F9">
        <w:rPr>
          <w:rFonts w:cs="Arial"/>
        </w:rPr>
        <w:t xml:space="preserve">Cashless Debit Cards </w:t>
      </w:r>
      <w:r w:rsidR="00386ABC">
        <w:rPr>
          <w:rFonts w:cs="Arial"/>
        </w:rPr>
        <w:t>(</w:t>
      </w:r>
      <w:r>
        <w:rPr>
          <w:rFonts w:cs="Arial"/>
        </w:rPr>
        <w:t xml:space="preserve">21 </w:t>
      </w:r>
      <w:r w:rsidR="00386ABC">
        <w:rPr>
          <w:rFonts w:cs="Arial"/>
        </w:rPr>
        <w:t xml:space="preserve">for CIM and </w:t>
      </w:r>
      <w:r>
        <w:rPr>
          <w:rFonts w:cs="Arial"/>
        </w:rPr>
        <w:t xml:space="preserve">35 </w:t>
      </w:r>
      <w:r w:rsidR="00386ABC">
        <w:rPr>
          <w:rFonts w:cs="Arial"/>
        </w:rPr>
        <w:t xml:space="preserve">for VIM) </w:t>
      </w:r>
      <w:r w:rsidR="003833F9">
        <w:rPr>
          <w:rFonts w:cs="Arial"/>
        </w:rPr>
        <w:t xml:space="preserve">were processed for the period </w:t>
      </w:r>
      <w:r w:rsidR="007B7E78">
        <w:rPr>
          <w:rFonts w:cs="Arial"/>
        </w:rPr>
        <w:t>1 October</w:t>
      </w:r>
      <w:r w:rsidR="00415BC8">
        <w:rPr>
          <w:rFonts w:cs="Arial"/>
        </w:rPr>
        <w:t xml:space="preserve"> 2022</w:t>
      </w:r>
      <w:r w:rsidR="003833F9">
        <w:rPr>
          <w:rFonts w:cs="Arial"/>
        </w:rPr>
        <w:t xml:space="preserve"> to </w:t>
      </w:r>
      <w:r w:rsidR="007B7E78">
        <w:rPr>
          <w:rFonts w:cs="Arial"/>
        </w:rPr>
        <w:t>31 December</w:t>
      </w:r>
      <w:r w:rsidR="006F2D52">
        <w:rPr>
          <w:rFonts w:cs="Arial"/>
        </w:rPr>
        <w:t xml:space="preserve"> </w:t>
      </w:r>
      <w:r w:rsidR="001A5C4C">
        <w:rPr>
          <w:rFonts w:cs="Arial"/>
        </w:rPr>
        <w:t>2022</w:t>
      </w:r>
      <w:r w:rsidR="003833F9">
        <w:rPr>
          <w:rFonts w:cs="Arial"/>
        </w:rPr>
        <w:t xml:space="preserve">, including orders and agreements that were still awaiting Centrelink action as at </w:t>
      </w:r>
      <w:r w:rsidR="00DA70CA">
        <w:rPr>
          <w:rFonts w:cs="Arial"/>
        </w:rPr>
        <w:t>3</w:t>
      </w:r>
      <w:r w:rsidR="00717E3B">
        <w:rPr>
          <w:rFonts w:cs="Arial"/>
        </w:rPr>
        <w:t>1 December</w:t>
      </w:r>
      <w:r w:rsidR="003833F9">
        <w:rPr>
          <w:rFonts w:cs="Arial"/>
        </w:rPr>
        <w:t>.</w:t>
      </w:r>
    </w:p>
    <w:p w14:paraId="12035B64" w14:textId="77777777" w:rsidR="000948EE" w:rsidRDefault="000948EE" w:rsidP="000948EE">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0948EE" w14:paraId="3B53D8B9" w14:textId="77777777" w:rsidTr="00D6309C">
        <w:trPr>
          <w:trHeight w:val="278"/>
        </w:trPr>
        <w:tc>
          <w:tcPr>
            <w:tcW w:w="4106" w:type="dxa"/>
            <w:gridSpan w:val="2"/>
          </w:tcPr>
          <w:p w14:paraId="25D5D1B0" w14:textId="5C85232A" w:rsidR="000948EE" w:rsidRPr="002C0A49" w:rsidRDefault="000948EE" w:rsidP="00D6309C">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Breakdown of CDC CIMs by duration 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c>
          <w:tcPr>
            <w:tcW w:w="709" w:type="dxa"/>
            <w:tcBorders>
              <w:top w:val="nil"/>
              <w:bottom w:val="nil"/>
            </w:tcBorders>
          </w:tcPr>
          <w:p w14:paraId="16DA15EC" w14:textId="77777777" w:rsidR="000948EE" w:rsidRDefault="000948EE" w:rsidP="00D6309C">
            <w:pPr>
              <w:rPr>
                <w:rFonts w:cs="Arial"/>
                <w:b/>
                <w:bCs/>
                <w:noProof/>
                <w:sz w:val="16"/>
                <w:szCs w:val="16"/>
              </w:rPr>
            </w:pPr>
          </w:p>
        </w:tc>
        <w:tc>
          <w:tcPr>
            <w:tcW w:w="4098" w:type="dxa"/>
            <w:gridSpan w:val="2"/>
          </w:tcPr>
          <w:p w14:paraId="4787AF10" w14:textId="71BCFA3A" w:rsidR="000948EE" w:rsidRPr="00E33A8C" w:rsidRDefault="000948EE" w:rsidP="00D6309C">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sidRPr="002C0A49">
              <w:rPr>
                <w:rFonts w:cs="Arial"/>
                <w:noProof/>
                <w:sz w:val="16"/>
                <w:szCs w:val="16"/>
              </w:rPr>
              <w:t xml:space="preserve">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r>
      <w:tr w:rsidR="000948EE" w14:paraId="087E1712" w14:textId="77777777" w:rsidTr="00D6309C">
        <w:trPr>
          <w:trHeight w:val="278"/>
        </w:trPr>
        <w:tc>
          <w:tcPr>
            <w:tcW w:w="2972" w:type="dxa"/>
            <w:vAlign w:val="center"/>
          </w:tcPr>
          <w:p w14:paraId="1AADF7DE" w14:textId="77777777" w:rsidR="000948EE" w:rsidRPr="00CB1588" w:rsidRDefault="000948EE" w:rsidP="00D6309C">
            <w:pPr>
              <w:rPr>
                <w:rFonts w:cs="Arial"/>
                <w:b/>
                <w:bCs/>
                <w:noProof/>
              </w:rPr>
            </w:pPr>
            <w:r w:rsidRPr="00CB1588">
              <w:rPr>
                <w:rFonts w:cs="Arial"/>
                <w:b/>
                <w:bCs/>
                <w:noProof/>
              </w:rPr>
              <w:t>CIM Duration</w:t>
            </w:r>
          </w:p>
        </w:tc>
        <w:tc>
          <w:tcPr>
            <w:tcW w:w="1134" w:type="dxa"/>
            <w:vAlign w:val="center"/>
          </w:tcPr>
          <w:p w14:paraId="1F0ABE24" w14:textId="77777777" w:rsidR="000948EE" w:rsidRPr="00CB1588" w:rsidRDefault="000948EE" w:rsidP="00D6309C">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7A2D3148" w14:textId="77777777" w:rsidR="000948EE" w:rsidRDefault="000948EE" w:rsidP="00D6309C">
            <w:pPr>
              <w:rPr>
                <w:rFonts w:cs="Arial"/>
                <w:noProof/>
              </w:rPr>
            </w:pPr>
          </w:p>
        </w:tc>
        <w:tc>
          <w:tcPr>
            <w:tcW w:w="2977" w:type="dxa"/>
            <w:vAlign w:val="center"/>
          </w:tcPr>
          <w:p w14:paraId="32C89EED" w14:textId="77777777" w:rsidR="000948EE" w:rsidRPr="00CB1588" w:rsidRDefault="000948EE" w:rsidP="00D6309C">
            <w:pPr>
              <w:rPr>
                <w:rFonts w:cs="Arial"/>
                <w:b/>
                <w:bCs/>
                <w:noProof/>
              </w:rPr>
            </w:pPr>
            <w:r w:rsidRPr="00CB1588">
              <w:rPr>
                <w:rFonts w:cs="Arial"/>
                <w:b/>
                <w:bCs/>
                <w:noProof/>
              </w:rPr>
              <w:t>VIM Duration</w:t>
            </w:r>
          </w:p>
        </w:tc>
        <w:tc>
          <w:tcPr>
            <w:tcW w:w="1121" w:type="dxa"/>
            <w:vAlign w:val="center"/>
          </w:tcPr>
          <w:p w14:paraId="5585C908" w14:textId="77777777" w:rsidR="000948EE" w:rsidRPr="001D1C01" w:rsidRDefault="000948EE" w:rsidP="00D6309C">
            <w:pPr>
              <w:jc w:val="right"/>
              <w:rPr>
                <w:rFonts w:cs="Arial"/>
                <w:noProof/>
              </w:rPr>
            </w:pPr>
            <w:r>
              <w:rPr>
                <w:rFonts w:cs="Arial"/>
                <w:b/>
                <w:bCs/>
                <w:noProof/>
              </w:rPr>
              <w:t xml:space="preserve">% </w:t>
            </w:r>
            <w:r w:rsidRPr="00CB1588">
              <w:rPr>
                <w:rFonts w:cs="Arial"/>
                <w:b/>
                <w:bCs/>
                <w:noProof/>
              </w:rPr>
              <w:t>Split</w:t>
            </w:r>
          </w:p>
        </w:tc>
      </w:tr>
      <w:tr w:rsidR="000948EE" w14:paraId="7D8FFE9A" w14:textId="77777777" w:rsidTr="00D6309C">
        <w:trPr>
          <w:trHeight w:val="278"/>
        </w:trPr>
        <w:tc>
          <w:tcPr>
            <w:tcW w:w="2972" w:type="dxa"/>
            <w:vAlign w:val="center"/>
          </w:tcPr>
          <w:p w14:paraId="6847B4E0" w14:textId="77777777" w:rsidR="000948EE" w:rsidRPr="002819D6" w:rsidRDefault="000948EE" w:rsidP="00D6309C">
            <w:pPr>
              <w:rPr>
                <w:rFonts w:cs="Arial"/>
                <w:noProof/>
              </w:rPr>
            </w:pPr>
            <w:r w:rsidRPr="002819D6">
              <w:rPr>
                <w:rFonts w:cs="Arial"/>
                <w:noProof/>
              </w:rPr>
              <w:t>3 months</w:t>
            </w:r>
          </w:p>
        </w:tc>
        <w:tc>
          <w:tcPr>
            <w:tcW w:w="1134" w:type="dxa"/>
            <w:vAlign w:val="center"/>
          </w:tcPr>
          <w:p w14:paraId="21F2DD14" w14:textId="77777777" w:rsidR="000948EE" w:rsidRPr="001D1C01" w:rsidRDefault="000948EE" w:rsidP="00D6309C">
            <w:pPr>
              <w:jc w:val="right"/>
              <w:rPr>
                <w:rFonts w:cs="Arial"/>
                <w:noProof/>
              </w:rPr>
            </w:pPr>
            <w:r>
              <w:rPr>
                <w:rFonts w:cs="Arial"/>
                <w:noProof/>
              </w:rPr>
              <w:t>0</w:t>
            </w:r>
            <w:r w:rsidRPr="001D1C01">
              <w:rPr>
                <w:rFonts w:cs="Arial"/>
                <w:noProof/>
              </w:rPr>
              <w:t>%</w:t>
            </w:r>
          </w:p>
        </w:tc>
        <w:tc>
          <w:tcPr>
            <w:tcW w:w="709" w:type="dxa"/>
            <w:tcBorders>
              <w:top w:val="nil"/>
              <w:bottom w:val="nil"/>
            </w:tcBorders>
          </w:tcPr>
          <w:p w14:paraId="7D180AB9" w14:textId="77777777" w:rsidR="000948EE" w:rsidRDefault="000948EE" w:rsidP="00D6309C">
            <w:pPr>
              <w:rPr>
                <w:rFonts w:cs="Arial"/>
                <w:noProof/>
              </w:rPr>
            </w:pPr>
          </w:p>
        </w:tc>
        <w:tc>
          <w:tcPr>
            <w:tcW w:w="2977" w:type="dxa"/>
            <w:vAlign w:val="center"/>
          </w:tcPr>
          <w:p w14:paraId="1E605FD5" w14:textId="77777777" w:rsidR="000948EE" w:rsidRPr="001D1C01" w:rsidRDefault="000948EE" w:rsidP="00D6309C">
            <w:pPr>
              <w:rPr>
                <w:rFonts w:cs="Arial"/>
                <w:noProof/>
              </w:rPr>
            </w:pPr>
            <w:r w:rsidRPr="001D1C01">
              <w:rPr>
                <w:rFonts w:cs="Arial"/>
                <w:noProof/>
              </w:rPr>
              <w:t>3 months</w:t>
            </w:r>
          </w:p>
        </w:tc>
        <w:tc>
          <w:tcPr>
            <w:tcW w:w="1121" w:type="dxa"/>
            <w:vAlign w:val="center"/>
          </w:tcPr>
          <w:p w14:paraId="72493555" w14:textId="77777777" w:rsidR="000948EE" w:rsidRPr="001D1C01" w:rsidRDefault="000948EE" w:rsidP="00D6309C">
            <w:pPr>
              <w:jc w:val="right"/>
              <w:rPr>
                <w:rFonts w:cs="Arial"/>
                <w:noProof/>
              </w:rPr>
            </w:pPr>
            <w:r>
              <w:rPr>
                <w:rFonts w:cs="Arial"/>
                <w:noProof/>
              </w:rPr>
              <w:t>3</w:t>
            </w:r>
            <w:r w:rsidRPr="001D1C01">
              <w:rPr>
                <w:rFonts w:cs="Arial"/>
                <w:noProof/>
              </w:rPr>
              <w:t>%</w:t>
            </w:r>
          </w:p>
        </w:tc>
      </w:tr>
      <w:tr w:rsidR="000948EE" w14:paraId="1F3B8690" w14:textId="77777777" w:rsidTr="00D6309C">
        <w:trPr>
          <w:trHeight w:val="278"/>
        </w:trPr>
        <w:tc>
          <w:tcPr>
            <w:tcW w:w="2972" w:type="dxa"/>
            <w:vAlign w:val="center"/>
          </w:tcPr>
          <w:p w14:paraId="18275C8C" w14:textId="77777777" w:rsidR="000948EE" w:rsidRPr="002819D6" w:rsidRDefault="000948EE" w:rsidP="00D6309C">
            <w:pPr>
              <w:rPr>
                <w:rFonts w:cs="Arial"/>
                <w:noProof/>
              </w:rPr>
            </w:pPr>
            <w:r w:rsidRPr="002819D6">
              <w:rPr>
                <w:rFonts w:cs="Arial"/>
                <w:noProof/>
              </w:rPr>
              <w:t>6 months</w:t>
            </w:r>
          </w:p>
        </w:tc>
        <w:tc>
          <w:tcPr>
            <w:tcW w:w="1134" w:type="dxa"/>
            <w:vAlign w:val="center"/>
          </w:tcPr>
          <w:p w14:paraId="3916316A" w14:textId="77777777" w:rsidR="000948EE" w:rsidRPr="001D1C01" w:rsidRDefault="000948EE" w:rsidP="00D6309C">
            <w:pPr>
              <w:jc w:val="right"/>
              <w:rPr>
                <w:rFonts w:cs="Arial"/>
                <w:noProof/>
              </w:rPr>
            </w:pPr>
            <w:r>
              <w:rPr>
                <w:rFonts w:cs="Arial"/>
                <w:noProof/>
              </w:rPr>
              <w:t>100</w:t>
            </w:r>
            <w:r w:rsidRPr="001D1C01">
              <w:rPr>
                <w:rFonts w:cs="Arial"/>
                <w:noProof/>
              </w:rPr>
              <w:t>%</w:t>
            </w:r>
          </w:p>
        </w:tc>
        <w:tc>
          <w:tcPr>
            <w:tcW w:w="709" w:type="dxa"/>
            <w:tcBorders>
              <w:top w:val="nil"/>
              <w:bottom w:val="nil"/>
            </w:tcBorders>
          </w:tcPr>
          <w:p w14:paraId="23727F15" w14:textId="77777777" w:rsidR="000948EE" w:rsidRDefault="000948EE" w:rsidP="00D6309C">
            <w:pPr>
              <w:rPr>
                <w:rFonts w:cs="Arial"/>
                <w:noProof/>
              </w:rPr>
            </w:pPr>
          </w:p>
        </w:tc>
        <w:tc>
          <w:tcPr>
            <w:tcW w:w="2977" w:type="dxa"/>
            <w:vAlign w:val="center"/>
          </w:tcPr>
          <w:p w14:paraId="7A821EB8" w14:textId="77777777" w:rsidR="000948EE" w:rsidRPr="001D1C01" w:rsidRDefault="000948EE" w:rsidP="00D6309C">
            <w:pPr>
              <w:rPr>
                <w:rFonts w:cs="Arial"/>
                <w:noProof/>
              </w:rPr>
            </w:pPr>
            <w:r w:rsidRPr="001D1C01">
              <w:rPr>
                <w:rFonts w:cs="Arial"/>
                <w:noProof/>
              </w:rPr>
              <w:t>6 months</w:t>
            </w:r>
          </w:p>
        </w:tc>
        <w:tc>
          <w:tcPr>
            <w:tcW w:w="1121" w:type="dxa"/>
            <w:vAlign w:val="center"/>
          </w:tcPr>
          <w:p w14:paraId="6CE16DBB" w14:textId="447550D2" w:rsidR="000948EE" w:rsidRPr="001D1C01" w:rsidRDefault="000948EE" w:rsidP="00D6309C">
            <w:pPr>
              <w:jc w:val="right"/>
              <w:rPr>
                <w:rFonts w:cs="Arial"/>
                <w:noProof/>
              </w:rPr>
            </w:pPr>
            <w:r>
              <w:rPr>
                <w:rFonts w:cs="Arial"/>
                <w:noProof/>
              </w:rPr>
              <w:t>74</w:t>
            </w:r>
            <w:r w:rsidRPr="001D1C01">
              <w:rPr>
                <w:rFonts w:cs="Arial"/>
                <w:noProof/>
              </w:rPr>
              <w:t>%</w:t>
            </w:r>
          </w:p>
        </w:tc>
      </w:tr>
      <w:tr w:rsidR="000948EE" w14:paraId="52FCF352" w14:textId="77777777" w:rsidTr="00D6309C">
        <w:trPr>
          <w:trHeight w:val="278"/>
        </w:trPr>
        <w:tc>
          <w:tcPr>
            <w:tcW w:w="2972" w:type="dxa"/>
            <w:vAlign w:val="center"/>
          </w:tcPr>
          <w:p w14:paraId="49A5FDE1" w14:textId="77777777" w:rsidR="000948EE" w:rsidRPr="002819D6" w:rsidRDefault="000948EE" w:rsidP="00D6309C">
            <w:pPr>
              <w:rPr>
                <w:rFonts w:cs="Arial"/>
                <w:noProof/>
              </w:rPr>
            </w:pPr>
            <w:r w:rsidRPr="002819D6">
              <w:rPr>
                <w:rFonts w:cs="Arial"/>
                <w:noProof/>
              </w:rPr>
              <w:t>9 months</w:t>
            </w:r>
          </w:p>
        </w:tc>
        <w:tc>
          <w:tcPr>
            <w:tcW w:w="1134" w:type="dxa"/>
            <w:vAlign w:val="center"/>
          </w:tcPr>
          <w:p w14:paraId="00098A17" w14:textId="77777777" w:rsidR="000948EE" w:rsidRPr="001D1C01" w:rsidRDefault="000948EE" w:rsidP="00D6309C">
            <w:pPr>
              <w:jc w:val="right"/>
              <w:rPr>
                <w:rFonts w:cs="Arial"/>
                <w:noProof/>
              </w:rPr>
            </w:pPr>
            <w:r w:rsidRPr="001D1C01">
              <w:rPr>
                <w:rFonts w:cs="Arial"/>
                <w:noProof/>
              </w:rPr>
              <w:t>0%</w:t>
            </w:r>
          </w:p>
        </w:tc>
        <w:tc>
          <w:tcPr>
            <w:tcW w:w="709" w:type="dxa"/>
            <w:tcBorders>
              <w:top w:val="nil"/>
              <w:bottom w:val="nil"/>
            </w:tcBorders>
          </w:tcPr>
          <w:p w14:paraId="090356AC" w14:textId="77777777" w:rsidR="000948EE" w:rsidRDefault="000948EE" w:rsidP="00D6309C">
            <w:pPr>
              <w:rPr>
                <w:rFonts w:cs="Arial"/>
                <w:noProof/>
              </w:rPr>
            </w:pPr>
          </w:p>
        </w:tc>
        <w:tc>
          <w:tcPr>
            <w:tcW w:w="2977" w:type="dxa"/>
            <w:vAlign w:val="center"/>
          </w:tcPr>
          <w:p w14:paraId="6020AE72" w14:textId="77777777" w:rsidR="000948EE" w:rsidRPr="001D1C01" w:rsidRDefault="000948EE" w:rsidP="00D6309C">
            <w:pPr>
              <w:rPr>
                <w:rFonts w:cs="Arial"/>
                <w:noProof/>
              </w:rPr>
            </w:pPr>
            <w:r w:rsidRPr="001D1C01">
              <w:rPr>
                <w:rFonts w:cs="Arial"/>
                <w:noProof/>
              </w:rPr>
              <w:t>9 months</w:t>
            </w:r>
          </w:p>
        </w:tc>
        <w:tc>
          <w:tcPr>
            <w:tcW w:w="1121" w:type="dxa"/>
            <w:vAlign w:val="center"/>
          </w:tcPr>
          <w:p w14:paraId="60D1281E" w14:textId="77777777" w:rsidR="000948EE" w:rsidRPr="001D1C01" w:rsidRDefault="000948EE" w:rsidP="00D6309C">
            <w:pPr>
              <w:jc w:val="right"/>
              <w:rPr>
                <w:rFonts w:cs="Arial"/>
                <w:noProof/>
              </w:rPr>
            </w:pPr>
            <w:r>
              <w:rPr>
                <w:rFonts w:cs="Arial"/>
                <w:noProof/>
              </w:rPr>
              <w:t>3</w:t>
            </w:r>
            <w:r w:rsidRPr="001D1C01">
              <w:rPr>
                <w:rFonts w:cs="Arial"/>
                <w:noProof/>
              </w:rPr>
              <w:t>%</w:t>
            </w:r>
          </w:p>
        </w:tc>
      </w:tr>
      <w:tr w:rsidR="000948EE" w14:paraId="5769B102" w14:textId="77777777" w:rsidTr="00D6309C">
        <w:trPr>
          <w:trHeight w:val="278"/>
        </w:trPr>
        <w:tc>
          <w:tcPr>
            <w:tcW w:w="2972" w:type="dxa"/>
            <w:vAlign w:val="center"/>
          </w:tcPr>
          <w:p w14:paraId="4D0F6442" w14:textId="77777777" w:rsidR="000948EE" w:rsidRDefault="000948EE" w:rsidP="00D6309C">
            <w:pPr>
              <w:rPr>
                <w:rFonts w:cs="Arial"/>
                <w:noProof/>
              </w:rPr>
            </w:pPr>
            <w:r w:rsidRPr="002819D6">
              <w:rPr>
                <w:rFonts w:cs="Arial"/>
                <w:noProof/>
              </w:rPr>
              <w:t>12 months</w:t>
            </w:r>
          </w:p>
        </w:tc>
        <w:tc>
          <w:tcPr>
            <w:tcW w:w="1134" w:type="dxa"/>
            <w:vAlign w:val="center"/>
          </w:tcPr>
          <w:p w14:paraId="62861F27" w14:textId="77777777" w:rsidR="000948EE" w:rsidRPr="001D1C01" w:rsidRDefault="000948EE" w:rsidP="00D6309C">
            <w:pPr>
              <w:jc w:val="right"/>
              <w:rPr>
                <w:rFonts w:cs="Arial"/>
                <w:noProof/>
              </w:rPr>
            </w:pPr>
            <w:r>
              <w:rPr>
                <w:rFonts w:cs="Arial"/>
                <w:noProof/>
              </w:rPr>
              <w:t>0</w:t>
            </w:r>
            <w:r w:rsidRPr="001D1C01">
              <w:rPr>
                <w:rFonts w:cs="Arial"/>
                <w:noProof/>
              </w:rPr>
              <w:t>%</w:t>
            </w:r>
          </w:p>
        </w:tc>
        <w:tc>
          <w:tcPr>
            <w:tcW w:w="709" w:type="dxa"/>
            <w:tcBorders>
              <w:top w:val="nil"/>
              <w:bottom w:val="nil"/>
            </w:tcBorders>
          </w:tcPr>
          <w:p w14:paraId="4E65F994" w14:textId="77777777" w:rsidR="000948EE" w:rsidRDefault="000948EE" w:rsidP="00D6309C">
            <w:pPr>
              <w:rPr>
                <w:rFonts w:cs="Arial"/>
                <w:noProof/>
              </w:rPr>
            </w:pPr>
          </w:p>
        </w:tc>
        <w:tc>
          <w:tcPr>
            <w:tcW w:w="2977" w:type="dxa"/>
            <w:vAlign w:val="center"/>
          </w:tcPr>
          <w:p w14:paraId="39247783" w14:textId="77777777" w:rsidR="000948EE" w:rsidRDefault="000948EE" w:rsidP="00D6309C">
            <w:pPr>
              <w:rPr>
                <w:rFonts w:cs="Arial"/>
                <w:noProof/>
              </w:rPr>
            </w:pPr>
            <w:r w:rsidRPr="001D1C01">
              <w:rPr>
                <w:rFonts w:cs="Arial"/>
                <w:noProof/>
              </w:rPr>
              <w:t>12 months</w:t>
            </w:r>
          </w:p>
        </w:tc>
        <w:tc>
          <w:tcPr>
            <w:tcW w:w="1121" w:type="dxa"/>
            <w:vAlign w:val="center"/>
          </w:tcPr>
          <w:p w14:paraId="4709A0C6" w14:textId="5E969542" w:rsidR="000948EE" w:rsidRDefault="000948EE" w:rsidP="00D6309C">
            <w:pPr>
              <w:jc w:val="right"/>
              <w:rPr>
                <w:rFonts w:cs="Arial"/>
                <w:noProof/>
              </w:rPr>
            </w:pPr>
            <w:r>
              <w:rPr>
                <w:rFonts w:cs="Arial"/>
                <w:noProof/>
              </w:rPr>
              <w:t>20</w:t>
            </w:r>
            <w:r w:rsidRPr="001D1C01">
              <w:rPr>
                <w:rFonts w:cs="Arial"/>
                <w:noProof/>
              </w:rPr>
              <w:t>%</w:t>
            </w:r>
          </w:p>
        </w:tc>
      </w:tr>
      <w:tr w:rsidR="000948EE" w14:paraId="4555DFA7" w14:textId="77777777" w:rsidTr="00D6309C">
        <w:trPr>
          <w:trHeight w:val="278"/>
        </w:trPr>
        <w:tc>
          <w:tcPr>
            <w:tcW w:w="2972" w:type="dxa"/>
            <w:vAlign w:val="center"/>
          </w:tcPr>
          <w:p w14:paraId="0CB874D8" w14:textId="77777777" w:rsidR="000948EE" w:rsidRPr="00065259" w:rsidRDefault="000948EE" w:rsidP="00D6309C">
            <w:pPr>
              <w:rPr>
                <w:rFonts w:cs="Arial"/>
                <w:b/>
                <w:bCs/>
                <w:noProof/>
              </w:rPr>
            </w:pPr>
            <w:r w:rsidRPr="00065259">
              <w:rPr>
                <w:rFonts w:cs="Arial"/>
                <w:b/>
                <w:bCs/>
                <w:noProof/>
              </w:rPr>
              <w:t>Total</w:t>
            </w:r>
          </w:p>
        </w:tc>
        <w:tc>
          <w:tcPr>
            <w:tcW w:w="1134" w:type="dxa"/>
            <w:vAlign w:val="center"/>
          </w:tcPr>
          <w:p w14:paraId="1B673127" w14:textId="77777777" w:rsidR="000948EE" w:rsidRPr="00065259" w:rsidRDefault="000948EE" w:rsidP="00D6309C">
            <w:pPr>
              <w:jc w:val="right"/>
              <w:rPr>
                <w:rFonts w:cs="Arial"/>
                <w:b/>
                <w:bCs/>
                <w:noProof/>
              </w:rPr>
            </w:pPr>
            <w:r w:rsidRPr="00065259">
              <w:rPr>
                <w:rFonts w:cs="Arial"/>
                <w:b/>
                <w:bCs/>
                <w:noProof/>
              </w:rPr>
              <w:t>100%</w:t>
            </w:r>
          </w:p>
        </w:tc>
        <w:tc>
          <w:tcPr>
            <w:tcW w:w="709" w:type="dxa"/>
            <w:tcBorders>
              <w:top w:val="nil"/>
              <w:bottom w:val="nil"/>
            </w:tcBorders>
          </w:tcPr>
          <w:p w14:paraId="60D55EDC" w14:textId="77777777" w:rsidR="000948EE" w:rsidRDefault="000948EE" w:rsidP="00D6309C">
            <w:pPr>
              <w:rPr>
                <w:rFonts w:cs="Arial"/>
                <w:noProof/>
              </w:rPr>
            </w:pPr>
          </w:p>
        </w:tc>
        <w:tc>
          <w:tcPr>
            <w:tcW w:w="2977" w:type="dxa"/>
            <w:vAlign w:val="center"/>
          </w:tcPr>
          <w:p w14:paraId="74A518E0" w14:textId="77777777" w:rsidR="000948EE" w:rsidRPr="00065259" w:rsidRDefault="000948EE" w:rsidP="00D6309C">
            <w:pPr>
              <w:rPr>
                <w:rFonts w:cs="Arial"/>
                <w:b/>
                <w:bCs/>
                <w:noProof/>
              </w:rPr>
            </w:pPr>
            <w:r w:rsidRPr="00065259">
              <w:rPr>
                <w:rFonts w:cs="Arial"/>
                <w:b/>
                <w:bCs/>
                <w:noProof/>
              </w:rPr>
              <w:t>Total</w:t>
            </w:r>
          </w:p>
        </w:tc>
        <w:tc>
          <w:tcPr>
            <w:tcW w:w="1121" w:type="dxa"/>
            <w:vAlign w:val="center"/>
          </w:tcPr>
          <w:p w14:paraId="7CB84C59" w14:textId="77777777" w:rsidR="000948EE" w:rsidRPr="00065259" w:rsidRDefault="000948EE" w:rsidP="00D6309C">
            <w:pPr>
              <w:jc w:val="right"/>
              <w:rPr>
                <w:rFonts w:cs="Arial"/>
                <w:b/>
                <w:bCs/>
                <w:noProof/>
              </w:rPr>
            </w:pPr>
            <w:r w:rsidRPr="00065259">
              <w:rPr>
                <w:rFonts w:cs="Arial"/>
                <w:b/>
                <w:bCs/>
                <w:noProof/>
              </w:rPr>
              <w:t>100%</w:t>
            </w:r>
          </w:p>
        </w:tc>
      </w:tr>
    </w:tbl>
    <w:p w14:paraId="7DF097FA" w14:textId="77777777" w:rsidR="000948EE" w:rsidRDefault="000948EE"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138E0C6B" w:rsidR="007B6069" w:rsidRPr="00F22E2D" w:rsidRDefault="00AC0CBD"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sidR="00382FDF">
              <w:rPr>
                <w:rFonts w:cs="Arial"/>
                <w:noProof/>
              </w:rPr>
              <w:t xml:space="preserve">for quarter 58 </w:t>
            </w:r>
            <w:r w:rsidRPr="00AC0CBD">
              <w:rPr>
                <w:rFonts w:cs="Arial"/>
                <w:noProof/>
              </w:rPr>
              <w:t>shows that 74% were entered into for a 6-month duration, 20% entered into for a 12-month duration and 3% entered into for both a 3 and 9 month durations.</w:t>
            </w:r>
          </w:p>
        </w:tc>
      </w:tr>
    </w:tbl>
    <w:p w14:paraId="264762F5" w14:textId="5EF5944E"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0948EE" w14:paraId="5B2E4EF8" w14:textId="77777777" w:rsidTr="00D6309C">
        <w:trPr>
          <w:trHeight w:val="278"/>
        </w:trPr>
        <w:tc>
          <w:tcPr>
            <w:tcW w:w="4106" w:type="dxa"/>
            <w:gridSpan w:val="2"/>
          </w:tcPr>
          <w:p w14:paraId="26602BF2" w14:textId="6A487558" w:rsidR="000948EE" w:rsidRPr="00523A30" w:rsidRDefault="000948EE" w:rsidP="00D6309C">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sidRPr="002C0A49">
              <w:rPr>
                <w:rFonts w:cs="Arial"/>
                <w:noProof/>
                <w:sz w:val="16"/>
                <w:szCs w:val="16"/>
              </w:rPr>
              <w:t xml:space="preserve">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c>
          <w:tcPr>
            <w:tcW w:w="709" w:type="dxa"/>
            <w:tcBorders>
              <w:top w:val="nil"/>
              <w:bottom w:val="nil"/>
            </w:tcBorders>
          </w:tcPr>
          <w:p w14:paraId="52829C29" w14:textId="77777777" w:rsidR="000948EE" w:rsidRDefault="000948EE" w:rsidP="00D6309C">
            <w:pPr>
              <w:rPr>
                <w:rFonts w:cs="Arial"/>
                <w:b/>
                <w:bCs/>
                <w:noProof/>
                <w:sz w:val="16"/>
                <w:szCs w:val="16"/>
              </w:rPr>
            </w:pPr>
          </w:p>
        </w:tc>
        <w:tc>
          <w:tcPr>
            <w:tcW w:w="4098" w:type="dxa"/>
            <w:gridSpan w:val="2"/>
          </w:tcPr>
          <w:p w14:paraId="77ADA20A" w14:textId="1288BBD5" w:rsidR="000948EE" w:rsidRPr="00E33A8C" w:rsidRDefault="000948EE" w:rsidP="00D6309C">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sidRPr="002C0A49">
              <w:rPr>
                <w:rFonts w:cs="Arial"/>
                <w:noProof/>
                <w:sz w:val="16"/>
                <w:szCs w:val="16"/>
              </w:rPr>
              <w:t xml:space="preserve">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r>
      <w:tr w:rsidR="000948EE" w14:paraId="4A915D8F" w14:textId="77777777" w:rsidTr="00D6309C">
        <w:trPr>
          <w:trHeight w:val="278"/>
        </w:trPr>
        <w:tc>
          <w:tcPr>
            <w:tcW w:w="2972" w:type="dxa"/>
            <w:vAlign w:val="center"/>
          </w:tcPr>
          <w:p w14:paraId="1A986B52" w14:textId="77777777" w:rsidR="000948EE" w:rsidRPr="00CB1588" w:rsidRDefault="000948EE" w:rsidP="00D6309C">
            <w:pPr>
              <w:rPr>
                <w:rFonts w:cs="Arial"/>
                <w:b/>
                <w:bCs/>
                <w:noProof/>
              </w:rPr>
            </w:pPr>
            <w:r w:rsidRPr="00CB1588">
              <w:rPr>
                <w:rFonts w:cs="Arial"/>
                <w:b/>
                <w:bCs/>
                <w:noProof/>
              </w:rPr>
              <w:t>CIM Percentage</w:t>
            </w:r>
          </w:p>
        </w:tc>
        <w:tc>
          <w:tcPr>
            <w:tcW w:w="1134" w:type="dxa"/>
            <w:vAlign w:val="center"/>
          </w:tcPr>
          <w:p w14:paraId="6459D97E" w14:textId="77777777" w:rsidR="000948EE" w:rsidRPr="001D1C01" w:rsidRDefault="000948EE" w:rsidP="00D6309C">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65F99328" w14:textId="77777777" w:rsidR="000948EE" w:rsidRDefault="000948EE" w:rsidP="00D6309C">
            <w:pPr>
              <w:rPr>
                <w:rFonts w:cs="Arial"/>
                <w:noProof/>
              </w:rPr>
            </w:pPr>
          </w:p>
        </w:tc>
        <w:tc>
          <w:tcPr>
            <w:tcW w:w="2977" w:type="dxa"/>
            <w:vAlign w:val="center"/>
          </w:tcPr>
          <w:p w14:paraId="328F6450" w14:textId="77777777" w:rsidR="000948EE" w:rsidRPr="00CB1588" w:rsidRDefault="000948EE" w:rsidP="00D6309C">
            <w:pPr>
              <w:rPr>
                <w:rFonts w:cs="Arial"/>
                <w:b/>
                <w:bCs/>
                <w:noProof/>
              </w:rPr>
            </w:pPr>
            <w:r w:rsidRPr="00CB1588">
              <w:rPr>
                <w:rFonts w:cs="Arial"/>
                <w:b/>
                <w:bCs/>
                <w:noProof/>
              </w:rPr>
              <w:t>VIM Percentage</w:t>
            </w:r>
          </w:p>
        </w:tc>
        <w:tc>
          <w:tcPr>
            <w:tcW w:w="1121" w:type="dxa"/>
            <w:vAlign w:val="center"/>
          </w:tcPr>
          <w:p w14:paraId="4208116D" w14:textId="77777777" w:rsidR="000948EE" w:rsidRPr="001D1C01" w:rsidRDefault="000948EE" w:rsidP="00D6309C">
            <w:pPr>
              <w:jc w:val="right"/>
              <w:rPr>
                <w:rFonts w:cs="Arial"/>
                <w:noProof/>
              </w:rPr>
            </w:pPr>
            <w:r>
              <w:rPr>
                <w:rFonts w:cs="Arial"/>
                <w:b/>
                <w:bCs/>
                <w:noProof/>
              </w:rPr>
              <w:t xml:space="preserve">% </w:t>
            </w:r>
            <w:r w:rsidRPr="00CB1588">
              <w:rPr>
                <w:rFonts w:cs="Arial"/>
                <w:b/>
                <w:bCs/>
                <w:noProof/>
              </w:rPr>
              <w:t>Split</w:t>
            </w:r>
          </w:p>
        </w:tc>
      </w:tr>
      <w:tr w:rsidR="000948EE" w14:paraId="0B8D113F" w14:textId="77777777" w:rsidTr="00D6309C">
        <w:trPr>
          <w:trHeight w:val="278"/>
        </w:trPr>
        <w:tc>
          <w:tcPr>
            <w:tcW w:w="2972" w:type="dxa"/>
            <w:vAlign w:val="center"/>
          </w:tcPr>
          <w:p w14:paraId="45BF246B" w14:textId="77777777" w:rsidR="000948EE" w:rsidRDefault="000948EE" w:rsidP="00D6309C">
            <w:pPr>
              <w:rPr>
                <w:rFonts w:cs="Arial"/>
                <w:noProof/>
              </w:rPr>
            </w:pPr>
            <w:r>
              <w:rPr>
                <w:rFonts w:cs="Arial"/>
                <w:noProof/>
              </w:rPr>
              <w:t>60 percent</w:t>
            </w:r>
          </w:p>
        </w:tc>
        <w:tc>
          <w:tcPr>
            <w:tcW w:w="1134" w:type="dxa"/>
            <w:vAlign w:val="center"/>
          </w:tcPr>
          <w:p w14:paraId="50E5052C" w14:textId="1FEA4918" w:rsidR="000948EE" w:rsidRDefault="000948EE" w:rsidP="00D6309C">
            <w:pPr>
              <w:jc w:val="right"/>
              <w:rPr>
                <w:rFonts w:cs="Arial"/>
                <w:noProof/>
              </w:rPr>
            </w:pPr>
            <w:r>
              <w:rPr>
                <w:rFonts w:cs="Arial"/>
                <w:noProof/>
              </w:rPr>
              <w:t>62</w:t>
            </w:r>
            <w:r w:rsidRPr="001D1C01">
              <w:rPr>
                <w:rFonts w:cs="Arial"/>
                <w:noProof/>
              </w:rPr>
              <w:t>%</w:t>
            </w:r>
          </w:p>
        </w:tc>
        <w:tc>
          <w:tcPr>
            <w:tcW w:w="709" w:type="dxa"/>
            <w:tcBorders>
              <w:top w:val="nil"/>
              <w:bottom w:val="nil"/>
            </w:tcBorders>
          </w:tcPr>
          <w:p w14:paraId="7D043CD3" w14:textId="77777777" w:rsidR="000948EE" w:rsidRDefault="000948EE" w:rsidP="00D6309C">
            <w:pPr>
              <w:rPr>
                <w:rFonts w:cs="Arial"/>
                <w:noProof/>
              </w:rPr>
            </w:pPr>
          </w:p>
        </w:tc>
        <w:tc>
          <w:tcPr>
            <w:tcW w:w="2977" w:type="dxa"/>
            <w:vAlign w:val="center"/>
          </w:tcPr>
          <w:p w14:paraId="269E74AC" w14:textId="77777777" w:rsidR="000948EE" w:rsidRDefault="000948EE" w:rsidP="00D6309C">
            <w:pPr>
              <w:rPr>
                <w:rFonts w:cs="Arial"/>
                <w:noProof/>
              </w:rPr>
            </w:pPr>
            <w:r>
              <w:rPr>
                <w:rFonts w:cs="Arial"/>
                <w:noProof/>
              </w:rPr>
              <w:t>60 percent</w:t>
            </w:r>
          </w:p>
        </w:tc>
        <w:tc>
          <w:tcPr>
            <w:tcW w:w="1121" w:type="dxa"/>
            <w:vAlign w:val="center"/>
          </w:tcPr>
          <w:p w14:paraId="27EEB471" w14:textId="65D5CFCA" w:rsidR="000948EE" w:rsidRDefault="00DE3628" w:rsidP="00D6309C">
            <w:pPr>
              <w:jc w:val="right"/>
              <w:rPr>
                <w:rFonts w:cs="Arial"/>
                <w:noProof/>
              </w:rPr>
            </w:pPr>
            <w:r>
              <w:rPr>
                <w:rFonts w:cs="Arial"/>
                <w:noProof/>
              </w:rPr>
              <w:t>91</w:t>
            </w:r>
            <w:r w:rsidR="000948EE" w:rsidRPr="001D1C01">
              <w:rPr>
                <w:rFonts w:cs="Arial"/>
                <w:noProof/>
              </w:rPr>
              <w:t>%</w:t>
            </w:r>
          </w:p>
        </w:tc>
      </w:tr>
      <w:tr w:rsidR="000948EE" w14:paraId="1AA0B185" w14:textId="77777777" w:rsidTr="00D6309C">
        <w:trPr>
          <w:trHeight w:val="278"/>
        </w:trPr>
        <w:tc>
          <w:tcPr>
            <w:tcW w:w="2972" w:type="dxa"/>
            <w:vAlign w:val="center"/>
          </w:tcPr>
          <w:p w14:paraId="3DDB4839" w14:textId="77777777" w:rsidR="000948EE" w:rsidRPr="002819D6" w:rsidRDefault="000948EE" w:rsidP="00D6309C">
            <w:pPr>
              <w:rPr>
                <w:rFonts w:cs="Arial"/>
                <w:noProof/>
              </w:rPr>
            </w:pPr>
            <w:r>
              <w:rPr>
                <w:rFonts w:cs="Arial"/>
                <w:noProof/>
              </w:rPr>
              <w:t>75 percent</w:t>
            </w:r>
          </w:p>
        </w:tc>
        <w:tc>
          <w:tcPr>
            <w:tcW w:w="1134" w:type="dxa"/>
            <w:vAlign w:val="center"/>
          </w:tcPr>
          <w:p w14:paraId="206E7E3D" w14:textId="4796CAE7" w:rsidR="000948EE" w:rsidRPr="001D1C01" w:rsidRDefault="000948EE" w:rsidP="00D6309C">
            <w:pPr>
              <w:jc w:val="right"/>
              <w:rPr>
                <w:rFonts w:cs="Arial"/>
                <w:noProof/>
              </w:rPr>
            </w:pPr>
            <w:r>
              <w:rPr>
                <w:rFonts w:cs="Arial"/>
                <w:noProof/>
              </w:rPr>
              <w:t>33</w:t>
            </w:r>
            <w:r w:rsidRPr="001D1C01">
              <w:rPr>
                <w:rFonts w:cs="Arial"/>
                <w:noProof/>
              </w:rPr>
              <w:t>%</w:t>
            </w:r>
          </w:p>
        </w:tc>
        <w:tc>
          <w:tcPr>
            <w:tcW w:w="709" w:type="dxa"/>
            <w:tcBorders>
              <w:top w:val="nil"/>
              <w:bottom w:val="nil"/>
            </w:tcBorders>
          </w:tcPr>
          <w:p w14:paraId="49EDA13B" w14:textId="77777777" w:rsidR="000948EE" w:rsidRDefault="000948EE" w:rsidP="00D6309C">
            <w:pPr>
              <w:rPr>
                <w:rFonts w:cs="Arial"/>
                <w:noProof/>
              </w:rPr>
            </w:pPr>
          </w:p>
        </w:tc>
        <w:tc>
          <w:tcPr>
            <w:tcW w:w="2977" w:type="dxa"/>
            <w:vAlign w:val="center"/>
          </w:tcPr>
          <w:p w14:paraId="3C4F41AE" w14:textId="77777777" w:rsidR="000948EE" w:rsidRPr="001D1C01" w:rsidRDefault="000948EE" w:rsidP="00D6309C">
            <w:pPr>
              <w:rPr>
                <w:rFonts w:cs="Arial"/>
                <w:noProof/>
              </w:rPr>
            </w:pPr>
            <w:r>
              <w:rPr>
                <w:rFonts w:cs="Arial"/>
                <w:noProof/>
              </w:rPr>
              <w:t>75 percent</w:t>
            </w:r>
          </w:p>
        </w:tc>
        <w:tc>
          <w:tcPr>
            <w:tcW w:w="1121" w:type="dxa"/>
            <w:vAlign w:val="center"/>
          </w:tcPr>
          <w:p w14:paraId="4797839B" w14:textId="579F16FA" w:rsidR="000948EE" w:rsidRPr="001D1C01" w:rsidRDefault="00DE3628" w:rsidP="00D6309C">
            <w:pPr>
              <w:jc w:val="right"/>
              <w:rPr>
                <w:rFonts w:cs="Arial"/>
                <w:noProof/>
              </w:rPr>
            </w:pPr>
            <w:r>
              <w:rPr>
                <w:rFonts w:cs="Arial"/>
                <w:noProof/>
              </w:rPr>
              <w:t>6</w:t>
            </w:r>
            <w:r w:rsidR="000948EE" w:rsidRPr="001D1C01">
              <w:rPr>
                <w:rFonts w:cs="Arial"/>
                <w:noProof/>
              </w:rPr>
              <w:t>%</w:t>
            </w:r>
          </w:p>
        </w:tc>
      </w:tr>
      <w:tr w:rsidR="000948EE" w14:paraId="61346C15" w14:textId="77777777" w:rsidTr="00D6309C">
        <w:trPr>
          <w:trHeight w:val="278"/>
        </w:trPr>
        <w:tc>
          <w:tcPr>
            <w:tcW w:w="2972" w:type="dxa"/>
            <w:vAlign w:val="center"/>
          </w:tcPr>
          <w:p w14:paraId="21C6F77C" w14:textId="77777777" w:rsidR="000948EE" w:rsidRPr="002819D6" w:rsidRDefault="000948EE" w:rsidP="00D6309C">
            <w:pPr>
              <w:rPr>
                <w:rFonts w:cs="Arial"/>
                <w:noProof/>
              </w:rPr>
            </w:pPr>
            <w:r>
              <w:rPr>
                <w:rFonts w:cs="Arial"/>
                <w:noProof/>
              </w:rPr>
              <w:t>90 percent</w:t>
            </w:r>
          </w:p>
        </w:tc>
        <w:tc>
          <w:tcPr>
            <w:tcW w:w="1134" w:type="dxa"/>
            <w:vAlign w:val="center"/>
          </w:tcPr>
          <w:p w14:paraId="6911246A" w14:textId="47F45DFD" w:rsidR="000948EE" w:rsidRPr="001D1C01" w:rsidRDefault="000948EE" w:rsidP="00D6309C">
            <w:pPr>
              <w:jc w:val="right"/>
              <w:rPr>
                <w:rFonts w:cs="Arial"/>
                <w:noProof/>
              </w:rPr>
            </w:pPr>
            <w:r>
              <w:rPr>
                <w:rFonts w:cs="Arial"/>
                <w:noProof/>
              </w:rPr>
              <w:t>5</w:t>
            </w:r>
            <w:r w:rsidRPr="001D1C01">
              <w:rPr>
                <w:rFonts w:cs="Arial"/>
                <w:noProof/>
              </w:rPr>
              <w:t>%</w:t>
            </w:r>
          </w:p>
        </w:tc>
        <w:tc>
          <w:tcPr>
            <w:tcW w:w="709" w:type="dxa"/>
            <w:tcBorders>
              <w:top w:val="nil"/>
              <w:bottom w:val="nil"/>
            </w:tcBorders>
          </w:tcPr>
          <w:p w14:paraId="51AEE494" w14:textId="77777777" w:rsidR="000948EE" w:rsidRDefault="000948EE" w:rsidP="00D6309C">
            <w:pPr>
              <w:rPr>
                <w:rFonts w:cs="Arial"/>
                <w:noProof/>
              </w:rPr>
            </w:pPr>
          </w:p>
        </w:tc>
        <w:tc>
          <w:tcPr>
            <w:tcW w:w="2977" w:type="dxa"/>
            <w:vAlign w:val="center"/>
          </w:tcPr>
          <w:p w14:paraId="3D83D516" w14:textId="77777777" w:rsidR="000948EE" w:rsidRPr="001D1C01" w:rsidRDefault="000948EE" w:rsidP="00D6309C">
            <w:pPr>
              <w:rPr>
                <w:rFonts w:cs="Arial"/>
                <w:noProof/>
              </w:rPr>
            </w:pPr>
            <w:r>
              <w:rPr>
                <w:rFonts w:cs="Arial"/>
                <w:noProof/>
              </w:rPr>
              <w:t>90 percent</w:t>
            </w:r>
          </w:p>
        </w:tc>
        <w:tc>
          <w:tcPr>
            <w:tcW w:w="1121" w:type="dxa"/>
            <w:vAlign w:val="center"/>
          </w:tcPr>
          <w:p w14:paraId="0592863C" w14:textId="2113F14C" w:rsidR="000948EE" w:rsidRPr="001D1C01" w:rsidRDefault="00DE3628" w:rsidP="00D6309C">
            <w:pPr>
              <w:jc w:val="right"/>
              <w:rPr>
                <w:rFonts w:cs="Arial"/>
                <w:noProof/>
              </w:rPr>
            </w:pPr>
            <w:r>
              <w:rPr>
                <w:rFonts w:cs="Arial"/>
                <w:noProof/>
              </w:rPr>
              <w:t>3</w:t>
            </w:r>
            <w:r w:rsidR="000948EE" w:rsidRPr="001D1C01">
              <w:rPr>
                <w:rFonts w:cs="Arial"/>
                <w:noProof/>
              </w:rPr>
              <w:t>%</w:t>
            </w:r>
          </w:p>
        </w:tc>
      </w:tr>
      <w:tr w:rsidR="000948EE" w14:paraId="23D9FA63" w14:textId="77777777" w:rsidTr="00D6309C">
        <w:trPr>
          <w:trHeight w:val="278"/>
        </w:trPr>
        <w:tc>
          <w:tcPr>
            <w:tcW w:w="2972" w:type="dxa"/>
            <w:vAlign w:val="center"/>
          </w:tcPr>
          <w:p w14:paraId="33235BFD" w14:textId="77777777" w:rsidR="000948EE" w:rsidRPr="00065259" w:rsidRDefault="000948EE" w:rsidP="00D6309C">
            <w:pPr>
              <w:rPr>
                <w:rFonts w:cs="Arial"/>
                <w:b/>
                <w:bCs/>
                <w:noProof/>
              </w:rPr>
            </w:pPr>
            <w:r w:rsidRPr="00065259">
              <w:rPr>
                <w:rFonts w:cs="Arial"/>
                <w:b/>
                <w:bCs/>
                <w:noProof/>
              </w:rPr>
              <w:t>Total</w:t>
            </w:r>
          </w:p>
        </w:tc>
        <w:tc>
          <w:tcPr>
            <w:tcW w:w="1134" w:type="dxa"/>
            <w:vAlign w:val="center"/>
          </w:tcPr>
          <w:p w14:paraId="6E8CC423" w14:textId="77777777" w:rsidR="000948EE" w:rsidRPr="00065259" w:rsidRDefault="000948EE" w:rsidP="00D6309C">
            <w:pPr>
              <w:jc w:val="right"/>
              <w:rPr>
                <w:rFonts w:cs="Arial"/>
                <w:b/>
                <w:bCs/>
                <w:noProof/>
              </w:rPr>
            </w:pPr>
            <w:r w:rsidRPr="00065259">
              <w:rPr>
                <w:rFonts w:cs="Arial"/>
                <w:b/>
                <w:bCs/>
                <w:noProof/>
              </w:rPr>
              <w:t>100%</w:t>
            </w:r>
          </w:p>
        </w:tc>
        <w:tc>
          <w:tcPr>
            <w:tcW w:w="709" w:type="dxa"/>
            <w:tcBorders>
              <w:top w:val="nil"/>
              <w:bottom w:val="nil"/>
            </w:tcBorders>
          </w:tcPr>
          <w:p w14:paraId="294D5AA4" w14:textId="77777777" w:rsidR="000948EE" w:rsidRDefault="000948EE" w:rsidP="00D6309C">
            <w:pPr>
              <w:rPr>
                <w:rFonts w:cs="Arial"/>
                <w:noProof/>
              </w:rPr>
            </w:pPr>
          </w:p>
        </w:tc>
        <w:tc>
          <w:tcPr>
            <w:tcW w:w="2977" w:type="dxa"/>
            <w:vAlign w:val="center"/>
          </w:tcPr>
          <w:p w14:paraId="179B1D06" w14:textId="77777777" w:rsidR="000948EE" w:rsidRPr="00065259" w:rsidRDefault="000948EE" w:rsidP="00D6309C">
            <w:pPr>
              <w:rPr>
                <w:rFonts w:cs="Arial"/>
                <w:b/>
                <w:bCs/>
                <w:noProof/>
              </w:rPr>
            </w:pPr>
            <w:r w:rsidRPr="00065259">
              <w:rPr>
                <w:rFonts w:cs="Arial"/>
                <w:b/>
                <w:bCs/>
                <w:noProof/>
              </w:rPr>
              <w:t>Total</w:t>
            </w:r>
          </w:p>
        </w:tc>
        <w:tc>
          <w:tcPr>
            <w:tcW w:w="1121" w:type="dxa"/>
            <w:vAlign w:val="center"/>
          </w:tcPr>
          <w:p w14:paraId="34B521AF" w14:textId="77777777" w:rsidR="000948EE" w:rsidRPr="00065259" w:rsidRDefault="000948EE" w:rsidP="00D6309C">
            <w:pPr>
              <w:jc w:val="right"/>
              <w:rPr>
                <w:rFonts w:cs="Arial"/>
                <w:b/>
                <w:bCs/>
                <w:noProof/>
              </w:rPr>
            </w:pPr>
            <w:r w:rsidRPr="00065259">
              <w:rPr>
                <w:rFonts w:cs="Arial"/>
                <w:b/>
                <w:bCs/>
                <w:noProof/>
              </w:rPr>
              <w:t>100%</w:t>
            </w:r>
          </w:p>
        </w:tc>
      </w:tr>
    </w:tbl>
    <w:p w14:paraId="3CA523EE" w14:textId="77777777" w:rsidR="000948EE" w:rsidRDefault="000948EE"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3596DEF3" w:rsidR="007B6069" w:rsidRPr="00F22E2D" w:rsidRDefault="00AC0CBD" w:rsidP="005856AE">
            <w:pPr>
              <w:spacing w:line="240" w:lineRule="auto"/>
              <w:jc w:val="both"/>
              <w:rPr>
                <w:rFonts w:cs="Arial"/>
                <w:noProof/>
              </w:rPr>
            </w:pPr>
            <w:r w:rsidRPr="00AC0CBD">
              <w:rPr>
                <w:rFonts w:cs="Arial"/>
                <w:noProof/>
              </w:rPr>
              <w:t>This quarter saw 62% of CIM orders issued at 60 percent,  33% at 75 percent and 5% at 90 percent. The preference by clients to enter into a VIM at 60 percent remains the popular option with 91% of VIM agreements entered into at 60 percent for the quarter.</w:t>
            </w:r>
          </w:p>
        </w:tc>
      </w:tr>
    </w:tbl>
    <w:p w14:paraId="087BFE66" w14:textId="77777777" w:rsidR="00DE3628" w:rsidRDefault="00DE3628" w:rsidP="00357BEA">
      <w:pPr>
        <w:ind w:left="-142" w:right="-425"/>
        <w:jc w:val="both"/>
        <w:rPr>
          <w:rFonts w:cs="Arial"/>
        </w:rPr>
      </w:pPr>
    </w:p>
    <w:p w14:paraId="09FA0CC0" w14:textId="151CAF41" w:rsidR="00700320" w:rsidRPr="00357BEA" w:rsidRDefault="00586B89" w:rsidP="00357BEA">
      <w:pPr>
        <w:ind w:left="-142" w:right="-425"/>
        <w:jc w:val="both"/>
        <w:rPr>
          <w:rFonts w:cs="Arial"/>
        </w:rPr>
      </w:pPr>
      <w:r>
        <w:rPr>
          <w:rFonts w:cs="Arial"/>
        </w:rPr>
        <w:t xml:space="preserve">This quarter female community members </w:t>
      </w:r>
      <w:r w:rsidR="008E6B52">
        <w:rPr>
          <w:rFonts w:cs="Arial"/>
        </w:rPr>
        <w:t xml:space="preserve">accounted for the majority of CIMs with </w:t>
      </w:r>
      <w:r w:rsidR="004B4154">
        <w:rPr>
          <w:rFonts w:cs="Arial"/>
        </w:rPr>
        <w:t xml:space="preserve">76 </w:t>
      </w:r>
      <w:r w:rsidR="008E6B52">
        <w:rPr>
          <w:rFonts w:cs="Arial"/>
        </w:rPr>
        <w:t>percent relating to female clients</w:t>
      </w:r>
      <w:r>
        <w:rPr>
          <w:rFonts w:cs="Arial"/>
        </w:rPr>
        <w:t>. Again</w:t>
      </w:r>
      <w:r w:rsidR="00A526A0">
        <w:rPr>
          <w:rFonts w:cs="Arial"/>
        </w:rPr>
        <w:t>,</w:t>
      </w:r>
      <w:r>
        <w:rPr>
          <w:rFonts w:cs="Arial"/>
        </w:rPr>
        <w:t xml:space="preserve"> n</w:t>
      </w:r>
      <w:r w:rsidR="005A3730" w:rsidRPr="004B7415">
        <w:rPr>
          <w:rFonts w:cs="Arial"/>
        </w:rPr>
        <w:t>o community member older than 65 years was conditionally income managed by the FRC during the quarter.</w:t>
      </w:r>
    </w:p>
    <w:p w14:paraId="047CED0F" w14:textId="77777777" w:rsidR="00700320" w:rsidRPr="00C87697" w:rsidRDefault="00700320" w:rsidP="00700320">
      <w:pPr>
        <w:ind w:left="-142" w:right="-425"/>
        <w:jc w:val="both"/>
        <w:rPr>
          <w:rFonts w:cs="Arial"/>
          <w:highlight w:val="yellow"/>
        </w:rPr>
      </w:pPr>
    </w:p>
    <w:p w14:paraId="5026F836" w14:textId="17C97241" w:rsidR="00700320" w:rsidRPr="000B1E56" w:rsidRDefault="00586B89" w:rsidP="00700320">
      <w:pPr>
        <w:ind w:left="-142" w:right="-425"/>
        <w:jc w:val="both"/>
        <w:rPr>
          <w:rFonts w:cs="Arial"/>
        </w:rPr>
      </w:pPr>
      <w:r>
        <w:rPr>
          <w:rFonts w:cs="Arial"/>
        </w:rPr>
        <w:t>T</w:t>
      </w:r>
      <w:r w:rsidR="009D31EC" w:rsidRPr="000B1E56">
        <w:rPr>
          <w:rFonts w:cs="Arial"/>
        </w:rPr>
        <w:t>he majority of community members voluntarily participating in voluntary income management</w:t>
      </w:r>
      <w:r w:rsidR="00DE66D7" w:rsidRPr="000B1E56">
        <w:rPr>
          <w:rFonts w:cs="Arial"/>
        </w:rPr>
        <w:t xml:space="preserve"> </w:t>
      </w:r>
      <w:r w:rsidR="00164DEC">
        <w:rPr>
          <w:rFonts w:cs="Arial"/>
        </w:rPr>
        <w:t xml:space="preserve">this quarter </w:t>
      </w:r>
      <w:r w:rsidR="00A526A0">
        <w:rPr>
          <w:rFonts w:cs="Arial"/>
        </w:rPr>
        <w:t>were f</w:t>
      </w:r>
      <w:r w:rsidR="000B1E56" w:rsidRPr="000B1E56">
        <w:rPr>
          <w:rFonts w:cs="Arial"/>
        </w:rPr>
        <w:t xml:space="preserve">rom the </w:t>
      </w:r>
      <w:r w:rsidR="00013022">
        <w:rPr>
          <w:rFonts w:cs="Arial"/>
        </w:rPr>
        <w:t>3</w:t>
      </w:r>
      <w:r>
        <w:rPr>
          <w:rFonts w:cs="Arial"/>
        </w:rPr>
        <w:t>6</w:t>
      </w:r>
      <w:r w:rsidR="009D31EC" w:rsidRPr="000B1E56">
        <w:rPr>
          <w:rFonts w:cs="Arial"/>
        </w:rPr>
        <w:t xml:space="preserve"> to </w:t>
      </w:r>
      <w:r w:rsidR="00013022">
        <w:rPr>
          <w:rFonts w:cs="Arial"/>
        </w:rPr>
        <w:t>4</w:t>
      </w:r>
      <w:r w:rsidR="00347B60" w:rsidRPr="000B1E56">
        <w:rPr>
          <w:rFonts w:cs="Arial"/>
        </w:rPr>
        <w:t>5</w:t>
      </w:r>
      <w:r w:rsidR="00A526A0">
        <w:rPr>
          <w:rFonts w:cs="Arial"/>
        </w:rPr>
        <w:t>-</w:t>
      </w:r>
      <w:r w:rsidR="009D31EC" w:rsidRPr="000B1E56">
        <w:rPr>
          <w:rFonts w:cs="Arial"/>
        </w:rPr>
        <w:t>year age group</w:t>
      </w:r>
      <w:r w:rsidR="005A3730" w:rsidRPr="000B1E56">
        <w:rPr>
          <w:rFonts w:cs="Arial"/>
        </w:rPr>
        <w:t>.</w:t>
      </w:r>
      <w:r w:rsidR="00FF351C" w:rsidRPr="000B1E56">
        <w:rPr>
          <w:rFonts w:cs="Arial"/>
        </w:rPr>
        <w:t xml:space="preserve"> </w:t>
      </w:r>
      <w:r w:rsidR="005A3730" w:rsidRPr="000B1E56">
        <w:rPr>
          <w:rFonts w:cs="Arial"/>
        </w:rPr>
        <w:t>F</w:t>
      </w:r>
      <w:r w:rsidR="00FF351C" w:rsidRPr="000B1E56">
        <w:rPr>
          <w:rFonts w:cs="Arial"/>
        </w:rPr>
        <w:t>emales account</w:t>
      </w:r>
      <w:r w:rsidR="00A526A0">
        <w:rPr>
          <w:rFonts w:cs="Arial"/>
        </w:rPr>
        <w:t>ed</w:t>
      </w:r>
      <w:r w:rsidR="00FF351C" w:rsidRPr="000B1E56">
        <w:rPr>
          <w:rFonts w:cs="Arial"/>
        </w:rPr>
        <w:t xml:space="preserve"> for </w:t>
      </w:r>
      <w:r w:rsidR="00013022">
        <w:rPr>
          <w:rFonts w:cs="Arial"/>
        </w:rPr>
        <w:t>74</w:t>
      </w:r>
      <w:r w:rsidR="00013022" w:rsidRPr="000B1E56">
        <w:rPr>
          <w:rFonts w:cs="Arial"/>
        </w:rPr>
        <w:t xml:space="preserve"> </w:t>
      </w:r>
      <w:r w:rsidR="00FF351C" w:rsidRPr="000B1E56">
        <w:rPr>
          <w:rFonts w:cs="Arial"/>
        </w:rPr>
        <w:t xml:space="preserve">percent of </w:t>
      </w:r>
      <w:r w:rsidR="00166D38" w:rsidRPr="000B1E56">
        <w:rPr>
          <w:rFonts w:cs="Arial"/>
        </w:rPr>
        <w:t xml:space="preserve">the </w:t>
      </w:r>
      <w:r w:rsidR="0042231A" w:rsidRPr="000B1E56">
        <w:rPr>
          <w:rFonts w:cs="Arial"/>
        </w:rPr>
        <w:t>VIMs. Over</w:t>
      </w:r>
      <w:r w:rsidR="00FF351C" w:rsidRPr="000B1E56">
        <w:rPr>
          <w:rFonts w:cs="Arial"/>
        </w:rPr>
        <w:t xml:space="preserve">all </w:t>
      </w:r>
      <w:r w:rsidR="0042231A" w:rsidRPr="000B1E56">
        <w:rPr>
          <w:rFonts w:cs="Arial"/>
        </w:rPr>
        <w:t xml:space="preserve">females accounted for </w:t>
      </w:r>
      <w:r w:rsidR="008E6B52">
        <w:rPr>
          <w:rFonts w:cs="Arial"/>
        </w:rPr>
        <w:t>7</w:t>
      </w:r>
      <w:r w:rsidR="00013022">
        <w:rPr>
          <w:rFonts w:cs="Arial"/>
        </w:rPr>
        <w:t>5</w:t>
      </w:r>
      <w:r w:rsidR="008E6B52" w:rsidRPr="000B1E56">
        <w:rPr>
          <w:rFonts w:cs="Arial"/>
        </w:rPr>
        <w:t xml:space="preserve"> </w:t>
      </w:r>
      <w:r w:rsidR="0042231A" w:rsidRPr="000B1E56">
        <w:rPr>
          <w:rFonts w:cs="Arial"/>
        </w:rPr>
        <w:t xml:space="preserve">percent of all </w:t>
      </w:r>
      <w:r w:rsidR="00FF351C" w:rsidRPr="000B1E56">
        <w:rPr>
          <w:rFonts w:cs="Arial"/>
        </w:rPr>
        <w:t>CDCs</w:t>
      </w:r>
      <w:r w:rsidR="005A3730" w:rsidRPr="000B1E56">
        <w:rPr>
          <w:rFonts w:cs="Arial"/>
        </w:rPr>
        <w:t xml:space="preserve"> (voluntary and conditional)</w:t>
      </w:r>
      <w:r w:rsidR="0042231A" w:rsidRPr="000B1E56">
        <w:rPr>
          <w:rFonts w:cs="Arial"/>
        </w:rPr>
        <w:t xml:space="preserve"> </w:t>
      </w:r>
      <w:r w:rsidR="009122F0" w:rsidRPr="000B1E56">
        <w:rPr>
          <w:rFonts w:cs="Arial"/>
        </w:rPr>
        <w:t>in</w:t>
      </w:r>
      <w:r w:rsidR="0042231A" w:rsidRPr="000B1E56">
        <w:rPr>
          <w:rFonts w:cs="Arial"/>
        </w:rPr>
        <w:t xml:space="preserve"> quarter </w:t>
      </w:r>
      <w:r w:rsidR="00250129">
        <w:rPr>
          <w:rFonts w:cs="Arial"/>
        </w:rPr>
        <w:t>58</w:t>
      </w:r>
      <w:r w:rsidR="009D31EC" w:rsidRPr="000B1E56">
        <w:rPr>
          <w:rFonts w:cs="Arial"/>
        </w:rPr>
        <w:t>.</w:t>
      </w:r>
    </w:p>
    <w:p w14:paraId="4A3BF326" w14:textId="77777777" w:rsidR="00700320" w:rsidRPr="00C87697" w:rsidRDefault="00700320" w:rsidP="00700320">
      <w:pPr>
        <w:ind w:left="-142" w:right="-425"/>
        <w:jc w:val="both"/>
        <w:rPr>
          <w:rFonts w:cs="Arial"/>
          <w:highlight w:val="yellow"/>
        </w:rPr>
      </w:pPr>
    </w:p>
    <w:p w14:paraId="5C28C434" w14:textId="79C8F273" w:rsidR="009D31EC" w:rsidRDefault="009D31EC" w:rsidP="00700320">
      <w:pPr>
        <w:ind w:left="-142" w:right="-425"/>
        <w:jc w:val="both"/>
        <w:rPr>
          <w:rFonts w:cs="Arial"/>
        </w:rPr>
      </w:pPr>
      <w:r w:rsidRPr="00132A72">
        <w:rPr>
          <w:rFonts w:cs="Arial"/>
        </w:rPr>
        <w:t xml:space="preserve">Reasons for applying for the CDC were primarily to </w:t>
      </w:r>
      <w:r w:rsidR="00DB2CC6">
        <w:rPr>
          <w:rFonts w:cs="Arial"/>
        </w:rPr>
        <w:t>budget</w:t>
      </w:r>
      <w:r w:rsidR="00DB2CC6" w:rsidRPr="00132A72">
        <w:rPr>
          <w:rFonts w:cs="Arial"/>
        </w:rPr>
        <w:t xml:space="preserve"> </w:t>
      </w:r>
      <w:r w:rsidR="00132A72" w:rsidRPr="00132A72">
        <w:rPr>
          <w:rFonts w:cs="Arial"/>
        </w:rPr>
        <w:t>(</w:t>
      </w:r>
      <w:r w:rsidR="00DB2CC6">
        <w:rPr>
          <w:rFonts w:cs="Arial"/>
        </w:rPr>
        <w:t>49</w:t>
      </w:r>
      <w:r w:rsidR="00DB2CC6" w:rsidRPr="00132A72">
        <w:rPr>
          <w:rFonts w:cs="Arial"/>
        </w:rPr>
        <w:t xml:space="preserve"> </w:t>
      </w:r>
      <w:r w:rsidR="00132A72" w:rsidRPr="00132A72">
        <w:rPr>
          <w:rFonts w:cs="Arial"/>
        </w:rPr>
        <w:t xml:space="preserve">percent), to </w:t>
      </w:r>
      <w:r w:rsidR="00DB2CC6">
        <w:rPr>
          <w:rFonts w:cs="Arial"/>
        </w:rPr>
        <w:t xml:space="preserve">pay bills </w:t>
      </w:r>
      <w:r w:rsidR="00C06F76" w:rsidRPr="00132A72">
        <w:rPr>
          <w:rFonts w:cs="Arial"/>
        </w:rPr>
        <w:t>(</w:t>
      </w:r>
      <w:r w:rsidR="00DB2CC6">
        <w:rPr>
          <w:rFonts w:cs="Arial"/>
        </w:rPr>
        <w:t>43</w:t>
      </w:r>
      <w:r w:rsidR="00DB2CC6" w:rsidRPr="00132A72">
        <w:rPr>
          <w:rFonts w:cs="Arial"/>
        </w:rPr>
        <w:t xml:space="preserve"> </w:t>
      </w:r>
      <w:r w:rsidR="00C06F76" w:rsidRPr="00132A72">
        <w:rPr>
          <w:rFonts w:cs="Arial"/>
        </w:rPr>
        <w:t>percent)</w:t>
      </w:r>
      <w:r w:rsidR="00DB2CC6">
        <w:rPr>
          <w:rFonts w:cs="Arial"/>
        </w:rPr>
        <w:t>,</w:t>
      </w:r>
      <w:r w:rsidRPr="00132A72">
        <w:rPr>
          <w:rFonts w:cs="Arial"/>
        </w:rPr>
        <w:t xml:space="preserve"> </w:t>
      </w:r>
      <w:r w:rsidR="00066A58" w:rsidRPr="00132A72">
        <w:rPr>
          <w:rFonts w:cs="Arial"/>
        </w:rPr>
        <w:t>to save for something they needed (</w:t>
      </w:r>
      <w:r w:rsidR="00DB2CC6">
        <w:rPr>
          <w:rFonts w:cs="Arial"/>
        </w:rPr>
        <w:t>43</w:t>
      </w:r>
      <w:r w:rsidR="00DB2CC6" w:rsidRPr="00132A72">
        <w:rPr>
          <w:rFonts w:cs="Arial"/>
        </w:rPr>
        <w:t xml:space="preserve"> </w:t>
      </w:r>
      <w:r w:rsidR="00066A58" w:rsidRPr="00132A72">
        <w:rPr>
          <w:rFonts w:cs="Arial"/>
        </w:rPr>
        <w:t>percent)</w:t>
      </w:r>
      <w:r w:rsidR="00DB2CC6">
        <w:rPr>
          <w:rFonts w:cs="Arial"/>
        </w:rPr>
        <w:t xml:space="preserve"> and to buy food (37 percent)</w:t>
      </w:r>
      <w:r w:rsidRPr="00132A72">
        <w:rPr>
          <w:rFonts w:cs="Arial"/>
        </w:rPr>
        <w:t xml:space="preserve">. </w:t>
      </w:r>
      <w:r w:rsidR="00F966ED" w:rsidRPr="00132A72">
        <w:rPr>
          <w:rFonts w:cs="Arial"/>
        </w:rPr>
        <w:t>Circumstances given by voluntary income management participants when applying for the CDC were primarily to support themselves (</w:t>
      </w:r>
      <w:r w:rsidR="00DB2CC6">
        <w:rPr>
          <w:rFonts w:cs="Arial"/>
        </w:rPr>
        <w:t>63</w:t>
      </w:r>
      <w:r w:rsidR="00DB2CC6" w:rsidRPr="00132A72">
        <w:rPr>
          <w:rFonts w:cs="Arial"/>
        </w:rPr>
        <w:t xml:space="preserve"> </w:t>
      </w:r>
      <w:r w:rsidR="00F966ED" w:rsidRPr="00132A72">
        <w:rPr>
          <w:rFonts w:cs="Arial"/>
        </w:rPr>
        <w:t>percent)</w:t>
      </w:r>
      <w:r w:rsidR="00132A72" w:rsidRPr="00132A72">
        <w:rPr>
          <w:rFonts w:cs="Arial"/>
        </w:rPr>
        <w:t xml:space="preserve">, </w:t>
      </w:r>
      <w:r w:rsidR="00EC0BE6">
        <w:rPr>
          <w:rFonts w:cs="Arial"/>
        </w:rPr>
        <w:t>they</w:t>
      </w:r>
      <w:r w:rsidR="00132A72" w:rsidRPr="00132A72">
        <w:rPr>
          <w:rFonts w:cs="Arial"/>
        </w:rPr>
        <w:t xml:space="preserve"> like</w:t>
      </w:r>
      <w:r w:rsidR="00EC0BE6">
        <w:rPr>
          <w:rFonts w:cs="Arial"/>
        </w:rPr>
        <w:t>d</w:t>
      </w:r>
      <w:r w:rsidR="00132A72" w:rsidRPr="00132A72">
        <w:rPr>
          <w:rFonts w:cs="Arial"/>
        </w:rPr>
        <w:t xml:space="preserve"> the Cashless Debit Card (</w:t>
      </w:r>
      <w:r w:rsidR="00DB2CC6">
        <w:rPr>
          <w:rFonts w:cs="Arial"/>
        </w:rPr>
        <w:t>40</w:t>
      </w:r>
      <w:r w:rsidR="00DB2CC6" w:rsidRPr="00132A72">
        <w:rPr>
          <w:rFonts w:cs="Arial"/>
        </w:rPr>
        <w:t xml:space="preserve"> </w:t>
      </w:r>
      <w:r w:rsidR="00132A72" w:rsidRPr="00132A72">
        <w:rPr>
          <w:rFonts w:cs="Arial"/>
        </w:rPr>
        <w:t xml:space="preserve">percent) and </w:t>
      </w:r>
      <w:r w:rsidR="00EC0BE6">
        <w:rPr>
          <w:rFonts w:cs="Arial"/>
        </w:rPr>
        <w:t>they</w:t>
      </w:r>
      <w:r w:rsidR="00132A72" w:rsidRPr="00132A72">
        <w:rPr>
          <w:rFonts w:cs="Arial"/>
        </w:rPr>
        <w:t xml:space="preserve"> need</w:t>
      </w:r>
      <w:r w:rsidR="00EC0BE6">
        <w:rPr>
          <w:rFonts w:cs="Arial"/>
        </w:rPr>
        <w:t>ed</w:t>
      </w:r>
      <w:r w:rsidR="00132A72" w:rsidRPr="00132A72">
        <w:rPr>
          <w:rFonts w:cs="Arial"/>
        </w:rPr>
        <w:t xml:space="preserve"> to support </w:t>
      </w:r>
      <w:r w:rsidR="00EC0BE6">
        <w:rPr>
          <w:rFonts w:cs="Arial"/>
        </w:rPr>
        <w:t>their</w:t>
      </w:r>
      <w:r w:rsidR="00132A72" w:rsidRPr="00132A72">
        <w:rPr>
          <w:rFonts w:cs="Arial"/>
        </w:rPr>
        <w:t xml:space="preserve"> famil</w:t>
      </w:r>
      <w:r w:rsidR="006062B7">
        <w:rPr>
          <w:rFonts w:cs="Arial"/>
        </w:rPr>
        <w:t>ies</w:t>
      </w:r>
      <w:r w:rsidR="00132A72" w:rsidRPr="00132A72">
        <w:rPr>
          <w:rFonts w:cs="Arial"/>
        </w:rPr>
        <w:t xml:space="preserve"> (</w:t>
      </w:r>
      <w:r w:rsidR="00DB2CC6">
        <w:rPr>
          <w:rFonts w:cs="Arial"/>
        </w:rPr>
        <w:t>37</w:t>
      </w:r>
      <w:r w:rsidR="00DB2CC6" w:rsidRPr="00132A72">
        <w:rPr>
          <w:rFonts w:cs="Arial"/>
        </w:rPr>
        <w:t xml:space="preserve"> </w:t>
      </w:r>
      <w:r w:rsidR="00132A72" w:rsidRPr="00132A72">
        <w:rPr>
          <w:rFonts w:cs="Arial"/>
        </w:rPr>
        <w:t>percent)</w:t>
      </w:r>
      <w:r w:rsidR="00F966ED" w:rsidRPr="00132A72">
        <w:rPr>
          <w:rFonts w:cs="Arial"/>
        </w:rPr>
        <w:t xml:space="preserve">. </w:t>
      </w:r>
      <w:r w:rsidR="00AC37B0" w:rsidRPr="00132A72">
        <w:rPr>
          <w:rFonts w:cs="Arial"/>
        </w:rPr>
        <w:t>Please note</w:t>
      </w:r>
      <w:r w:rsidR="00F12673" w:rsidRPr="00132A72">
        <w:rPr>
          <w:rFonts w:cs="Arial"/>
        </w:rPr>
        <w:t>,</w:t>
      </w:r>
      <w:r w:rsidR="00AC37B0" w:rsidRPr="00132A72">
        <w:rPr>
          <w:rFonts w:cs="Arial"/>
        </w:rPr>
        <w:t xml:space="preserve"> a client may choose one or more options to reflect their individual reasons </w:t>
      </w:r>
      <w:r w:rsidR="00CD64F4" w:rsidRPr="00132A72">
        <w:rPr>
          <w:rFonts w:cs="Arial"/>
        </w:rPr>
        <w:t xml:space="preserve">and circumstances </w:t>
      </w:r>
      <w:r w:rsidR="00764182" w:rsidRPr="00132A72">
        <w:rPr>
          <w:rFonts w:cs="Arial"/>
        </w:rPr>
        <w:t>for participating in voluntary income management</w:t>
      </w:r>
      <w:r w:rsidR="00AC37B0" w:rsidRPr="00132A72">
        <w:rPr>
          <w:rFonts w:cs="Arial"/>
        </w:rPr>
        <w:t>.</w:t>
      </w:r>
    </w:p>
    <w:p w14:paraId="51EBBFC5" w14:textId="77777777" w:rsidR="009D31EC" w:rsidRDefault="009D31EC" w:rsidP="003833F9">
      <w:pPr>
        <w:ind w:left="-142" w:right="-425"/>
        <w:jc w:val="both"/>
        <w:rPr>
          <w:rFonts w:cs="Arial"/>
        </w:rPr>
      </w:pPr>
    </w:p>
    <w:p w14:paraId="0756F7E7" w14:textId="55D4F465" w:rsidR="002F2A2E" w:rsidRDefault="002F2A2E" w:rsidP="002E156B">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DE3628" w14:paraId="29F9E0E3" w14:textId="77777777" w:rsidTr="00D6309C">
        <w:trPr>
          <w:trHeight w:val="278"/>
        </w:trPr>
        <w:tc>
          <w:tcPr>
            <w:tcW w:w="4390" w:type="dxa"/>
            <w:gridSpan w:val="4"/>
          </w:tcPr>
          <w:p w14:paraId="43FCF3BA" w14:textId="3D59D85C" w:rsidR="00DE3628" w:rsidRDefault="00DE3628" w:rsidP="00D6309C">
            <w:pPr>
              <w:rPr>
                <w:rFonts w:cs="Arial"/>
                <w:b/>
                <w:bCs/>
                <w:noProof/>
                <w:sz w:val="16"/>
                <w:szCs w:val="16"/>
              </w:rPr>
            </w:pPr>
            <w:r>
              <w:rPr>
                <w:rFonts w:cs="Arial"/>
                <w:b/>
                <w:bCs/>
                <w:noProof/>
                <w:sz w:val="16"/>
                <w:szCs w:val="16"/>
              </w:rPr>
              <w:lastRenderedPageBreak/>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Pr>
                <w:rFonts w:cs="Arial"/>
                <w:noProof/>
                <w:sz w:val="16"/>
                <w:szCs w:val="16"/>
              </w:rPr>
              <w:br/>
            </w:r>
            <w:r w:rsidRPr="002C0A49">
              <w:rPr>
                <w:rFonts w:cs="Arial"/>
                <w:noProof/>
                <w:sz w:val="16"/>
                <w:szCs w:val="16"/>
              </w:rPr>
              <w:t xml:space="preserve">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c>
          <w:tcPr>
            <w:tcW w:w="567" w:type="dxa"/>
            <w:tcBorders>
              <w:top w:val="nil"/>
              <w:bottom w:val="nil"/>
            </w:tcBorders>
          </w:tcPr>
          <w:p w14:paraId="5A1EEE33" w14:textId="77777777" w:rsidR="00DE3628" w:rsidRDefault="00DE3628" w:rsidP="00D6309C">
            <w:pPr>
              <w:rPr>
                <w:rFonts w:cs="Arial"/>
                <w:b/>
                <w:bCs/>
                <w:noProof/>
                <w:sz w:val="16"/>
                <w:szCs w:val="16"/>
              </w:rPr>
            </w:pPr>
          </w:p>
        </w:tc>
        <w:tc>
          <w:tcPr>
            <w:tcW w:w="4394" w:type="dxa"/>
            <w:gridSpan w:val="4"/>
          </w:tcPr>
          <w:p w14:paraId="6FA50D3D" w14:textId="1131FCEB" w:rsidR="00DE3628" w:rsidRDefault="00DE3628" w:rsidP="00D6309C">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Pr>
                <w:rFonts w:cs="Arial"/>
                <w:noProof/>
                <w:sz w:val="16"/>
                <w:szCs w:val="16"/>
              </w:rPr>
              <w:br/>
            </w:r>
            <w:r w:rsidRPr="002C0A49">
              <w:rPr>
                <w:rFonts w:cs="Arial"/>
                <w:noProof/>
                <w:sz w:val="16"/>
                <w:szCs w:val="16"/>
              </w:rPr>
              <w:t xml:space="preserve">1 </w:t>
            </w:r>
            <w:r>
              <w:rPr>
                <w:rFonts w:cs="Arial"/>
                <w:noProof/>
                <w:sz w:val="16"/>
                <w:szCs w:val="16"/>
              </w:rPr>
              <w:t>October</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December </w:t>
            </w:r>
            <w:r w:rsidRPr="002C0A49">
              <w:rPr>
                <w:rFonts w:cs="Arial"/>
                <w:noProof/>
                <w:sz w:val="16"/>
                <w:szCs w:val="16"/>
              </w:rPr>
              <w:t>202</w:t>
            </w:r>
            <w:r>
              <w:rPr>
                <w:rFonts w:cs="Arial"/>
                <w:noProof/>
                <w:sz w:val="16"/>
                <w:szCs w:val="16"/>
              </w:rPr>
              <w:t>2</w:t>
            </w:r>
          </w:p>
        </w:tc>
      </w:tr>
      <w:tr w:rsidR="00DE3628" w14:paraId="3A1BB76D" w14:textId="77777777" w:rsidTr="00D6309C">
        <w:trPr>
          <w:trHeight w:val="278"/>
        </w:trPr>
        <w:tc>
          <w:tcPr>
            <w:tcW w:w="1418" w:type="dxa"/>
            <w:vAlign w:val="center"/>
          </w:tcPr>
          <w:p w14:paraId="72352487" w14:textId="77777777" w:rsidR="00DE3628" w:rsidRPr="002F3F87" w:rsidRDefault="00DE3628" w:rsidP="00D6309C">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7BC7347E" w14:textId="77777777" w:rsidR="00DE3628" w:rsidRPr="002F3F87" w:rsidRDefault="00DE3628" w:rsidP="00D6309C">
            <w:pPr>
              <w:jc w:val="center"/>
              <w:rPr>
                <w:rFonts w:cs="Arial"/>
                <w:b/>
                <w:bCs/>
                <w:noProof/>
              </w:rPr>
            </w:pPr>
            <w:r w:rsidRPr="002F3F87">
              <w:rPr>
                <w:rFonts w:cs="Arial"/>
                <w:b/>
                <w:bCs/>
                <w:noProof/>
              </w:rPr>
              <w:t>Male</w:t>
            </w:r>
          </w:p>
        </w:tc>
        <w:tc>
          <w:tcPr>
            <w:tcW w:w="1134" w:type="dxa"/>
            <w:vAlign w:val="center"/>
          </w:tcPr>
          <w:p w14:paraId="2435C3E1" w14:textId="77777777" w:rsidR="00DE3628" w:rsidRPr="002F3F87" w:rsidRDefault="00DE3628" w:rsidP="00D6309C">
            <w:pPr>
              <w:jc w:val="center"/>
              <w:rPr>
                <w:rFonts w:cs="Arial"/>
                <w:b/>
                <w:bCs/>
                <w:noProof/>
              </w:rPr>
            </w:pPr>
            <w:r w:rsidRPr="002F3F87">
              <w:rPr>
                <w:rFonts w:cs="Arial"/>
                <w:b/>
                <w:bCs/>
                <w:noProof/>
              </w:rPr>
              <w:t>Female</w:t>
            </w:r>
          </w:p>
        </w:tc>
        <w:tc>
          <w:tcPr>
            <w:tcW w:w="851" w:type="dxa"/>
          </w:tcPr>
          <w:p w14:paraId="3DA85D30" w14:textId="77777777" w:rsidR="00DE3628" w:rsidRPr="002F3F87" w:rsidRDefault="00DE3628" w:rsidP="00D6309C">
            <w:pPr>
              <w:jc w:val="center"/>
              <w:rPr>
                <w:rFonts w:cs="Arial"/>
                <w:b/>
                <w:bCs/>
                <w:noProof/>
              </w:rPr>
            </w:pPr>
            <w:r>
              <w:rPr>
                <w:rFonts w:cs="Arial"/>
                <w:b/>
                <w:bCs/>
                <w:noProof/>
              </w:rPr>
              <w:t>Total</w:t>
            </w:r>
          </w:p>
        </w:tc>
        <w:tc>
          <w:tcPr>
            <w:tcW w:w="567" w:type="dxa"/>
            <w:tcBorders>
              <w:top w:val="nil"/>
              <w:bottom w:val="nil"/>
            </w:tcBorders>
          </w:tcPr>
          <w:p w14:paraId="7F0BDB17" w14:textId="77777777" w:rsidR="00DE3628" w:rsidRPr="002F3F87" w:rsidRDefault="00DE3628" w:rsidP="00D6309C">
            <w:pPr>
              <w:rPr>
                <w:rFonts w:cs="Arial"/>
                <w:b/>
                <w:bCs/>
                <w:noProof/>
              </w:rPr>
            </w:pPr>
          </w:p>
        </w:tc>
        <w:tc>
          <w:tcPr>
            <w:tcW w:w="1417" w:type="dxa"/>
            <w:vAlign w:val="center"/>
          </w:tcPr>
          <w:p w14:paraId="04E10DB3" w14:textId="77777777" w:rsidR="00DE3628" w:rsidRPr="002F3F87" w:rsidRDefault="00DE3628" w:rsidP="00D6309C">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8D747BF" w14:textId="77777777" w:rsidR="00DE3628" w:rsidRPr="002F3F87" w:rsidRDefault="00DE3628" w:rsidP="00D6309C">
            <w:pPr>
              <w:jc w:val="center"/>
              <w:rPr>
                <w:rFonts w:cs="Arial"/>
                <w:b/>
                <w:bCs/>
                <w:noProof/>
              </w:rPr>
            </w:pPr>
            <w:r w:rsidRPr="002F3F87">
              <w:rPr>
                <w:rFonts w:cs="Arial"/>
                <w:b/>
                <w:bCs/>
                <w:noProof/>
              </w:rPr>
              <w:t>Male</w:t>
            </w:r>
          </w:p>
        </w:tc>
        <w:tc>
          <w:tcPr>
            <w:tcW w:w="1134" w:type="dxa"/>
            <w:vAlign w:val="center"/>
          </w:tcPr>
          <w:p w14:paraId="05E83B50" w14:textId="77777777" w:rsidR="00DE3628" w:rsidRPr="002F3F87" w:rsidRDefault="00DE3628" w:rsidP="00D6309C">
            <w:pPr>
              <w:jc w:val="center"/>
              <w:rPr>
                <w:rFonts w:cs="Arial"/>
                <w:b/>
                <w:bCs/>
                <w:noProof/>
              </w:rPr>
            </w:pPr>
            <w:r w:rsidRPr="002F3F87">
              <w:rPr>
                <w:rFonts w:cs="Arial"/>
                <w:b/>
                <w:bCs/>
                <w:noProof/>
              </w:rPr>
              <w:t>Female</w:t>
            </w:r>
          </w:p>
        </w:tc>
        <w:tc>
          <w:tcPr>
            <w:tcW w:w="851" w:type="dxa"/>
          </w:tcPr>
          <w:p w14:paraId="39382622" w14:textId="77777777" w:rsidR="00DE3628" w:rsidRPr="002F3F87" w:rsidRDefault="00DE3628" w:rsidP="00D6309C">
            <w:pPr>
              <w:jc w:val="center"/>
              <w:rPr>
                <w:rFonts w:cs="Arial"/>
                <w:b/>
                <w:bCs/>
                <w:noProof/>
              </w:rPr>
            </w:pPr>
            <w:r>
              <w:rPr>
                <w:rFonts w:cs="Arial"/>
                <w:b/>
                <w:bCs/>
                <w:noProof/>
              </w:rPr>
              <w:t>Total</w:t>
            </w:r>
          </w:p>
        </w:tc>
      </w:tr>
      <w:tr w:rsidR="00DE3628" w14:paraId="4313F438" w14:textId="77777777" w:rsidTr="00D6309C">
        <w:trPr>
          <w:trHeight w:val="278"/>
        </w:trPr>
        <w:tc>
          <w:tcPr>
            <w:tcW w:w="1418" w:type="dxa"/>
            <w:vAlign w:val="center"/>
          </w:tcPr>
          <w:p w14:paraId="5458989A" w14:textId="77777777" w:rsidR="00DE3628" w:rsidRPr="002819D6" w:rsidRDefault="00DE3628" w:rsidP="00D6309C">
            <w:pPr>
              <w:rPr>
                <w:rFonts w:cs="Arial"/>
                <w:noProof/>
              </w:rPr>
            </w:pPr>
            <w:r>
              <w:rPr>
                <w:rFonts w:cs="Arial"/>
                <w:noProof/>
              </w:rPr>
              <w:t>18-25</w:t>
            </w:r>
          </w:p>
        </w:tc>
        <w:tc>
          <w:tcPr>
            <w:tcW w:w="987" w:type="dxa"/>
            <w:vAlign w:val="center"/>
          </w:tcPr>
          <w:p w14:paraId="65E33B23" w14:textId="05374204" w:rsidR="00DE3628" w:rsidRPr="001D1C01" w:rsidRDefault="00DE3628" w:rsidP="00D6309C">
            <w:pPr>
              <w:jc w:val="right"/>
              <w:rPr>
                <w:rFonts w:cs="Arial"/>
                <w:noProof/>
              </w:rPr>
            </w:pPr>
            <w:r>
              <w:rPr>
                <w:rFonts w:cs="Arial"/>
                <w:noProof/>
              </w:rPr>
              <w:t>0</w:t>
            </w:r>
          </w:p>
        </w:tc>
        <w:tc>
          <w:tcPr>
            <w:tcW w:w="1134" w:type="dxa"/>
            <w:vAlign w:val="center"/>
          </w:tcPr>
          <w:p w14:paraId="59609CD5" w14:textId="0844E2D6" w:rsidR="00DE3628" w:rsidRPr="001D1C01" w:rsidRDefault="00DE3628" w:rsidP="00D6309C">
            <w:pPr>
              <w:jc w:val="right"/>
              <w:rPr>
                <w:rFonts w:cs="Arial"/>
                <w:noProof/>
              </w:rPr>
            </w:pPr>
            <w:r>
              <w:rPr>
                <w:rFonts w:cs="Arial"/>
                <w:noProof/>
              </w:rPr>
              <w:t>4</w:t>
            </w:r>
          </w:p>
        </w:tc>
        <w:tc>
          <w:tcPr>
            <w:tcW w:w="851" w:type="dxa"/>
          </w:tcPr>
          <w:p w14:paraId="6A6D7F87" w14:textId="59EA904D" w:rsidR="00DE3628" w:rsidRPr="006B597B" w:rsidRDefault="00DE3628" w:rsidP="00D6309C">
            <w:pPr>
              <w:jc w:val="right"/>
              <w:rPr>
                <w:rFonts w:cs="Arial"/>
                <w:b/>
                <w:bCs/>
                <w:noProof/>
              </w:rPr>
            </w:pPr>
            <w:r>
              <w:rPr>
                <w:rFonts w:cs="Arial"/>
                <w:b/>
                <w:bCs/>
                <w:noProof/>
              </w:rPr>
              <w:t>4</w:t>
            </w:r>
          </w:p>
        </w:tc>
        <w:tc>
          <w:tcPr>
            <w:tcW w:w="567" w:type="dxa"/>
            <w:tcBorders>
              <w:top w:val="nil"/>
              <w:bottom w:val="nil"/>
            </w:tcBorders>
          </w:tcPr>
          <w:p w14:paraId="05C24A51" w14:textId="77777777" w:rsidR="00DE3628" w:rsidRDefault="00DE3628" w:rsidP="00D6309C">
            <w:pPr>
              <w:rPr>
                <w:rFonts w:cs="Arial"/>
                <w:noProof/>
              </w:rPr>
            </w:pPr>
          </w:p>
        </w:tc>
        <w:tc>
          <w:tcPr>
            <w:tcW w:w="1417" w:type="dxa"/>
            <w:vAlign w:val="center"/>
          </w:tcPr>
          <w:p w14:paraId="09A9CAF6" w14:textId="77777777" w:rsidR="00DE3628" w:rsidRPr="001D1C01" w:rsidRDefault="00DE3628" w:rsidP="00D6309C">
            <w:pPr>
              <w:rPr>
                <w:rFonts w:cs="Arial"/>
                <w:noProof/>
              </w:rPr>
            </w:pPr>
            <w:r>
              <w:rPr>
                <w:rFonts w:cs="Arial"/>
                <w:noProof/>
              </w:rPr>
              <w:t>18-25</w:t>
            </w:r>
          </w:p>
        </w:tc>
        <w:tc>
          <w:tcPr>
            <w:tcW w:w="992" w:type="dxa"/>
            <w:vAlign w:val="center"/>
          </w:tcPr>
          <w:p w14:paraId="51DC086C" w14:textId="59958533" w:rsidR="00DE3628" w:rsidRPr="001D1C01" w:rsidRDefault="00DE3628" w:rsidP="00D6309C">
            <w:pPr>
              <w:jc w:val="right"/>
              <w:rPr>
                <w:rFonts w:cs="Arial"/>
                <w:noProof/>
              </w:rPr>
            </w:pPr>
            <w:r>
              <w:rPr>
                <w:rFonts w:cs="Arial"/>
                <w:noProof/>
              </w:rPr>
              <w:t>0</w:t>
            </w:r>
          </w:p>
        </w:tc>
        <w:tc>
          <w:tcPr>
            <w:tcW w:w="1134" w:type="dxa"/>
            <w:vAlign w:val="center"/>
          </w:tcPr>
          <w:p w14:paraId="013BF4E6" w14:textId="70AEDCA1" w:rsidR="00DE3628" w:rsidRPr="001D1C01" w:rsidRDefault="00DE3628" w:rsidP="00D6309C">
            <w:pPr>
              <w:jc w:val="right"/>
              <w:rPr>
                <w:rFonts w:cs="Arial"/>
                <w:noProof/>
              </w:rPr>
            </w:pPr>
            <w:r>
              <w:rPr>
                <w:rFonts w:cs="Arial"/>
                <w:noProof/>
              </w:rPr>
              <w:t>3</w:t>
            </w:r>
          </w:p>
        </w:tc>
        <w:tc>
          <w:tcPr>
            <w:tcW w:w="851" w:type="dxa"/>
          </w:tcPr>
          <w:p w14:paraId="742ED0FA" w14:textId="068B2596" w:rsidR="00DE3628" w:rsidRPr="006B597B" w:rsidRDefault="00224ED9" w:rsidP="00D6309C">
            <w:pPr>
              <w:jc w:val="right"/>
              <w:rPr>
                <w:rFonts w:cs="Arial"/>
                <w:b/>
                <w:bCs/>
                <w:noProof/>
              </w:rPr>
            </w:pPr>
            <w:r>
              <w:rPr>
                <w:rFonts w:cs="Arial"/>
                <w:b/>
                <w:bCs/>
                <w:noProof/>
              </w:rPr>
              <w:t>3</w:t>
            </w:r>
          </w:p>
        </w:tc>
      </w:tr>
      <w:tr w:rsidR="00DE3628" w14:paraId="125AC144" w14:textId="77777777" w:rsidTr="00D6309C">
        <w:trPr>
          <w:trHeight w:val="278"/>
        </w:trPr>
        <w:tc>
          <w:tcPr>
            <w:tcW w:w="1418" w:type="dxa"/>
            <w:vAlign w:val="center"/>
          </w:tcPr>
          <w:p w14:paraId="6F8CCED9" w14:textId="77777777" w:rsidR="00DE3628" w:rsidRPr="002819D6" w:rsidRDefault="00DE3628" w:rsidP="00D6309C">
            <w:pPr>
              <w:rPr>
                <w:rFonts w:cs="Arial"/>
                <w:noProof/>
              </w:rPr>
            </w:pPr>
            <w:r>
              <w:rPr>
                <w:rFonts w:cs="Arial"/>
                <w:noProof/>
              </w:rPr>
              <w:t>26-35</w:t>
            </w:r>
          </w:p>
        </w:tc>
        <w:tc>
          <w:tcPr>
            <w:tcW w:w="987" w:type="dxa"/>
            <w:vAlign w:val="center"/>
          </w:tcPr>
          <w:p w14:paraId="07E8581E" w14:textId="196EB786" w:rsidR="00DE3628" w:rsidRPr="001D1C01" w:rsidRDefault="00DE3628" w:rsidP="00D6309C">
            <w:pPr>
              <w:jc w:val="right"/>
              <w:rPr>
                <w:rFonts w:cs="Arial"/>
                <w:noProof/>
              </w:rPr>
            </w:pPr>
            <w:r>
              <w:rPr>
                <w:rFonts w:cs="Arial"/>
                <w:noProof/>
              </w:rPr>
              <w:t>2</w:t>
            </w:r>
          </w:p>
        </w:tc>
        <w:tc>
          <w:tcPr>
            <w:tcW w:w="1134" w:type="dxa"/>
            <w:vAlign w:val="center"/>
          </w:tcPr>
          <w:p w14:paraId="77891EFB" w14:textId="12A87C37" w:rsidR="00DE3628" w:rsidRPr="001D1C01" w:rsidRDefault="00DE3628" w:rsidP="00D6309C">
            <w:pPr>
              <w:jc w:val="right"/>
              <w:rPr>
                <w:rFonts w:cs="Arial"/>
                <w:noProof/>
              </w:rPr>
            </w:pPr>
            <w:r>
              <w:rPr>
                <w:rFonts w:cs="Arial"/>
                <w:noProof/>
              </w:rPr>
              <w:t>7</w:t>
            </w:r>
          </w:p>
        </w:tc>
        <w:tc>
          <w:tcPr>
            <w:tcW w:w="851" w:type="dxa"/>
          </w:tcPr>
          <w:p w14:paraId="62768A34" w14:textId="49BEA702" w:rsidR="00DE3628" w:rsidRPr="006B597B" w:rsidRDefault="00DE3628" w:rsidP="00D6309C">
            <w:pPr>
              <w:jc w:val="right"/>
              <w:rPr>
                <w:rFonts w:cs="Arial"/>
                <w:b/>
                <w:bCs/>
                <w:noProof/>
              </w:rPr>
            </w:pPr>
            <w:r>
              <w:rPr>
                <w:rFonts w:cs="Arial"/>
                <w:b/>
                <w:bCs/>
                <w:noProof/>
              </w:rPr>
              <w:t>9</w:t>
            </w:r>
          </w:p>
        </w:tc>
        <w:tc>
          <w:tcPr>
            <w:tcW w:w="567" w:type="dxa"/>
            <w:tcBorders>
              <w:top w:val="nil"/>
              <w:bottom w:val="nil"/>
            </w:tcBorders>
          </w:tcPr>
          <w:p w14:paraId="78A0D304" w14:textId="77777777" w:rsidR="00DE3628" w:rsidRDefault="00DE3628" w:rsidP="00D6309C">
            <w:pPr>
              <w:rPr>
                <w:rFonts w:cs="Arial"/>
                <w:noProof/>
              </w:rPr>
            </w:pPr>
          </w:p>
        </w:tc>
        <w:tc>
          <w:tcPr>
            <w:tcW w:w="1417" w:type="dxa"/>
            <w:vAlign w:val="center"/>
          </w:tcPr>
          <w:p w14:paraId="4CCC3065" w14:textId="77777777" w:rsidR="00DE3628" w:rsidRPr="001D1C01" w:rsidRDefault="00DE3628" w:rsidP="00D6309C">
            <w:pPr>
              <w:rPr>
                <w:rFonts w:cs="Arial"/>
                <w:noProof/>
              </w:rPr>
            </w:pPr>
            <w:r>
              <w:rPr>
                <w:rFonts w:cs="Arial"/>
                <w:noProof/>
              </w:rPr>
              <w:t>26-35</w:t>
            </w:r>
          </w:p>
        </w:tc>
        <w:tc>
          <w:tcPr>
            <w:tcW w:w="992" w:type="dxa"/>
            <w:vAlign w:val="center"/>
          </w:tcPr>
          <w:p w14:paraId="50697AEA" w14:textId="2D2F55AC" w:rsidR="00DE3628" w:rsidRPr="001D1C01" w:rsidRDefault="00DE3628" w:rsidP="00D6309C">
            <w:pPr>
              <w:jc w:val="right"/>
              <w:rPr>
                <w:rFonts w:cs="Arial"/>
                <w:noProof/>
              </w:rPr>
            </w:pPr>
            <w:r>
              <w:rPr>
                <w:rFonts w:cs="Arial"/>
                <w:noProof/>
              </w:rPr>
              <w:t>0</w:t>
            </w:r>
          </w:p>
        </w:tc>
        <w:tc>
          <w:tcPr>
            <w:tcW w:w="1134" w:type="dxa"/>
            <w:vAlign w:val="center"/>
          </w:tcPr>
          <w:p w14:paraId="799D563F" w14:textId="0B61981A" w:rsidR="00DE3628" w:rsidRPr="001D1C01" w:rsidRDefault="00DE3628" w:rsidP="00D6309C">
            <w:pPr>
              <w:jc w:val="right"/>
              <w:rPr>
                <w:rFonts w:cs="Arial"/>
                <w:noProof/>
              </w:rPr>
            </w:pPr>
            <w:r>
              <w:rPr>
                <w:rFonts w:cs="Arial"/>
                <w:noProof/>
              </w:rPr>
              <w:t>9</w:t>
            </w:r>
          </w:p>
        </w:tc>
        <w:tc>
          <w:tcPr>
            <w:tcW w:w="851" w:type="dxa"/>
          </w:tcPr>
          <w:p w14:paraId="240296AA" w14:textId="28831E68" w:rsidR="00DE3628" w:rsidRPr="006B597B" w:rsidRDefault="00224ED9" w:rsidP="00D6309C">
            <w:pPr>
              <w:jc w:val="right"/>
              <w:rPr>
                <w:rFonts w:cs="Arial"/>
                <w:b/>
                <w:bCs/>
                <w:noProof/>
              </w:rPr>
            </w:pPr>
            <w:r>
              <w:rPr>
                <w:rFonts w:cs="Arial"/>
                <w:b/>
                <w:bCs/>
                <w:noProof/>
              </w:rPr>
              <w:t>9</w:t>
            </w:r>
          </w:p>
        </w:tc>
      </w:tr>
      <w:tr w:rsidR="00DE3628" w14:paraId="08F5B241" w14:textId="77777777" w:rsidTr="00D6309C">
        <w:trPr>
          <w:trHeight w:val="278"/>
        </w:trPr>
        <w:tc>
          <w:tcPr>
            <w:tcW w:w="1418" w:type="dxa"/>
            <w:vAlign w:val="center"/>
          </w:tcPr>
          <w:p w14:paraId="3EB50873" w14:textId="77777777" w:rsidR="00DE3628" w:rsidRPr="002819D6" w:rsidRDefault="00DE3628" w:rsidP="00D6309C">
            <w:pPr>
              <w:rPr>
                <w:rFonts w:cs="Arial"/>
                <w:noProof/>
              </w:rPr>
            </w:pPr>
            <w:r>
              <w:rPr>
                <w:rFonts w:cs="Arial"/>
                <w:noProof/>
              </w:rPr>
              <w:t>36-45</w:t>
            </w:r>
          </w:p>
        </w:tc>
        <w:tc>
          <w:tcPr>
            <w:tcW w:w="987" w:type="dxa"/>
            <w:vAlign w:val="center"/>
          </w:tcPr>
          <w:p w14:paraId="4211E6D7" w14:textId="1A836C9F" w:rsidR="00DE3628" w:rsidRPr="001D1C01" w:rsidRDefault="00DE3628" w:rsidP="00D6309C">
            <w:pPr>
              <w:jc w:val="right"/>
              <w:rPr>
                <w:rFonts w:cs="Arial"/>
                <w:noProof/>
              </w:rPr>
            </w:pPr>
            <w:r>
              <w:rPr>
                <w:rFonts w:cs="Arial"/>
                <w:noProof/>
              </w:rPr>
              <w:t>2</w:t>
            </w:r>
          </w:p>
        </w:tc>
        <w:tc>
          <w:tcPr>
            <w:tcW w:w="1134" w:type="dxa"/>
            <w:vAlign w:val="center"/>
          </w:tcPr>
          <w:p w14:paraId="43D18F63" w14:textId="4E56B815" w:rsidR="00DE3628" w:rsidRPr="001D1C01" w:rsidRDefault="00DE3628" w:rsidP="00D6309C">
            <w:pPr>
              <w:jc w:val="right"/>
              <w:rPr>
                <w:rFonts w:cs="Arial"/>
                <w:noProof/>
              </w:rPr>
            </w:pPr>
            <w:r>
              <w:rPr>
                <w:rFonts w:cs="Arial"/>
                <w:noProof/>
              </w:rPr>
              <w:t>2</w:t>
            </w:r>
          </w:p>
        </w:tc>
        <w:tc>
          <w:tcPr>
            <w:tcW w:w="851" w:type="dxa"/>
          </w:tcPr>
          <w:p w14:paraId="5976952A" w14:textId="21E00C7D" w:rsidR="00DE3628" w:rsidRPr="006B597B" w:rsidRDefault="00DE3628" w:rsidP="00D6309C">
            <w:pPr>
              <w:jc w:val="right"/>
              <w:rPr>
                <w:rFonts w:cs="Arial"/>
                <w:b/>
                <w:bCs/>
                <w:noProof/>
              </w:rPr>
            </w:pPr>
            <w:r>
              <w:rPr>
                <w:rFonts w:cs="Arial"/>
                <w:b/>
                <w:bCs/>
                <w:noProof/>
              </w:rPr>
              <w:t>4</w:t>
            </w:r>
          </w:p>
        </w:tc>
        <w:tc>
          <w:tcPr>
            <w:tcW w:w="567" w:type="dxa"/>
            <w:tcBorders>
              <w:top w:val="nil"/>
              <w:bottom w:val="nil"/>
            </w:tcBorders>
          </w:tcPr>
          <w:p w14:paraId="3545620C" w14:textId="77777777" w:rsidR="00DE3628" w:rsidRDefault="00DE3628" w:rsidP="00D6309C">
            <w:pPr>
              <w:rPr>
                <w:rFonts w:cs="Arial"/>
                <w:noProof/>
              </w:rPr>
            </w:pPr>
          </w:p>
        </w:tc>
        <w:tc>
          <w:tcPr>
            <w:tcW w:w="1417" w:type="dxa"/>
            <w:vAlign w:val="center"/>
          </w:tcPr>
          <w:p w14:paraId="41CF2E84" w14:textId="77777777" w:rsidR="00DE3628" w:rsidRPr="001D1C01" w:rsidRDefault="00DE3628" w:rsidP="00D6309C">
            <w:pPr>
              <w:rPr>
                <w:rFonts w:cs="Arial"/>
                <w:noProof/>
              </w:rPr>
            </w:pPr>
            <w:r>
              <w:rPr>
                <w:rFonts w:cs="Arial"/>
                <w:noProof/>
              </w:rPr>
              <w:t>36-45</w:t>
            </w:r>
          </w:p>
        </w:tc>
        <w:tc>
          <w:tcPr>
            <w:tcW w:w="992" w:type="dxa"/>
            <w:vAlign w:val="center"/>
          </w:tcPr>
          <w:p w14:paraId="443854B8" w14:textId="4DEFE4C4" w:rsidR="00DE3628" w:rsidRPr="001D1C01" w:rsidRDefault="00DE3628" w:rsidP="00D6309C">
            <w:pPr>
              <w:jc w:val="right"/>
              <w:rPr>
                <w:rFonts w:cs="Arial"/>
                <w:noProof/>
              </w:rPr>
            </w:pPr>
            <w:r>
              <w:rPr>
                <w:rFonts w:cs="Arial"/>
                <w:noProof/>
              </w:rPr>
              <w:t>4</w:t>
            </w:r>
          </w:p>
        </w:tc>
        <w:tc>
          <w:tcPr>
            <w:tcW w:w="1134" w:type="dxa"/>
            <w:vAlign w:val="center"/>
          </w:tcPr>
          <w:p w14:paraId="4016FDB8" w14:textId="77777777" w:rsidR="00DE3628" w:rsidRPr="001D1C01" w:rsidRDefault="00DE3628" w:rsidP="00D6309C">
            <w:pPr>
              <w:jc w:val="right"/>
              <w:rPr>
                <w:rFonts w:cs="Arial"/>
                <w:noProof/>
              </w:rPr>
            </w:pPr>
            <w:r>
              <w:rPr>
                <w:rFonts w:cs="Arial"/>
                <w:noProof/>
              </w:rPr>
              <w:t>6</w:t>
            </w:r>
          </w:p>
        </w:tc>
        <w:tc>
          <w:tcPr>
            <w:tcW w:w="851" w:type="dxa"/>
          </w:tcPr>
          <w:p w14:paraId="4D1064BE" w14:textId="7ADEBEC2" w:rsidR="00DE3628" w:rsidRPr="006B597B" w:rsidRDefault="00224ED9" w:rsidP="00D6309C">
            <w:pPr>
              <w:jc w:val="right"/>
              <w:rPr>
                <w:rFonts w:cs="Arial"/>
                <w:b/>
                <w:bCs/>
                <w:noProof/>
              </w:rPr>
            </w:pPr>
            <w:r>
              <w:rPr>
                <w:rFonts w:cs="Arial"/>
                <w:b/>
                <w:bCs/>
                <w:noProof/>
              </w:rPr>
              <w:t>10</w:t>
            </w:r>
          </w:p>
        </w:tc>
      </w:tr>
      <w:tr w:rsidR="00DE3628" w14:paraId="0B7D5B6B" w14:textId="77777777" w:rsidTr="00D6309C">
        <w:trPr>
          <w:trHeight w:val="278"/>
        </w:trPr>
        <w:tc>
          <w:tcPr>
            <w:tcW w:w="1418" w:type="dxa"/>
            <w:vAlign w:val="center"/>
          </w:tcPr>
          <w:p w14:paraId="54C42A4C" w14:textId="77777777" w:rsidR="00DE3628" w:rsidRDefault="00DE3628" w:rsidP="00D6309C">
            <w:pPr>
              <w:rPr>
                <w:rFonts w:cs="Arial"/>
                <w:noProof/>
              </w:rPr>
            </w:pPr>
            <w:r>
              <w:rPr>
                <w:rFonts w:cs="Arial"/>
                <w:noProof/>
              </w:rPr>
              <w:t>46-55</w:t>
            </w:r>
          </w:p>
        </w:tc>
        <w:tc>
          <w:tcPr>
            <w:tcW w:w="987" w:type="dxa"/>
            <w:vAlign w:val="center"/>
          </w:tcPr>
          <w:p w14:paraId="049798C7" w14:textId="21A27227" w:rsidR="00DE3628" w:rsidRPr="001D1C01" w:rsidRDefault="00DE3628" w:rsidP="00D6309C">
            <w:pPr>
              <w:jc w:val="right"/>
              <w:rPr>
                <w:rFonts w:cs="Arial"/>
                <w:noProof/>
              </w:rPr>
            </w:pPr>
            <w:r>
              <w:rPr>
                <w:rFonts w:cs="Arial"/>
                <w:noProof/>
              </w:rPr>
              <w:t>1</w:t>
            </w:r>
          </w:p>
        </w:tc>
        <w:tc>
          <w:tcPr>
            <w:tcW w:w="1134" w:type="dxa"/>
            <w:vAlign w:val="center"/>
          </w:tcPr>
          <w:p w14:paraId="46CCC4BD" w14:textId="19CBA37E" w:rsidR="00DE3628" w:rsidRPr="001D1C01" w:rsidRDefault="00DE3628" w:rsidP="00D6309C">
            <w:pPr>
              <w:jc w:val="right"/>
              <w:rPr>
                <w:rFonts w:cs="Arial"/>
                <w:noProof/>
              </w:rPr>
            </w:pPr>
            <w:r>
              <w:rPr>
                <w:rFonts w:cs="Arial"/>
                <w:noProof/>
              </w:rPr>
              <w:t>3</w:t>
            </w:r>
          </w:p>
        </w:tc>
        <w:tc>
          <w:tcPr>
            <w:tcW w:w="851" w:type="dxa"/>
          </w:tcPr>
          <w:p w14:paraId="38A45436" w14:textId="77777777" w:rsidR="00DE3628" w:rsidRPr="006B597B" w:rsidRDefault="00DE3628" w:rsidP="00D6309C">
            <w:pPr>
              <w:jc w:val="right"/>
              <w:rPr>
                <w:rFonts w:cs="Arial"/>
                <w:b/>
                <w:bCs/>
                <w:noProof/>
              </w:rPr>
            </w:pPr>
            <w:r>
              <w:rPr>
                <w:rFonts w:cs="Arial"/>
                <w:b/>
                <w:bCs/>
                <w:noProof/>
              </w:rPr>
              <w:t>4</w:t>
            </w:r>
          </w:p>
        </w:tc>
        <w:tc>
          <w:tcPr>
            <w:tcW w:w="567" w:type="dxa"/>
            <w:tcBorders>
              <w:top w:val="nil"/>
              <w:bottom w:val="nil"/>
            </w:tcBorders>
          </w:tcPr>
          <w:p w14:paraId="133F7562" w14:textId="77777777" w:rsidR="00DE3628" w:rsidRDefault="00DE3628" w:rsidP="00D6309C">
            <w:pPr>
              <w:rPr>
                <w:rFonts w:cs="Arial"/>
                <w:noProof/>
              </w:rPr>
            </w:pPr>
          </w:p>
        </w:tc>
        <w:tc>
          <w:tcPr>
            <w:tcW w:w="1417" w:type="dxa"/>
            <w:vAlign w:val="center"/>
          </w:tcPr>
          <w:p w14:paraId="0486FB4F" w14:textId="77777777" w:rsidR="00DE3628" w:rsidRPr="001D1C01" w:rsidRDefault="00DE3628" w:rsidP="00D6309C">
            <w:pPr>
              <w:rPr>
                <w:rFonts w:cs="Arial"/>
                <w:noProof/>
              </w:rPr>
            </w:pPr>
            <w:r>
              <w:rPr>
                <w:rFonts w:cs="Arial"/>
                <w:noProof/>
              </w:rPr>
              <w:t>46-55</w:t>
            </w:r>
          </w:p>
        </w:tc>
        <w:tc>
          <w:tcPr>
            <w:tcW w:w="992" w:type="dxa"/>
            <w:vAlign w:val="center"/>
          </w:tcPr>
          <w:p w14:paraId="4963BCD9" w14:textId="25BA39FB" w:rsidR="00DE3628" w:rsidRDefault="00DE3628" w:rsidP="00D6309C">
            <w:pPr>
              <w:jc w:val="right"/>
              <w:rPr>
                <w:rFonts w:cs="Arial"/>
                <w:noProof/>
              </w:rPr>
            </w:pPr>
            <w:r>
              <w:rPr>
                <w:rFonts w:cs="Arial"/>
                <w:noProof/>
              </w:rPr>
              <w:t>2</w:t>
            </w:r>
          </w:p>
        </w:tc>
        <w:tc>
          <w:tcPr>
            <w:tcW w:w="1134" w:type="dxa"/>
            <w:vAlign w:val="center"/>
          </w:tcPr>
          <w:p w14:paraId="12509EB0" w14:textId="1AC08638" w:rsidR="00DE3628" w:rsidRDefault="00DE3628" w:rsidP="00D6309C">
            <w:pPr>
              <w:jc w:val="right"/>
              <w:rPr>
                <w:rFonts w:cs="Arial"/>
                <w:noProof/>
              </w:rPr>
            </w:pPr>
            <w:r>
              <w:rPr>
                <w:rFonts w:cs="Arial"/>
                <w:noProof/>
              </w:rPr>
              <w:t>6</w:t>
            </w:r>
          </w:p>
        </w:tc>
        <w:tc>
          <w:tcPr>
            <w:tcW w:w="851" w:type="dxa"/>
          </w:tcPr>
          <w:p w14:paraId="39E46ED9" w14:textId="6364927A" w:rsidR="00DE3628" w:rsidRPr="006B597B" w:rsidRDefault="00224ED9" w:rsidP="00D6309C">
            <w:pPr>
              <w:jc w:val="right"/>
              <w:rPr>
                <w:rFonts w:cs="Arial"/>
                <w:b/>
                <w:bCs/>
                <w:noProof/>
              </w:rPr>
            </w:pPr>
            <w:r>
              <w:rPr>
                <w:rFonts w:cs="Arial"/>
                <w:b/>
                <w:bCs/>
                <w:noProof/>
              </w:rPr>
              <w:t>8</w:t>
            </w:r>
          </w:p>
        </w:tc>
      </w:tr>
      <w:tr w:rsidR="00DE3628" w14:paraId="434440BC" w14:textId="77777777" w:rsidTr="00D6309C">
        <w:trPr>
          <w:trHeight w:val="278"/>
        </w:trPr>
        <w:tc>
          <w:tcPr>
            <w:tcW w:w="1418" w:type="dxa"/>
            <w:vAlign w:val="center"/>
          </w:tcPr>
          <w:p w14:paraId="6328D084" w14:textId="77777777" w:rsidR="00DE3628" w:rsidRDefault="00DE3628" w:rsidP="00D6309C">
            <w:pPr>
              <w:rPr>
                <w:rFonts w:cs="Arial"/>
                <w:noProof/>
              </w:rPr>
            </w:pPr>
            <w:r>
              <w:rPr>
                <w:rFonts w:cs="Arial"/>
                <w:noProof/>
              </w:rPr>
              <w:t>56-65</w:t>
            </w:r>
          </w:p>
        </w:tc>
        <w:tc>
          <w:tcPr>
            <w:tcW w:w="987" w:type="dxa"/>
            <w:vAlign w:val="center"/>
          </w:tcPr>
          <w:p w14:paraId="2FD43E15" w14:textId="77777777" w:rsidR="00DE3628" w:rsidRPr="001D1C01" w:rsidRDefault="00DE3628" w:rsidP="00D6309C">
            <w:pPr>
              <w:jc w:val="right"/>
              <w:rPr>
                <w:rFonts w:cs="Arial"/>
                <w:noProof/>
              </w:rPr>
            </w:pPr>
            <w:r>
              <w:rPr>
                <w:rFonts w:cs="Arial"/>
                <w:noProof/>
              </w:rPr>
              <w:t>0</w:t>
            </w:r>
          </w:p>
        </w:tc>
        <w:tc>
          <w:tcPr>
            <w:tcW w:w="1134" w:type="dxa"/>
            <w:vAlign w:val="center"/>
          </w:tcPr>
          <w:p w14:paraId="7C5E7535" w14:textId="77777777" w:rsidR="00DE3628" w:rsidRPr="001D1C01" w:rsidRDefault="00DE3628" w:rsidP="00D6309C">
            <w:pPr>
              <w:jc w:val="right"/>
              <w:rPr>
                <w:rFonts w:cs="Arial"/>
                <w:noProof/>
              </w:rPr>
            </w:pPr>
            <w:r>
              <w:rPr>
                <w:rFonts w:cs="Arial"/>
                <w:noProof/>
              </w:rPr>
              <w:t>0</w:t>
            </w:r>
          </w:p>
        </w:tc>
        <w:tc>
          <w:tcPr>
            <w:tcW w:w="851" w:type="dxa"/>
          </w:tcPr>
          <w:p w14:paraId="4EC35A54" w14:textId="77777777" w:rsidR="00DE3628" w:rsidRPr="006B597B" w:rsidRDefault="00DE3628" w:rsidP="00D6309C">
            <w:pPr>
              <w:jc w:val="right"/>
              <w:rPr>
                <w:rFonts w:cs="Arial"/>
                <w:b/>
                <w:bCs/>
                <w:noProof/>
              </w:rPr>
            </w:pPr>
            <w:r>
              <w:rPr>
                <w:rFonts w:cs="Arial"/>
                <w:b/>
                <w:bCs/>
                <w:noProof/>
              </w:rPr>
              <w:t>0</w:t>
            </w:r>
          </w:p>
        </w:tc>
        <w:tc>
          <w:tcPr>
            <w:tcW w:w="567" w:type="dxa"/>
            <w:tcBorders>
              <w:top w:val="nil"/>
              <w:bottom w:val="nil"/>
            </w:tcBorders>
          </w:tcPr>
          <w:p w14:paraId="376D2DE5" w14:textId="77777777" w:rsidR="00DE3628" w:rsidRDefault="00DE3628" w:rsidP="00D6309C">
            <w:pPr>
              <w:rPr>
                <w:rFonts w:cs="Arial"/>
                <w:noProof/>
              </w:rPr>
            </w:pPr>
          </w:p>
        </w:tc>
        <w:tc>
          <w:tcPr>
            <w:tcW w:w="1417" w:type="dxa"/>
            <w:vAlign w:val="center"/>
          </w:tcPr>
          <w:p w14:paraId="72867AD0" w14:textId="77777777" w:rsidR="00DE3628" w:rsidRPr="001D1C01" w:rsidRDefault="00DE3628" w:rsidP="00D6309C">
            <w:pPr>
              <w:rPr>
                <w:rFonts w:cs="Arial"/>
                <w:noProof/>
              </w:rPr>
            </w:pPr>
            <w:r>
              <w:rPr>
                <w:rFonts w:cs="Arial"/>
                <w:noProof/>
              </w:rPr>
              <w:t>56-65</w:t>
            </w:r>
          </w:p>
        </w:tc>
        <w:tc>
          <w:tcPr>
            <w:tcW w:w="992" w:type="dxa"/>
            <w:vAlign w:val="center"/>
          </w:tcPr>
          <w:p w14:paraId="2C22687D" w14:textId="77777777" w:rsidR="00DE3628" w:rsidRDefault="00DE3628" w:rsidP="00D6309C">
            <w:pPr>
              <w:jc w:val="right"/>
              <w:rPr>
                <w:rFonts w:cs="Arial"/>
                <w:noProof/>
              </w:rPr>
            </w:pPr>
            <w:r>
              <w:rPr>
                <w:rFonts w:cs="Arial"/>
                <w:noProof/>
              </w:rPr>
              <w:t>2</w:t>
            </w:r>
          </w:p>
        </w:tc>
        <w:tc>
          <w:tcPr>
            <w:tcW w:w="1134" w:type="dxa"/>
            <w:vAlign w:val="center"/>
          </w:tcPr>
          <w:p w14:paraId="3F0F3EAE" w14:textId="77777777" w:rsidR="00DE3628" w:rsidRDefault="00DE3628" w:rsidP="00D6309C">
            <w:pPr>
              <w:jc w:val="right"/>
              <w:rPr>
                <w:rFonts w:cs="Arial"/>
                <w:noProof/>
              </w:rPr>
            </w:pPr>
            <w:r>
              <w:rPr>
                <w:rFonts w:cs="Arial"/>
                <w:noProof/>
              </w:rPr>
              <w:t>1</w:t>
            </w:r>
          </w:p>
        </w:tc>
        <w:tc>
          <w:tcPr>
            <w:tcW w:w="851" w:type="dxa"/>
          </w:tcPr>
          <w:p w14:paraId="46E466B0" w14:textId="77777777" w:rsidR="00DE3628" w:rsidRPr="006B597B" w:rsidRDefault="00DE3628" w:rsidP="00D6309C">
            <w:pPr>
              <w:jc w:val="right"/>
              <w:rPr>
                <w:rFonts w:cs="Arial"/>
                <w:b/>
                <w:bCs/>
                <w:noProof/>
              </w:rPr>
            </w:pPr>
            <w:r>
              <w:rPr>
                <w:rFonts w:cs="Arial"/>
                <w:b/>
                <w:bCs/>
                <w:noProof/>
              </w:rPr>
              <w:t>3</w:t>
            </w:r>
          </w:p>
        </w:tc>
      </w:tr>
      <w:tr w:rsidR="00DE3628" w14:paraId="4F272A97" w14:textId="77777777" w:rsidTr="00D6309C">
        <w:trPr>
          <w:trHeight w:val="278"/>
        </w:trPr>
        <w:tc>
          <w:tcPr>
            <w:tcW w:w="1418" w:type="dxa"/>
            <w:vAlign w:val="center"/>
          </w:tcPr>
          <w:p w14:paraId="2C743B1F" w14:textId="77777777" w:rsidR="00DE3628" w:rsidRDefault="00DE3628" w:rsidP="00D6309C">
            <w:pPr>
              <w:rPr>
                <w:rFonts w:cs="Arial"/>
                <w:noProof/>
              </w:rPr>
            </w:pPr>
            <w:r>
              <w:rPr>
                <w:rFonts w:cs="Arial"/>
                <w:noProof/>
              </w:rPr>
              <w:t>66-75</w:t>
            </w:r>
          </w:p>
        </w:tc>
        <w:tc>
          <w:tcPr>
            <w:tcW w:w="987" w:type="dxa"/>
            <w:vAlign w:val="center"/>
          </w:tcPr>
          <w:p w14:paraId="020CF167" w14:textId="77777777" w:rsidR="00DE3628" w:rsidRPr="001D1C01" w:rsidRDefault="00DE3628" w:rsidP="00D6309C">
            <w:pPr>
              <w:jc w:val="right"/>
              <w:rPr>
                <w:rFonts w:cs="Arial"/>
                <w:noProof/>
              </w:rPr>
            </w:pPr>
            <w:r>
              <w:rPr>
                <w:rFonts w:cs="Arial"/>
                <w:noProof/>
              </w:rPr>
              <w:t>0</w:t>
            </w:r>
          </w:p>
        </w:tc>
        <w:tc>
          <w:tcPr>
            <w:tcW w:w="1134" w:type="dxa"/>
            <w:vAlign w:val="center"/>
          </w:tcPr>
          <w:p w14:paraId="4595A76D" w14:textId="77777777" w:rsidR="00DE3628" w:rsidRPr="001D1C01" w:rsidRDefault="00DE3628" w:rsidP="00D6309C">
            <w:pPr>
              <w:jc w:val="right"/>
              <w:rPr>
                <w:rFonts w:cs="Arial"/>
                <w:noProof/>
              </w:rPr>
            </w:pPr>
            <w:r>
              <w:rPr>
                <w:rFonts w:cs="Arial"/>
                <w:noProof/>
              </w:rPr>
              <w:t>0</w:t>
            </w:r>
          </w:p>
        </w:tc>
        <w:tc>
          <w:tcPr>
            <w:tcW w:w="851" w:type="dxa"/>
          </w:tcPr>
          <w:p w14:paraId="1944E47B" w14:textId="77777777" w:rsidR="00DE3628" w:rsidRPr="006B597B" w:rsidRDefault="00DE3628" w:rsidP="00D6309C">
            <w:pPr>
              <w:jc w:val="right"/>
              <w:rPr>
                <w:rFonts w:cs="Arial"/>
                <w:b/>
                <w:bCs/>
                <w:noProof/>
              </w:rPr>
            </w:pPr>
            <w:r w:rsidRPr="006B597B">
              <w:rPr>
                <w:rFonts w:cs="Arial"/>
                <w:b/>
                <w:bCs/>
                <w:noProof/>
              </w:rPr>
              <w:t>0</w:t>
            </w:r>
          </w:p>
        </w:tc>
        <w:tc>
          <w:tcPr>
            <w:tcW w:w="567" w:type="dxa"/>
            <w:tcBorders>
              <w:top w:val="nil"/>
              <w:bottom w:val="nil"/>
            </w:tcBorders>
          </w:tcPr>
          <w:p w14:paraId="02FE1209" w14:textId="77777777" w:rsidR="00DE3628" w:rsidRDefault="00DE3628" w:rsidP="00D6309C">
            <w:pPr>
              <w:rPr>
                <w:rFonts w:cs="Arial"/>
                <w:noProof/>
              </w:rPr>
            </w:pPr>
          </w:p>
        </w:tc>
        <w:tc>
          <w:tcPr>
            <w:tcW w:w="1417" w:type="dxa"/>
            <w:vAlign w:val="center"/>
          </w:tcPr>
          <w:p w14:paraId="6806A474" w14:textId="77777777" w:rsidR="00DE3628" w:rsidRPr="001D1C01" w:rsidRDefault="00DE3628" w:rsidP="00D6309C">
            <w:pPr>
              <w:rPr>
                <w:rFonts w:cs="Arial"/>
                <w:noProof/>
              </w:rPr>
            </w:pPr>
            <w:r>
              <w:rPr>
                <w:rFonts w:cs="Arial"/>
                <w:noProof/>
              </w:rPr>
              <w:t>66-75</w:t>
            </w:r>
          </w:p>
        </w:tc>
        <w:tc>
          <w:tcPr>
            <w:tcW w:w="992" w:type="dxa"/>
            <w:vAlign w:val="center"/>
          </w:tcPr>
          <w:p w14:paraId="61DFF764" w14:textId="2952B8E5" w:rsidR="00DE3628" w:rsidRDefault="00DE3628" w:rsidP="00D6309C">
            <w:pPr>
              <w:jc w:val="right"/>
              <w:rPr>
                <w:rFonts w:cs="Arial"/>
                <w:noProof/>
              </w:rPr>
            </w:pPr>
            <w:r>
              <w:rPr>
                <w:rFonts w:cs="Arial"/>
                <w:noProof/>
              </w:rPr>
              <w:t>1</w:t>
            </w:r>
          </w:p>
        </w:tc>
        <w:tc>
          <w:tcPr>
            <w:tcW w:w="1134" w:type="dxa"/>
            <w:vAlign w:val="center"/>
          </w:tcPr>
          <w:p w14:paraId="6822B4D5" w14:textId="440761FD" w:rsidR="00DE3628" w:rsidRDefault="00DE3628" w:rsidP="00D6309C">
            <w:pPr>
              <w:jc w:val="right"/>
              <w:rPr>
                <w:rFonts w:cs="Arial"/>
                <w:noProof/>
              </w:rPr>
            </w:pPr>
            <w:r>
              <w:rPr>
                <w:rFonts w:cs="Arial"/>
                <w:noProof/>
              </w:rPr>
              <w:t>0</w:t>
            </w:r>
          </w:p>
        </w:tc>
        <w:tc>
          <w:tcPr>
            <w:tcW w:w="851" w:type="dxa"/>
          </w:tcPr>
          <w:p w14:paraId="168032BD" w14:textId="51845523" w:rsidR="00DE3628" w:rsidRPr="006B597B" w:rsidRDefault="00224ED9" w:rsidP="00D6309C">
            <w:pPr>
              <w:jc w:val="right"/>
              <w:rPr>
                <w:rFonts w:cs="Arial"/>
                <w:b/>
                <w:bCs/>
                <w:noProof/>
              </w:rPr>
            </w:pPr>
            <w:r>
              <w:rPr>
                <w:rFonts w:cs="Arial"/>
                <w:b/>
                <w:bCs/>
                <w:noProof/>
              </w:rPr>
              <w:t>1</w:t>
            </w:r>
          </w:p>
        </w:tc>
      </w:tr>
      <w:tr w:rsidR="00DE3628" w14:paraId="4B5787BD" w14:textId="77777777" w:rsidTr="00D6309C">
        <w:trPr>
          <w:trHeight w:val="278"/>
        </w:trPr>
        <w:tc>
          <w:tcPr>
            <w:tcW w:w="1418" w:type="dxa"/>
            <w:vAlign w:val="center"/>
          </w:tcPr>
          <w:p w14:paraId="2C99C9F5" w14:textId="77777777" w:rsidR="00DE3628" w:rsidRDefault="00DE3628" w:rsidP="00D6309C">
            <w:pPr>
              <w:rPr>
                <w:rFonts w:cs="Arial"/>
                <w:noProof/>
              </w:rPr>
            </w:pPr>
            <w:r>
              <w:rPr>
                <w:rFonts w:cs="Arial"/>
                <w:noProof/>
              </w:rPr>
              <w:t>76-85</w:t>
            </w:r>
          </w:p>
        </w:tc>
        <w:tc>
          <w:tcPr>
            <w:tcW w:w="987" w:type="dxa"/>
            <w:vAlign w:val="center"/>
          </w:tcPr>
          <w:p w14:paraId="22E59373" w14:textId="77777777" w:rsidR="00DE3628" w:rsidRPr="001D1C01" w:rsidRDefault="00DE3628" w:rsidP="00D6309C">
            <w:pPr>
              <w:jc w:val="right"/>
              <w:rPr>
                <w:rFonts w:cs="Arial"/>
                <w:noProof/>
              </w:rPr>
            </w:pPr>
            <w:r>
              <w:rPr>
                <w:rFonts w:cs="Arial"/>
                <w:noProof/>
              </w:rPr>
              <w:t>0</w:t>
            </w:r>
          </w:p>
        </w:tc>
        <w:tc>
          <w:tcPr>
            <w:tcW w:w="1134" w:type="dxa"/>
            <w:vAlign w:val="center"/>
          </w:tcPr>
          <w:p w14:paraId="5C565547" w14:textId="77777777" w:rsidR="00DE3628" w:rsidRPr="001D1C01" w:rsidRDefault="00DE3628" w:rsidP="00D6309C">
            <w:pPr>
              <w:jc w:val="right"/>
              <w:rPr>
                <w:rFonts w:cs="Arial"/>
                <w:noProof/>
              </w:rPr>
            </w:pPr>
            <w:r>
              <w:rPr>
                <w:rFonts w:cs="Arial"/>
                <w:noProof/>
              </w:rPr>
              <w:t>0</w:t>
            </w:r>
          </w:p>
        </w:tc>
        <w:tc>
          <w:tcPr>
            <w:tcW w:w="851" w:type="dxa"/>
          </w:tcPr>
          <w:p w14:paraId="77126EF7" w14:textId="77777777" w:rsidR="00DE3628" w:rsidRPr="006B597B" w:rsidRDefault="00DE3628" w:rsidP="00D6309C">
            <w:pPr>
              <w:jc w:val="right"/>
              <w:rPr>
                <w:rFonts w:cs="Arial"/>
                <w:b/>
                <w:bCs/>
                <w:noProof/>
              </w:rPr>
            </w:pPr>
            <w:r w:rsidRPr="006B597B">
              <w:rPr>
                <w:rFonts w:cs="Arial"/>
                <w:b/>
                <w:bCs/>
                <w:noProof/>
              </w:rPr>
              <w:t>0</w:t>
            </w:r>
          </w:p>
        </w:tc>
        <w:tc>
          <w:tcPr>
            <w:tcW w:w="567" w:type="dxa"/>
            <w:tcBorders>
              <w:top w:val="nil"/>
              <w:bottom w:val="nil"/>
            </w:tcBorders>
          </w:tcPr>
          <w:p w14:paraId="1937E255" w14:textId="77777777" w:rsidR="00DE3628" w:rsidRDefault="00DE3628" w:rsidP="00D6309C">
            <w:pPr>
              <w:rPr>
                <w:rFonts w:cs="Arial"/>
                <w:noProof/>
              </w:rPr>
            </w:pPr>
          </w:p>
        </w:tc>
        <w:tc>
          <w:tcPr>
            <w:tcW w:w="1417" w:type="dxa"/>
            <w:vAlign w:val="center"/>
          </w:tcPr>
          <w:p w14:paraId="0FF2A03D" w14:textId="77777777" w:rsidR="00DE3628" w:rsidRPr="001D1C01" w:rsidRDefault="00DE3628" w:rsidP="00D6309C">
            <w:pPr>
              <w:rPr>
                <w:rFonts w:cs="Arial"/>
                <w:noProof/>
              </w:rPr>
            </w:pPr>
            <w:r>
              <w:rPr>
                <w:rFonts w:cs="Arial"/>
                <w:noProof/>
              </w:rPr>
              <w:t>76-85</w:t>
            </w:r>
          </w:p>
        </w:tc>
        <w:tc>
          <w:tcPr>
            <w:tcW w:w="992" w:type="dxa"/>
            <w:vAlign w:val="center"/>
          </w:tcPr>
          <w:p w14:paraId="69F9F0F7" w14:textId="77777777" w:rsidR="00DE3628" w:rsidRDefault="00DE3628" w:rsidP="00D6309C">
            <w:pPr>
              <w:jc w:val="right"/>
              <w:rPr>
                <w:rFonts w:cs="Arial"/>
                <w:noProof/>
              </w:rPr>
            </w:pPr>
            <w:r>
              <w:rPr>
                <w:rFonts w:cs="Arial"/>
                <w:noProof/>
              </w:rPr>
              <w:t>0</w:t>
            </w:r>
          </w:p>
        </w:tc>
        <w:tc>
          <w:tcPr>
            <w:tcW w:w="1134" w:type="dxa"/>
            <w:vAlign w:val="center"/>
          </w:tcPr>
          <w:p w14:paraId="349E2566" w14:textId="40567E89" w:rsidR="00DE3628" w:rsidRDefault="00DE3628" w:rsidP="00D6309C">
            <w:pPr>
              <w:jc w:val="right"/>
              <w:rPr>
                <w:rFonts w:cs="Arial"/>
                <w:noProof/>
              </w:rPr>
            </w:pPr>
            <w:r>
              <w:rPr>
                <w:rFonts w:cs="Arial"/>
                <w:noProof/>
              </w:rPr>
              <w:t>1</w:t>
            </w:r>
          </w:p>
        </w:tc>
        <w:tc>
          <w:tcPr>
            <w:tcW w:w="851" w:type="dxa"/>
          </w:tcPr>
          <w:p w14:paraId="320D8296" w14:textId="3EB5F0B7" w:rsidR="00DE3628" w:rsidRPr="006B597B" w:rsidRDefault="00224ED9" w:rsidP="00D6309C">
            <w:pPr>
              <w:jc w:val="right"/>
              <w:rPr>
                <w:rFonts w:cs="Arial"/>
                <w:b/>
                <w:bCs/>
                <w:noProof/>
              </w:rPr>
            </w:pPr>
            <w:r>
              <w:rPr>
                <w:rFonts w:cs="Arial"/>
                <w:b/>
                <w:bCs/>
                <w:noProof/>
              </w:rPr>
              <w:t>1</w:t>
            </w:r>
          </w:p>
        </w:tc>
      </w:tr>
      <w:tr w:rsidR="00DE3628" w14:paraId="6B0C9D54" w14:textId="77777777" w:rsidTr="00D6309C">
        <w:trPr>
          <w:trHeight w:val="278"/>
        </w:trPr>
        <w:tc>
          <w:tcPr>
            <w:tcW w:w="1418" w:type="dxa"/>
            <w:vAlign w:val="center"/>
          </w:tcPr>
          <w:p w14:paraId="77FF2FEE" w14:textId="77777777" w:rsidR="00DE3628" w:rsidRPr="0093391D" w:rsidRDefault="00DE3628" w:rsidP="00D6309C">
            <w:pPr>
              <w:rPr>
                <w:rFonts w:cs="Arial"/>
                <w:b/>
                <w:bCs/>
                <w:noProof/>
              </w:rPr>
            </w:pPr>
            <w:r w:rsidRPr="0093391D">
              <w:rPr>
                <w:rFonts w:cs="Arial"/>
                <w:b/>
                <w:bCs/>
                <w:noProof/>
              </w:rPr>
              <w:t>Total</w:t>
            </w:r>
          </w:p>
        </w:tc>
        <w:tc>
          <w:tcPr>
            <w:tcW w:w="987" w:type="dxa"/>
            <w:vAlign w:val="center"/>
          </w:tcPr>
          <w:p w14:paraId="13DEA83D" w14:textId="1ACC3D6D" w:rsidR="00DE3628" w:rsidRPr="0093391D" w:rsidRDefault="00DE3628" w:rsidP="00D6309C">
            <w:pPr>
              <w:jc w:val="right"/>
              <w:rPr>
                <w:rFonts w:cs="Arial"/>
                <w:b/>
                <w:bCs/>
                <w:noProof/>
              </w:rPr>
            </w:pPr>
            <w:r>
              <w:rPr>
                <w:rFonts w:cs="Arial"/>
                <w:b/>
                <w:bCs/>
                <w:noProof/>
              </w:rPr>
              <w:t>5</w:t>
            </w:r>
          </w:p>
        </w:tc>
        <w:tc>
          <w:tcPr>
            <w:tcW w:w="1134" w:type="dxa"/>
            <w:vAlign w:val="center"/>
          </w:tcPr>
          <w:p w14:paraId="5FE8D97D" w14:textId="0A2A24AF" w:rsidR="00DE3628" w:rsidRPr="0093391D" w:rsidRDefault="00DE3628" w:rsidP="00D6309C">
            <w:pPr>
              <w:jc w:val="right"/>
              <w:rPr>
                <w:rFonts w:cs="Arial"/>
                <w:b/>
                <w:bCs/>
                <w:noProof/>
              </w:rPr>
            </w:pPr>
            <w:r>
              <w:rPr>
                <w:rFonts w:cs="Arial"/>
                <w:b/>
                <w:bCs/>
                <w:noProof/>
              </w:rPr>
              <w:t>16</w:t>
            </w:r>
          </w:p>
        </w:tc>
        <w:tc>
          <w:tcPr>
            <w:tcW w:w="851" w:type="dxa"/>
          </w:tcPr>
          <w:p w14:paraId="02EC8C7F" w14:textId="5764CD5A" w:rsidR="00DE3628" w:rsidRPr="006B597B" w:rsidRDefault="00DE3628" w:rsidP="00D6309C">
            <w:pPr>
              <w:jc w:val="right"/>
              <w:rPr>
                <w:rFonts w:cs="Arial"/>
                <w:b/>
                <w:bCs/>
                <w:noProof/>
              </w:rPr>
            </w:pPr>
            <w:r>
              <w:rPr>
                <w:rFonts w:cs="Arial"/>
                <w:b/>
                <w:bCs/>
                <w:noProof/>
              </w:rPr>
              <w:t>21</w:t>
            </w:r>
          </w:p>
        </w:tc>
        <w:tc>
          <w:tcPr>
            <w:tcW w:w="567" w:type="dxa"/>
            <w:tcBorders>
              <w:top w:val="nil"/>
              <w:bottom w:val="nil"/>
            </w:tcBorders>
          </w:tcPr>
          <w:p w14:paraId="47D68FD2" w14:textId="77777777" w:rsidR="00DE3628" w:rsidRDefault="00DE3628" w:rsidP="00D6309C">
            <w:pPr>
              <w:rPr>
                <w:rFonts w:cs="Arial"/>
                <w:noProof/>
              </w:rPr>
            </w:pPr>
          </w:p>
        </w:tc>
        <w:tc>
          <w:tcPr>
            <w:tcW w:w="1417" w:type="dxa"/>
            <w:vAlign w:val="center"/>
          </w:tcPr>
          <w:p w14:paraId="0D58412A" w14:textId="77777777" w:rsidR="00DE3628" w:rsidRPr="0093391D" w:rsidRDefault="00DE3628" w:rsidP="00D6309C">
            <w:pPr>
              <w:rPr>
                <w:rFonts w:cs="Arial"/>
                <w:b/>
                <w:bCs/>
                <w:noProof/>
              </w:rPr>
            </w:pPr>
            <w:r w:rsidRPr="0093391D">
              <w:rPr>
                <w:rFonts w:cs="Arial"/>
                <w:b/>
                <w:bCs/>
                <w:noProof/>
              </w:rPr>
              <w:t>Total</w:t>
            </w:r>
          </w:p>
        </w:tc>
        <w:tc>
          <w:tcPr>
            <w:tcW w:w="992" w:type="dxa"/>
            <w:vAlign w:val="center"/>
          </w:tcPr>
          <w:p w14:paraId="0DC89285" w14:textId="4B010433" w:rsidR="00DE3628" w:rsidRPr="0093391D" w:rsidRDefault="00DE3628" w:rsidP="00D6309C">
            <w:pPr>
              <w:jc w:val="right"/>
              <w:rPr>
                <w:rFonts w:cs="Arial"/>
                <w:b/>
                <w:bCs/>
                <w:noProof/>
              </w:rPr>
            </w:pPr>
            <w:r>
              <w:rPr>
                <w:rFonts w:cs="Arial"/>
                <w:b/>
                <w:bCs/>
                <w:noProof/>
              </w:rPr>
              <w:t>9</w:t>
            </w:r>
          </w:p>
        </w:tc>
        <w:tc>
          <w:tcPr>
            <w:tcW w:w="1134" w:type="dxa"/>
            <w:vAlign w:val="center"/>
          </w:tcPr>
          <w:p w14:paraId="62A9BCE0" w14:textId="2FA8D281" w:rsidR="00DE3628" w:rsidRPr="0093391D" w:rsidRDefault="00DE3628" w:rsidP="00D6309C">
            <w:pPr>
              <w:jc w:val="right"/>
              <w:rPr>
                <w:rFonts w:cs="Arial"/>
                <w:b/>
                <w:bCs/>
                <w:noProof/>
              </w:rPr>
            </w:pPr>
            <w:r>
              <w:rPr>
                <w:rFonts w:cs="Arial"/>
                <w:b/>
                <w:bCs/>
                <w:noProof/>
              </w:rPr>
              <w:t>26</w:t>
            </w:r>
          </w:p>
        </w:tc>
        <w:tc>
          <w:tcPr>
            <w:tcW w:w="851" w:type="dxa"/>
          </w:tcPr>
          <w:p w14:paraId="24BFBEEF" w14:textId="3A0E4E3E" w:rsidR="00DE3628" w:rsidRPr="0093391D" w:rsidRDefault="00DE3628" w:rsidP="00D6309C">
            <w:pPr>
              <w:jc w:val="right"/>
              <w:rPr>
                <w:rFonts w:cs="Arial"/>
                <w:b/>
                <w:bCs/>
                <w:noProof/>
              </w:rPr>
            </w:pPr>
            <w:r>
              <w:rPr>
                <w:rFonts w:cs="Arial"/>
                <w:b/>
                <w:bCs/>
                <w:noProof/>
              </w:rPr>
              <w:t>3</w:t>
            </w:r>
            <w:r w:rsidR="00224ED9">
              <w:rPr>
                <w:rFonts w:cs="Arial"/>
                <w:b/>
                <w:bCs/>
                <w:noProof/>
              </w:rPr>
              <w:t>5</w:t>
            </w:r>
          </w:p>
        </w:tc>
      </w:tr>
    </w:tbl>
    <w:p w14:paraId="65B0A027" w14:textId="77777777" w:rsidR="00DE3628" w:rsidRDefault="00DE3628" w:rsidP="002E156B">
      <w:pPr>
        <w:ind w:left="-142" w:right="-425"/>
        <w:jc w:val="both"/>
        <w:rPr>
          <w:rFonts w:cs="Arial"/>
        </w:rPr>
      </w:pPr>
    </w:p>
    <w:p w14:paraId="2A45E0FC" w14:textId="77777777" w:rsidR="00DE3628" w:rsidRPr="002E156B" w:rsidRDefault="00DE3628" w:rsidP="002E156B">
      <w:pPr>
        <w:ind w:left="-142" w:right="-425"/>
        <w:jc w:val="both"/>
        <w:rPr>
          <w:rFonts w:cs="Arial"/>
        </w:rPr>
      </w:pPr>
    </w:p>
    <w:p w14:paraId="1159CB03" w14:textId="2C1BC395" w:rsidR="009466F4" w:rsidRPr="00076ED0" w:rsidRDefault="009466F4" w:rsidP="00CB1032">
      <w:pPr>
        <w:pStyle w:val="Heading2"/>
      </w:pPr>
      <w:r w:rsidRPr="00076ED0">
        <w:t>Case Management</w:t>
      </w:r>
    </w:p>
    <w:p w14:paraId="7A8A0342" w14:textId="6DBDB526"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7B7E78">
        <w:rPr>
          <w:rFonts w:cs="Arial"/>
        </w:rPr>
        <w:t>31 December</w:t>
      </w:r>
      <w:r w:rsidR="00FE56E9">
        <w:rPr>
          <w:rFonts w:cs="Arial"/>
        </w:rPr>
        <w:t xml:space="preserve"> </w:t>
      </w:r>
      <w:r w:rsidR="001A5C4C">
        <w:rPr>
          <w:rFonts w:cs="Arial"/>
        </w:rPr>
        <w:t>2022</w:t>
      </w:r>
      <w:r w:rsidR="009466F4" w:rsidRPr="00303C40">
        <w:rPr>
          <w:rFonts w:cs="Arial"/>
        </w:rPr>
        <w:t xml:space="preserve">, </w:t>
      </w:r>
      <w:r w:rsidR="001137C8">
        <w:rPr>
          <w:rFonts w:cs="Arial"/>
        </w:rPr>
        <w:t xml:space="preserve">227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CB1032">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580E0EAC" w:rsidR="00FF351C" w:rsidRDefault="00390D07" w:rsidP="00FF351C">
      <w:pPr>
        <w:ind w:left="-142" w:right="-425"/>
        <w:jc w:val="both"/>
        <w:rPr>
          <w:rFonts w:cs="Arial"/>
        </w:rPr>
      </w:pPr>
      <w:r>
        <w:rPr>
          <w:rFonts w:cs="Arial"/>
        </w:rPr>
        <w:t xml:space="preserve">Six </w:t>
      </w:r>
      <w:r w:rsidR="00FF351C">
        <w:rPr>
          <w:rFonts w:cs="Arial"/>
        </w:rPr>
        <w:t>a</w:t>
      </w:r>
      <w:r w:rsidR="00FF351C" w:rsidRPr="009E1D38">
        <w:rPr>
          <w:rFonts w:cs="Arial"/>
        </w:rPr>
        <w:t xml:space="preserve">pplications </w:t>
      </w:r>
      <w:r w:rsidR="00FF351C">
        <w:rPr>
          <w:rFonts w:cs="Arial"/>
        </w:rPr>
        <w:t xml:space="preserve">relating to </w:t>
      </w:r>
      <w:r>
        <w:rPr>
          <w:rFonts w:cs="Arial"/>
        </w:rPr>
        <w:t xml:space="preserve">6 </w:t>
      </w:r>
      <w:r w:rsidR="00FF351C">
        <w:rPr>
          <w:rFonts w:cs="Arial"/>
        </w:rPr>
        <w:t>clients (</w:t>
      </w:r>
      <w:r>
        <w:rPr>
          <w:rFonts w:cs="Arial"/>
        </w:rPr>
        <w:t xml:space="preserve">5 </w:t>
      </w:r>
      <w:r w:rsidR="00FF351C">
        <w:rPr>
          <w:rFonts w:cs="Arial"/>
        </w:rPr>
        <w:t xml:space="preserve">female and </w:t>
      </w:r>
      <w:r>
        <w:rPr>
          <w:rFonts w:cs="Arial"/>
        </w:rPr>
        <w:t xml:space="preserve">1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250129">
        <w:rPr>
          <w:rFonts w:cs="Arial"/>
        </w:rPr>
        <w:t>58</w:t>
      </w:r>
      <w:r>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3AF19A8B" w14:textId="6D5CBE11" w:rsidR="00F9293E" w:rsidRDefault="00F9293E" w:rsidP="00224ED9">
      <w:pPr>
        <w:ind w:right="-425"/>
        <w:jc w:val="both"/>
        <w:rPr>
          <w:rFonts w:cs="Arial"/>
          <w:b/>
          <w:sz w:val="16"/>
          <w:szCs w:val="16"/>
        </w:rPr>
      </w:pPr>
    </w:p>
    <w:p w14:paraId="61C2A521" w14:textId="3ACAE66A" w:rsidR="00F9293E" w:rsidRDefault="00224ED9" w:rsidP="00F9293E">
      <w:pPr>
        <w:ind w:left="-142" w:right="-425"/>
        <w:jc w:val="both"/>
        <w:rPr>
          <w:rFonts w:cs="Arial"/>
          <w:sz w:val="16"/>
          <w:szCs w:val="16"/>
        </w:rPr>
      </w:pPr>
      <w:r>
        <w:rPr>
          <w:rFonts w:cs="Arial"/>
          <w:b/>
          <w:sz w:val="16"/>
          <w:szCs w:val="16"/>
        </w:rPr>
        <w:t>Table</w:t>
      </w:r>
      <w:r w:rsidR="00F9293E" w:rsidRPr="00E34093">
        <w:rPr>
          <w:rFonts w:cs="Arial"/>
          <w:b/>
          <w:sz w:val="16"/>
          <w:szCs w:val="16"/>
        </w:rPr>
        <w:t xml:space="preserve"> </w:t>
      </w:r>
      <w:r>
        <w:rPr>
          <w:rFonts w:cs="Arial"/>
          <w:b/>
          <w:sz w:val="16"/>
          <w:szCs w:val="16"/>
        </w:rPr>
        <w:t>21</w:t>
      </w:r>
      <w:r w:rsidR="00F9293E" w:rsidRPr="00E34093">
        <w:rPr>
          <w:rFonts w:cs="Arial"/>
          <w:b/>
          <w:sz w:val="16"/>
          <w:szCs w:val="16"/>
        </w:rPr>
        <w:t>:</w:t>
      </w:r>
      <w:r w:rsidR="00F9293E">
        <w:rPr>
          <w:rFonts w:cs="Arial"/>
          <w:sz w:val="16"/>
          <w:szCs w:val="16"/>
        </w:rPr>
        <w:t xml:space="preserve"> Applications to amend or e</w:t>
      </w:r>
      <w:r w:rsidR="00F9293E" w:rsidRPr="00E34093">
        <w:rPr>
          <w:rFonts w:cs="Arial"/>
          <w:sz w:val="16"/>
          <w:szCs w:val="16"/>
        </w:rPr>
        <w:t xml:space="preserve">nd </w:t>
      </w:r>
      <w:r w:rsidR="00F9293E">
        <w:rPr>
          <w:rFonts w:cs="Arial"/>
          <w:sz w:val="16"/>
          <w:szCs w:val="16"/>
        </w:rPr>
        <w:t>agreements or o</w:t>
      </w:r>
      <w:r w:rsidR="00F9293E" w:rsidRPr="00E34093">
        <w:rPr>
          <w:rFonts w:cs="Arial"/>
          <w:sz w:val="16"/>
          <w:szCs w:val="16"/>
        </w:rPr>
        <w:t>rder</w:t>
      </w:r>
      <w:r w:rsidR="00F9293E">
        <w:rPr>
          <w:rFonts w:cs="Arial"/>
          <w:sz w:val="16"/>
          <w:szCs w:val="16"/>
        </w:rPr>
        <w:t>s</w:t>
      </w:r>
      <w:r w:rsidR="00F9293E" w:rsidRPr="00E34093">
        <w:rPr>
          <w:rFonts w:cs="Arial"/>
          <w:sz w:val="16"/>
          <w:szCs w:val="16"/>
        </w:rPr>
        <w:t xml:space="preserve"> by community and quarter </w:t>
      </w:r>
      <w:r w:rsidR="007B7E78">
        <w:rPr>
          <w:rFonts w:cs="Arial"/>
          <w:sz w:val="16"/>
          <w:szCs w:val="16"/>
        </w:rPr>
        <w:t>1 October</w:t>
      </w:r>
      <w:r w:rsidR="00DF103B">
        <w:rPr>
          <w:rFonts w:cs="Arial"/>
          <w:sz w:val="16"/>
          <w:szCs w:val="16"/>
        </w:rPr>
        <w:t xml:space="preserve"> 2021</w:t>
      </w:r>
      <w:r w:rsidR="00F9293E">
        <w:rPr>
          <w:rFonts w:cs="Arial"/>
          <w:sz w:val="16"/>
          <w:szCs w:val="16"/>
        </w:rPr>
        <w:t xml:space="preserve"> to </w:t>
      </w:r>
      <w:r w:rsidR="007B7E78">
        <w:rPr>
          <w:rFonts w:cs="Arial"/>
          <w:sz w:val="16"/>
          <w:szCs w:val="16"/>
        </w:rPr>
        <w:t>31 December</w:t>
      </w:r>
      <w:r w:rsidR="00FE56E9">
        <w:rPr>
          <w:rFonts w:cs="Arial"/>
          <w:sz w:val="16"/>
          <w:szCs w:val="16"/>
        </w:rPr>
        <w:t xml:space="preserve"> </w:t>
      </w:r>
      <w:r w:rsidR="001A5C4C">
        <w:rPr>
          <w:rFonts w:cs="Arial"/>
          <w:sz w:val="16"/>
          <w:szCs w:val="16"/>
        </w:rPr>
        <w:t>2022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224ED9" w:rsidRPr="00C5395B" w14:paraId="35B84C74" w14:textId="3D0C8BCD" w:rsidTr="00224ED9">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4AF863B" w14:textId="77777777" w:rsidR="00224ED9" w:rsidRPr="00C5395B" w:rsidRDefault="00224ED9" w:rsidP="00D6309C">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1CA197D" w14:textId="77777777" w:rsidR="00224ED9" w:rsidRDefault="00224ED9" w:rsidP="00D6309C">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2140B531" w14:textId="77777777" w:rsidR="00224ED9" w:rsidRDefault="00224ED9" w:rsidP="00D6309C">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4A73D80A" w14:textId="77777777" w:rsidR="00224ED9" w:rsidRDefault="00224ED9" w:rsidP="00D6309C">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5933DD29" w14:textId="77777777" w:rsidR="00224ED9" w:rsidRDefault="00224ED9" w:rsidP="00D6309C">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255C0566" w14:textId="3736293B" w:rsidR="00224ED9" w:rsidRDefault="00224ED9" w:rsidP="00D6309C">
            <w:pPr>
              <w:pStyle w:val="TableText"/>
              <w:jc w:val="right"/>
              <w:rPr>
                <w:b/>
                <w:lang w:eastAsia="en-AU"/>
              </w:rPr>
            </w:pPr>
            <w:r>
              <w:rPr>
                <w:b/>
                <w:lang w:eastAsia="en-AU"/>
              </w:rPr>
              <w:t>Qtr 58</w:t>
            </w:r>
          </w:p>
        </w:tc>
      </w:tr>
      <w:tr w:rsidR="00224ED9" w:rsidRPr="00C5395B" w14:paraId="130CA1FC" w14:textId="5647F04C" w:rsidTr="00224ED9">
        <w:trPr>
          <w:trHeight w:val="255"/>
        </w:trPr>
        <w:tc>
          <w:tcPr>
            <w:tcW w:w="2040" w:type="dxa"/>
            <w:tcBorders>
              <w:top w:val="nil"/>
              <w:left w:val="single" w:sz="4" w:space="0" w:color="auto"/>
              <w:bottom w:val="single" w:sz="4" w:space="0" w:color="auto"/>
              <w:right w:val="single" w:sz="4" w:space="0" w:color="auto"/>
            </w:tcBorders>
            <w:noWrap/>
            <w:hideMark/>
          </w:tcPr>
          <w:p w14:paraId="7A59E0D1" w14:textId="77777777" w:rsidR="00224ED9" w:rsidRPr="00C5395B" w:rsidRDefault="00224ED9" w:rsidP="00D6309C">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A8D3F0D" w14:textId="77777777" w:rsidR="00224ED9" w:rsidRPr="00550A24" w:rsidRDefault="00224ED9" w:rsidP="00D6309C">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37B8836E" w14:textId="77777777" w:rsidR="00224ED9" w:rsidRPr="00D919B5" w:rsidRDefault="00224ED9" w:rsidP="00D6309C">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3C96E528" w14:textId="77777777" w:rsidR="00224ED9" w:rsidRPr="00D919B5" w:rsidRDefault="00224ED9" w:rsidP="00D6309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3E21357" w14:textId="77777777" w:rsidR="00224ED9" w:rsidRDefault="00224ED9" w:rsidP="00D6309C">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0DA7013" w14:textId="33D88B1C" w:rsidR="00224ED9" w:rsidRDefault="00224ED9" w:rsidP="00D6309C">
            <w:pPr>
              <w:jc w:val="right"/>
              <w:rPr>
                <w:rFonts w:cs="Arial"/>
              </w:rPr>
            </w:pPr>
            <w:r>
              <w:rPr>
                <w:rFonts w:cs="Arial"/>
              </w:rPr>
              <w:t>5</w:t>
            </w:r>
          </w:p>
        </w:tc>
      </w:tr>
      <w:tr w:rsidR="00224ED9" w:rsidRPr="00C5395B" w14:paraId="70AB9E2B" w14:textId="770A41EB" w:rsidTr="00224ED9">
        <w:trPr>
          <w:trHeight w:val="255"/>
        </w:trPr>
        <w:tc>
          <w:tcPr>
            <w:tcW w:w="2040" w:type="dxa"/>
            <w:tcBorders>
              <w:top w:val="nil"/>
              <w:left w:val="single" w:sz="4" w:space="0" w:color="auto"/>
              <w:bottom w:val="single" w:sz="4" w:space="0" w:color="auto"/>
              <w:right w:val="single" w:sz="4" w:space="0" w:color="auto"/>
            </w:tcBorders>
            <w:noWrap/>
            <w:hideMark/>
          </w:tcPr>
          <w:p w14:paraId="66AF0EEB" w14:textId="77777777" w:rsidR="00224ED9" w:rsidRPr="00C5395B" w:rsidRDefault="00224ED9" w:rsidP="00D6309C">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2931254" w14:textId="77777777" w:rsidR="00224ED9" w:rsidRPr="00550A24"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F332884" w14:textId="77777777" w:rsidR="00224ED9" w:rsidRPr="00D919B5"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8A5F724" w14:textId="77777777" w:rsidR="00224ED9" w:rsidRPr="00D919B5" w:rsidRDefault="00224ED9"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206F9D7" w14:textId="77777777" w:rsidR="00224ED9"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F8FDD57" w14:textId="155D8060" w:rsidR="00224ED9" w:rsidRDefault="00224ED9" w:rsidP="00D6309C">
            <w:pPr>
              <w:jc w:val="right"/>
              <w:rPr>
                <w:rFonts w:cs="Arial"/>
              </w:rPr>
            </w:pPr>
            <w:r>
              <w:rPr>
                <w:rFonts w:cs="Arial"/>
              </w:rPr>
              <w:t>0</w:t>
            </w:r>
          </w:p>
        </w:tc>
      </w:tr>
      <w:tr w:rsidR="00224ED9" w:rsidRPr="00C5395B" w14:paraId="1B2681D2" w14:textId="2D2B2DF2" w:rsidTr="00224ED9">
        <w:trPr>
          <w:trHeight w:val="255"/>
        </w:trPr>
        <w:tc>
          <w:tcPr>
            <w:tcW w:w="2040" w:type="dxa"/>
            <w:tcBorders>
              <w:top w:val="nil"/>
              <w:left w:val="single" w:sz="4" w:space="0" w:color="auto"/>
              <w:bottom w:val="single" w:sz="4" w:space="0" w:color="auto"/>
              <w:right w:val="single" w:sz="4" w:space="0" w:color="auto"/>
            </w:tcBorders>
            <w:noWrap/>
          </w:tcPr>
          <w:p w14:paraId="02DFDB80" w14:textId="77777777" w:rsidR="00224ED9" w:rsidRPr="00C5395B" w:rsidRDefault="00224ED9" w:rsidP="00D6309C">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1AD30D30" w14:textId="77777777" w:rsidR="00224ED9" w:rsidRPr="00550A24"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DADBBA9" w14:textId="77777777" w:rsidR="00224ED9" w:rsidRPr="00D919B5"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D051855" w14:textId="77777777" w:rsidR="00224ED9" w:rsidRPr="00D919B5" w:rsidRDefault="00224ED9"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7838232" w14:textId="77777777" w:rsidR="00224ED9" w:rsidRDefault="00224ED9" w:rsidP="00D6309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C8E607F" w14:textId="3F129620" w:rsidR="00224ED9" w:rsidRDefault="00224ED9" w:rsidP="00D6309C">
            <w:pPr>
              <w:jc w:val="right"/>
              <w:rPr>
                <w:rFonts w:cs="Arial"/>
              </w:rPr>
            </w:pPr>
            <w:r>
              <w:rPr>
                <w:rFonts w:cs="Arial"/>
              </w:rPr>
              <w:t>0</w:t>
            </w:r>
          </w:p>
        </w:tc>
      </w:tr>
      <w:tr w:rsidR="00224ED9" w:rsidRPr="00C5395B" w14:paraId="4F6E8F19" w14:textId="2D18E232" w:rsidTr="00224ED9">
        <w:trPr>
          <w:trHeight w:val="255"/>
        </w:trPr>
        <w:tc>
          <w:tcPr>
            <w:tcW w:w="2040" w:type="dxa"/>
            <w:tcBorders>
              <w:top w:val="nil"/>
              <w:left w:val="single" w:sz="4" w:space="0" w:color="auto"/>
              <w:bottom w:val="single" w:sz="4" w:space="0" w:color="auto"/>
              <w:right w:val="single" w:sz="4" w:space="0" w:color="auto"/>
            </w:tcBorders>
            <w:noWrap/>
            <w:hideMark/>
          </w:tcPr>
          <w:p w14:paraId="2F4F1DF9" w14:textId="77777777" w:rsidR="00224ED9" w:rsidRPr="00C5395B" w:rsidRDefault="00224ED9" w:rsidP="00D6309C">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A6E31D3" w14:textId="77777777" w:rsidR="00224ED9" w:rsidRPr="00550A24" w:rsidRDefault="00224ED9" w:rsidP="00D6309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07A30D0" w14:textId="77777777" w:rsidR="00224ED9" w:rsidRPr="00D919B5" w:rsidRDefault="00224ED9" w:rsidP="00D6309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AAF6824" w14:textId="77777777" w:rsidR="00224ED9" w:rsidRPr="00D919B5" w:rsidRDefault="00224ED9"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63AF8FA" w14:textId="77777777" w:rsidR="00224ED9"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EAA6DF5" w14:textId="47162CC1" w:rsidR="00224ED9" w:rsidRDefault="00224ED9" w:rsidP="00D6309C">
            <w:pPr>
              <w:jc w:val="right"/>
              <w:rPr>
                <w:rFonts w:cs="Arial"/>
              </w:rPr>
            </w:pPr>
            <w:r>
              <w:rPr>
                <w:rFonts w:cs="Arial"/>
              </w:rPr>
              <w:t>1</w:t>
            </w:r>
          </w:p>
        </w:tc>
      </w:tr>
      <w:tr w:rsidR="00224ED9" w:rsidRPr="00C5395B" w14:paraId="40374FB1" w14:textId="5B492904" w:rsidTr="00224ED9">
        <w:trPr>
          <w:trHeight w:val="255"/>
        </w:trPr>
        <w:tc>
          <w:tcPr>
            <w:tcW w:w="2040" w:type="dxa"/>
            <w:tcBorders>
              <w:top w:val="nil"/>
              <w:left w:val="single" w:sz="4" w:space="0" w:color="auto"/>
              <w:bottom w:val="single" w:sz="4" w:space="0" w:color="auto"/>
              <w:right w:val="single" w:sz="4" w:space="0" w:color="auto"/>
            </w:tcBorders>
            <w:noWrap/>
            <w:hideMark/>
          </w:tcPr>
          <w:p w14:paraId="5F748AB8" w14:textId="77777777" w:rsidR="00224ED9" w:rsidRPr="00C5395B" w:rsidRDefault="00224ED9" w:rsidP="00D6309C">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05106EB" w14:textId="77777777" w:rsidR="00224ED9" w:rsidRPr="00550A24"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F8353F6" w14:textId="77777777" w:rsidR="00224ED9" w:rsidRPr="00D919B5"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C390878" w14:textId="77777777" w:rsidR="00224ED9" w:rsidRPr="00D919B5" w:rsidRDefault="00224ED9" w:rsidP="00D6309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06A00F" w14:textId="77777777" w:rsidR="00224ED9" w:rsidRDefault="00224ED9" w:rsidP="00D6309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0B77691" w14:textId="38BFCDDE" w:rsidR="00224ED9" w:rsidRDefault="00224ED9" w:rsidP="00D6309C">
            <w:pPr>
              <w:jc w:val="right"/>
              <w:rPr>
                <w:rFonts w:cs="Arial"/>
              </w:rPr>
            </w:pPr>
            <w:r>
              <w:rPr>
                <w:rFonts w:cs="Arial"/>
              </w:rPr>
              <w:t>0</w:t>
            </w:r>
          </w:p>
        </w:tc>
      </w:tr>
      <w:tr w:rsidR="00224ED9" w:rsidRPr="00C5395B" w14:paraId="11E5AAEC" w14:textId="394C52AC" w:rsidTr="00224ED9">
        <w:trPr>
          <w:trHeight w:val="255"/>
        </w:trPr>
        <w:tc>
          <w:tcPr>
            <w:tcW w:w="2040" w:type="dxa"/>
            <w:tcBorders>
              <w:top w:val="nil"/>
              <w:left w:val="single" w:sz="4" w:space="0" w:color="auto"/>
              <w:bottom w:val="single" w:sz="4" w:space="0" w:color="auto"/>
              <w:right w:val="single" w:sz="4" w:space="0" w:color="auto"/>
            </w:tcBorders>
            <w:noWrap/>
            <w:hideMark/>
          </w:tcPr>
          <w:p w14:paraId="24F916E3" w14:textId="77777777" w:rsidR="00224ED9" w:rsidRPr="00C5395B" w:rsidRDefault="00224ED9" w:rsidP="00D6309C">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622D6AC" w14:textId="77777777" w:rsidR="00224ED9" w:rsidRPr="00550A24" w:rsidRDefault="00224ED9" w:rsidP="00D6309C">
            <w:pPr>
              <w:jc w:val="right"/>
              <w:rPr>
                <w:rFonts w:cs="Arial"/>
                <w:b/>
                <w:bCs/>
              </w:rPr>
            </w:pPr>
            <w:r>
              <w:rPr>
                <w:rFonts w:cs="Arial"/>
                <w:b/>
                <w:bCs/>
              </w:rPr>
              <w:t>32</w:t>
            </w:r>
          </w:p>
        </w:tc>
        <w:tc>
          <w:tcPr>
            <w:tcW w:w="960" w:type="dxa"/>
            <w:tcBorders>
              <w:top w:val="nil"/>
              <w:left w:val="nil"/>
              <w:bottom w:val="single" w:sz="4" w:space="0" w:color="auto"/>
              <w:right w:val="single" w:sz="4" w:space="0" w:color="auto"/>
            </w:tcBorders>
          </w:tcPr>
          <w:p w14:paraId="41926572" w14:textId="77777777" w:rsidR="00224ED9" w:rsidRPr="00D919B5" w:rsidRDefault="00224ED9" w:rsidP="00D6309C">
            <w:pPr>
              <w:jc w:val="right"/>
              <w:rPr>
                <w:rFonts w:cs="Arial"/>
                <w:b/>
                <w:bCs/>
              </w:rPr>
            </w:pPr>
            <w:r>
              <w:rPr>
                <w:rFonts w:cs="Arial"/>
                <w:b/>
                <w:bCs/>
              </w:rPr>
              <w:t>16</w:t>
            </w:r>
          </w:p>
        </w:tc>
        <w:tc>
          <w:tcPr>
            <w:tcW w:w="960" w:type="dxa"/>
            <w:tcBorders>
              <w:top w:val="nil"/>
              <w:left w:val="nil"/>
              <w:bottom w:val="single" w:sz="4" w:space="0" w:color="auto"/>
              <w:right w:val="single" w:sz="4" w:space="0" w:color="auto"/>
            </w:tcBorders>
          </w:tcPr>
          <w:p w14:paraId="284A928B" w14:textId="77777777" w:rsidR="00224ED9" w:rsidRPr="00D919B5" w:rsidRDefault="00224ED9" w:rsidP="00D6309C">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4FE4A6F3" w14:textId="77777777" w:rsidR="00224ED9" w:rsidRDefault="00224ED9" w:rsidP="00D6309C">
            <w:pPr>
              <w:jc w:val="right"/>
              <w:rPr>
                <w:rFonts w:cs="Arial"/>
                <w:b/>
                <w:bCs/>
              </w:rPr>
            </w:pPr>
            <w:r>
              <w:rPr>
                <w:rFonts w:cs="Arial"/>
                <w:b/>
                <w:bCs/>
              </w:rPr>
              <w:t>10</w:t>
            </w:r>
          </w:p>
        </w:tc>
        <w:tc>
          <w:tcPr>
            <w:tcW w:w="960" w:type="dxa"/>
            <w:tcBorders>
              <w:top w:val="nil"/>
              <w:left w:val="nil"/>
              <w:bottom w:val="single" w:sz="4" w:space="0" w:color="auto"/>
              <w:right w:val="single" w:sz="4" w:space="0" w:color="auto"/>
            </w:tcBorders>
          </w:tcPr>
          <w:p w14:paraId="400C5A97" w14:textId="31498AC0" w:rsidR="00224ED9" w:rsidRDefault="00224ED9" w:rsidP="00D6309C">
            <w:pPr>
              <w:jc w:val="right"/>
              <w:rPr>
                <w:rFonts w:cs="Arial"/>
                <w:b/>
                <w:bCs/>
              </w:rPr>
            </w:pPr>
            <w:r>
              <w:rPr>
                <w:rFonts w:cs="Arial"/>
                <w:b/>
                <w:bCs/>
              </w:rPr>
              <w:t>6</w:t>
            </w:r>
          </w:p>
        </w:tc>
      </w:tr>
    </w:tbl>
    <w:p w14:paraId="46EB1DDC" w14:textId="48806BE0" w:rsidR="003E589C" w:rsidRDefault="003E589C" w:rsidP="00CF3AF9">
      <w:pPr>
        <w:ind w:left="-142" w:right="-425"/>
        <w:jc w:val="both"/>
        <w:rPr>
          <w:rFonts w:cs="Arial"/>
        </w:rPr>
      </w:pPr>
    </w:p>
    <w:p w14:paraId="01B7566E" w14:textId="717B7C92" w:rsidR="009F28DA" w:rsidRDefault="009F28DA" w:rsidP="00CF3AF9">
      <w:pPr>
        <w:ind w:left="-142" w:right="-425"/>
        <w:jc w:val="both"/>
        <w:rPr>
          <w:rFonts w:cs="Arial"/>
        </w:rPr>
      </w:pPr>
    </w:p>
    <w:p w14:paraId="2966D93D" w14:textId="77777777" w:rsidR="009F28DA" w:rsidRPr="00CF3AF9" w:rsidRDefault="009F28DA" w:rsidP="00CF3AF9">
      <w:pPr>
        <w:ind w:left="-142" w:right="-425"/>
        <w:jc w:val="both"/>
        <w:rPr>
          <w:rFonts w:cs="Arial"/>
        </w:rPr>
      </w:pPr>
    </w:p>
    <w:p w14:paraId="0C44E9B8" w14:textId="207B5029" w:rsidR="004E7166" w:rsidRPr="00076ED0" w:rsidRDefault="004E7166" w:rsidP="00CB1032">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05E80BC5" w:rsidR="00C029A0" w:rsidRDefault="00B408D8" w:rsidP="00B408D8">
      <w:pPr>
        <w:ind w:left="-142" w:right="-425"/>
        <w:jc w:val="both"/>
        <w:rPr>
          <w:rFonts w:cs="Arial"/>
        </w:rPr>
      </w:pPr>
      <w:r>
        <w:rPr>
          <w:rFonts w:cs="Arial"/>
        </w:rPr>
        <w:t xml:space="preserve">A total of </w:t>
      </w:r>
      <w:r w:rsidR="005B0BC6">
        <w:rPr>
          <w:rFonts w:cs="Arial"/>
        </w:rPr>
        <w:t xml:space="preserve">one </w:t>
      </w:r>
      <w:r w:rsidR="00CA1B19">
        <w:rPr>
          <w:rFonts w:cs="Arial"/>
        </w:rPr>
        <w:t xml:space="preserve">amend/end </w:t>
      </w:r>
      <w:r>
        <w:rPr>
          <w:rFonts w:cs="Arial"/>
        </w:rPr>
        <w:t>application</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906D8C">
        <w:rPr>
          <w:rFonts w:cs="Arial"/>
        </w:rPr>
        <w:t>to end a 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250129">
        <w:rPr>
          <w:rFonts w:cs="Arial"/>
        </w:rPr>
        <w:t>58</w:t>
      </w:r>
      <w:r w:rsidR="00686C92">
        <w:rPr>
          <w:rFonts w:cs="Arial"/>
        </w:rPr>
        <w:t xml:space="preserve"> with </w:t>
      </w:r>
      <w:r w:rsidR="00446508">
        <w:rPr>
          <w:rFonts w:cs="Arial"/>
        </w:rPr>
        <w:t xml:space="preserve">the </w:t>
      </w:r>
      <w:r w:rsidR="00686C92">
        <w:rPr>
          <w:rFonts w:cs="Arial"/>
        </w:rPr>
        <w:t xml:space="preserve">application </w:t>
      </w:r>
      <w:r w:rsidR="00211380">
        <w:rPr>
          <w:rFonts w:cs="Arial"/>
        </w:rPr>
        <w:t>accepted by the FRC.</w:t>
      </w:r>
    </w:p>
    <w:p w14:paraId="44D0AC43" w14:textId="3A1ECCB1" w:rsidR="00B9549C" w:rsidRDefault="005B0BC6" w:rsidP="00B408D8">
      <w:pPr>
        <w:ind w:left="-142" w:right="-425"/>
        <w:jc w:val="both"/>
        <w:rPr>
          <w:rFonts w:cs="Arial"/>
        </w:rPr>
      </w:pPr>
      <w:r>
        <w:rPr>
          <w:rFonts w:cs="Arial"/>
        </w:rPr>
        <w:t>Five</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sidR="00A602F4">
        <w:rPr>
          <w:rFonts w:cs="Arial"/>
        </w:rPr>
        <w:t>all</w:t>
      </w:r>
      <w:r w:rsidR="00CB0763">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type of 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25FF2D4B" w:rsidR="00C029A0" w:rsidRPr="00FB5E8C" w:rsidRDefault="005B0BC6"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4</w:t>
      </w:r>
      <w:r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A602F4">
        <w:rPr>
          <w:rFonts w:ascii="Verdana" w:hAnsi="Verdana" w:cs="Arial"/>
          <w:sz w:val="20"/>
          <w:szCs w:val="20"/>
        </w:rPr>
        <w:t xml:space="preserve"> and</w:t>
      </w:r>
    </w:p>
    <w:p w14:paraId="76B49A67" w14:textId="67220F7F" w:rsidR="00E56863"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1 Application was accepted and the voluntary income management agreement amended</w:t>
      </w:r>
      <w:r w:rsidR="007A7B2F">
        <w:rPr>
          <w:rFonts w:ascii="Verdana" w:hAnsi="Verdana" w:cs="Arial"/>
          <w:sz w:val="20"/>
          <w:szCs w:val="20"/>
        </w:rPr>
        <w:t>,</w:t>
      </w:r>
      <w:r w:rsidRPr="00FB5E8C">
        <w:rPr>
          <w:rFonts w:ascii="Verdana" w:hAnsi="Verdana" w:cs="Arial"/>
          <w:sz w:val="20"/>
          <w:szCs w:val="20"/>
        </w:rPr>
        <w:t xml:space="preserve"> </w:t>
      </w:r>
      <w:r w:rsidR="005B0BC6">
        <w:rPr>
          <w:rFonts w:ascii="Verdana" w:hAnsi="Verdana" w:cs="Arial"/>
          <w:sz w:val="20"/>
          <w:szCs w:val="20"/>
        </w:rPr>
        <w:t>increasing</w:t>
      </w:r>
      <w:r w:rsidR="005B0BC6" w:rsidRPr="00FB5E8C">
        <w:rPr>
          <w:rFonts w:ascii="Verdana" w:hAnsi="Verdana" w:cs="Arial"/>
          <w:sz w:val="20"/>
          <w:szCs w:val="20"/>
        </w:rPr>
        <w:t xml:space="preserve"> </w:t>
      </w:r>
      <w:r w:rsidR="0011612A" w:rsidRPr="00FB5E8C">
        <w:rPr>
          <w:rFonts w:ascii="Verdana" w:hAnsi="Verdana" w:cs="Arial"/>
          <w:sz w:val="20"/>
          <w:szCs w:val="20"/>
        </w:rPr>
        <w:t xml:space="preserve">from </w:t>
      </w:r>
      <w:r w:rsidR="004C3E20">
        <w:rPr>
          <w:rFonts w:ascii="Verdana" w:hAnsi="Verdana" w:cs="Arial"/>
          <w:sz w:val="20"/>
          <w:szCs w:val="20"/>
        </w:rPr>
        <w:t>60</w:t>
      </w:r>
      <w:r w:rsidR="0011612A" w:rsidRPr="00FB5E8C">
        <w:rPr>
          <w:rFonts w:ascii="Verdana" w:hAnsi="Verdana" w:cs="Arial"/>
          <w:sz w:val="20"/>
          <w:szCs w:val="20"/>
        </w:rPr>
        <w:t xml:space="preserve">% to </w:t>
      </w:r>
      <w:r w:rsidR="00662670">
        <w:rPr>
          <w:rFonts w:ascii="Verdana" w:hAnsi="Verdana" w:cs="Arial"/>
          <w:sz w:val="20"/>
          <w:szCs w:val="20"/>
        </w:rPr>
        <w:t>9</w:t>
      </w:r>
      <w:r w:rsidR="0011612A" w:rsidRPr="00FB5E8C">
        <w:rPr>
          <w:rFonts w:ascii="Verdana" w:hAnsi="Verdana" w:cs="Arial"/>
          <w:sz w:val="20"/>
          <w:szCs w:val="20"/>
        </w:rPr>
        <w:t>0% for the remaining period of the voluntary agreement</w:t>
      </w:r>
      <w:r w:rsidR="00A602F4">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23" w:name="_Toc222226583"/>
      <w:bookmarkStart w:id="24" w:name="_Toc304386232"/>
      <w:bookmarkStart w:id="25" w:name="_Toc304386309"/>
      <w:bookmarkStart w:id="26" w:name="_Toc306011182"/>
    </w:p>
    <w:p w14:paraId="1024B39C" w14:textId="337AF5FF" w:rsidR="00964C44" w:rsidRDefault="00964C44" w:rsidP="00E77802">
      <w:pPr>
        <w:ind w:left="-142" w:right="-425"/>
        <w:jc w:val="both"/>
      </w:pPr>
    </w:p>
    <w:p w14:paraId="2897949E" w14:textId="40B4DE79" w:rsidR="006E364C" w:rsidRDefault="006E364C" w:rsidP="00E77802">
      <w:pPr>
        <w:ind w:left="-142" w:right="-425"/>
        <w:jc w:val="both"/>
      </w:pPr>
    </w:p>
    <w:p w14:paraId="75C79B80" w14:textId="05A56BA6" w:rsidR="00AD7A1B" w:rsidRDefault="00AD7A1B" w:rsidP="00E77802">
      <w:pPr>
        <w:ind w:left="-142" w:right="-425"/>
        <w:jc w:val="both"/>
      </w:pPr>
    </w:p>
    <w:p w14:paraId="361F7361" w14:textId="6F9A334A" w:rsidR="00AD7A1B" w:rsidRDefault="00AD7A1B" w:rsidP="00E77802">
      <w:pPr>
        <w:ind w:left="-142" w:right="-425"/>
        <w:jc w:val="both"/>
      </w:pPr>
    </w:p>
    <w:p w14:paraId="09AEA309" w14:textId="0BB13B35" w:rsidR="00AD7A1B" w:rsidRDefault="00AD7A1B" w:rsidP="00E77802">
      <w:pPr>
        <w:ind w:left="-142" w:right="-425"/>
        <w:jc w:val="both"/>
      </w:pPr>
    </w:p>
    <w:p w14:paraId="293916CE" w14:textId="0E2C994E" w:rsidR="00AD7A1B" w:rsidRDefault="00AD7A1B" w:rsidP="00E77802">
      <w:pPr>
        <w:ind w:left="-142" w:right="-425"/>
        <w:jc w:val="both"/>
      </w:pPr>
    </w:p>
    <w:p w14:paraId="60020F37" w14:textId="4A0E8E91" w:rsidR="00AD7A1B" w:rsidRDefault="00AD7A1B" w:rsidP="00E77802">
      <w:pPr>
        <w:ind w:left="-142" w:right="-425"/>
        <w:jc w:val="both"/>
      </w:pPr>
    </w:p>
    <w:p w14:paraId="2B80257F" w14:textId="6E2B444A" w:rsidR="00AD7A1B" w:rsidRDefault="00AD7A1B" w:rsidP="00E77802">
      <w:pPr>
        <w:ind w:left="-142" w:right="-425"/>
        <w:jc w:val="both"/>
      </w:pPr>
    </w:p>
    <w:p w14:paraId="0CE7ABD8" w14:textId="2EB832BF" w:rsidR="00AD7A1B" w:rsidRDefault="00AD7A1B" w:rsidP="00E77802">
      <w:pPr>
        <w:ind w:left="-142" w:right="-425"/>
        <w:jc w:val="both"/>
      </w:pPr>
    </w:p>
    <w:p w14:paraId="6B7F827B" w14:textId="15BD9243" w:rsidR="00AD7A1B" w:rsidRDefault="00AD7A1B" w:rsidP="00E77802">
      <w:pPr>
        <w:ind w:left="-142" w:right="-425"/>
        <w:jc w:val="both"/>
      </w:pPr>
    </w:p>
    <w:p w14:paraId="24A0C545" w14:textId="46BCB2FF" w:rsidR="00AD7A1B" w:rsidRDefault="00AD7A1B" w:rsidP="00E77802">
      <w:pPr>
        <w:ind w:left="-142" w:right="-425"/>
        <w:jc w:val="both"/>
      </w:pPr>
    </w:p>
    <w:p w14:paraId="502BACB0" w14:textId="368CC3CA" w:rsidR="00AD7A1B" w:rsidRDefault="00AD7A1B" w:rsidP="00E77802">
      <w:pPr>
        <w:ind w:left="-142" w:right="-425"/>
        <w:jc w:val="both"/>
      </w:pPr>
    </w:p>
    <w:p w14:paraId="513FECC8" w14:textId="1C6B8AAD" w:rsidR="00AD7A1B" w:rsidRDefault="00AD7A1B" w:rsidP="00E77802">
      <w:pPr>
        <w:ind w:left="-142" w:right="-425"/>
        <w:jc w:val="both"/>
      </w:pPr>
    </w:p>
    <w:p w14:paraId="64B3D667" w14:textId="6235192A" w:rsidR="00AD7A1B" w:rsidRDefault="00AD7A1B" w:rsidP="00E77802">
      <w:pPr>
        <w:ind w:left="-142" w:right="-425"/>
        <w:jc w:val="both"/>
      </w:pPr>
    </w:p>
    <w:p w14:paraId="2A1341BE" w14:textId="3FCDD590" w:rsidR="00AD7A1B" w:rsidRDefault="00AD7A1B" w:rsidP="00E77802">
      <w:pPr>
        <w:ind w:left="-142" w:right="-425"/>
        <w:jc w:val="both"/>
      </w:pPr>
    </w:p>
    <w:p w14:paraId="5686D059" w14:textId="0CF3DAC6" w:rsidR="00AD7A1B" w:rsidRDefault="00AD7A1B" w:rsidP="00E77802">
      <w:pPr>
        <w:ind w:left="-142" w:right="-425"/>
        <w:jc w:val="both"/>
      </w:pPr>
    </w:p>
    <w:p w14:paraId="021C9BC0" w14:textId="77777777" w:rsidR="00AD7A1B" w:rsidRDefault="00AD7A1B" w:rsidP="00E77802">
      <w:pPr>
        <w:ind w:left="-142" w:right="-425"/>
        <w:jc w:val="both"/>
      </w:pPr>
    </w:p>
    <w:p w14:paraId="0CA7602F" w14:textId="7A2062CA" w:rsidR="0013112F" w:rsidRDefault="0013112F" w:rsidP="00CB1032">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1C2AA15C" w:rsidR="0013112F" w:rsidRDefault="0013112F" w:rsidP="0013112F">
      <w:pPr>
        <w:ind w:left="-142"/>
        <w:jc w:val="both"/>
      </w:pPr>
      <w:r w:rsidRPr="006C6A65">
        <w:rPr>
          <w:b/>
          <w:sz w:val="16"/>
          <w:szCs w:val="16"/>
        </w:rPr>
        <w:t xml:space="preserve">Table </w:t>
      </w:r>
      <w:r w:rsidR="006E364C">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7B7E78">
        <w:rPr>
          <w:sz w:val="16"/>
          <w:szCs w:val="16"/>
        </w:rPr>
        <w:t>1 October</w:t>
      </w:r>
      <w:r w:rsidR="00415BC8">
        <w:rPr>
          <w:sz w:val="16"/>
          <w:szCs w:val="16"/>
        </w:rPr>
        <w:t xml:space="preserve"> 2022</w:t>
      </w:r>
      <w:r w:rsidR="00FC7F2E">
        <w:rPr>
          <w:sz w:val="16"/>
          <w:szCs w:val="16"/>
        </w:rPr>
        <w:t xml:space="preserve"> to </w:t>
      </w:r>
      <w:r w:rsidR="007B7E78">
        <w:rPr>
          <w:sz w:val="16"/>
          <w:szCs w:val="16"/>
        </w:rPr>
        <w:t>31 December</w:t>
      </w:r>
      <w:r w:rsidR="00FE56E9">
        <w:rPr>
          <w:sz w:val="16"/>
          <w:szCs w:val="16"/>
        </w:rPr>
        <w:t xml:space="preserve"> </w:t>
      </w:r>
      <w:r w:rsidR="001A5C4C">
        <w:rPr>
          <w:sz w:val="16"/>
          <w:szCs w:val="16"/>
        </w:rPr>
        <w:t>2022</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8B165B" w14:paraId="0C5B3812" w14:textId="77777777" w:rsidTr="00925DD5">
        <w:tc>
          <w:tcPr>
            <w:tcW w:w="5127" w:type="dxa"/>
          </w:tcPr>
          <w:p w14:paraId="465196A7" w14:textId="2741AD5F" w:rsidR="008B165B" w:rsidRDefault="008B165B" w:rsidP="008B165B">
            <w:pPr>
              <w:spacing w:line="240" w:lineRule="auto"/>
            </w:pPr>
            <w:r>
              <w:t>Clients for whom a notice was received</w:t>
            </w:r>
            <w:r>
              <w:rPr>
                <w:rStyle w:val="FootnoteReference"/>
              </w:rPr>
              <w:footnoteReference w:id="11"/>
            </w:r>
          </w:p>
        </w:tc>
        <w:tc>
          <w:tcPr>
            <w:tcW w:w="1026" w:type="dxa"/>
            <w:vAlign w:val="center"/>
          </w:tcPr>
          <w:p w14:paraId="430D610E" w14:textId="0D80A23E" w:rsidR="008B165B" w:rsidRPr="00EF2D65" w:rsidRDefault="008B165B" w:rsidP="008B165B">
            <w:pPr>
              <w:spacing w:line="240" w:lineRule="auto"/>
              <w:jc w:val="right"/>
            </w:pPr>
            <w:r>
              <w:rPr>
                <w:rFonts w:cs="Arial"/>
              </w:rPr>
              <w:t>41</w:t>
            </w:r>
            <w:r w:rsidR="001E01C2">
              <w:rPr>
                <w:rFonts w:cs="Arial"/>
              </w:rPr>
              <w:t>2</w:t>
            </w:r>
          </w:p>
        </w:tc>
        <w:tc>
          <w:tcPr>
            <w:tcW w:w="875" w:type="dxa"/>
            <w:vAlign w:val="center"/>
          </w:tcPr>
          <w:p w14:paraId="73512E80" w14:textId="565904C0" w:rsidR="008B165B" w:rsidRPr="00EF2D65" w:rsidRDefault="001E01C2" w:rsidP="008B165B">
            <w:pPr>
              <w:spacing w:line="240" w:lineRule="auto"/>
              <w:jc w:val="right"/>
            </w:pPr>
            <w:r>
              <w:rPr>
                <w:rFonts w:cs="Arial"/>
              </w:rPr>
              <w:t>26</w:t>
            </w:r>
            <w:r w:rsidR="00D554DB">
              <w:rPr>
                <w:rFonts w:cs="Arial"/>
              </w:rPr>
              <w:t>0</w:t>
            </w:r>
          </w:p>
        </w:tc>
        <w:tc>
          <w:tcPr>
            <w:tcW w:w="463" w:type="dxa"/>
            <w:vAlign w:val="center"/>
          </w:tcPr>
          <w:p w14:paraId="0C71CB3B" w14:textId="5D13F183" w:rsidR="008B165B" w:rsidRPr="00EF2D65" w:rsidRDefault="008B165B" w:rsidP="008B165B">
            <w:pPr>
              <w:spacing w:line="240" w:lineRule="auto"/>
              <w:jc w:val="right"/>
            </w:pPr>
            <w:r>
              <w:rPr>
                <w:rFonts w:cs="Arial"/>
              </w:rPr>
              <w:t> </w:t>
            </w:r>
          </w:p>
        </w:tc>
        <w:tc>
          <w:tcPr>
            <w:tcW w:w="1140" w:type="dxa"/>
            <w:vAlign w:val="center"/>
          </w:tcPr>
          <w:p w14:paraId="048E4B1D" w14:textId="61250FFF" w:rsidR="008B165B" w:rsidRPr="00EF2D65" w:rsidRDefault="008B165B" w:rsidP="008B165B">
            <w:pPr>
              <w:spacing w:line="240" w:lineRule="auto"/>
              <w:jc w:val="right"/>
            </w:pPr>
            <w:r>
              <w:rPr>
                <w:rFonts w:cs="Arial"/>
              </w:rPr>
              <w:t>37</w:t>
            </w:r>
          </w:p>
        </w:tc>
        <w:tc>
          <w:tcPr>
            <w:tcW w:w="1140" w:type="dxa"/>
            <w:vAlign w:val="center"/>
          </w:tcPr>
          <w:p w14:paraId="61E43F3F" w14:textId="65E38892" w:rsidR="008B165B" w:rsidRPr="00EF2D65" w:rsidRDefault="008B165B" w:rsidP="008B165B">
            <w:pPr>
              <w:spacing w:line="240" w:lineRule="auto"/>
              <w:jc w:val="right"/>
            </w:pPr>
            <w:r>
              <w:rPr>
                <w:rFonts w:cs="Arial"/>
              </w:rPr>
              <w:t>38</w:t>
            </w:r>
          </w:p>
        </w:tc>
      </w:tr>
      <w:tr w:rsidR="008B165B" w14:paraId="0C43D4D1" w14:textId="77777777" w:rsidTr="00925DD5">
        <w:tc>
          <w:tcPr>
            <w:tcW w:w="5127" w:type="dxa"/>
          </w:tcPr>
          <w:p w14:paraId="2282B866" w14:textId="484D223C" w:rsidR="008B165B" w:rsidRDefault="008B165B" w:rsidP="008B165B">
            <w:pPr>
              <w:spacing w:line="240" w:lineRule="auto"/>
            </w:pPr>
            <w:r>
              <w:t>Clients conferenced</w:t>
            </w:r>
            <w:r>
              <w:rPr>
                <w:rStyle w:val="FootnoteReference"/>
              </w:rPr>
              <w:footnoteReference w:id="12"/>
            </w:r>
          </w:p>
        </w:tc>
        <w:tc>
          <w:tcPr>
            <w:tcW w:w="1026" w:type="dxa"/>
            <w:vAlign w:val="center"/>
          </w:tcPr>
          <w:p w14:paraId="0BE8DAD4" w14:textId="64FB2832" w:rsidR="008B165B" w:rsidRPr="00143912" w:rsidRDefault="008B165B" w:rsidP="008B165B">
            <w:pPr>
              <w:spacing w:line="240" w:lineRule="auto"/>
              <w:jc w:val="right"/>
            </w:pPr>
            <w:r>
              <w:rPr>
                <w:rFonts w:cs="Arial"/>
              </w:rPr>
              <w:t>171</w:t>
            </w:r>
          </w:p>
        </w:tc>
        <w:tc>
          <w:tcPr>
            <w:tcW w:w="875" w:type="dxa"/>
            <w:vAlign w:val="center"/>
          </w:tcPr>
          <w:p w14:paraId="7F1FAC36" w14:textId="1241FA3B" w:rsidR="008B165B" w:rsidRPr="00143912" w:rsidRDefault="008B165B" w:rsidP="008B165B">
            <w:pPr>
              <w:spacing w:line="240" w:lineRule="auto"/>
              <w:jc w:val="right"/>
            </w:pPr>
            <w:r>
              <w:rPr>
                <w:rFonts w:cs="Arial"/>
              </w:rPr>
              <w:t>95</w:t>
            </w:r>
          </w:p>
        </w:tc>
        <w:tc>
          <w:tcPr>
            <w:tcW w:w="463" w:type="dxa"/>
            <w:vAlign w:val="center"/>
          </w:tcPr>
          <w:p w14:paraId="7D1E9278" w14:textId="08296AC6" w:rsidR="008B165B" w:rsidRPr="00EF2D65" w:rsidRDefault="008B165B" w:rsidP="008B165B">
            <w:pPr>
              <w:spacing w:line="240" w:lineRule="auto"/>
              <w:jc w:val="right"/>
            </w:pPr>
            <w:r>
              <w:rPr>
                <w:rFonts w:cs="Arial"/>
              </w:rPr>
              <w:t> </w:t>
            </w:r>
          </w:p>
        </w:tc>
        <w:tc>
          <w:tcPr>
            <w:tcW w:w="1140" w:type="dxa"/>
            <w:vAlign w:val="center"/>
          </w:tcPr>
          <w:p w14:paraId="18E5F35E" w14:textId="37F1F064" w:rsidR="008B165B" w:rsidRPr="00143912" w:rsidRDefault="008B165B" w:rsidP="008B165B">
            <w:pPr>
              <w:spacing w:line="240" w:lineRule="auto"/>
              <w:jc w:val="right"/>
            </w:pPr>
            <w:r>
              <w:rPr>
                <w:rFonts w:cs="Arial"/>
              </w:rPr>
              <w:t>36</w:t>
            </w:r>
          </w:p>
        </w:tc>
        <w:tc>
          <w:tcPr>
            <w:tcW w:w="1140" w:type="dxa"/>
            <w:vAlign w:val="center"/>
          </w:tcPr>
          <w:p w14:paraId="48B614AC" w14:textId="57A00A96" w:rsidR="008B165B" w:rsidRPr="00143912" w:rsidRDefault="008B165B" w:rsidP="008B165B">
            <w:pPr>
              <w:spacing w:line="240" w:lineRule="auto"/>
              <w:jc w:val="right"/>
            </w:pPr>
            <w:r>
              <w:rPr>
                <w:rFonts w:cs="Arial"/>
              </w:rPr>
              <w:t>37</w:t>
            </w:r>
          </w:p>
        </w:tc>
      </w:tr>
      <w:tr w:rsidR="008B165B" w14:paraId="4205C91F" w14:textId="77777777" w:rsidTr="00925DD5">
        <w:tc>
          <w:tcPr>
            <w:tcW w:w="5127" w:type="dxa"/>
          </w:tcPr>
          <w:p w14:paraId="2820947A" w14:textId="0B2D1E31" w:rsidR="008B165B" w:rsidRDefault="008B165B" w:rsidP="008B165B">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31C309AA" w:rsidR="008B165B" w:rsidRPr="00143912" w:rsidRDefault="008B165B" w:rsidP="008B165B">
            <w:pPr>
              <w:spacing w:line="240" w:lineRule="auto"/>
              <w:jc w:val="right"/>
            </w:pPr>
            <w:r>
              <w:rPr>
                <w:rFonts w:cs="Arial"/>
              </w:rPr>
              <w:t>84</w:t>
            </w:r>
          </w:p>
        </w:tc>
        <w:tc>
          <w:tcPr>
            <w:tcW w:w="875" w:type="dxa"/>
            <w:vAlign w:val="center"/>
          </w:tcPr>
          <w:p w14:paraId="09F9C19D" w14:textId="22568B30" w:rsidR="008B165B" w:rsidRPr="00143912" w:rsidRDefault="008B165B" w:rsidP="008B165B">
            <w:pPr>
              <w:spacing w:line="240" w:lineRule="auto"/>
              <w:jc w:val="right"/>
            </w:pPr>
            <w:r>
              <w:rPr>
                <w:rFonts w:cs="Arial"/>
              </w:rPr>
              <w:t>47</w:t>
            </w:r>
          </w:p>
        </w:tc>
        <w:tc>
          <w:tcPr>
            <w:tcW w:w="463" w:type="dxa"/>
            <w:vAlign w:val="center"/>
          </w:tcPr>
          <w:p w14:paraId="4D854BAC" w14:textId="6D266E67" w:rsidR="008B165B" w:rsidRPr="00EF2D65" w:rsidRDefault="008B165B" w:rsidP="008B165B">
            <w:pPr>
              <w:spacing w:line="240" w:lineRule="auto"/>
              <w:jc w:val="right"/>
            </w:pPr>
            <w:r>
              <w:rPr>
                <w:rFonts w:cs="Arial"/>
              </w:rPr>
              <w:t> </w:t>
            </w:r>
          </w:p>
        </w:tc>
        <w:tc>
          <w:tcPr>
            <w:tcW w:w="1140" w:type="dxa"/>
            <w:vAlign w:val="center"/>
          </w:tcPr>
          <w:p w14:paraId="0DB4E2B3" w14:textId="76664792" w:rsidR="008B165B" w:rsidRPr="00143912" w:rsidRDefault="008B165B" w:rsidP="008B165B">
            <w:pPr>
              <w:spacing w:line="240" w:lineRule="auto"/>
              <w:jc w:val="right"/>
            </w:pPr>
            <w:r>
              <w:rPr>
                <w:rFonts w:cs="Arial"/>
              </w:rPr>
              <w:t>36</w:t>
            </w:r>
          </w:p>
        </w:tc>
        <w:tc>
          <w:tcPr>
            <w:tcW w:w="1140" w:type="dxa"/>
            <w:vAlign w:val="center"/>
          </w:tcPr>
          <w:p w14:paraId="6F699F00" w14:textId="4CD4AA71" w:rsidR="008B165B" w:rsidRPr="00143912" w:rsidRDefault="008B165B" w:rsidP="008B165B">
            <w:pPr>
              <w:spacing w:line="240" w:lineRule="auto"/>
              <w:jc w:val="right"/>
            </w:pPr>
            <w:r>
              <w:rPr>
                <w:rFonts w:cs="Arial"/>
              </w:rPr>
              <w:t>37</w:t>
            </w:r>
          </w:p>
        </w:tc>
      </w:tr>
      <w:tr w:rsidR="008B165B" w14:paraId="70BB454E" w14:textId="77777777" w:rsidTr="00A242DD">
        <w:tc>
          <w:tcPr>
            <w:tcW w:w="5127" w:type="dxa"/>
          </w:tcPr>
          <w:p w14:paraId="5B5E85C7" w14:textId="7C85BD17" w:rsidR="008B165B" w:rsidRPr="00C6538C" w:rsidRDefault="008B165B" w:rsidP="008B165B">
            <w:pPr>
              <w:spacing w:line="240" w:lineRule="auto"/>
            </w:pPr>
            <w:r w:rsidRPr="00423006">
              <w:t>Clients placed on CIM</w:t>
            </w:r>
            <w:r w:rsidRPr="00C6538C">
              <w:rPr>
                <w:rStyle w:val="FootnoteReference"/>
              </w:rPr>
              <w:footnoteReference w:id="14"/>
            </w:r>
          </w:p>
        </w:tc>
        <w:tc>
          <w:tcPr>
            <w:tcW w:w="1026" w:type="dxa"/>
            <w:vAlign w:val="center"/>
          </w:tcPr>
          <w:p w14:paraId="543F073F" w14:textId="159B9B60" w:rsidR="008B165B" w:rsidRPr="00143912" w:rsidRDefault="008B165B" w:rsidP="008B165B">
            <w:pPr>
              <w:spacing w:line="240" w:lineRule="auto"/>
              <w:jc w:val="right"/>
              <w:rPr>
                <w:rFonts w:cs="Arial"/>
              </w:rPr>
            </w:pPr>
            <w:r>
              <w:rPr>
                <w:rFonts w:cs="Arial"/>
              </w:rPr>
              <w:t>16</w:t>
            </w:r>
          </w:p>
        </w:tc>
        <w:tc>
          <w:tcPr>
            <w:tcW w:w="875" w:type="dxa"/>
            <w:vAlign w:val="center"/>
          </w:tcPr>
          <w:p w14:paraId="1105ED08" w14:textId="0DA4820D" w:rsidR="008B165B" w:rsidRPr="00143912" w:rsidRDefault="008B165B" w:rsidP="008B165B">
            <w:pPr>
              <w:spacing w:line="240" w:lineRule="auto"/>
              <w:jc w:val="right"/>
              <w:rPr>
                <w:rFonts w:cs="Arial"/>
              </w:rPr>
            </w:pPr>
            <w:r>
              <w:rPr>
                <w:rFonts w:cs="Arial"/>
              </w:rPr>
              <w:t>5</w:t>
            </w:r>
          </w:p>
        </w:tc>
        <w:tc>
          <w:tcPr>
            <w:tcW w:w="463" w:type="dxa"/>
            <w:vAlign w:val="center"/>
          </w:tcPr>
          <w:p w14:paraId="2B630A06" w14:textId="7B1DEDD5" w:rsidR="008B165B" w:rsidRPr="00EF2D65" w:rsidRDefault="008B165B" w:rsidP="008B165B">
            <w:pPr>
              <w:spacing w:line="240" w:lineRule="auto"/>
              <w:jc w:val="right"/>
              <w:rPr>
                <w:rFonts w:cs="Arial"/>
              </w:rPr>
            </w:pPr>
            <w:r>
              <w:rPr>
                <w:rFonts w:cs="Arial"/>
              </w:rPr>
              <w:t> </w:t>
            </w:r>
          </w:p>
        </w:tc>
        <w:tc>
          <w:tcPr>
            <w:tcW w:w="1140" w:type="dxa"/>
            <w:vAlign w:val="center"/>
          </w:tcPr>
          <w:p w14:paraId="118451EA" w14:textId="4639FEA9" w:rsidR="008B165B" w:rsidRPr="00143912" w:rsidRDefault="008B165B" w:rsidP="008B165B">
            <w:pPr>
              <w:spacing w:line="240" w:lineRule="auto"/>
              <w:jc w:val="right"/>
              <w:rPr>
                <w:rFonts w:cs="Arial"/>
              </w:rPr>
            </w:pPr>
            <w:r>
              <w:rPr>
                <w:rFonts w:cs="Arial"/>
              </w:rPr>
              <w:t>33</w:t>
            </w:r>
          </w:p>
        </w:tc>
        <w:tc>
          <w:tcPr>
            <w:tcW w:w="1140" w:type="dxa"/>
            <w:vAlign w:val="center"/>
          </w:tcPr>
          <w:p w14:paraId="1C47274C" w14:textId="39EB8405" w:rsidR="008B165B" w:rsidRPr="00143912" w:rsidRDefault="008B165B" w:rsidP="008B165B">
            <w:pPr>
              <w:spacing w:line="240" w:lineRule="auto"/>
              <w:jc w:val="right"/>
              <w:rPr>
                <w:rFonts w:cs="Arial"/>
              </w:rPr>
            </w:pPr>
            <w:r>
              <w:rPr>
                <w:rFonts w:cs="Arial"/>
              </w:rPr>
              <w:t>39</w:t>
            </w:r>
          </w:p>
        </w:tc>
      </w:tr>
      <w:tr w:rsidR="008B165B" w14:paraId="5BC6E4C0" w14:textId="77777777" w:rsidTr="00DB33CA">
        <w:tc>
          <w:tcPr>
            <w:tcW w:w="5127" w:type="dxa"/>
          </w:tcPr>
          <w:p w14:paraId="1F3A9B4D" w14:textId="68F637B4" w:rsidR="008B165B" w:rsidRDefault="008B165B" w:rsidP="008B165B">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1B347981" w:rsidR="008B165B" w:rsidRPr="00143912" w:rsidRDefault="008B165B" w:rsidP="008B165B">
            <w:pPr>
              <w:spacing w:line="240" w:lineRule="auto"/>
              <w:jc w:val="right"/>
            </w:pPr>
            <w:r>
              <w:rPr>
                <w:rFonts w:cs="Arial"/>
              </w:rPr>
              <w:t>6</w:t>
            </w:r>
          </w:p>
        </w:tc>
        <w:tc>
          <w:tcPr>
            <w:tcW w:w="875" w:type="dxa"/>
            <w:vAlign w:val="center"/>
          </w:tcPr>
          <w:p w14:paraId="7B755D8C" w14:textId="4725FA7E" w:rsidR="008B165B" w:rsidRPr="00143912" w:rsidRDefault="008B165B" w:rsidP="008B165B">
            <w:pPr>
              <w:spacing w:line="240" w:lineRule="auto"/>
              <w:jc w:val="right"/>
            </w:pPr>
            <w:r>
              <w:rPr>
                <w:rFonts w:cs="Arial"/>
              </w:rPr>
              <w:t>2</w:t>
            </w:r>
          </w:p>
        </w:tc>
        <w:tc>
          <w:tcPr>
            <w:tcW w:w="463" w:type="dxa"/>
            <w:vAlign w:val="center"/>
          </w:tcPr>
          <w:p w14:paraId="6092C81B" w14:textId="17078932" w:rsidR="008B165B" w:rsidRPr="00EF2D65" w:rsidRDefault="008B165B" w:rsidP="008B165B">
            <w:pPr>
              <w:spacing w:line="240" w:lineRule="auto"/>
              <w:jc w:val="right"/>
            </w:pPr>
            <w:r>
              <w:rPr>
                <w:rFonts w:cs="Arial"/>
              </w:rPr>
              <w:t> </w:t>
            </w:r>
          </w:p>
        </w:tc>
        <w:tc>
          <w:tcPr>
            <w:tcW w:w="1140" w:type="dxa"/>
            <w:vAlign w:val="center"/>
          </w:tcPr>
          <w:p w14:paraId="7A13A493" w14:textId="1726F957" w:rsidR="008B165B" w:rsidRPr="00143912" w:rsidRDefault="008B165B" w:rsidP="008B165B">
            <w:pPr>
              <w:spacing w:line="240" w:lineRule="auto"/>
              <w:jc w:val="right"/>
            </w:pPr>
            <w:r>
              <w:rPr>
                <w:rFonts w:cs="Arial"/>
              </w:rPr>
              <w:t>41</w:t>
            </w:r>
          </w:p>
        </w:tc>
        <w:tc>
          <w:tcPr>
            <w:tcW w:w="1140" w:type="dxa"/>
            <w:vAlign w:val="center"/>
          </w:tcPr>
          <w:p w14:paraId="5E9D8367" w14:textId="4D383E98" w:rsidR="008B165B" w:rsidRPr="00143912" w:rsidRDefault="008B165B" w:rsidP="008B165B">
            <w:pPr>
              <w:spacing w:line="240" w:lineRule="auto"/>
              <w:jc w:val="right"/>
            </w:pPr>
            <w:r>
              <w:rPr>
                <w:rFonts w:cs="Arial"/>
              </w:rPr>
              <w:t>38</w:t>
            </w:r>
          </w:p>
        </w:tc>
      </w:tr>
      <w:tr w:rsidR="008B165B" w14:paraId="323DBB29" w14:textId="77777777" w:rsidTr="00DB33CA">
        <w:tc>
          <w:tcPr>
            <w:tcW w:w="5127" w:type="dxa"/>
          </w:tcPr>
          <w:p w14:paraId="2B63FDBC" w14:textId="0B2D08D4" w:rsidR="008B165B" w:rsidRDefault="008B165B" w:rsidP="008B165B">
            <w:pPr>
              <w:spacing w:line="240" w:lineRule="auto"/>
            </w:pPr>
            <w:r w:rsidRPr="00EB1F9E">
              <w:t>Clients who chose to participate in VIM</w:t>
            </w:r>
            <w:r>
              <w:rPr>
                <w:rStyle w:val="FootnoteReference"/>
              </w:rPr>
              <w:footnoteReference w:id="16"/>
            </w:r>
          </w:p>
        </w:tc>
        <w:tc>
          <w:tcPr>
            <w:tcW w:w="1026" w:type="dxa"/>
            <w:vAlign w:val="center"/>
          </w:tcPr>
          <w:p w14:paraId="3609E59F" w14:textId="01C62BB5" w:rsidR="008B165B" w:rsidRPr="00143912" w:rsidRDefault="008B165B" w:rsidP="008B165B">
            <w:pPr>
              <w:spacing w:line="240" w:lineRule="auto"/>
              <w:jc w:val="right"/>
              <w:rPr>
                <w:rFonts w:cs="Arial"/>
              </w:rPr>
            </w:pPr>
            <w:r>
              <w:rPr>
                <w:rFonts w:cs="Arial"/>
              </w:rPr>
              <w:t>26</w:t>
            </w:r>
          </w:p>
        </w:tc>
        <w:tc>
          <w:tcPr>
            <w:tcW w:w="875" w:type="dxa"/>
            <w:vAlign w:val="center"/>
          </w:tcPr>
          <w:p w14:paraId="34BAD3D0" w14:textId="2A87741B" w:rsidR="008B165B" w:rsidRPr="00143912" w:rsidRDefault="008B165B" w:rsidP="008B165B">
            <w:pPr>
              <w:spacing w:line="240" w:lineRule="auto"/>
              <w:jc w:val="right"/>
              <w:rPr>
                <w:rFonts w:cs="Arial"/>
              </w:rPr>
            </w:pPr>
            <w:r>
              <w:rPr>
                <w:rFonts w:cs="Arial"/>
              </w:rPr>
              <w:t>9</w:t>
            </w:r>
          </w:p>
        </w:tc>
        <w:tc>
          <w:tcPr>
            <w:tcW w:w="463" w:type="dxa"/>
            <w:vAlign w:val="center"/>
          </w:tcPr>
          <w:p w14:paraId="7E5C9E3D" w14:textId="297DEFE0" w:rsidR="008B165B" w:rsidRPr="00EF2D65" w:rsidRDefault="008B165B" w:rsidP="008B165B">
            <w:pPr>
              <w:spacing w:line="240" w:lineRule="auto"/>
              <w:jc w:val="right"/>
            </w:pPr>
            <w:r>
              <w:rPr>
                <w:rFonts w:cs="Arial"/>
              </w:rPr>
              <w:t> </w:t>
            </w:r>
          </w:p>
        </w:tc>
        <w:tc>
          <w:tcPr>
            <w:tcW w:w="1140" w:type="dxa"/>
            <w:vAlign w:val="center"/>
          </w:tcPr>
          <w:p w14:paraId="422F7588" w14:textId="5F683A77" w:rsidR="008B165B" w:rsidRPr="00143912" w:rsidRDefault="008B165B" w:rsidP="008B165B">
            <w:pPr>
              <w:spacing w:line="240" w:lineRule="auto"/>
              <w:jc w:val="right"/>
              <w:rPr>
                <w:rFonts w:cs="Arial"/>
              </w:rPr>
            </w:pPr>
            <w:r>
              <w:rPr>
                <w:rFonts w:cs="Arial"/>
              </w:rPr>
              <w:t>39</w:t>
            </w:r>
          </w:p>
        </w:tc>
        <w:tc>
          <w:tcPr>
            <w:tcW w:w="1140" w:type="dxa"/>
            <w:vAlign w:val="center"/>
          </w:tcPr>
          <w:p w14:paraId="31BCC77C" w14:textId="3C97DC1E" w:rsidR="008B165B" w:rsidRPr="00143912" w:rsidRDefault="008B165B" w:rsidP="008B165B">
            <w:pPr>
              <w:spacing w:line="240" w:lineRule="auto"/>
              <w:jc w:val="right"/>
              <w:rPr>
                <w:rFonts w:cs="Arial"/>
              </w:rPr>
            </w:pPr>
            <w:r>
              <w:rPr>
                <w:rFonts w:cs="Arial"/>
              </w:rPr>
              <w:t>49</w:t>
            </w:r>
          </w:p>
        </w:tc>
      </w:tr>
      <w:tr w:rsidR="008B165B" w14:paraId="444AB815" w14:textId="77777777" w:rsidTr="00DB33CA">
        <w:tc>
          <w:tcPr>
            <w:tcW w:w="5127" w:type="dxa"/>
          </w:tcPr>
          <w:p w14:paraId="018D049C" w14:textId="2D915E58" w:rsidR="008B165B" w:rsidRPr="00423006" w:rsidRDefault="008B165B" w:rsidP="008B165B">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28E45287" w:rsidR="008B165B" w:rsidRPr="00143912" w:rsidRDefault="008B165B" w:rsidP="008B165B">
            <w:pPr>
              <w:spacing w:line="240" w:lineRule="auto"/>
              <w:jc w:val="right"/>
              <w:rPr>
                <w:rFonts w:cs="Arial"/>
              </w:rPr>
            </w:pPr>
            <w:r>
              <w:rPr>
                <w:rFonts w:cs="Arial"/>
              </w:rPr>
              <w:t>5</w:t>
            </w:r>
          </w:p>
        </w:tc>
        <w:tc>
          <w:tcPr>
            <w:tcW w:w="875" w:type="dxa"/>
            <w:vAlign w:val="center"/>
          </w:tcPr>
          <w:p w14:paraId="215C10C8" w14:textId="5A3EC089" w:rsidR="008B165B" w:rsidRPr="00143912" w:rsidRDefault="008B165B" w:rsidP="008B165B">
            <w:pPr>
              <w:spacing w:line="240" w:lineRule="auto"/>
              <w:jc w:val="right"/>
              <w:rPr>
                <w:rFonts w:cs="Arial"/>
              </w:rPr>
            </w:pPr>
            <w:r>
              <w:rPr>
                <w:rFonts w:cs="Arial"/>
              </w:rPr>
              <w:t>1</w:t>
            </w:r>
          </w:p>
        </w:tc>
        <w:tc>
          <w:tcPr>
            <w:tcW w:w="463" w:type="dxa"/>
            <w:vAlign w:val="center"/>
          </w:tcPr>
          <w:p w14:paraId="63FC96B1" w14:textId="346D2A27" w:rsidR="008B165B" w:rsidRPr="00EF2D65" w:rsidRDefault="008B165B" w:rsidP="008B165B">
            <w:pPr>
              <w:spacing w:line="240" w:lineRule="auto"/>
              <w:jc w:val="right"/>
            </w:pPr>
            <w:r>
              <w:rPr>
                <w:rFonts w:cs="Arial"/>
              </w:rPr>
              <w:t> </w:t>
            </w:r>
          </w:p>
        </w:tc>
        <w:tc>
          <w:tcPr>
            <w:tcW w:w="1140" w:type="dxa"/>
            <w:vAlign w:val="center"/>
          </w:tcPr>
          <w:p w14:paraId="6C2DF82D" w14:textId="5AF6E099" w:rsidR="008B165B" w:rsidRPr="00143912" w:rsidRDefault="008B165B" w:rsidP="008B165B">
            <w:pPr>
              <w:spacing w:line="240" w:lineRule="auto"/>
              <w:jc w:val="right"/>
              <w:rPr>
                <w:rFonts w:cs="Arial"/>
              </w:rPr>
            </w:pPr>
            <w:r>
              <w:rPr>
                <w:rFonts w:cs="Arial"/>
              </w:rPr>
              <w:t>55</w:t>
            </w:r>
          </w:p>
        </w:tc>
        <w:tc>
          <w:tcPr>
            <w:tcW w:w="1140" w:type="dxa"/>
            <w:vAlign w:val="center"/>
          </w:tcPr>
          <w:p w14:paraId="3A96BFD9" w14:textId="4C1343E5" w:rsidR="008B165B" w:rsidRPr="00143912" w:rsidRDefault="008B165B" w:rsidP="008B165B">
            <w:pPr>
              <w:spacing w:line="240" w:lineRule="auto"/>
              <w:jc w:val="right"/>
              <w:rPr>
                <w:rFonts w:cs="Arial"/>
              </w:rPr>
            </w:pPr>
            <w:r>
              <w:rPr>
                <w:rFonts w:cs="Arial"/>
              </w:rPr>
              <w:t>60</w:t>
            </w:r>
          </w:p>
        </w:tc>
      </w:tr>
    </w:tbl>
    <w:p w14:paraId="0E8FF706" w14:textId="78D57602" w:rsidR="003C5234" w:rsidRPr="00C029A0" w:rsidRDefault="003C5234" w:rsidP="00C029A0">
      <w:pPr>
        <w:spacing w:line="240" w:lineRule="auto"/>
        <w:ind w:left="-142" w:right="-425"/>
        <w:jc w:val="both"/>
      </w:pPr>
    </w:p>
    <w:p w14:paraId="492EAC44" w14:textId="77777777" w:rsidR="005856AE" w:rsidRDefault="005856AE">
      <w:pPr>
        <w:spacing w:line="240" w:lineRule="auto"/>
        <w:rPr>
          <w:rFonts w:cs="Arial"/>
          <w:b/>
          <w:bCs/>
          <w:spacing w:val="-4"/>
          <w:kern w:val="28"/>
          <w:sz w:val="22"/>
          <w:szCs w:val="22"/>
        </w:rPr>
      </w:pPr>
      <w:r>
        <w:br w:type="page"/>
      </w:r>
    </w:p>
    <w:p w14:paraId="0EE0119D" w14:textId="1686B732" w:rsidR="00F500CF" w:rsidRPr="00F500CF" w:rsidRDefault="00F500CF" w:rsidP="00CB1032">
      <w:pPr>
        <w:pStyle w:val="Heading2"/>
      </w:pPr>
      <w:r w:rsidRPr="00F500CF">
        <w:lastRenderedPageBreak/>
        <w:t>Estimated resident populations:</w:t>
      </w:r>
    </w:p>
    <w:p w14:paraId="45106CC2" w14:textId="77777777" w:rsidR="00F500CF" w:rsidRDefault="00F500CF" w:rsidP="00EC14C1">
      <w:pPr>
        <w:spacing w:line="240" w:lineRule="auto"/>
        <w:ind w:left="-142" w:right="-425"/>
        <w:jc w:val="both"/>
      </w:pPr>
    </w:p>
    <w:p w14:paraId="22291536" w14:textId="2596C64E"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786</w:t>
      </w:r>
      <w:r w:rsidR="00587B7C" w:rsidRPr="008E7494">
        <w:t xml:space="preserve"> </w:t>
      </w:r>
      <w:r w:rsidR="00F500CF" w:rsidRPr="008E7494">
        <w:t xml:space="preserve">people as at 30 June </w:t>
      </w:r>
      <w:bookmarkStart w:id="27" w:name="_Ref362343764"/>
      <w:bookmarkStart w:id="28" w:name="_Ref459716764"/>
      <w:r w:rsidR="00F500CF" w:rsidRPr="008E7494">
        <w:t>20</w:t>
      </w:r>
      <w:r w:rsidR="00C673E7">
        <w:t>2</w:t>
      </w:r>
      <w:r w:rsidR="00587B7C">
        <w:t>1</w:t>
      </w:r>
      <w:bookmarkStart w:id="29" w:name="_Ref64367928"/>
      <w:r w:rsidR="00F500CF" w:rsidRPr="00F500CF">
        <w:rPr>
          <w:vertAlign w:val="superscript"/>
        </w:rPr>
        <w:footnoteReference w:id="18"/>
      </w:r>
      <w:bookmarkEnd w:id="27"/>
      <w:bookmarkEnd w:id="28"/>
      <w:bookmarkEnd w:id="29"/>
      <w:r w:rsidR="00F500CF" w:rsidRPr="00F500CF">
        <w:rPr>
          <w:vertAlign w:val="superscript"/>
        </w:rPr>
        <w:t>,</w:t>
      </w:r>
      <w:bookmarkStart w:id="30" w:name="_Ref459716829"/>
      <w:r w:rsidR="00F500CF" w:rsidRPr="00F500CF">
        <w:rPr>
          <w:vertAlign w:val="superscript"/>
        </w:rPr>
        <w:footnoteReference w:id="19"/>
      </w:r>
      <w:bookmarkEnd w:id="30"/>
      <w:r w:rsidR="00F500CF" w:rsidRPr="008E7494">
        <w:t>.</w:t>
      </w:r>
    </w:p>
    <w:p w14:paraId="1D1F7E14" w14:textId="77777777" w:rsidR="00F500CF" w:rsidRDefault="00F500CF" w:rsidP="00EC14C1">
      <w:pPr>
        <w:spacing w:line="240" w:lineRule="auto"/>
        <w:ind w:left="-142" w:right="-425"/>
        <w:jc w:val="both"/>
      </w:pPr>
    </w:p>
    <w:p w14:paraId="5C34875A" w14:textId="7C68B78D"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1" w:name="_Ref459717187"/>
      <w:r w:rsidR="00587B7C">
        <w:t>182</w:t>
      </w:r>
      <w:r w:rsidR="00587B7C" w:rsidRPr="008E7494">
        <w:t xml:space="preserve"> </w:t>
      </w:r>
      <w:r w:rsidR="00F500CF" w:rsidRPr="008E7494">
        <w:t>people as at 30 June 20</w:t>
      </w:r>
      <w:r w:rsidR="00C673E7">
        <w:t>2</w:t>
      </w:r>
      <w:r w:rsidR="00587B7C">
        <w:t>1</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505D16">
        <w:rPr>
          <w:vertAlign w:val="superscript"/>
        </w:rPr>
        <w:t>17</w:t>
      </w:r>
      <w:r w:rsidR="003D357C">
        <w:rPr>
          <w:vertAlign w:val="superscript"/>
        </w:rPr>
        <w:fldChar w:fldCharType="end"/>
      </w:r>
      <w:r w:rsidR="00F500CF" w:rsidRPr="00F500CF">
        <w:rPr>
          <w:vertAlign w:val="superscript"/>
        </w:rPr>
        <w:t>,</w:t>
      </w:r>
      <w:bookmarkStart w:id="32" w:name="_Ref74754871"/>
      <w:r w:rsidR="00F500CF" w:rsidRPr="00F500CF">
        <w:rPr>
          <w:vertAlign w:val="superscript"/>
        </w:rPr>
        <w:footnoteReference w:id="20"/>
      </w:r>
      <w:bookmarkEnd w:id="31"/>
      <w:bookmarkEnd w:id="32"/>
      <w:r w:rsidR="00F500CF" w:rsidRPr="008E7494">
        <w:t>.</w:t>
      </w:r>
    </w:p>
    <w:p w14:paraId="6639697A" w14:textId="77777777" w:rsidR="00F500CF" w:rsidRDefault="00F500CF" w:rsidP="00EC14C1">
      <w:pPr>
        <w:spacing w:line="240" w:lineRule="auto"/>
        <w:ind w:left="-142" w:right="-425"/>
        <w:jc w:val="both"/>
      </w:pPr>
    </w:p>
    <w:p w14:paraId="439048BC" w14:textId="38F4B4B0"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933</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05D16">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05D16">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2E23B46B"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660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05D16">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05D16">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1CC8CC34"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05D16">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3" w:name="_Toc39657992"/>
      <w:r w:rsidRPr="00E34093">
        <w:lastRenderedPageBreak/>
        <w:t>2.  Future Direction</w:t>
      </w:r>
      <w:bookmarkEnd w:id="23"/>
      <w:bookmarkEnd w:id="24"/>
      <w:bookmarkEnd w:id="25"/>
      <w:bookmarkEnd w:id="26"/>
      <w:r w:rsidRPr="00E34093">
        <w:t xml:space="preserve"> and Challenges</w:t>
      </w:r>
      <w:bookmarkEnd w:id="33"/>
    </w:p>
    <w:p w14:paraId="66A68EAB" w14:textId="5BC344B1" w:rsidR="005A5B78" w:rsidRDefault="005A5B78" w:rsidP="005A5B78">
      <w:pPr>
        <w:ind w:left="-142" w:right="-425"/>
        <w:jc w:val="both"/>
        <w:rPr>
          <w:rFonts w:cs="Arial"/>
          <w:b/>
          <w:sz w:val="16"/>
          <w:szCs w:val="16"/>
        </w:rPr>
      </w:pPr>
    </w:p>
    <w:p w14:paraId="6D2F11E4" w14:textId="41CE3EA1" w:rsidR="00021D30" w:rsidRDefault="00021D30" w:rsidP="005A5B78">
      <w:pPr>
        <w:ind w:left="-142" w:right="-425"/>
        <w:jc w:val="both"/>
        <w:rPr>
          <w:rFonts w:cs="Arial"/>
          <w:b/>
          <w:sz w:val="16"/>
          <w:szCs w:val="16"/>
        </w:rPr>
      </w:pPr>
    </w:p>
    <w:p w14:paraId="56942618" w14:textId="77777777" w:rsidR="00021D30" w:rsidRPr="00021D30" w:rsidRDefault="00021D30" w:rsidP="00021D30">
      <w:pPr>
        <w:ind w:left="-142" w:right="-425"/>
        <w:jc w:val="both"/>
        <w:rPr>
          <w:rFonts w:cs="Arial"/>
          <w:b/>
          <w:bCs/>
          <w:sz w:val="22"/>
          <w:szCs w:val="22"/>
        </w:rPr>
      </w:pPr>
      <w:r w:rsidRPr="00021D30">
        <w:rPr>
          <w:rFonts w:cs="Arial"/>
          <w:b/>
          <w:bCs/>
          <w:sz w:val="22"/>
          <w:szCs w:val="22"/>
        </w:rPr>
        <w:t>New Local Commissioner training week</w:t>
      </w:r>
    </w:p>
    <w:p w14:paraId="2045886C" w14:textId="72CDAEB6" w:rsidR="00886014" w:rsidRDefault="004B087E" w:rsidP="00021D30">
      <w:pPr>
        <w:ind w:left="-142" w:right="-425"/>
        <w:jc w:val="both"/>
        <w:rPr>
          <w:rFonts w:cs="Arial"/>
          <w:bCs/>
        </w:rPr>
      </w:pPr>
      <w:r>
        <w:rPr>
          <w:rFonts w:cs="Arial"/>
          <w:bCs/>
        </w:rPr>
        <w:t>At the FR Board meeting held 4 November 2021, the Commission presented a paper to board members requesting approval to recruit further Local Commissioners in each community. The request was made as the Commission had on frequent occasions experienced difficulty in securing the attendance of three Local Commissioners to meet the requirements of holding s50A conferences. Additionally, the Commission identified the need for greater diversity amongst the pool of Local Commissioners in regard to gender, age, clan affiliation and expertise. T</w:t>
      </w:r>
      <w:bookmarkStart w:id="34" w:name="_Hlk130206819"/>
      <w:r>
        <w:rPr>
          <w:rFonts w:cs="Arial"/>
          <w:bCs/>
        </w:rPr>
        <w:t xml:space="preserve">he FR Board endorsed the recruitment of </w:t>
      </w:r>
      <w:r w:rsidR="00A47BE7">
        <w:rPr>
          <w:rFonts w:cs="Arial"/>
          <w:bCs/>
        </w:rPr>
        <w:t>n</w:t>
      </w:r>
      <w:r>
        <w:rPr>
          <w:rFonts w:cs="Arial"/>
          <w:bCs/>
        </w:rPr>
        <w:t xml:space="preserve">ew Local Commissioners and 12 new Local Commissioners </w:t>
      </w:r>
      <w:r w:rsidR="00886014">
        <w:rPr>
          <w:rFonts w:cs="Arial"/>
          <w:bCs/>
        </w:rPr>
        <w:t xml:space="preserve">for the communities of Aurukun, Doomadgee, Hope Vale and Mossman Gorge </w:t>
      </w:r>
      <w:r>
        <w:rPr>
          <w:rFonts w:cs="Arial"/>
          <w:bCs/>
        </w:rPr>
        <w:t xml:space="preserve">were subsequently appointed </w:t>
      </w:r>
      <w:r w:rsidR="00F61366">
        <w:rPr>
          <w:rFonts w:cs="Arial"/>
          <w:bCs/>
        </w:rPr>
        <w:t xml:space="preserve">by the Governor in Council </w:t>
      </w:r>
      <w:r w:rsidR="00886014">
        <w:rPr>
          <w:rFonts w:cs="Arial"/>
          <w:bCs/>
        </w:rPr>
        <w:t xml:space="preserve">for the period </w:t>
      </w:r>
      <w:r>
        <w:rPr>
          <w:rFonts w:cs="Arial"/>
          <w:bCs/>
        </w:rPr>
        <w:t>5 May 2022</w:t>
      </w:r>
      <w:r w:rsidR="00886014">
        <w:rPr>
          <w:rFonts w:cs="Arial"/>
          <w:bCs/>
        </w:rPr>
        <w:t xml:space="preserve"> to 30 June 2023. The new Local Commissioners </w:t>
      </w:r>
      <w:r w:rsidR="00D65941">
        <w:rPr>
          <w:rFonts w:cs="Arial"/>
          <w:bCs/>
        </w:rPr>
        <w:t>commenced induction and training early in the 2022-23 financial year.</w:t>
      </w:r>
      <w:bookmarkEnd w:id="34"/>
    </w:p>
    <w:p w14:paraId="20D4CF58" w14:textId="1F233192" w:rsidR="00BA3287" w:rsidRDefault="00BA3287" w:rsidP="00021D30">
      <w:pPr>
        <w:ind w:left="-142" w:right="-425"/>
        <w:jc w:val="both"/>
        <w:rPr>
          <w:rFonts w:cs="Arial"/>
          <w:bCs/>
        </w:rPr>
      </w:pPr>
    </w:p>
    <w:p w14:paraId="2A17A002" w14:textId="29A4EB13" w:rsidR="00EF4D8C" w:rsidRDefault="00BA3287" w:rsidP="00021D30">
      <w:pPr>
        <w:ind w:left="-142" w:right="-425"/>
        <w:jc w:val="both"/>
        <w:rPr>
          <w:rFonts w:cs="Arial"/>
          <w:bCs/>
        </w:rPr>
      </w:pPr>
      <w:bookmarkStart w:id="35" w:name="_Hlk130206898"/>
      <w:r>
        <w:rPr>
          <w:rFonts w:cs="Arial"/>
          <w:bCs/>
        </w:rPr>
        <w:t xml:space="preserve">In the interests of providing a more focused and intensive training </w:t>
      </w:r>
      <w:r w:rsidR="00B93493">
        <w:rPr>
          <w:rFonts w:cs="Arial"/>
          <w:bCs/>
        </w:rPr>
        <w:t>experience</w:t>
      </w:r>
      <w:r>
        <w:rPr>
          <w:rFonts w:cs="Arial"/>
          <w:bCs/>
        </w:rPr>
        <w:t>, the new Local Commissioners were hosted at a training conference in Cairns during the week commencing 17 October 2022. Each Commissioner received a Handbook</w:t>
      </w:r>
      <w:r w:rsidR="002B6EC5">
        <w:rPr>
          <w:rFonts w:cs="Arial"/>
          <w:bCs/>
        </w:rPr>
        <w:t xml:space="preserve"> which incorporated relevant guidelines </w:t>
      </w:r>
      <w:r w:rsidR="00452CA2">
        <w:rPr>
          <w:rFonts w:cs="Arial"/>
          <w:bCs/>
        </w:rPr>
        <w:t xml:space="preserve">and legislation governing </w:t>
      </w:r>
      <w:r w:rsidR="00B93493">
        <w:rPr>
          <w:rFonts w:cs="Arial"/>
          <w:bCs/>
        </w:rPr>
        <w:t>their functions, powers and suitability requirements</w:t>
      </w:r>
      <w:r w:rsidR="00452CA2">
        <w:rPr>
          <w:rFonts w:cs="Arial"/>
          <w:bCs/>
        </w:rPr>
        <w:t xml:space="preserve">. The Handbook provides </w:t>
      </w:r>
      <w:r w:rsidR="002B6EC5">
        <w:rPr>
          <w:rFonts w:cs="Arial"/>
          <w:bCs/>
        </w:rPr>
        <w:t xml:space="preserve">the framework </w:t>
      </w:r>
      <w:r w:rsidR="00BD41A6">
        <w:rPr>
          <w:rFonts w:cs="Arial"/>
          <w:bCs/>
        </w:rPr>
        <w:t>upon</w:t>
      </w:r>
      <w:r w:rsidR="002B6EC5">
        <w:rPr>
          <w:rFonts w:cs="Arial"/>
          <w:bCs/>
        </w:rPr>
        <w:t xml:space="preserve"> which the Commissioners are expected to perform their functions. The Commissioners were informed on how the FRC was established, the organisational structure of the Commission including the administrative functions necessary to provide them with the </w:t>
      </w:r>
      <w:r w:rsidR="00B93493">
        <w:rPr>
          <w:rFonts w:cs="Arial"/>
          <w:bCs/>
        </w:rPr>
        <w:t>requisite</w:t>
      </w:r>
      <w:r w:rsidR="002B6EC5">
        <w:rPr>
          <w:rFonts w:cs="Arial"/>
          <w:bCs/>
        </w:rPr>
        <w:t xml:space="preserve"> information to make decisions. Further, Commissioners were advised of the processes following their decision-making such as the monitoring of case plans, communication and collaboration with service providers and strategic partners, the supervision of income management and their role in representing the FRC in</w:t>
      </w:r>
      <w:r w:rsidR="00452CA2">
        <w:rPr>
          <w:rFonts w:cs="Arial"/>
          <w:bCs/>
        </w:rPr>
        <w:t>side</w:t>
      </w:r>
      <w:r w:rsidR="002B6EC5">
        <w:rPr>
          <w:rFonts w:cs="Arial"/>
          <w:bCs/>
        </w:rPr>
        <w:t xml:space="preserve"> and outside of their communities.</w:t>
      </w:r>
    </w:p>
    <w:p w14:paraId="40371A7A" w14:textId="77777777" w:rsidR="00EF4D8C" w:rsidRDefault="00EF4D8C" w:rsidP="00021D30">
      <w:pPr>
        <w:ind w:left="-142" w:right="-425"/>
        <w:jc w:val="both"/>
        <w:rPr>
          <w:rFonts w:cs="Arial"/>
          <w:bCs/>
        </w:rPr>
      </w:pPr>
    </w:p>
    <w:p w14:paraId="09E05EC1" w14:textId="501AA51E" w:rsidR="00BD41A6" w:rsidRDefault="00EF4D8C" w:rsidP="00021D30">
      <w:pPr>
        <w:ind w:left="-142" w:right="-425"/>
        <w:jc w:val="both"/>
        <w:rPr>
          <w:rFonts w:cs="Arial"/>
          <w:bCs/>
        </w:rPr>
      </w:pPr>
      <w:r>
        <w:rPr>
          <w:rFonts w:cs="Arial"/>
          <w:bCs/>
        </w:rPr>
        <w:t xml:space="preserve">Local Commissioners and FRC staff were then provided an update </w:t>
      </w:r>
      <w:r w:rsidR="00B9405C">
        <w:rPr>
          <w:rFonts w:cs="Arial"/>
          <w:bCs/>
        </w:rPr>
        <w:t xml:space="preserve">by DSS staff </w:t>
      </w:r>
      <w:r>
        <w:rPr>
          <w:rFonts w:cs="Arial"/>
          <w:bCs/>
        </w:rPr>
        <w:t xml:space="preserve">on </w:t>
      </w:r>
      <w:r w:rsidR="003B2519">
        <w:rPr>
          <w:rFonts w:cs="Arial"/>
          <w:bCs/>
        </w:rPr>
        <w:t xml:space="preserve">legislative changes abolishing the CDC and </w:t>
      </w:r>
      <w:r w:rsidR="00B9405C">
        <w:rPr>
          <w:rFonts w:cs="Arial"/>
          <w:bCs/>
        </w:rPr>
        <w:t xml:space="preserve">commencing </w:t>
      </w:r>
      <w:r w:rsidR="00AD1A9F">
        <w:rPr>
          <w:rFonts w:cs="Arial"/>
          <w:bCs/>
        </w:rPr>
        <w:t>enhanced Income Management</w:t>
      </w:r>
      <w:r>
        <w:rPr>
          <w:rFonts w:cs="Arial"/>
          <w:bCs/>
        </w:rPr>
        <w:t xml:space="preserve">, and what </w:t>
      </w:r>
      <w:r w:rsidR="00AD1A9F">
        <w:rPr>
          <w:rFonts w:cs="Arial"/>
          <w:bCs/>
        </w:rPr>
        <w:t xml:space="preserve">the </w:t>
      </w:r>
      <w:r>
        <w:rPr>
          <w:rFonts w:cs="Arial"/>
          <w:bCs/>
        </w:rPr>
        <w:t xml:space="preserve">legislative changes </w:t>
      </w:r>
      <w:r w:rsidR="003079A8">
        <w:rPr>
          <w:rFonts w:cs="Arial"/>
          <w:bCs/>
        </w:rPr>
        <w:t xml:space="preserve">established by the passage of the </w:t>
      </w:r>
      <w:r w:rsidR="003079A8" w:rsidRPr="003079A8">
        <w:rPr>
          <w:rFonts w:cs="Arial"/>
          <w:bCs/>
        </w:rPr>
        <w:t xml:space="preserve">Social Security (Administration) Amendment (Repeal of Cashless Debit Card and Other Measures) Bill </w:t>
      </w:r>
      <w:r>
        <w:rPr>
          <w:rFonts w:cs="Arial"/>
          <w:bCs/>
        </w:rPr>
        <w:t>mean</w:t>
      </w:r>
      <w:r w:rsidR="003079A8">
        <w:rPr>
          <w:rFonts w:cs="Arial"/>
          <w:bCs/>
        </w:rPr>
        <w:t>t</w:t>
      </w:r>
      <w:r>
        <w:rPr>
          <w:rFonts w:cs="Arial"/>
          <w:bCs/>
        </w:rPr>
        <w:t xml:space="preserve"> for the future of income management. Feedback was sought from the Commissioners as to the appearance of the new </w:t>
      </w:r>
      <w:r w:rsidR="003079A8">
        <w:rPr>
          <w:rFonts w:cs="Arial"/>
          <w:bCs/>
        </w:rPr>
        <w:t xml:space="preserve">enhanced Income Management </w:t>
      </w:r>
      <w:r>
        <w:rPr>
          <w:rFonts w:cs="Arial"/>
          <w:bCs/>
        </w:rPr>
        <w:t>card</w:t>
      </w:r>
      <w:r w:rsidR="00AD1A9F">
        <w:rPr>
          <w:rFonts w:cs="Arial"/>
          <w:bCs/>
        </w:rPr>
        <w:t xml:space="preserve"> and an appropriate name</w:t>
      </w:r>
      <w:r w:rsidR="003079A8">
        <w:rPr>
          <w:rFonts w:cs="Arial"/>
          <w:bCs/>
        </w:rPr>
        <w:t xml:space="preserve"> to carry the card forward.</w:t>
      </w:r>
    </w:p>
    <w:p w14:paraId="31E46714" w14:textId="77777777" w:rsidR="00BD41A6" w:rsidRDefault="00BD41A6" w:rsidP="00021D30">
      <w:pPr>
        <w:ind w:left="-142" w:right="-425"/>
        <w:jc w:val="both"/>
        <w:rPr>
          <w:rFonts w:cs="Arial"/>
          <w:bCs/>
        </w:rPr>
      </w:pPr>
    </w:p>
    <w:p w14:paraId="3F56E315" w14:textId="64E0AE80" w:rsidR="00735E54" w:rsidRDefault="00BD41A6" w:rsidP="00021D30">
      <w:pPr>
        <w:ind w:left="-142" w:right="-425"/>
        <w:jc w:val="both"/>
        <w:rPr>
          <w:rFonts w:cs="Arial"/>
          <w:bCs/>
        </w:rPr>
      </w:pPr>
      <w:r>
        <w:rPr>
          <w:rFonts w:cs="Arial"/>
          <w:bCs/>
        </w:rPr>
        <w:t>In closing the conference</w:t>
      </w:r>
      <w:r w:rsidR="00B9405C">
        <w:rPr>
          <w:rFonts w:cs="Arial"/>
          <w:bCs/>
        </w:rPr>
        <w:t>,</w:t>
      </w:r>
      <w:r>
        <w:rPr>
          <w:rFonts w:cs="Arial"/>
          <w:bCs/>
        </w:rPr>
        <w:t xml:space="preserve"> Commissioner Williams</w:t>
      </w:r>
      <w:r w:rsidR="00B9405C">
        <w:rPr>
          <w:rFonts w:cs="Arial"/>
          <w:bCs/>
        </w:rPr>
        <w:t>,</w:t>
      </w:r>
      <w:r>
        <w:rPr>
          <w:rFonts w:cs="Arial"/>
          <w:bCs/>
        </w:rPr>
        <w:t xml:space="preserve"> Deputy Commissioner Curtin </w:t>
      </w:r>
      <w:r w:rsidR="00B9405C">
        <w:rPr>
          <w:rFonts w:cs="Arial"/>
          <w:bCs/>
        </w:rPr>
        <w:t xml:space="preserve">and Registrar McLeod </w:t>
      </w:r>
      <w:r>
        <w:rPr>
          <w:rFonts w:cs="Arial"/>
          <w:bCs/>
        </w:rPr>
        <w:t xml:space="preserve">addressed the new Local Commissioners on the importance of professionalism in performing their functions as decision-makers, </w:t>
      </w:r>
      <w:r w:rsidR="004C3CFD">
        <w:rPr>
          <w:rFonts w:cs="Arial"/>
          <w:bCs/>
        </w:rPr>
        <w:t>the primary principle of ensuring that actions taken are in the best interests and wellbeing of children</w:t>
      </w:r>
      <w:r w:rsidR="0086203E">
        <w:rPr>
          <w:rFonts w:cs="Arial"/>
          <w:bCs/>
        </w:rPr>
        <w:t xml:space="preserve"> and vulnerable pe</w:t>
      </w:r>
      <w:r w:rsidR="00DF5BF5">
        <w:rPr>
          <w:rFonts w:cs="Arial"/>
          <w:bCs/>
        </w:rPr>
        <w:t>rsons</w:t>
      </w:r>
      <w:r w:rsidR="004C3CFD">
        <w:rPr>
          <w:rFonts w:cs="Arial"/>
          <w:bCs/>
        </w:rPr>
        <w:t>, and that in carrying out their functions the Commissioners must observe the principles of natural justice</w:t>
      </w:r>
      <w:r w:rsidR="00301CEF">
        <w:rPr>
          <w:rFonts w:cs="Arial"/>
          <w:bCs/>
        </w:rPr>
        <w:t xml:space="preserve">. Further, the Commissioners were advised of their </w:t>
      </w:r>
      <w:r w:rsidR="00301CEF" w:rsidRPr="00301CEF">
        <w:rPr>
          <w:rFonts w:cs="Arial"/>
          <w:bCs/>
        </w:rPr>
        <w:t xml:space="preserve">duty to avoid </w:t>
      </w:r>
      <w:r w:rsidR="0086203E">
        <w:rPr>
          <w:rFonts w:cs="Arial"/>
          <w:bCs/>
        </w:rPr>
        <w:t xml:space="preserve">and/or declare </w:t>
      </w:r>
      <w:r w:rsidR="00301CEF" w:rsidRPr="00301CEF">
        <w:rPr>
          <w:rFonts w:cs="Arial"/>
          <w:bCs/>
        </w:rPr>
        <w:t xml:space="preserve">a conflict of interest or a </w:t>
      </w:r>
      <w:r w:rsidR="00301CEF" w:rsidRPr="0086203E">
        <w:rPr>
          <w:rFonts w:cs="Arial"/>
          <w:bCs/>
          <w:iCs/>
        </w:rPr>
        <w:t>potential conflict of interest</w:t>
      </w:r>
      <w:r w:rsidR="00301CEF" w:rsidRPr="00301CEF">
        <w:rPr>
          <w:rFonts w:cs="Arial"/>
          <w:bCs/>
        </w:rPr>
        <w:t xml:space="preserve"> </w:t>
      </w:r>
      <w:r w:rsidR="0082328A">
        <w:rPr>
          <w:rFonts w:cs="Arial"/>
          <w:bCs/>
        </w:rPr>
        <w:t xml:space="preserve">in their decision-making in order to ensure </w:t>
      </w:r>
      <w:r w:rsidR="005A2088">
        <w:rPr>
          <w:rFonts w:cs="Arial"/>
          <w:bCs/>
        </w:rPr>
        <w:t xml:space="preserve">that </w:t>
      </w:r>
      <w:r w:rsidR="0082328A">
        <w:rPr>
          <w:rFonts w:cs="Arial"/>
          <w:bCs/>
        </w:rPr>
        <w:t xml:space="preserve">the </w:t>
      </w:r>
      <w:r w:rsidR="00DF5BF5">
        <w:rPr>
          <w:rFonts w:cs="Arial"/>
          <w:bCs/>
        </w:rPr>
        <w:t xml:space="preserve">considerable </w:t>
      </w:r>
      <w:r w:rsidR="005A2088">
        <w:rPr>
          <w:rFonts w:cs="Arial"/>
          <w:bCs/>
        </w:rPr>
        <w:t xml:space="preserve">powers exercised under the FRC Act are done so with </w:t>
      </w:r>
      <w:r w:rsidR="0082328A">
        <w:rPr>
          <w:rFonts w:cs="Arial"/>
          <w:bCs/>
        </w:rPr>
        <w:t>integrity and transparency</w:t>
      </w:r>
      <w:r w:rsidR="0082328A" w:rsidRPr="0082328A">
        <w:rPr>
          <w:rFonts w:cs="Arial"/>
          <w:bCs/>
        </w:rPr>
        <w:t>.</w:t>
      </w:r>
    </w:p>
    <w:bookmarkEnd w:id="35"/>
    <w:p w14:paraId="0C97D6C7" w14:textId="77777777" w:rsidR="00735E54" w:rsidRDefault="00735E54" w:rsidP="00021D30">
      <w:pPr>
        <w:ind w:left="-142" w:right="-425"/>
        <w:jc w:val="both"/>
        <w:rPr>
          <w:rFonts w:cs="Arial"/>
          <w:bCs/>
        </w:rPr>
      </w:pPr>
    </w:p>
    <w:p w14:paraId="328724AC" w14:textId="77777777" w:rsidR="00A0273B" w:rsidRPr="00735E54" w:rsidRDefault="00A0273B" w:rsidP="00A0273B">
      <w:pPr>
        <w:ind w:left="-142" w:right="-425"/>
        <w:jc w:val="both"/>
        <w:rPr>
          <w:rFonts w:cs="Arial"/>
          <w:b/>
          <w:bCs/>
          <w:sz w:val="22"/>
          <w:szCs w:val="22"/>
        </w:rPr>
      </w:pPr>
      <w:r w:rsidRPr="00735E54">
        <w:rPr>
          <w:rFonts w:cs="Arial"/>
          <w:b/>
          <w:bCs/>
          <w:sz w:val="22"/>
          <w:szCs w:val="22"/>
        </w:rPr>
        <w:t>FRC Future Directions Review</w:t>
      </w:r>
    </w:p>
    <w:p w14:paraId="61C034CC" w14:textId="788332B0" w:rsidR="00A0273B" w:rsidRPr="00193290" w:rsidRDefault="00A0273B" w:rsidP="00193290">
      <w:pPr>
        <w:ind w:left="-142" w:right="-425"/>
        <w:jc w:val="both"/>
        <w:rPr>
          <w:rFonts w:cs="Arial"/>
          <w:bCs/>
          <w:lang w:val="en"/>
        </w:rPr>
      </w:pPr>
      <w:bookmarkStart w:id="36" w:name="_Hlk130207001"/>
      <w:r w:rsidRPr="00735E54">
        <w:rPr>
          <w:rFonts w:cs="Arial"/>
          <w:bCs/>
          <w:lang w:val="en"/>
        </w:rPr>
        <w:t xml:space="preserve">The FRC understands that the </w:t>
      </w:r>
      <w:r>
        <w:rPr>
          <w:rFonts w:cs="Arial"/>
          <w:bCs/>
          <w:lang w:val="en"/>
        </w:rPr>
        <w:t>f</w:t>
      </w:r>
      <w:r w:rsidRPr="00735E54">
        <w:rPr>
          <w:rFonts w:cs="Arial"/>
          <w:bCs/>
          <w:lang w:val="en"/>
        </w:rPr>
        <w:t xml:space="preserve">inal </w:t>
      </w:r>
      <w:r>
        <w:rPr>
          <w:rFonts w:cs="Arial"/>
          <w:bCs/>
          <w:lang w:val="en"/>
        </w:rPr>
        <w:t>r</w:t>
      </w:r>
      <w:r w:rsidRPr="00735E54">
        <w:rPr>
          <w:rFonts w:cs="Arial"/>
          <w:bCs/>
          <w:lang w:val="en"/>
        </w:rPr>
        <w:t xml:space="preserve">eport on the </w:t>
      </w:r>
      <w:r>
        <w:rPr>
          <w:rFonts w:cs="Arial"/>
          <w:bCs/>
          <w:lang w:val="en"/>
        </w:rPr>
        <w:t>‘</w:t>
      </w:r>
      <w:r w:rsidRPr="00735E54">
        <w:rPr>
          <w:rFonts w:cs="Arial"/>
          <w:bCs/>
          <w:lang w:val="en"/>
        </w:rPr>
        <w:t>F</w:t>
      </w:r>
      <w:r>
        <w:rPr>
          <w:rFonts w:cs="Arial"/>
          <w:bCs/>
          <w:lang w:val="en"/>
        </w:rPr>
        <w:t xml:space="preserve">amily </w:t>
      </w:r>
      <w:r w:rsidRPr="00735E54">
        <w:rPr>
          <w:rFonts w:cs="Arial"/>
          <w:bCs/>
          <w:lang w:val="en"/>
        </w:rPr>
        <w:t>R</w:t>
      </w:r>
      <w:r>
        <w:rPr>
          <w:rFonts w:cs="Arial"/>
          <w:bCs/>
          <w:lang w:val="en"/>
        </w:rPr>
        <w:t xml:space="preserve">esponsibilities </w:t>
      </w:r>
      <w:r w:rsidRPr="00735E54">
        <w:rPr>
          <w:rFonts w:cs="Arial"/>
          <w:bCs/>
          <w:lang w:val="en"/>
        </w:rPr>
        <w:t>C</w:t>
      </w:r>
      <w:r>
        <w:rPr>
          <w:rFonts w:cs="Arial"/>
          <w:bCs/>
          <w:lang w:val="en"/>
        </w:rPr>
        <w:t>ommission</w:t>
      </w:r>
      <w:r w:rsidRPr="00735E54">
        <w:rPr>
          <w:rFonts w:cs="Arial"/>
          <w:bCs/>
          <w:lang w:val="en"/>
        </w:rPr>
        <w:t xml:space="preserve"> Future Directions </w:t>
      </w:r>
      <w:r>
        <w:rPr>
          <w:rFonts w:cs="Arial"/>
          <w:bCs/>
          <w:lang w:val="en"/>
        </w:rPr>
        <w:t>R</w:t>
      </w:r>
      <w:r w:rsidRPr="00735E54">
        <w:rPr>
          <w:rFonts w:cs="Arial"/>
          <w:bCs/>
          <w:lang w:val="en"/>
        </w:rPr>
        <w:t>eview</w:t>
      </w:r>
      <w:r>
        <w:rPr>
          <w:rFonts w:cs="Arial"/>
          <w:bCs/>
          <w:lang w:val="en"/>
        </w:rPr>
        <w:t xml:space="preserve"> 2022’,</w:t>
      </w:r>
      <w:r w:rsidRPr="002C2D65">
        <w:rPr>
          <w:rFonts w:cs="Arial"/>
          <w:bCs/>
          <w:lang w:val="en"/>
        </w:rPr>
        <w:t xml:space="preserve"> </w:t>
      </w:r>
      <w:r>
        <w:rPr>
          <w:rFonts w:cs="Arial"/>
          <w:bCs/>
          <w:lang w:val="en"/>
        </w:rPr>
        <w:t>commissioned by the Department of Seniors, Disability Services and Aboriginal and Torres Strait Islander Partnership to inform the Queensland Government’s decision-making on the future of the FRC, has been</w:t>
      </w:r>
      <w:r w:rsidRPr="00735E54">
        <w:rPr>
          <w:rFonts w:cs="Arial"/>
          <w:bCs/>
          <w:lang w:val="en"/>
        </w:rPr>
        <w:t xml:space="preserve"> provided to </w:t>
      </w:r>
      <w:r>
        <w:rPr>
          <w:rFonts w:cs="Arial"/>
          <w:bCs/>
          <w:lang w:val="en"/>
        </w:rPr>
        <w:t xml:space="preserve">the Queensland Government. In line with the FR Board’s functions under the FRC Act 2008, it has been invited to provide advice to the Minister on the future operations of the FRC, guided by the findings and recommendations of the final report. </w:t>
      </w:r>
      <w:r w:rsidRPr="00735E54">
        <w:rPr>
          <w:rFonts w:cs="Arial"/>
          <w:bCs/>
          <w:lang w:val="en"/>
        </w:rPr>
        <w:t xml:space="preserve">To date, the FRC </w:t>
      </w:r>
      <w:r>
        <w:rPr>
          <w:rFonts w:cs="Arial"/>
          <w:bCs/>
          <w:lang w:val="en"/>
        </w:rPr>
        <w:t xml:space="preserve">is yet to </w:t>
      </w:r>
      <w:r w:rsidRPr="00735E54">
        <w:rPr>
          <w:rFonts w:cs="Arial"/>
          <w:bCs/>
          <w:lang w:val="en"/>
        </w:rPr>
        <w:t>receive information about the outcome of the review.</w:t>
      </w:r>
    </w:p>
    <w:bookmarkEnd w:id="36"/>
    <w:p w14:paraId="51A7A07C" w14:textId="1BB3F4BA" w:rsidR="00A47BE7" w:rsidRDefault="00A47BE7" w:rsidP="00735E54">
      <w:pPr>
        <w:ind w:left="-142" w:right="-425"/>
        <w:jc w:val="both"/>
        <w:rPr>
          <w:rFonts w:cs="Arial"/>
          <w:b/>
          <w:bCs/>
          <w:sz w:val="22"/>
          <w:szCs w:val="22"/>
        </w:rPr>
      </w:pPr>
      <w:r>
        <w:rPr>
          <w:rFonts w:cs="Arial"/>
          <w:b/>
          <w:bCs/>
          <w:sz w:val="22"/>
          <w:szCs w:val="22"/>
        </w:rPr>
        <w:lastRenderedPageBreak/>
        <w:t>Strategic planning process</w:t>
      </w:r>
    </w:p>
    <w:p w14:paraId="6FDE748B" w14:textId="2BD2C6A0" w:rsidR="00882096" w:rsidRPr="00882096" w:rsidRDefault="00882096" w:rsidP="00882096">
      <w:pPr>
        <w:ind w:left="-142" w:right="-425"/>
        <w:jc w:val="both"/>
        <w:rPr>
          <w:rFonts w:cs="Arial"/>
          <w:bCs/>
        </w:rPr>
      </w:pPr>
      <w:r w:rsidRPr="00882096">
        <w:rPr>
          <w:rFonts w:cs="Arial"/>
          <w:bCs/>
        </w:rPr>
        <w:t>Planning beg</w:t>
      </w:r>
      <w:r>
        <w:rPr>
          <w:rFonts w:cs="Arial"/>
          <w:bCs/>
        </w:rPr>
        <w:t>a</w:t>
      </w:r>
      <w:r w:rsidRPr="00882096">
        <w:rPr>
          <w:rFonts w:cs="Arial"/>
          <w:bCs/>
        </w:rPr>
        <w:t xml:space="preserve">n </w:t>
      </w:r>
      <w:r>
        <w:rPr>
          <w:rFonts w:cs="Arial"/>
          <w:bCs/>
        </w:rPr>
        <w:t xml:space="preserve">this quarter </w:t>
      </w:r>
      <w:r w:rsidRPr="00882096">
        <w:rPr>
          <w:rFonts w:cs="Arial"/>
          <w:bCs/>
        </w:rPr>
        <w:t xml:space="preserve">for the development of a new </w:t>
      </w:r>
      <w:r w:rsidR="00671360">
        <w:rPr>
          <w:rFonts w:cs="Arial"/>
          <w:bCs/>
        </w:rPr>
        <w:t>S</w:t>
      </w:r>
      <w:r w:rsidRPr="00882096">
        <w:rPr>
          <w:rFonts w:cs="Arial"/>
          <w:bCs/>
        </w:rPr>
        <w:t xml:space="preserve">trategic </w:t>
      </w:r>
      <w:r w:rsidR="00671360">
        <w:rPr>
          <w:rFonts w:cs="Arial"/>
          <w:bCs/>
        </w:rPr>
        <w:t>P</w:t>
      </w:r>
      <w:r w:rsidRPr="00882096">
        <w:rPr>
          <w:rFonts w:cs="Arial"/>
          <w:bCs/>
        </w:rPr>
        <w:t xml:space="preserve">lan which will set the </w:t>
      </w:r>
      <w:r>
        <w:rPr>
          <w:rFonts w:cs="Arial"/>
          <w:bCs/>
        </w:rPr>
        <w:t>Commission</w:t>
      </w:r>
      <w:r w:rsidRPr="00882096">
        <w:rPr>
          <w:rFonts w:cs="Arial"/>
          <w:bCs/>
        </w:rPr>
        <w:t xml:space="preserve">’s strategic direction, key performance indicators, and form the foundation for the development of individual performance plans for </w:t>
      </w:r>
      <w:r>
        <w:rPr>
          <w:rFonts w:cs="Arial"/>
          <w:bCs/>
        </w:rPr>
        <w:t>t</w:t>
      </w:r>
      <w:r w:rsidRPr="00882096">
        <w:rPr>
          <w:rFonts w:cs="Arial"/>
          <w:bCs/>
        </w:rPr>
        <w:t>he next 4 years.</w:t>
      </w:r>
    </w:p>
    <w:p w14:paraId="4429EBA9" w14:textId="77777777" w:rsidR="00882096" w:rsidRPr="00882096" w:rsidRDefault="00882096" w:rsidP="00882096">
      <w:pPr>
        <w:ind w:left="-142" w:right="-425"/>
        <w:jc w:val="both"/>
        <w:rPr>
          <w:rFonts w:cs="Arial"/>
          <w:bCs/>
        </w:rPr>
      </w:pPr>
    </w:p>
    <w:p w14:paraId="17429348" w14:textId="3CD95350" w:rsidR="00882096" w:rsidRPr="00882096" w:rsidRDefault="00882096" w:rsidP="00882096">
      <w:pPr>
        <w:ind w:left="-142" w:right="-425"/>
        <w:jc w:val="both"/>
        <w:rPr>
          <w:rFonts w:cs="Arial"/>
          <w:bCs/>
        </w:rPr>
      </w:pPr>
      <w:r w:rsidRPr="00882096">
        <w:rPr>
          <w:rFonts w:cs="Arial"/>
          <w:bCs/>
        </w:rPr>
        <w:t xml:space="preserve">Development of the strategic plan has been delayed, primarily because of the </w:t>
      </w:r>
      <w:r w:rsidR="00F07AF8">
        <w:rPr>
          <w:rFonts w:cs="Arial"/>
          <w:bCs/>
        </w:rPr>
        <w:t>‘</w:t>
      </w:r>
      <w:r>
        <w:rPr>
          <w:rFonts w:cs="Arial"/>
          <w:bCs/>
        </w:rPr>
        <w:t>F</w:t>
      </w:r>
      <w:r w:rsidR="00AD009C">
        <w:rPr>
          <w:rFonts w:cs="Arial"/>
          <w:bCs/>
        </w:rPr>
        <w:t xml:space="preserve">amily </w:t>
      </w:r>
      <w:r>
        <w:rPr>
          <w:rFonts w:cs="Arial"/>
          <w:bCs/>
        </w:rPr>
        <w:t>R</w:t>
      </w:r>
      <w:r w:rsidR="00AD009C">
        <w:rPr>
          <w:rFonts w:cs="Arial"/>
          <w:bCs/>
        </w:rPr>
        <w:t xml:space="preserve">esponsibilities </w:t>
      </w:r>
      <w:r>
        <w:rPr>
          <w:rFonts w:cs="Arial"/>
          <w:bCs/>
        </w:rPr>
        <w:t>C</w:t>
      </w:r>
      <w:r w:rsidR="00AD009C">
        <w:rPr>
          <w:rFonts w:cs="Arial"/>
          <w:bCs/>
        </w:rPr>
        <w:t>ommission</w:t>
      </w:r>
      <w:r>
        <w:rPr>
          <w:rFonts w:cs="Arial"/>
          <w:bCs/>
        </w:rPr>
        <w:t xml:space="preserve"> </w:t>
      </w:r>
      <w:r w:rsidRPr="00882096">
        <w:rPr>
          <w:rFonts w:cs="Arial"/>
          <w:bCs/>
        </w:rPr>
        <w:t>Future Directions Review</w:t>
      </w:r>
      <w:r w:rsidR="004F3314">
        <w:rPr>
          <w:rFonts w:cs="Arial"/>
          <w:bCs/>
        </w:rPr>
        <w:t xml:space="preserve"> 2022</w:t>
      </w:r>
      <w:r w:rsidR="00F07AF8">
        <w:rPr>
          <w:rFonts w:cs="Arial"/>
          <w:bCs/>
        </w:rPr>
        <w:t>’</w:t>
      </w:r>
      <w:r w:rsidRPr="00882096">
        <w:rPr>
          <w:rFonts w:cs="Arial"/>
          <w:bCs/>
        </w:rPr>
        <w:t xml:space="preserve"> conducted by Abt Associates. The outcome of the review remains unknown, and consequently any impacts on the </w:t>
      </w:r>
      <w:r w:rsidR="00AD009C">
        <w:rPr>
          <w:rFonts w:cs="Arial"/>
          <w:bCs/>
        </w:rPr>
        <w:t>Commission</w:t>
      </w:r>
      <w:r w:rsidRPr="00882096">
        <w:rPr>
          <w:rFonts w:cs="Arial"/>
          <w:bCs/>
        </w:rPr>
        <w:t xml:space="preserve">’s strategic direction and operations is also undetermined. Although the Review concluded in August 2022, the </w:t>
      </w:r>
      <w:r w:rsidR="00AD009C">
        <w:rPr>
          <w:rFonts w:cs="Arial"/>
          <w:bCs/>
        </w:rPr>
        <w:t>Commission</w:t>
      </w:r>
      <w:r w:rsidRPr="00882096">
        <w:rPr>
          <w:rFonts w:cs="Arial"/>
          <w:bCs/>
        </w:rPr>
        <w:t xml:space="preserve"> has received no information regarding the outcome of the review, making it difficult to conduct significant forward planning.</w:t>
      </w:r>
    </w:p>
    <w:p w14:paraId="7018DF4F" w14:textId="77777777" w:rsidR="00882096" w:rsidRPr="00882096" w:rsidRDefault="00882096" w:rsidP="00882096">
      <w:pPr>
        <w:ind w:left="-142" w:right="-425"/>
        <w:jc w:val="both"/>
        <w:rPr>
          <w:rFonts w:cs="Arial"/>
          <w:bCs/>
        </w:rPr>
      </w:pPr>
    </w:p>
    <w:p w14:paraId="053BD5B6" w14:textId="5EB8B03E" w:rsidR="00882096" w:rsidRPr="00882096" w:rsidRDefault="00882096" w:rsidP="00882096">
      <w:pPr>
        <w:ind w:left="-142" w:right="-425"/>
        <w:jc w:val="both"/>
        <w:rPr>
          <w:rFonts w:cs="Arial"/>
          <w:bCs/>
        </w:rPr>
      </w:pPr>
      <w:r w:rsidRPr="00882096">
        <w:rPr>
          <w:rFonts w:cs="Arial"/>
          <w:bCs/>
        </w:rPr>
        <w:t xml:space="preserve">Development of a new strategic plan will necessarily require the input of all </w:t>
      </w:r>
      <w:r w:rsidR="00AD009C">
        <w:rPr>
          <w:rFonts w:cs="Arial"/>
          <w:bCs/>
        </w:rPr>
        <w:t>Commission</w:t>
      </w:r>
      <w:r w:rsidRPr="00882096">
        <w:rPr>
          <w:rFonts w:cs="Arial"/>
          <w:bCs/>
        </w:rPr>
        <w:t xml:space="preserve"> staff and </w:t>
      </w:r>
      <w:r w:rsidR="00190AAD">
        <w:rPr>
          <w:rFonts w:cs="Arial"/>
          <w:bCs/>
        </w:rPr>
        <w:t xml:space="preserve">Local </w:t>
      </w:r>
      <w:r w:rsidR="00F07AF8" w:rsidRPr="00882096">
        <w:rPr>
          <w:rFonts w:cs="Arial"/>
          <w:bCs/>
        </w:rPr>
        <w:t>Commissioners and</w:t>
      </w:r>
      <w:r w:rsidRPr="00882096">
        <w:rPr>
          <w:rFonts w:cs="Arial"/>
          <w:bCs/>
        </w:rPr>
        <w:t xml:space="preserve"> will be a significant project. The Agency Planning Requirements published by the Department of Premier and Cabinet provide that:</w:t>
      </w:r>
    </w:p>
    <w:p w14:paraId="63824BE8" w14:textId="77777777" w:rsidR="00882096" w:rsidRPr="00882096" w:rsidRDefault="00882096" w:rsidP="00882096">
      <w:pPr>
        <w:ind w:left="-142" w:right="-425"/>
        <w:jc w:val="both"/>
        <w:rPr>
          <w:rFonts w:cs="Arial"/>
          <w:bCs/>
        </w:rPr>
      </w:pPr>
    </w:p>
    <w:p w14:paraId="18A6E43E" w14:textId="77777777" w:rsidR="00882096" w:rsidRPr="00882096" w:rsidRDefault="00882096" w:rsidP="005D0B85">
      <w:pPr>
        <w:ind w:left="142"/>
        <w:jc w:val="both"/>
        <w:rPr>
          <w:rFonts w:cs="Arial"/>
          <w:bCs/>
          <w:i/>
          <w:iCs/>
        </w:rPr>
      </w:pPr>
      <w:r w:rsidRPr="00882096">
        <w:rPr>
          <w:rFonts w:cs="Arial"/>
          <w:bCs/>
          <w:i/>
          <w:iCs/>
        </w:rPr>
        <w:t>Planning is the responsibility of everybody within an agency. To plan effectively, responsibility should not rest solely with planning officers. The role of planning officers is to facilitate the development of the strategic plan and operational plans.</w:t>
      </w:r>
    </w:p>
    <w:p w14:paraId="558ED3A6" w14:textId="77777777" w:rsidR="00882096" w:rsidRPr="00882096" w:rsidRDefault="00882096" w:rsidP="00882096">
      <w:pPr>
        <w:ind w:left="-142" w:right="-425"/>
        <w:jc w:val="both"/>
        <w:rPr>
          <w:rFonts w:cs="Arial"/>
          <w:bCs/>
        </w:rPr>
      </w:pPr>
    </w:p>
    <w:p w14:paraId="3FB6249F" w14:textId="36753386" w:rsidR="00AB30E9" w:rsidRDefault="009D073F" w:rsidP="00882096">
      <w:pPr>
        <w:ind w:left="-142" w:right="-425"/>
        <w:jc w:val="both"/>
        <w:rPr>
          <w:rFonts w:cs="Arial"/>
          <w:bCs/>
        </w:rPr>
      </w:pPr>
      <w:r>
        <w:rPr>
          <w:rFonts w:cs="Arial"/>
          <w:bCs/>
        </w:rPr>
        <w:t xml:space="preserve">The </w:t>
      </w:r>
      <w:r w:rsidR="00190AAD">
        <w:rPr>
          <w:rFonts w:cs="Arial"/>
          <w:bCs/>
        </w:rPr>
        <w:t>Commission</w:t>
      </w:r>
      <w:r>
        <w:rPr>
          <w:rFonts w:cs="Arial"/>
          <w:bCs/>
        </w:rPr>
        <w:t>’s Strategic Plan was d</w:t>
      </w:r>
      <w:r w:rsidR="00483FBF">
        <w:rPr>
          <w:rFonts w:cs="Arial"/>
          <w:bCs/>
        </w:rPr>
        <w:t xml:space="preserve">ue to </w:t>
      </w:r>
      <w:r>
        <w:rPr>
          <w:rFonts w:cs="Arial"/>
          <w:bCs/>
        </w:rPr>
        <w:t>expir</w:t>
      </w:r>
      <w:r w:rsidR="00483FBF">
        <w:rPr>
          <w:rFonts w:cs="Arial"/>
          <w:bCs/>
        </w:rPr>
        <w:t>e</w:t>
      </w:r>
      <w:r>
        <w:rPr>
          <w:rFonts w:cs="Arial"/>
          <w:bCs/>
        </w:rPr>
        <w:t xml:space="preserve"> in 2022. Due to the delay referenced above, </w:t>
      </w:r>
      <w:r w:rsidR="005D0B85">
        <w:rPr>
          <w:rFonts w:cs="Arial"/>
          <w:bCs/>
        </w:rPr>
        <w:t>and</w:t>
      </w:r>
      <w:r w:rsidR="005D0B85" w:rsidRPr="005D0B85">
        <w:rPr>
          <w:rFonts w:cs="Arial"/>
          <w:bCs/>
        </w:rPr>
        <w:t xml:space="preserve"> </w:t>
      </w:r>
      <w:r w:rsidR="005D0B85" w:rsidRPr="009D073F">
        <w:rPr>
          <w:rFonts w:cs="Arial"/>
          <w:bCs/>
        </w:rPr>
        <w:t>to facilitate an effective planning process to develop a new plan</w:t>
      </w:r>
      <w:r w:rsidR="005D0B85">
        <w:rPr>
          <w:rFonts w:cs="Arial"/>
          <w:bCs/>
        </w:rPr>
        <w:t>, t</w:t>
      </w:r>
      <w:r>
        <w:rPr>
          <w:rFonts w:cs="Arial"/>
          <w:bCs/>
        </w:rPr>
        <w:t xml:space="preserve">he </w:t>
      </w:r>
      <w:r w:rsidRPr="009D073F">
        <w:rPr>
          <w:rFonts w:cs="Arial"/>
          <w:bCs/>
        </w:rPr>
        <w:t>E</w:t>
      </w:r>
      <w:r>
        <w:rPr>
          <w:rFonts w:cs="Arial"/>
          <w:bCs/>
        </w:rPr>
        <w:t xml:space="preserve">xecutive </w:t>
      </w:r>
      <w:r w:rsidRPr="009D073F">
        <w:rPr>
          <w:rFonts w:cs="Arial"/>
          <w:bCs/>
        </w:rPr>
        <w:t>M</w:t>
      </w:r>
      <w:r>
        <w:rPr>
          <w:rFonts w:cs="Arial"/>
          <w:bCs/>
        </w:rPr>
        <w:t xml:space="preserve">anagement </w:t>
      </w:r>
      <w:r w:rsidRPr="009D073F">
        <w:rPr>
          <w:rFonts w:cs="Arial"/>
          <w:bCs/>
        </w:rPr>
        <w:t>T</w:t>
      </w:r>
      <w:r>
        <w:rPr>
          <w:rFonts w:cs="Arial"/>
          <w:bCs/>
        </w:rPr>
        <w:t>eam has</w:t>
      </w:r>
      <w:r w:rsidRPr="009D073F">
        <w:rPr>
          <w:rFonts w:cs="Arial"/>
          <w:bCs/>
        </w:rPr>
        <w:t xml:space="preserve"> endorse</w:t>
      </w:r>
      <w:r>
        <w:rPr>
          <w:rFonts w:cs="Arial"/>
          <w:bCs/>
        </w:rPr>
        <w:t>d</w:t>
      </w:r>
      <w:r w:rsidRPr="009D073F">
        <w:rPr>
          <w:rFonts w:cs="Arial"/>
          <w:bCs/>
        </w:rPr>
        <w:t xml:space="preserve"> </w:t>
      </w:r>
      <w:r w:rsidR="005D0B85">
        <w:rPr>
          <w:rFonts w:cs="Arial"/>
          <w:bCs/>
        </w:rPr>
        <w:t>to</w:t>
      </w:r>
      <w:r w:rsidRPr="009D073F">
        <w:rPr>
          <w:rFonts w:cs="Arial"/>
          <w:bCs/>
        </w:rPr>
        <w:t xml:space="preserve"> extend the life of the </w:t>
      </w:r>
      <w:r w:rsidR="00A0273B">
        <w:rPr>
          <w:rFonts w:cs="Arial"/>
          <w:bCs/>
        </w:rPr>
        <w:t>Strategic P</w:t>
      </w:r>
      <w:r w:rsidRPr="009D073F">
        <w:rPr>
          <w:rFonts w:cs="Arial"/>
          <w:bCs/>
        </w:rPr>
        <w:t xml:space="preserve">lan. </w:t>
      </w:r>
      <w:r w:rsidR="00F07AF8">
        <w:rPr>
          <w:rFonts w:cs="Arial"/>
          <w:bCs/>
        </w:rPr>
        <w:t xml:space="preserve">To date the review process has seen the current Strategic Plan </w:t>
      </w:r>
      <w:r w:rsidR="00A0273B">
        <w:rPr>
          <w:rFonts w:cs="Arial"/>
          <w:bCs/>
        </w:rPr>
        <w:t xml:space="preserve">extended to June 2023 and </w:t>
      </w:r>
      <w:r w:rsidR="00F07AF8">
        <w:rPr>
          <w:rFonts w:cs="Arial"/>
          <w:bCs/>
        </w:rPr>
        <w:t xml:space="preserve">updated to reflect the new objectives stated in the </w:t>
      </w:r>
      <w:r w:rsidR="00882096" w:rsidRPr="00882096">
        <w:rPr>
          <w:rFonts w:cs="Arial"/>
          <w:bCs/>
        </w:rPr>
        <w:t>‘Queensland Government's objectives for the community’.</w:t>
      </w:r>
    </w:p>
    <w:p w14:paraId="449E1867" w14:textId="77777777" w:rsidR="00AB30E9" w:rsidRDefault="00AB30E9" w:rsidP="00882096">
      <w:pPr>
        <w:ind w:left="-142" w:right="-425"/>
        <w:jc w:val="both"/>
        <w:rPr>
          <w:rFonts w:cs="Arial"/>
          <w:bCs/>
        </w:rPr>
      </w:pPr>
    </w:p>
    <w:p w14:paraId="55A1BB75" w14:textId="4C81B4F6" w:rsidR="00882096" w:rsidRPr="00882096" w:rsidRDefault="00AB30E9" w:rsidP="00882096">
      <w:pPr>
        <w:ind w:left="-142" w:right="-425"/>
        <w:jc w:val="both"/>
        <w:rPr>
          <w:rFonts w:cs="Arial"/>
          <w:bCs/>
        </w:rPr>
      </w:pPr>
      <w:r>
        <w:rPr>
          <w:rFonts w:cs="Arial"/>
          <w:bCs/>
        </w:rPr>
        <w:t>To facilitate a</w:t>
      </w:r>
      <w:r w:rsidR="00DD75FA">
        <w:rPr>
          <w:rFonts w:cs="Arial"/>
          <w:bCs/>
        </w:rPr>
        <w:t xml:space="preserve"> thorough and inclusive </w:t>
      </w:r>
      <w:r w:rsidR="00882096" w:rsidRPr="00882096">
        <w:rPr>
          <w:rFonts w:cs="Arial"/>
          <w:bCs/>
        </w:rPr>
        <w:t xml:space="preserve">planning process, </w:t>
      </w:r>
      <w:r>
        <w:rPr>
          <w:rFonts w:cs="Arial"/>
          <w:bCs/>
        </w:rPr>
        <w:t>a</w:t>
      </w:r>
      <w:r w:rsidR="009E329E">
        <w:rPr>
          <w:rFonts w:cs="Arial"/>
          <w:bCs/>
        </w:rPr>
        <w:t xml:space="preserve">n </w:t>
      </w:r>
      <w:r w:rsidR="00882096" w:rsidRPr="00882096">
        <w:rPr>
          <w:rFonts w:cs="Arial"/>
          <w:bCs/>
        </w:rPr>
        <w:t xml:space="preserve">all-staff </w:t>
      </w:r>
      <w:r w:rsidR="00EB417A">
        <w:rPr>
          <w:rFonts w:cs="Arial"/>
          <w:bCs/>
        </w:rPr>
        <w:t>workshop</w:t>
      </w:r>
      <w:r w:rsidR="00882096" w:rsidRPr="00882096">
        <w:rPr>
          <w:rFonts w:cs="Arial"/>
          <w:bCs/>
        </w:rPr>
        <w:t xml:space="preserve"> day </w:t>
      </w:r>
      <w:r w:rsidR="009E329E">
        <w:rPr>
          <w:rFonts w:cs="Arial"/>
          <w:bCs/>
        </w:rPr>
        <w:t xml:space="preserve">will </w:t>
      </w:r>
      <w:r w:rsidR="00882096" w:rsidRPr="00882096">
        <w:rPr>
          <w:rFonts w:cs="Arial"/>
          <w:bCs/>
        </w:rPr>
        <w:t>be held in January 2023</w:t>
      </w:r>
      <w:r>
        <w:rPr>
          <w:rFonts w:cs="Arial"/>
          <w:bCs/>
        </w:rPr>
        <w:t>, to be followed by individual team discussions</w:t>
      </w:r>
      <w:r w:rsidR="00882096" w:rsidRPr="00882096">
        <w:rPr>
          <w:rFonts w:cs="Arial"/>
          <w:bCs/>
        </w:rPr>
        <w:t>. Consultation w</w:t>
      </w:r>
      <w:r w:rsidR="009E329E">
        <w:rPr>
          <w:rFonts w:cs="Arial"/>
          <w:bCs/>
        </w:rPr>
        <w:t>ill</w:t>
      </w:r>
      <w:r w:rsidR="00882096" w:rsidRPr="00882096">
        <w:rPr>
          <w:rFonts w:cs="Arial"/>
          <w:bCs/>
        </w:rPr>
        <w:t xml:space="preserve"> then be extended to Local Commissioners in the FRC communities and </w:t>
      </w:r>
      <w:r>
        <w:rPr>
          <w:rFonts w:cs="Arial"/>
          <w:bCs/>
        </w:rPr>
        <w:t>be summarised at th</w:t>
      </w:r>
      <w:r w:rsidR="00882096" w:rsidRPr="00882096">
        <w:rPr>
          <w:rFonts w:cs="Arial"/>
          <w:bCs/>
        </w:rPr>
        <w:t xml:space="preserve">e </w:t>
      </w:r>
      <w:r>
        <w:rPr>
          <w:rFonts w:cs="Arial"/>
          <w:bCs/>
        </w:rPr>
        <w:t>Local Commissioner D</w:t>
      </w:r>
      <w:r w:rsidR="00882096" w:rsidRPr="00882096">
        <w:rPr>
          <w:rFonts w:cs="Arial"/>
          <w:bCs/>
        </w:rPr>
        <w:t xml:space="preserve">evelopment </w:t>
      </w:r>
      <w:r>
        <w:rPr>
          <w:rFonts w:cs="Arial"/>
          <w:bCs/>
        </w:rPr>
        <w:t>W</w:t>
      </w:r>
      <w:r w:rsidR="00882096" w:rsidRPr="00882096">
        <w:rPr>
          <w:rFonts w:cs="Arial"/>
          <w:bCs/>
        </w:rPr>
        <w:t xml:space="preserve">eek </w:t>
      </w:r>
      <w:r w:rsidR="009E329E">
        <w:rPr>
          <w:rFonts w:cs="Arial"/>
          <w:bCs/>
        </w:rPr>
        <w:t xml:space="preserve">to be conducted </w:t>
      </w:r>
      <w:r w:rsidR="00882096" w:rsidRPr="00882096">
        <w:rPr>
          <w:rFonts w:cs="Arial"/>
          <w:bCs/>
        </w:rPr>
        <w:t>in Cairns</w:t>
      </w:r>
      <w:r w:rsidR="009E329E">
        <w:rPr>
          <w:rFonts w:cs="Arial"/>
          <w:bCs/>
        </w:rPr>
        <w:t xml:space="preserve"> from 15 May 2023.</w:t>
      </w:r>
    </w:p>
    <w:p w14:paraId="38A14D4C" w14:textId="77777777" w:rsidR="00882096" w:rsidRPr="00882096" w:rsidRDefault="00882096" w:rsidP="00882096">
      <w:pPr>
        <w:ind w:left="-142" w:right="-425"/>
        <w:jc w:val="both"/>
        <w:rPr>
          <w:rFonts w:cs="Arial"/>
          <w:b/>
          <w:bCs/>
        </w:rPr>
      </w:pPr>
    </w:p>
    <w:p w14:paraId="22B97CE0" w14:textId="7C7676F7" w:rsidR="002B2692" w:rsidRDefault="002B2692" w:rsidP="002B2692">
      <w:pPr>
        <w:ind w:left="-142" w:right="-425"/>
        <w:jc w:val="both"/>
        <w:rPr>
          <w:rFonts w:cs="Arial"/>
          <w:b/>
          <w:sz w:val="16"/>
          <w:szCs w:val="16"/>
        </w:rPr>
      </w:pPr>
      <w:r w:rsidRPr="002B2692">
        <w:rPr>
          <w:rFonts w:cs="Arial"/>
          <w:b/>
          <w:bCs/>
          <w:sz w:val="22"/>
          <w:szCs w:val="22"/>
        </w:rPr>
        <w:t>Elevated school response</w:t>
      </w:r>
      <w:r w:rsidR="00850852">
        <w:rPr>
          <w:rFonts w:cs="Arial"/>
          <w:b/>
          <w:bCs/>
          <w:sz w:val="22"/>
          <w:szCs w:val="22"/>
        </w:rPr>
        <w:t xml:space="preserve"> strategy</w:t>
      </w:r>
    </w:p>
    <w:p w14:paraId="169DAF2E" w14:textId="35BF7808" w:rsidR="002B2692" w:rsidRDefault="002B2692" w:rsidP="002B2692">
      <w:pPr>
        <w:ind w:left="-142" w:right="-425"/>
        <w:jc w:val="both"/>
        <w:rPr>
          <w:rFonts w:cs="Arial"/>
          <w:bCs/>
        </w:rPr>
      </w:pPr>
      <w:r w:rsidRPr="002B2692">
        <w:rPr>
          <w:rFonts w:cs="Arial"/>
          <w:bCs/>
        </w:rPr>
        <w:t xml:space="preserve">This </w:t>
      </w:r>
      <w:r>
        <w:rPr>
          <w:rFonts w:cs="Arial"/>
          <w:bCs/>
        </w:rPr>
        <w:t xml:space="preserve">quarter </w:t>
      </w:r>
      <w:r w:rsidR="00D77675">
        <w:rPr>
          <w:rFonts w:cs="Arial"/>
          <w:bCs/>
        </w:rPr>
        <w:t xml:space="preserve">(term 4 of the school year) </w:t>
      </w:r>
      <w:r>
        <w:rPr>
          <w:rFonts w:cs="Arial"/>
          <w:bCs/>
        </w:rPr>
        <w:t xml:space="preserve">saw both the Aurukun and Doomadgee Local Commissioners reflect their concern with the </w:t>
      </w:r>
      <w:r w:rsidR="00D77675">
        <w:rPr>
          <w:rFonts w:cs="Arial"/>
          <w:bCs/>
        </w:rPr>
        <w:t xml:space="preserve">low </w:t>
      </w:r>
      <w:r>
        <w:rPr>
          <w:rFonts w:cs="Arial"/>
          <w:bCs/>
        </w:rPr>
        <w:t xml:space="preserve">level of school attendance. </w:t>
      </w:r>
      <w:r w:rsidR="000F7CB0">
        <w:rPr>
          <w:rFonts w:cs="Arial"/>
          <w:bCs/>
        </w:rPr>
        <w:t>Although s</w:t>
      </w:r>
      <w:r>
        <w:rPr>
          <w:rFonts w:cs="Arial"/>
          <w:bCs/>
        </w:rPr>
        <w:t>chool attendance is historically low</w:t>
      </w:r>
      <w:r w:rsidR="000F7CB0">
        <w:rPr>
          <w:rFonts w:cs="Arial"/>
          <w:bCs/>
        </w:rPr>
        <w:t>er</w:t>
      </w:r>
      <w:r>
        <w:rPr>
          <w:rFonts w:cs="Arial"/>
          <w:bCs/>
        </w:rPr>
        <w:t xml:space="preserve"> in term </w:t>
      </w:r>
      <w:r w:rsidR="00D77675">
        <w:rPr>
          <w:rFonts w:cs="Arial"/>
          <w:bCs/>
        </w:rPr>
        <w:t>3</w:t>
      </w:r>
      <w:r w:rsidR="000F7CB0">
        <w:rPr>
          <w:rFonts w:cs="Arial"/>
          <w:bCs/>
        </w:rPr>
        <w:t xml:space="preserve"> across many community schools, </w:t>
      </w:r>
      <w:r w:rsidR="00850852">
        <w:rPr>
          <w:rFonts w:cs="Arial"/>
          <w:bCs/>
        </w:rPr>
        <w:t xml:space="preserve">low </w:t>
      </w:r>
      <w:r w:rsidR="000F7CB0">
        <w:rPr>
          <w:rFonts w:cs="Arial"/>
          <w:bCs/>
        </w:rPr>
        <w:t xml:space="preserve">attendance </w:t>
      </w:r>
      <w:r w:rsidR="00D77675">
        <w:rPr>
          <w:rFonts w:cs="Arial"/>
          <w:bCs/>
        </w:rPr>
        <w:t xml:space="preserve">continued </w:t>
      </w:r>
      <w:r w:rsidR="00013295">
        <w:rPr>
          <w:rFonts w:cs="Arial"/>
          <w:bCs/>
        </w:rPr>
        <w:t xml:space="preserve">(and worsened) </w:t>
      </w:r>
      <w:r w:rsidR="00D77675">
        <w:rPr>
          <w:rFonts w:cs="Arial"/>
          <w:bCs/>
        </w:rPr>
        <w:t xml:space="preserve">in term 4 for Aurukun, whilst </w:t>
      </w:r>
      <w:r w:rsidR="00013295">
        <w:rPr>
          <w:rFonts w:cs="Arial"/>
          <w:bCs/>
        </w:rPr>
        <w:t xml:space="preserve">it </w:t>
      </w:r>
      <w:r w:rsidR="00D77675">
        <w:rPr>
          <w:rFonts w:cs="Arial"/>
          <w:bCs/>
        </w:rPr>
        <w:t>i</w:t>
      </w:r>
      <w:r w:rsidR="003F1B38">
        <w:rPr>
          <w:rFonts w:cs="Arial"/>
          <w:bCs/>
        </w:rPr>
        <w:t>mproved</w:t>
      </w:r>
      <w:r w:rsidR="00D77675">
        <w:rPr>
          <w:rFonts w:cs="Arial"/>
          <w:bCs/>
        </w:rPr>
        <w:t xml:space="preserve"> slightly in Doomadgee, though still below 50 percent. Low attendance </w:t>
      </w:r>
      <w:r w:rsidR="000F7CB0">
        <w:rPr>
          <w:rFonts w:cs="Arial"/>
          <w:bCs/>
        </w:rPr>
        <w:t xml:space="preserve">was </w:t>
      </w:r>
      <w:r w:rsidR="00850852">
        <w:rPr>
          <w:rFonts w:cs="Arial"/>
          <w:bCs/>
        </w:rPr>
        <w:t>influenced</w:t>
      </w:r>
      <w:r w:rsidR="000F7CB0">
        <w:rPr>
          <w:rFonts w:cs="Arial"/>
          <w:bCs/>
        </w:rPr>
        <w:t xml:space="preserve"> by multiple factors.</w:t>
      </w:r>
    </w:p>
    <w:p w14:paraId="347FE83C" w14:textId="29FD275B" w:rsidR="000F7CB0" w:rsidRDefault="000F7CB0" w:rsidP="002B2692">
      <w:pPr>
        <w:ind w:left="-142" w:right="-425"/>
        <w:jc w:val="both"/>
        <w:rPr>
          <w:rFonts w:cs="Arial"/>
          <w:bCs/>
        </w:rPr>
      </w:pPr>
    </w:p>
    <w:p w14:paraId="23D59406" w14:textId="77777777" w:rsidR="00055349" w:rsidRPr="00055349" w:rsidRDefault="00055349" w:rsidP="00055349">
      <w:pPr>
        <w:ind w:left="-142" w:right="-425"/>
        <w:jc w:val="both"/>
        <w:rPr>
          <w:rFonts w:cs="Arial"/>
          <w:b/>
        </w:rPr>
      </w:pPr>
      <w:r w:rsidRPr="00055349">
        <w:rPr>
          <w:rFonts w:cs="Arial"/>
          <w:b/>
        </w:rPr>
        <w:t>Doomadgee</w:t>
      </w:r>
    </w:p>
    <w:p w14:paraId="784C5EC7" w14:textId="0A23719C" w:rsidR="000F7CB0" w:rsidRPr="000F7CB0" w:rsidRDefault="000F7CB0" w:rsidP="00850852">
      <w:pPr>
        <w:ind w:left="-142" w:right="-425"/>
        <w:jc w:val="both"/>
        <w:rPr>
          <w:rFonts w:cs="Arial"/>
          <w:bCs/>
          <w:lang w:val="en-US"/>
        </w:rPr>
      </w:pPr>
      <w:r w:rsidRPr="000F7CB0">
        <w:rPr>
          <w:rFonts w:cs="Arial"/>
          <w:bCs/>
          <w:lang w:val="en-US"/>
        </w:rPr>
        <w:t xml:space="preserve">Doomadgee State School </w:t>
      </w:r>
      <w:r w:rsidR="00850852">
        <w:rPr>
          <w:rFonts w:cs="Arial"/>
          <w:bCs/>
          <w:lang w:val="en-US"/>
        </w:rPr>
        <w:t>low attendance w</w:t>
      </w:r>
      <w:r w:rsidR="00850852" w:rsidRPr="000F7CB0">
        <w:rPr>
          <w:rFonts w:cs="Arial"/>
          <w:bCs/>
          <w:lang w:val="en-US"/>
        </w:rPr>
        <w:t xml:space="preserve">as </w:t>
      </w:r>
      <w:r w:rsidR="00850852">
        <w:rPr>
          <w:rFonts w:cs="Arial"/>
          <w:bCs/>
          <w:lang w:val="en-US"/>
        </w:rPr>
        <w:t>e</w:t>
      </w:r>
      <w:r w:rsidR="00850852" w:rsidRPr="000F7CB0">
        <w:rPr>
          <w:rFonts w:cs="Arial"/>
          <w:bCs/>
          <w:lang w:val="en-US"/>
        </w:rPr>
        <w:t xml:space="preserve">xacerbated by </w:t>
      </w:r>
      <w:r w:rsidR="005325D3">
        <w:rPr>
          <w:rFonts w:cs="Arial"/>
          <w:bCs/>
          <w:lang w:val="en-US"/>
        </w:rPr>
        <w:t xml:space="preserve">continuing </w:t>
      </w:r>
      <w:r w:rsidR="00850852" w:rsidRPr="000F7CB0">
        <w:rPr>
          <w:rFonts w:cs="Arial"/>
          <w:bCs/>
          <w:lang w:val="en-US"/>
        </w:rPr>
        <w:t xml:space="preserve">staffing shortages in both the teaching departments and the Student Attendance Officers. The school has, as a result, had limited capacity to undertake proactive community engagement activities to address attendance issues. </w:t>
      </w:r>
      <w:r w:rsidR="00850852">
        <w:rPr>
          <w:rFonts w:cs="Arial"/>
          <w:bCs/>
          <w:lang w:val="en-US"/>
        </w:rPr>
        <w:t>A</w:t>
      </w:r>
      <w:r w:rsidRPr="000F7CB0">
        <w:rPr>
          <w:rFonts w:cs="Arial"/>
          <w:bCs/>
          <w:lang w:val="en-US"/>
        </w:rPr>
        <w:t xml:space="preserve"> large number of students </w:t>
      </w:r>
      <w:r w:rsidR="00850852">
        <w:rPr>
          <w:rFonts w:cs="Arial"/>
          <w:bCs/>
          <w:lang w:val="en-US"/>
        </w:rPr>
        <w:t>were</w:t>
      </w:r>
      <w:r w:rsidRPr="000F7CB0">
        <w:rPr>
          <w:rFonts w:cs="Arial"/>
          <w:bCs/>
          <w:lang w:val="en-US"/>
        </w:rPr>
        <w:t xml:space="preserve"> disengaged from school and unfortunately the night school </w:t>
      </w:r>
      <w:r w:rsidR="00850852">
        <w:rPr>
          <w:rFonts w:cs="Arial"/>
          <w:bCs/>
          <w:lang w:val="en-US"/>
        </w:rPr>
        <w:t>was</w:t>
      </w:r>
      <w:r w:rsidRPr="000F7CB0">
        <w:rPr>
          <w:rFonts w:cs="Arial"/>
          <w:bCs/>
          <w:lang w:val="en-US"/>
        </w:rPr>
        <w:t xml:space="preserve"> not operating to encourage </w:t>
      </w:r>
      <w:r w:rsidR="00F806B4">
        <w:rPr>
          <w:rFonts w:cs="Arial"/>
          <w:bCs/>
          <w:lang w:val="en-US"/>
        </w:rPr>
        <w:t>students</w:t>
      </w:r>
      <w:r w:rsidRPr="000F7CB0">
        <w:rPr>
          <w:rFonts w:cs="Arial"/>
          <w:bCs/>
          <w:lang w:val="en-US"/>
        </w:rPr>
        <w:t xml:space="preserve"> back into the educational environment.</w:t>
      </w:r>
    </w:p>
    <w:p w14:paraId="24DCDE6C" w14:textId="77777777" w:rsidR="000F7CB0" w:rsidRPr="000F7CB0" w:rsidRDefault="000F7CB0" w:rsidP="000F7CB0">
      <w:pPr>
        <w:ind w:left="-142" w:right="-425"/>
        <w:jc w:val="both"/>
        <w:rPr>
          <w:rFonts w:cs="Arial"/>
          <w:bCs/>
          <w:lang w:val="en-US"/>
        </w:rPr>
      </w:pPr>
    </w:p>
    <w:p w14:paraId="484D9EE4" w14:textId="3DB2C05E" w:rsidR="000F7CB0" w:rsidRPr="000F7CB0" w:rsidRDefault="000F7CB0" w:rsidP="00850852">
      <w:pPr>
        <w:ind w:left="-142" w:right="-425"/>
        <w:jc w:val="both"/>
        <w:rPr>
          <w:rFonts w:cs="Arial"/>
          <w:bCs/>
          <w:lang w:val="en-US"/>
        </w:rPr>
      </w:pPr>
      <w:r w:rsidRPr="000F7CB0">
        <w:rPr>
          <w:rFonts w:cs="Arial"/>
          <w:bCs/>
          <w:lang w:val="en-US"/>
        </w:rPr>
        <w:t>The Doomadgee Local Commissioners commenced an ‘</w:t>
      </w:r>
      <w:r w:rsidR="00013295">
        <w:rPr>
          <w:rFonts w:cs="Arial"/>
          <w:bCs/>
          <w:lang w:val="en-US"/>
        </w:rPr>
        <w:t>e</w:t>
      </w:r>
      <w:r w:rsidRPr="000F7CB0">
        <w:rPr>
          <w:rFonts w:cs="Arial"/>
          <w:bCs/>
          <w:lang w:val="en-US"/>
        </w:rPr>
        <w:t xml:space="preserve">levated school </w:t>
      </w:r>
      <w:r w:rsidR="00013295">
        <w:rPr>
          <w:rFonts w:cs="Arial"/>
          <w:bCs/>
          <w:lang w:val="en-US"/>
        </w:rPr>
        <w:t>r</w:t>
      </w:r>
      <w:r w:rsidRPr="000F7CB0">
        <w:rPr>
          <w:rFonts w:cs="Arial"/>
          <w:bCs/>
          <w:lang w:val="en-US"/>
        </w:rPr>
        <w:t xml:space="preserve">esponse’ strategy to assist in encouraging students to re-engage. </w:t>
      </w:r>
      <w:r w:rsidR="0068706E">
        <w:rPr>
          <w:rFonts w:cs="Arial"/>
          <w:bCs/>
          <w:lang w:val="en-US"/>
        </w:rPr>
        <w:t xml:space="preserve">The Case Management and Monitoring Team closely examined school non-attendance notices received and filtered them for priority based on attendance rates, client history and whether clients named on school attendance notices had also been the subject of a child safety notification. </w:t>
      </w:r>
      <w:r w:rsidR="00F806B4">
        <w:rPr>
          <w:rFonts w:cs="Arial"/>
          <w:bCs/>
          <w:lang w:val="en-US"/>
        </w:rPr>
        <w:t>The strategy</w:t>
      </w:r>
      <w:r w:rsidRPr="000F7CB0">
        <w:rPr>
          <w:rFonts w:cs="Arial"/>
          <w:bCs/>
          <w:lang w:val="en-US"/>
        </w:rPr>
        <w:t xml:space="preserve"> involved the Local Registry Coordinator and Local Commissioners visiting families at home to discuss issues impacting children and offer</w:t>
      </w:r>
      <w:r w:rsidR="005325D3">
        <w:rPr>
          <w:rFonts w:cs="Arial"/>
          <w:bCs/>
          <w:lang w:val="en-US"/>
        </w:rPr>
        <w:t>ing transport (where required)</w:t>
      </w:r>
      <w:r w:rsidRPr="000F7CB0">
        <w:rPr>
          <w:rFonts w:cs="Arial"/>
          <w:bCs/>
          <w:lang w:val="en-US"/>
        </w:rPr>
        <w:t xml:space="preserve"> </w:t>
      </w:r>
      <w:r w:rsidRPr="000F7CB0">
        <w:rPr>
          <w:rFonts w:cs="Arial"/>
          <w:bCs/>
          <w:lang w:val="en-US"/>
        </w:rPr>
        <w:lastRenderedPageBreak/>
        <w:t>to get children to school. The support offered was dependent upon the family situation and included the Local Commissioners talking to parents</w:t>
      </w:r>
      <w:r w:rsidR="005325D3">
        <w:rPr>
          <w:rFonts w:cs="Arial"/>
          <w:bCs/>
          <w:lang w:val="en-US"/>
        </w:rPr>
        <w:t xml:space="preserve"> and </w:t>
      </w:r>
      <w:r w:rsidRPr="000F7CB0">
        <w:rPr>
          <w:rFonts w:cs="Arial"/>
          <w:bCs/>
          <w:lang w:val="en-US"/>
        </w:rPr>
        <w:t xml:space="preserve">disengaged </w:t>
      </w:r>
      <w:r w:rsidR="005325D3">
        <w:rPr>
          <w:rFonts w:cs="Arial"/>
          <w:bCs/>
          <w:lang w:val="en-US"/>
        </w:rPr>
        <w:t>students</w:t>
      </w:r>
      <w:r w:rsidRPr="000F7CB0">
        <w:rPr>
          <w:rFonts w:cs="Arial"/>
          <w:bCs/>
          <w:lang w:val="en-US"/>
        </w:rPr>
        <w:t xml:space="preserve">. The Local Commissioners enjoyed participating in this response as it allowed them to interact with community members outside of the conference setting. </w:t>
      </w:r>
      <w:r w:rsidR="00B74B5D">
        <w:rPr>
          <w:rFonts w:cs="Arial"/>
          <w:bCs/>
          <w:lang w:val="en-US"/>
        </w:rPr>
        <w:t xml:space="preserve">Initial reported gains in attendance during term 1 for the Doomadgee State School are welcomed </w:t>
      </w:r>
      <w:r w:rsidR="009F7204">
        <w:rPr>
          <w:rFonts w:cs="Arial"/>
          <w:bCs/>
          <w:lang w:val="en-US"/>
        </w:rPr>
        <w:t xml:space="preserve">and </w:t>
      </w:r>
      <w:r w:rsidR="00B74B5D">
        <w:rPr>
          <w:rFonts w:cs="Arial"/>
          <w:bCs/>
          <w:lang w:val="en-US"/>
        </w:rPr>
        <w:t>Local Commissioners are buoyed by their efforts and those of the community as a whole in partner</w:t>
      </w:r>
      <w:r w:rsidR="009F7204">
        <w:rPr>
          <w:rFonts w:cs="Arial"/>
          <w:bCs/>
          <w:lang w:val="en-US"/>
        </w:rPr>
        <w:t>ing</w:t>
      </w:r>
      <w:r w:rsidR="00B74B5D">
        <w:rPr>
          <w:rFonts w:cs="Arial"/>
          <w:bCs/>
          <w:lang w:val="en-US"/>
        </w:rPr>
        <w:t xml:space="preserve"> with the FRC </w:t>
      </w:r>
      <w:r w:rsidR="009F7204">
        <w:rPr>
          <w:rFonts w:cs="Arial"/>
          <w:bCs/>
          <w:lang w:val="en-US"/>
        </w:rPr>
        <w:t>to re-engage students in the learning process.</w:t>
      </w:r>
    </w:p>
    <w:p w14:paraId="1477B053" w14:textId="77777777" w:rsidR="00807E33" w:rsidRDefault="00807E33" w:rsidP="000F7CB0">
      <w:pPr>
        <w:ind w:left="-142" w:right="-425"/>
        <w:jc w:val="both"/>
        <w:rPr>
          <w:rFonts w:cs="Arial"/>
          <w:bCs/>
          <w:lang w:val="en-US"/>
        </w:rPr>
      </w:pPr>
    </w:p>
    <w:p w14:paraId="362E293D" w14:textId="57ADB2D7" w:rsidR="00055349" w:rsidRPr="00055349" w:rsidRDefault="00055349" w:rsidP="000F7CB0">
      <w:pPr>
        <w:ind w:left="-142" w:right="-425"/>
        <w:jc w:val="both"/>
        <w:rPr>
          <w:rFonts w:cs="Arial"/>
          <w:b/>
          <w:lang w:val="en-US"/>
        </w:rPr>
      </w:pPr>
      <w:r w:rsidRPr="00055349">
        <w:rPr>
          <w:rFonts w:cs="Arial"/>
          <w:b/>
          <w:lang w:val="en-US"/>
        </w:rPr>
        <w:t>Aurukun</w:t>
      </w:r>
    </w:p>
    <w:p w14:paraId="416382D4" w14:textId="11440C82" w:rsidR="001071DC" w:rsidRDefault="001071DC" w:rsidP="000F7CB0">
      <w:pPr>
        <w:ind w:left="-142" w:right="-425"/>
        <w:jc w:val="both"/>
        <w:rPr>
          <w:rFonts w:cs="Arial"/>
          <w:bCs/>
          <w:lang w:val="en-US"/>
        </w:rPr>
      </w:pPr>
      <w:r>
        <w:rPr>
          <w:rFonts w:cs="Arial"/>
          <w:bCs/>
          <w:lang w:val="en-US"/>
        </w:rPr>
        <w:t>During term 4, 92 education notices received for non-attendance were deemed invalid and unable to be considered for conference. The problem arose in the datasets from One School where a roll marking anomaly occurred and students were marked incorrectly for attendance over several weeks</w:t>
      </w:r>
      <w:r w:rsidR="001E45AC">
        <w:rPr>
          <w:rFonts w:cs="Arial"/>
          <w:bCs/>
          <w:lang w:val="en-US"/>
        </w:rPr>
        <w:t xml:space="preserve"> during the term</w:t>
      </w:r>
      <w:r>
        <w:rPr>
          <w:rFonts w:cs="Arial"/>
          <w:bCs/>
          <w:lang w:val="en-US"/>
        </w:rPr>
        <w:t xml:space="preserve">. </w:t>
      </w:r>
      <w:r w:rsidR="0061026B">
        <w:rPr>
          <w:rFonts w:cs="Arial"/>
          <w:bCs/>
          <w:lang w:val="en-US"/>
        </w:rPr>
        <w:t xml:space="preserve">The unreliability of One School data received prompted the Commissioners to focus on notices received for DVO matters and Court matters of significance. Increased </w:t>
      </w:r>
      <w:r w:rsidR="003F1B38">
        <w:rPr>
          <w:rFonts w:cs="Arial"/>
          <w:bCs/>
          <w:lang w:val="en-US"/>
        </w:rPr>
        <w:t>Family Responsibilities Orders (500 percent</w:t>
      </w:r>
      <w:r w:rsidR="00B833DF">
        <w:rPr>
          <w:rFonts w:cs="Arial"/>
          <w:bCs/>
          <w:lang w:val="en-US"/>
        </w:rPr>
        <w:t xml:space="preserve"> from the previous quarter</w:t>
      </w:r>
      <w:r w:rsidR="003F1B38">
        <w:rPr>
          <w:rFonts w:cs="Arial"/>
          <w:bCs/>
          <w:lang w:val="en-US"/>
        </w:rPr>
        <w:t>)</w:t>
      </w:r>
      <w:r w:rsidR="00CD15EB">
        <w:rPr>
          <w:rFonts w:cs="Arial"/>
          <w:bCs/>
          <w:lang w:val="en-US"/>
        </w:rPr>
        <w:t>,</w:t>
      </w:r>
      <w:r w:rsidR="003F1B38">
        <w:rPr>
          <w:rFonts w:cs="Arial"/>
          <w:bCs/>
          <w:lang w:val="en-US"/>
        </w:rPr>
        <w:t xml:space="preserve"> </w:t>
      </w:r>
      <w:r w:rsidR="00CD15EB">
        <w:rPr>
          <w:rFonts w:cs="Arial"/>
          <w:bCs/>
          <w:lang w:val="en-US"/>
        </w:rPr>
        <w:t>increased a</w:t>
      </w:r>
      <w:r w:rsidR="003F1B38">
        <w:rPr>
          <w:rFonts w:cs="Arial"/>
          <w:bCs/>
          <w:lang w:val="en-US"/>
        </w:rPr>
        <w:t>greements</w:t>
      </w:r>
      <w:r w:rsidR="00CD15EB">
        <w:rPr>
          <w:rFonts w:cs="Arial"/>
          <w:bCs/>
          <w:lang w:val="en-US"/>
        </w:rPr>
        <w:t xml:space="preserve"> for case plans</w:t>
      </w:r>
      <w:r w:rsidR="003F1B38">
        <w:rPr>
          <w:rFonts w:cs="Arial"/>
          <w:bCs/>
          <w:lang w:val="en-US"/>
        </w:rPr>
        <w:t xml:space="preserve"> (1</w:t>
      </w:r>
      <w:r w:rsidR="0023535D">
        <w:rPr>
          <w:rFonts w:cs="Arial"/>
          <w:bCs/>
          <w:lang w:val="en-US"/>
        </w:rPr>
        <w:t>07</w:t>
      </w:r>
      <w:r w:rsidR="003F1B38">
        <w:rPr>
          <w:rFonts w:cs="Arial"/>
          <w:bCs/>
          <w:lang w:val="en-US"/>
        </w:rPr>
        <w:t xml:space="preserve"> percent</w:t>
      </w:r>
      <w:r w:rsidR="00B833DF">
        <w:rPr>
          <w:rFonts w:cs="Arial"/>
          <w:bCs/>
          <w:lang w:val="en-US"/>
        </w:rPr>
        <w:t xml:space="preserve"> from the previous quarter</w:t>
      </w:r>
      <w:r w:rsidR="003F1B38">
        <w:rPr>
          <w:rFonts w:cs="Arial"/>
          <w:bCs/>
          <w:lang w:val="en-US"/>
        </w:rPr>
        <w:t>) and increased r</w:t>
      </w:r>
      <w:r w:rsidR="0061026B">
        <w:rPr>
          <w:rFonts w:cs="Arial"/>
          <w:bCs/>
          <w:lang w:val="en-US"/>
        </w:rPr>
        <w:t xml:space="preserve">eferrals </w:t>
      </w:r>
      <w:r w:rsidR="003F1B38">
        <w:rPr>
          <w:rFonts w:cs="Arial"/>
          <w:bCs/>
          <w:lang w:val="en-US"/>
        </w:rPr>
        <w:t>to wellbeing support services</w:t>
      </w:r>
      <w:r w:rsidR="0080585E">
        <w:rPr>
          <w:rFonts w:cs="Arial"/>
          <w:bCs/>
          <w:lang w:val="en-US"/>
        </w:rPr>
        <w:t xml:space="preserve">, </w:t>
      </w:r>
      <w:r w:rsidR="003F1B38">
        <w:rPr>
          <w:rFonts w:cs="Arial"/>
          <w:bCs/>
          <w:lang w:val="en-US"/>
        </w:rPr>
        <w:t>(</w:t>
      </w:r>
      <w:r w:rsidR="003F1B38" w:rsidRPr="0080585E">
        <w:rPr>
          <w:rFonts w:cs="Arial"/>
          <w:bCs/>
          <w:lang w:val="en-US"/>
        </w:rPr>
        <w:t>134</w:t>
      </w:r>
      <w:r w:rsidR="003F1B38">
        <w:rPr>
          <w:rFonts w:cs="Arial"/>
          <w:bCs/>
          <w:lang w:val="en-US"/>
        </w:rPr>
        <w:t xml:space="preserve"> percent from the previous quarter)</w:t>
      </w:r>
      <w:r w:rsidR="0080585E">
        <w:rPr>
          <w:rFonts w:cs="Arial"/>
          <w:bCs/>
          <w:lang w:val="en-US"/>
        </w:rPr>
        <w:t xml:space="preserve"> </w:t>
      </w:r>
      <w:r w:rsidR="003F1B38">
        <w:rPr>
          <w:rFonts w:cs="Arial"/>
          <w:bCs/>
          <w:lang w:val="en-US"/>
        </w:rPr>
        <w:t>are reflective of conferencing prioritisation.</w:t>
      </w:r>
      <w:r w:rsidR="00B833DF">
        <w:rPr>
          <w:rFonts w:cs="Arial"/>
          <w:bCs/>
          <w:lang w:val="en-US"/>
        </w:rPr>
        <w:t xml:space="preserve"> Although the roll marking anomaly unfortunately created a missed opportunity to hold parents accountable for not sending their children to school, the matter has since been remedied and data is now being reliably provided.</w:t>
      </w:r>
    </w:p>
    <w:p w14:paraId="6442EEA1" w14:textId="77777777" w:rsidR="001071DC" w:rsidRDefault="001071DC" w:rsidP="000F7CB0">
      <w:pPr>
        <w:ind w:left="-142" w:right="-425"/>
        <w:jc w:val="both"/>
        <w:rPr>
          <w:rFonts w:cs="Arial"/>
          <w:bCs/>
          <w:lang w:val="en-US"/>
        </w:rPr>
      </w:pPr>
    </w:p>
    <w:p w14:paraId="4A439A8B" w14:textId="4399B917" w:rsidR="0061026B" w:rsidRPr="000F7CB0" w:rsidRDefault="0061026B" w:rsidP="0061026B">
      <w:pPr>
        <w:ind w:left="-142" w:right="-425"/>
        <w:jc w:val="both"/>
        <w:rPr>
          <w:rFonts w:cs="Arial"/>
          <w:bCs/>
          <w:lang w:val="en-US"/>
        </w:rPr>
      </w:pPr>
      <w:r>
        <w:rPr>
          <w:rFonts w:cs="Arial"/>
          <w:bCs/>
          <w:lang w:val="en-US"/>
        </w:rPr>
        <w:t xml:space="preserve">There is little doubt that the community unrest which occurred during this quarter contributed to the historic school non-attendance rate of 28.4 percent </w:t>
      </w:r>
      <w:r w:rsidR="007B2793">
        <w:rPr>
          <w:rFonts w:cs="Arial"/>
          <w:bCs/>
          <w:lang w:val="en-US"/>
        </w:rPr>
        <w:t>for the primary</w:t>
      </w:r>
      <w:r w:rsidR="007C1B6F">
        <w:rPr>
          <w:rFonts w:cs="Arial"/>
          <w:bCs/>
          <w:lang w:val="en-US"/>
        </w:rPr>
        <w:t xml:space="preserve"> school</w:t>
      </w:r>
      <w:r w:rsidR="007B2793">
        <w:rPr>
          <w:rFonts w:cs="Arial"/>
          <w:bCs/>
          <w:lang w:val="en-US"/>
        </w:rPr>
        <w:t xml:space="preserve"> sector </w:t>
      </w:r>
      <w:r>
        <w:rPr>
          <w:rFonts w:cs="Arial"/>
          <w:bCs/>
          <w:lang w:val="en-US"/>
        </w:rPr>
        <w:t xml:space="preserve">(the lowest non-attendance rate dating from term 1 2008). The </w:t>
      </w:r>
      <w:r w:rsidRPr="00BA1071">
        <w:rPr>
          <w:rFonts w:cs="Arial"/>
          <w:bCs/>
          <w:lang w:val="en-US"/>
        </w:rPr>
        <w:t>Torres and Cape Hospital and Health Service</w:t>
      </w:r>
      <w:r w:rsidRPr="00BA1071">
        <w:rPr>
          <w:rFonts w:cs="Arial"/>
          <w:bCs/>
        </w:rPr>
        <w:t xml:space="preserve"> </w:t>
      </w:r>
      <w:r>
        <w:rPr>
          <w:rFonts w:cs="Arial"/>
          <w:bCs/>
        </w:rPr>
        <w:t xml:space="preserve">reported attacks on their staff and property which resulted in </w:t>
      </w:r>
      <w:r w:rsidRPr="00A838C7">
        <w:rPr>
          <w:rFonts w:cs="Arial"/>
          <w:bCs/>
        </w:rPr>
        <w:t xml:space="preserve">routine community visits </w:t>
      </w:r>
      <w:r>
        <w:rPr>
          <w:rFonts w:cs="Arial"/>
          <w:bCs/>
        </w:rPr>
        <w:t>and</w:t>
      </w:r>
      <w:r w:rsidRPr="00A838C7">
        <w:rPr>
          <w:rFonts w:cs="Arial"/>
          <w:bCs/>
        </w:rPr>
        <w:t xml:space="preserve"> outreach home visits from the primary healthcare centre suspended until further notice.</w:t>
      </w:r>
      <w:r>
        <w:rPr>
          <w:rFonts w:cs="Arial"/>
          <w:bCs/>
        </w:rPr>
        <w:t xml:space="preserve"> The situation was monitored on a daily basis and the health service was liaising closely with government agencies and the police</w:t>
      </w:r>
      <w:r w:rsidR="00B833DF">
        <w:rPr>
          <w:rFonts w:cs="Arial"/>
          <w:bCs/>
        </w:rPr>
        <w:t xml:space="preserve"> during the period</w:t>
      </w:r>
      <w:r w:rsidRPr="00BA1071">
        <w:rPr>
          <w:rFonts w:cs="Arial"/>
          <w:bCs/>
        </w:rPr>
        <w:t>.</w:t>
      </w:r>
      <w:r>
        <w:rPr>
          <w:rFonts w:cs="Arial"/>
          <w:bCs/>
        </w:rPr>
        <w:t xml:space="preserve"> C</w:t>
      </w:r>
      <w:r w:rsidRPr="00A838C7">
        <w:rPr>
          <w:rFonts w:cs="Arial"/>
          <w:bCs/>
        </w:rPr>
        <w:t xml:space="preserve">ounselling and support </w:t>
      </w:r>
      <w:r>
        <w:rPr>
          <w:rFonts w:cs="Arial"/>
          <w:bCs/>
        </w:rPr>
        <w:t xml:space="preserve">was </w:t>
      </w:r>
      <w:r w:rsidRPr="00A838C7">
        <w:rPr>
          <w:rFonts w:cs="Arial"/>
          <w:bCs/>
        </w:rPr>
        <w:t xml:space="preserve">provided </w:t>
      </w:r>
      <w:r>
        <w:rPr>
          <w:rFonts w:cs="Arial"/>
          <w:bCs/>
        </w:rPr>
        <w:t>to their staff following the incidents</w:t>
      </w:r>
      <w:r w:rsidRPr="00A838C7">
        <w:rPr>
          <w:rFonts w:cs="Arial"/>
          <w:bCs/>
        </w:rPr>
        <w:t>.</w:t>
      </w:r>
      <w:r>
        <w:rPr>
          <w:rFonts w:cs="Arial"/>
          <w:bCs/>
        </w:rPr>
        <w:t xml:space="preserve"> Th</w:t>
      </w:r>
      <w:r>
        <w:rPr>
          <w:rFonts w:cs="Arial"/>
          <w:bCs/>
          <w:lang w:val="en-US"/>
        </w:rPr>
        <w:t xml:space="preserve">e community unrest resulted in a ‘Code Black’ being declared by the </w:t>
      </w:r>
      <w:bookmarkStart w:id="37" w:name="_Hlk129096886"/>
      <w:r>
        <w:rPr>
          <w:rFonts w:cs="Arial"/>
          <w:bCs/>
          <w:lang w:val="en-US"/>
        </w:rPr>
        <w:t>Torres and Cape Hospital and Health Service</w:t>
      </w:r>
      <w:bookmarkEnd w:id="37"/>
      <w:r>
        <w:rPr>
          <w:rFonts w:cs="Arial"/>
          <w:bCs/>
          <w:lang w:val="en-US"/>
        </w:rPr>
        <w:t xml:space="preserve"> with no doctors flying into Aurukun. The Aurukun Police were chauffeuring medical patients to and from the hospital and many services suspended flights into the community.</w:t>
      </w:r>
    </w:p>
    <w:p w14:paraId="1E8CA9DA" w14:textId="77777777" w:rsidR="0061026B" w:rsidRPr="002B2692" w:rsidRDefault="0061026B" w:rsidP="0061026B">
      <w:pPr>
        <w:ind w:left="-142" w:right="-425"/>
        <w:jc w:val="both"/>
        <w:rPr>
          <w:rFonts w:cs="Arial"/>
          <w:bCs/>
        </w:rPr>
      </w:pPr>
    </w:p>
    <w:p w14:paraId="64D55982" w14:textId="7AA08EE5" w:rsidR="000F7CB0" w:rsidRDefault="008D3764" w:rsidP="000F7CB0">
      <w:pPr>
        <w:ind w:left="-142" w:right="-425"/>
        <w:jc w:val="both"/>
        <w:rPr>
          <w:rFonts w:cs="Arial"/>
          <w:bCs/>
          <w:lang w:val="en-US"/>
        </w:rPr>
      </w:pPr>
      <w:r>
        <w:rPr>
          <w:rFonts w:cs="Arial"/>
          <w:bCs/>
          <w:lang w:val="en-US"/>
        </w:rPr>
        <w:t>Aurukun Local Commissioners</w:t>
      </w:r>
      <w:r w:rsidR="001E45AC">
        <w:rPr>
          <w:rFonts w:cs="Arial"/>
          <w:bCs/>
          <w:lang w:val="en-US"/>
        </w:rPr>
        <w:t>, identifying that school attendance had not improved from term 3,</w:t>
      </w:r>
      <w:r>
        <w:rPr>
          <w:rFonts w:cs="Arial"/>
          <w:bCs/>
          <w:lang w:val="en-US"/>
        </w:rPr>
        <w:t xml:space="preserve"> began formulating their elevated school response in November for practical application in the new </w:t>
      </w:r>
      <w:r w:rsidR="00807E33">
        <w:rPr>
          <w:rFonts w:cs="Arial"/>
          <w:bCs/>
          <w:lang w:val="en-US"/>
        </w:rPr>
        <w:t xml:space="preserve">2023 </w:t>
      </w:r>
      <w:r>
        <w:rPr>
          <w:rFonts w:cs="Arial"/>
          <w:bCs/>
          <w:lang w:val="en-US"/>
        </w:rPr>
        <w:t xml:space="preserve">school year. </w:t>
      </w:r>
      <w:r w:rsidR="00291D0A">
        <w:rPr>
          <w:rFonts w:cs="Arial"/>
          <w:bCs/>
          <w:lang w:val="en-US"/>
        </w:rPr>
        <w:t>Local Commissioners planned to adopt similar strategies to the Doomadgee Commissioners and will travel on the school bus in the mornings to encourage children to board</w:t>
      </w:r>
      <w:r w:rsidR="003A204D">
        <w:rPr>
          <w:rFonts w:cs="Arial"/>
          <w:bCs/>
          <w:lang w:val="en-US"/>
        </w:rPr>
        <w:t xml:space="preserve"> the bus</w:t>
      </w:r>
      <w:r w:rsidR="00C167E0">
        <w:rPr>
          <w:rFonts w:cs="Arial"/>
          <w:bCs/>
          <w:lang w:val="en-US"/>
        </w:rPr>
        <w:t>. The Local Commissioners</w:t>
      </w:r>
      <w:r w:rsidR="00291D0A">
        <w:rPr>
          <w:rFonts w:cs="Arial"/>
          <w:bCs/>
          <w:lang w:val="en-US"/>
        </w:rPr>
        <w:t xml:space="preserve"> will </w:t>
      </w:r>
      <w:r w:rsidR="00C167E0">
        <w:rPr>
          <w:rFonts w:cs="Arial"/>
          <w:bCs/>
          <w:lang w:val="en-US"/>
        </w:rPr>
        <w:t xml:space="preserve">also </w:t>
      </w:r>
      <w:r w:rsidR="00291D0A">
        <w:rPr>
          <w:rFonts w:cs="Arial"/>
          <w:bCs/>
          <w:lang w:val="en-US"/>
        </w:rPr>
        <w:t>visit the Aurukun School Principal along with the Local Registry Coordinator to discuss and prioritise families for home visits and the first two conference sessions for the 2023 year will be comprised of those clients notified to the Commission for non-attendance and non-enrolment.</w:t>
      </w:r>
    </w:p>
    <w:p w14:paraId="4DC9B7AA" w14:textId="4E97CB39" w:rsidR="00FC6C73" w:rsidRDefault="00FC6C73" w:rsidP="000F7CB0">
      <w:pPr>
        <w:ind w:left="-142" w:right="-425"/>
        <w:jc w:val="both"/>
        <w:rPr>
          <w:rFonts w:cs="Arial"/>
          <w:bCs/>
          <w:lang w:val="en-US"/>
        </w:rPr>
      </w:pPr>
    </w:p>
    <w:p w14:paraId="45D17DD1" w14:textId="77777777" w:rsidR="00B67F43" w:rsidRPr="00E3101C" w:rsidRDefault="00B67F43" w:rsidP="00B67F43">
      <w:pPr>
        <w:ind w:left="-142" w:right="-425"/>
        <w:jc w:val="both"/>
        <w:rPr>
          <w:rFonts w:cs="Arial"/>
          <w:b/>
          <w:bCs/>
          <w:sz w:val="22"/>
          <w:szCs w:val="22"/>
        </w:rPr>
      </w:pPr>
      <w:r>
        <w:rPr>
          <w:rFonts w:cs="Arial"/>
          <w:b/>
          <w:bCs/>
          <w:sz w:val="22"/>
          <w:szCs w:val="22"/>
        </w:rPr>
        <w:t xml:space="preserve">Queensland </w:t>
      </w:r>
      <w:r w:rsidRPr="00E3101C">
        <w:rPr>
          <w:rFonts w:cs="Arial"/>
          <w:b/>
          <w:bCs/>
          <w:sz w:val="22"/>
          <w:szCs w:val="22"/>
        </w:rPr>
        <w:t>Government Coordinator</w:t>
      </w:r>
      <w:r>
        <w:rPr>
          <w:rFonts w:cs="Arial"/>
          <w:b/>
          <w:bCs/>
          <w:sz w:val="22"/>
          <w:szCs w:val="22"/>
        </w:rPr>
        <w:t xml:space="preserve"> - Aurukun</w:t>
      </w:r>
    </w:p>
    <w:p w14:paraId="10D495F8" w14:textId="77F3FB8C" w:rsidR="00B67F43" w:rsidRPr="00E3101C" w:rsidRDefault="00B67F43" w:rsidP="00B67F43">
      <w:pPr>
        <w:ind w:left="-142" w:right="-425"/>
        <w:jc w:val="both"/>
        <w:rPr>
          <w:rFonts w:cs="Arial"/>
        </w:rPr>
      </w:pPr>
      <w:r>
        <w:rPr>
          <w:rFonts w:cs="Arial"/>
        </w:rPr>
        <w:t xml:space="preserve">As reported in Quarterly Report No 56, </w:t>
      </w:r>
      <w:r w:rsidRPr="00E3101C">
        <w:rPr>
          <w:rFonts w:cs="Arial"/>
        </w:rPr>
        <w:t xml:space="preserve">The </w:t>
      </w:r>
      <w:r>
        <w:rPr>
          <w:rFonts w:cs="Arial"/>
        </w:rPr>
        <w:t xml:space="preserve">Queensland </w:t>
      </w:r>
      <w:r w:rsidRPr="00E3101C">
        <w:rPr>
          <w:rFonts w:cs="Arial"/>
        </w:rPr>
        <w:t>Government Coordinator for Aurukun ceased his contract at the end of June 2022. The Commission is unaware whether a replacement Coordinator has been appointed, or whether recruitment is in progress. The</w:t>
      </w:r>
      <w:r>
        <w:rPr>
          <w:rFonts w:cs="Arial"/>
        </w:rPr>
        <w:t xml:space="preserve"> Queensland</w:t>
      </w:r>
      <w:r w:rsidRPr="00E3101C">
        <w:rPr>
          <w:rFonts w:cs="Arial"/>
        </w:rPr>
        <w:t xml:space="preserve"> Government Coordinator role in Aurukun is a role of some significance and is a vital service for the community</w:t>
      </w:r>
      <w:r>
        <w:rPr>
          <w:rFonts w:cs="Arial"/>
        </w:rPr>
        <w:t>, particularly in regard to community unrest and in the coordination of services</w:t>
      </w:r>
      <w:r w:rsidRPr="00E3101C">
        <w:rPr>
          <w:rFonts w:cs="Arial"/>
        </w:rPr>
        <w:t xml:space="preserve">. The Commission looks forward to this position being filled to assist with consistent and appropriate service delivery in the community. In the meantime, and </w:t>
      </w:r>
      <w:r>
        <w:rPr>
          <w:rFonts w:cs="Arial"/>
        </w:rPr>
        <w:t>i</w:t>
      </w:r>
      <w:r w:rsidRPr="00E3101C">
        <w:rPr>
          <w:rFonts w:cs="Arial"/>
        </w:rPr>
        <w:t xml:space="preserve">n the absence of a </w:t>
      </w:r>
      <w:r>
        <w:rPr>
          <w:rFonts w:cs="Arial"/>
        </w:rPr>
        <w:t xml:space="preserve">Queensland </w:t>
      </w:r>
      <w:r w:rsidRPr="00E3101C">
        <w:rPr>
          <w:rFonts w:cs="Arial"/>
        </w:rPr>
        <w:t xml:space="preserve">Government Coordinator, the Queensland Police Officer-in-charge has taken on the coordination of some local support service and agency meetings to ensure that communication </w:t>
      </w:r>
      <w:r>
        <w:rPr>
          <w:rFonts w:cs="Arial"/>
        </w:rPr>
        <w:t>and coordination of activities are</w:t>
      </w:r>
      <w:r w:rsidRPr="00E3101C">
        <w:rPr>
          <w:rFonts w:cs="Arial"/>
        </w:rPr>
        <w:t xml:space="preserve"> maintained.</w:t>
      </w:r>
    </w:p>
    <w:p w14:paraId="2B6661F5" w14:textId="0662FBCE" w:rsidR="00886014" w:rsidRDefault="00886014" w:rsidP="002B2692">
      <w:pPr>
        <w:ind w:left="-142" w:right="-425"/>
        <w:jc w:val="both"/>
        <w:rPr>
          <w:rFonts w:cs="Arial"/>
          <w:b/>
          <w:sz w:val="16"/>
          <w:szCs w:val="16"/>
        </w:rPr>
      </w:pPr>
      <w:r>
        <w:rPr>
          <w:rFonts w:cs="Arial"/>
          <w:b/>
          <w:sz w:val="16"/>
          <w:szCs w:val="16"/>
        </w:rPr>
        <w:br w:type="page"/>
      </w:r>
    </w:p>
    <w:p w14:paraId="0F54CA59" w14:textId="77777777" w:rsidR="00021D30" w:rsidRDefault="00021D30" w:rsidP="00021D30">
      <w:pPr>
        <w:ind w:left="-142" w:right="-425"/>
        <w:jc w:val="both"/>
        <w:rPr>
          <w:rFonts w:cs="Arial"/>
          <w:b/>
          <w:sz w:val="16"/>
          <w:szCs w:val="16"/>
        </w:rPr>
      </w:pPr>
    </w:p>
    <w:p w14:paraId="500EBB20" w14:textId="77777777" w:rsidR="00021D30" w:rsidRDefault="00021D30" w:rsidP="005A5B78">
      <w:pPr>
        <w:ind w:left="-142" w:right="-425"/>
        <w:jc w:val="both"/>
        <w:rPr>
          <w:rFonts w:cs="Arial"/>
          <w:b/>
          <w:sz w:val="16"/>
          <w:szCs w:val="16"/>
        </w:rPr>
      </w:pPr>
    </w:p>
    <w:p w14:paraId="59FA8724" w14:textId="55F36592" w:rsidR="005A5B78" w:rsidRPr="00E34093" w:rsidRDefault="005A5B78" w:rsidP="005A5B78">
      <w:pPr>
        <w:pStyle w:val="Heading1"/>
        <w:ind w:left="-142" w:right="-426"/>
      </w:pPr>
      <w:bookmarkStart w:id="38" w:name="RANGE!A4:I20"/>
      <w:bookmarkStart w:id="39" w:name="_Toc39657993"/>
      <w:bookmarkEnd w:id="38"/>
      <w:r w:rsidRPr="00E34093">
        <w:t xml:space="preserve">3.  </w:t>
      </w:r>
      <w:r w:rsidR="000541CA">
        <w:t>Governance</w:t>
      </w:r>
      <w:bookmarkEnd w:id="39"/>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CB103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6315DF2B" w:rsidR="00281E73" w:rsidRPr="00A42E2F" w:rsidRDefault="00B04535" w:rsidP="00FC008A">
      <w:pPr>
        <w:pStyle w:val="ListBullet"/>
        <w:ind w:left="2863" w:hanging="3005"/>
      </w:pPr>
      <w:r>
        <w:t>Ms Jody Broun</w:t>
      </w:r>
      <w:r w:rsidR="00A42E2F" w:rsidRPr="00A42E2F">
        <w:tab/>
      </w:r>
      <w:r w:rsidR="00A42E2F" w:rsidRPr="00A42E2F">
        <w:tab/>
      </w:r>
      <w:r w:rsidR="00A42E2F" w:rsidRPr="00A42E2F">
        <w:tab/>
      </w:r>
      <w:r>
        <w:t>CEO, National Indigenous Australians Agency</w:t>
      </w:r>
    </w:p>
    <w:p w14:paraId="57D8A012" w14:textId="6E5E7BC4" w:rsidR="00A42E2F" w:rsidRDefault="0057512A" w:rsidP="00CF3AF9">
      <w:pPr>
        <w:pStyle w:val="ListBullet"/>
        <w:ind w:left="2835" w:hanging="2977"/>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CF3AF9">
      <w:pPr>
        <w:pStyle w:val="ListBullet"/>
        <w:numPr>
          <w:ilvl w:val="0"/>
          <w:numId w:val="0"/>
        </w:numPr>
        <w:ind w:left="3600"/>
      </w:pPr>
      <w:r>
        <w:t xml:space="preserve">Cape York </w:t>
      </w:r>
      <w:r w:rsidR="00751CB6">
        <w:t>Institute</w:t>
      </w:r>
      <w:r w:rsidR="0057512A">
        <w:t>.</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CB1032">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0" w:name="_Toc39657994"/>
      <w:r>
        <w:lastRenderedPageBreak/>
        <w:t>4</w:t>
      </w:r>
      <w:r w:rsidRPr="00E34093">
        <w:t>.  Financial Operations</w:t>
      </w:r>
      <w:bookmarkEnd w:id="40"/>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CB1032">
      <w:pPr>
        <w:pStyle w:val="Heading2"/>
      </w:pPr>
      <w:r w:rsidRPr="00BF1639">
        <w:t>Income:</w:t>
      </w:r>
    </w:p>
    <w:p w14:paraId="6D17618C" w14:textId="0FB26DEE" w:rsidR="009F0A67" w:rsidRPr="008E6DBA" w:rsidRDefault="009F0A67" w:rsidP="00FC008A">
      <w:pPr>
        <w:pStyle w:val="ListBullet"/>
        <w:ind w:left="215" w:hanging="357"/>
      </w:pPr>
      <w:r w:rsidRPr="008E6DBA">
        <w:t xml:space="preserve">Income </w:t>
      </w:r>
      <w:r w:rsidR="00266AAA">
        <w:t xml:space="preserve">of the </w:t>
      </w:r>
      <w:r w:rsidRPr="008E6DBA">
        <w:t xml:space="preserve">Commission </w:t>
      </w:r>
      <w:r w:rsidR="00266AAA">
        <w:t xml:space="preserve">attributable to </w:t>
      </w:r>
      <w:r w:rsidRPr="008E6DBA">
        <w:t xml:space="preserve">the </w:t>
      </w:r>
      <w:r w:rsidR="00266AAA">
        <w:t>quarter (</w:t>
      </w:r>
      <w:r w:rsidR="007B7E78">
        <w:t>1 October</w:t>
      </w:r>
      <w:r w:rsidR="00415BC8">
        <w:t xml:space="preserve"> 2022</w:t>
      </w:r>
      <w:r w:rsidRPr="008E6DBA">
        <w:t xml:space="preserve"> to </w:t>
      </w:r>
      <w:r w:rsidR="007B7E78">
        <w:t>31 December</w:t>
      </w:r>
      <w:r w:rsidR="00FE56E9">
        <w:t xml:space="preserve"> </w:t>
      </w:r>
      <w:r w:rsidR="001A5C4C">
        <w:t>2022</w:t>
      </w:r>
      <w:r w:rsidR="00266AAA">
        <w:t>)</w:t>
      </w:r>
      <w:r w:rsidRPr="008E6DBA">
        <w:t xml:space="preserve"> totalled $</w:t>
      </w:r>
      <w:r w:rsidR="000F5E08">
        <w:t>1,106,622</w:t>
      </w:r>
      <w:r w:rsidR="00A504A2" w:rsidRPr="00266AAA">
        <w:t>.</w:t>
      </w:r>
      <w:r w:rsidR="00CE6E33" w:rsidRPr="008E6DBA">
        <w:t xml:space="preserve"> </w:t>
      </w:r>
      <w:r w:rsidRPr="008E6DBA">
        <w:t>This income consisted of:</w:t>
      </w:r>
    </w:p>
    <w:p w14:paraId="350616B8" w14:textId="7DAE41FE" w:rsidR="009F0A67" w:rsidRPr="00D83D2C" w:rsidRDefault="009F0A67" w:rsidP="009F0A67">
      <w:pPr>
        <w:pStyle w:val="ListBullet2"/>
      </w:pPr>
      <w:r w:rsidRPr="00D83D2C">
        <w:t>$</w:t>
      </w:r>
      <w:r w:rsidR="001C1C0C" w:rsidRPr="000F5E08">
        <w:t>6</w:t>
      </w:r>
      <w:r w:rsidR="00266AAA" w:rsidRPr="000F5E08">
        <w:t>19</w:t>
      </w:r>
      <w:r w:rsidR="001C1C0C" w:rsidRPr="000F5E08">
        <w:t>,</w:t>
      </w:r>
      <w:r w:rsidR="00266AAA" w:rsidRPr="000F5E08">
        <w:t>75</w:t>
      </w:r>
      <w:r w:rsidR="001C1C0C" w:rsidRPr="000F5E08">
        <w:t>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44BB711F" w:rsidR="009F0A67" w:rsidRDefault="009F0A67" w:rsidP="009F0A67">
      <w:pPr>
        <w:pStyle w:val="ListBullet2"/>
      </w:pPr>
      <w:r w:rsidRPr="00850051">
        <w:t>$</w:t>
      </w:r>
      <w:r w:rsidR="000F5E08">
        <w:t>36,442</w:t>
      </w:r>
      <w:r w:rsidR="00CF1D2E">
        <w:t xml:space="preserve"> </w:t>
      </w:r>
      <w:r w:rsidRPr="00850051">
        <w:t>interest received</w:t>
      </w:r>
    </w:p>
    <w:p w14:paraId="1FD7CA72" w14:textId="72358EBA" w:rsidR="009F3C63" w:rsidRPr="00850051" w:rsidRDefault="009F3C63" w:rsidP="009F0A67">
      <w:pPr>
        <w:pStyle w:val="ListBullet2"/>
      </w:pPr>
      <w:r>
        <w:t>$</w:t>
      </w:r>
      <w:r w:rsidR="000F5E08">
        <w:t>430</w:t>
      </w:r>
      <w:r>
        <w:t xml:space="preserve"> sundry income</w:t>
      </w:r>
    </w:p>
    <w:p w14:paraId="7F7D4816" w14:textId="77777777" w:rsidR="00266AAA" w:rsidRDefault="00266AAA" w:rsidP="009F0A67">
      <w:pPr>
        <w:ind w:left="-142" w:right="-425"/>
        <w:jc w:val="both"/>
        <w:rPr>
          <w:rFonts w:cs="Arial"/>
        </w:rPr>
      </w:pPr>
    </w:p>
    <w:p w14:paraId="63A91431" w14:textId="2A1032D5" w:rsidR="009F0A67" w:rsidRDefault="009F0A67" w:rsidP="009F0A67">
      <w:pPr>
        <w:ind w:left="-142" w:right="-425"/>
        <w:jc w:val="both"/>
        <w:rPr>
          <w:rFonts w:cs="Arial"/>
        </w:rPr>
      </w:pPr>
      <w:r w:rsidRPr="0073709D">
        <w:rPr>
          <w:rFonts w:cs="Arial"/>
        </w:rPr>
        <w:t xml:space="preserve">The balance of available funds in the bank as at </w:t>
      </w:r>
      <w:r w:rsidR="007B7E78">
        <w:rPr>
          <w:rFonts w:cs="Arial"/>
        </w:rPr>
        <w:t>31 December</w:t>
      </w:r>
      <w:r w:rsidR="00FE56E9">
        <w:rPr>
          <w:rFonts w:cs="Arial"/>
        </w:rPr>
        <w:t xml:space="preserve"> </w:t>
      </w:r>
      <w:r w:rsidR="001A5C4C">
        <w:rPr>
          <w:rFonts w:cs="Arial"/>
        </w:rPr>
        <w:t>2022</w:t>
      </w:r>
      <w:r w:rsidRPr="0073709D">
        <w:rPr>
          <w:rFonts w:cs="Arial"/>
        </w:rPr>
        <w:t xml:space="preserve"> </w:t>
      </w:r>
      <w:r w:rsidRPr="008E6DBA">
        <w:rPr>
          <w:rFonts w:cs="Arial"/>
        </w:rPr>
        <w:t>is $</w:t>
      </w:r>
      <w:r w:rsidR="000F5E08">
        <w:rPr>
          <w:rFonts w:cs="Arial"/>
        </w:rPr>
        <w:t>3,833,661</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B1032">
      <w:pPr>
        <w:pStyle w:val="Heading2"/>
      </w:pPr>
      <w:r w:rsidRPr="00BF1639">
        <w:t>Expenditure:</w:t>
      </w:r>
    </w:p>
    <w:p w14:paraId="1DC8DF62" w14:textId="7443EAAD" w:rsidR="00C74BF5" w:rsidRPr="001720D5" w:rsidRDefault="00C74BF5" w:rsidP="00C74BF5">
      <w:pPr>
        <w:pStyle w:val="ListBullet"/>
        <w:ind w:left="2863" w:hanging="3005"/>
      </w:pPr>
      <w:r w:rsidRPr="00BD380A">
        <w:t xml:space="preserve">Expenditure for the </w:t>
      </w:r>
      <w:r w:rsidR="00FA676F">
        <w:t>quarter (</w:t>
      </w:r>
      <w:r w:rsidR="007B7E78">
        <w:t>1 October</w:t>
      </w:r>
      <w:r w:rsidR="00415BC8">
        <w:t xml:space="preserve"> 2022</w:t>
      </w:r>
      <w:r w:rsidRPr="00BD380A">
        <w:t xml:space="preserve"> to </w:t>
      </w:r>
      <w:r w:rsidR="007B7E78">
        <w:t>31 December</w:t>
      </w:r>
      <w:r w:rsidR="00FE56E9">
        <w:t xml:space="preserve"> </w:t>
      </w:r>
      <w:r w:rsidR="001A5C4C">
        <w:t>2022</w:t>
      </w:r>
      <w:r w:rsidR="00FA676F">
        <w:t>)</w:t>
      </w:r>
      <w:r w:rsidRPr="00BD380A">
        <w:t xml:space="preserve"> was </w:t>
      </w:r>
      <w:r w:rsidRPr="002B45D3">
        <w:t>$</w:t>
      </w:r>
      <w:r w:rsidR="00124FF2">
        <w:t>1,059,398</w:t>
      </w:r>
      <w:r>
        <w:t>.</w:t>
      </w:r>
    </w:p>
    <w:p w14:paraId="4555CA86" w14:textId="07475910" w:rsidR="00D840DE" w:rsidRDefault="00D840DE" w:rsidP="009F0A67">
      <w:pPr>
        <w:ind w:left="-142" w:right="-425"/>
        <w:jc w:val="both"/>
        <w:rPr>
          <w:rFonts w:cs="Arial"/>
        </w:rPr>
      </w:pPr>
    </w:p>
    <w:p w14:paraId="40442581" w14:textId="580FE8B4" w:rsidR="00EB0526" w:rsidRDefault="00EB0526" w:rsidP="009D766A">
      <w:pPr>
        <w:ind w:left="-142" w:right="-425"/>
        <w:jc w:val="both"/>
        <w:rPr>
          <w:rFonts w:cs="Arial"/>
          <w:sz w:val="16"/>
          <w:szCs w:val="16"/>
        </w:rPr>
      </w:pPr>
      <w:r w:rsidRPr="009D766A">
        <w:rPr>
          <w:rFonts w:cs="Arial"/>
          <w:b/>
          <w:sz w:val="16"/>
          <w:szCs w:val="16"/>
        </w:rPr>
        <w:t xml:space="preserve">Table </w:t>
      </w:r>
      <w:r w:rsidR="006E364C">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250129">
        <w:rPr>
          <w:rFonts w:cs="Arial"/>
          <w:sz w:val="16"/>
          <w:szCs w:val="16"/>
        </w:rPr>
        <w:t>58</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1E9DA048" w:rsidR="009F0A67" w:rsidRPr="00872CBA" w:rsidRDefault="007B7E78" w:rsidP="009F55E0">
            <w:pPr>
              <w:pStyle w:val="StyleTableTextBoldCentered"/>
              <w:rPr>
                <w:lang w:eastAsia="en-AU"/>
              </w:rPr>
            </w:pPr>
            <w:r>
              <w:rPr>
                <w:lang w:eastAsia="en-AU"/>
              </w:rPr>
              <w:t>1 October</w:t>
            </w:r>
            <w:r w:rsidR="00415BC8">
              <w:rPr>
                <w:lang w:eastAsia="en-AU"/>
              </w:rPr>
              <w:t xml:space="preserve"> 2022</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275C5A52" w:rsidR="009F0A67" w:rsidRPr="00872CBA" w:rsidRDefault="007B7E78" w:rsidP="009F55E0">
            <w:pPr>
              <w:pStyle w:val="StyleTableTextBoldCentered"/>
              <w:rPr>
                <w:lang w:eastAsia="en-AU"/>
              </w:rPr>
            </w:pPr>
            <w:r>
              <w:rPr>
                <w:lang w:eastAsia="en-AU"/>
              </w:rPr>
              <w:t>1 October</w:t>
            </w:r>
            <w:r w:rsidR="00415BC8">
              <w:rPr>
                <w:lang w:eastAsia="en-AU"/>
              </w:rPr>
              <w:t xml:space="preserve"> 2022</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53BEC71B" w:rsidR="009F0A67" w:rsidRPr="00872CBA" w:rsidRDefault="007B7E78" w:rsidP="009F55E0">
            <w:pPr>
              <w:pStyle w:val="StyleTableTextBoldCentered"/>
              <w:rPr>
                <w:lang w:eastAsia="en-AU"/>
              </w:rPr>
            </w:pPr>
            <w:r>
              <w:rPr>
                <w:lang w:eastAsia="en-AU"/>
              </w:rPr>
              <w:t>31 December</w:t>
            </w:r>
            <w:r w:rsidR="001A5C4C">
              <w:rPr>
                <w:lang w:eastAsia="en-AU"/>
              </w:rPr>
              <w:t>2022</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67CBB008" w:rsidR="009F0A67" w:rsidRPr="00872CBA" w:rsidRDefault="009F0A67" w:rsidP="004F7197">
            <w:pPr>
              <w:pStyle w:val="StyleTableTextBoldCentered"/>
              <w:rPr>
                <w:lang w:eastAsia="en-AU"/>
              </w:rPr>
            </w:pPr>
            <w:r w:rsidRPr="00872CBA">
              <w:rPr>
                <w:lang w:eastAsia="en-AU"/>
              </w:rPr>
              <w:t xml:space="preserve">Qtr </w:t>
            </w:r>
            <w:r w:rsidR="00250129">
              <w:rPr>
                <w:lang w:eastAsia="en-AU"/>
              </w:rPr>
              <w:t>58</w:t>
            </w:r>
          </w:p>
        </w:tc>
        <w:tc>
          <w:tcPr>
            <w:tcW w:w="2552" w:type="dxa"/>
            <w:tcBorders>
              <w:top w:val="nil"/>
              <w:left w:val="nil"/>
              <w:bottom w:val="nil"/>
              <w:right w:val="single" w:sz="4" w:space="0" w:color="FFFFFF"/>
            </w:tcBorders>
            <w:shd w:val="clear" w:color="auto" w:fill="000000"/>
            <w:noWrap/>
            <w:vAlign w:val="bottom"/>
          </w:tcPr>
          <w:p w14:paraId="7FB7D45D" w14:textId="1C24EFAE" w:rsidR="009F0A67" w:rsidRPr="00872CBA" w:rsidRDefault="007B7E78" w:rsidP="009F55E0">
            <w:pPr>
              <w:pStyle w:val="StyleTableTextBoldCentered"/>
              <w:rPr>
                <w:lang w:eastAsia="en-AU"/>
              </w:rPr>
            </w:pPr>
            <w:r>
              <w:rPr>
                <w:lang w:eastAsia="en-AU"/>
              </w:rPr>
              <w:t>31 December</w:t>
            </w:r>
            <w:r w:rsidR="001A5C4C">
              <w:rPr>
                <w:lang w:eastAsia="en-AU"/>
              </w:rPr>
              <w:t>2022</w:t>
            </w:r>
          </w:p>
        </w:tc>
        <w:tc>
          <w:tcPr>
            <w:tcW w:w="1701" w:type="dxa"/>
            <w:tcBorders>
              <w:top w:val="nil"/>
              <w:left w:val="nil"/>
              <w:bottom w:val="nil"/>
              <w:right w:val="nil"/>
            </w:tcBorders>
            <w:shd w:val="clear" w:color="auto" w:fill="000000"/>
            <w:noWrap/>
            <w:vAlign w:val="bottom"/>
          </w:tcPr>
          <w:p w14:paraId="4A5AEAEC" w14:textId="519D200E" w:rsidR="009F0A67" w:rsidRPr="00872CBA" w:rsidRDefault="009F0A67" w:rsidP="004F7197">
            <w:pPr>
              <w:pStyle w:val="StyleTableTextBoldCentered"/>
              <w:rPr>
                <w:lang w:eastAsia="en-AU"/>
              </w:rPr>
            </w:pPr>
            <w:r w:rsidRPr="00872CBA">
              <w:rPr>
                <w:lang w:eastAsia="en-AU"/>
              </w:rPr>
              <w:t xml:space="preserve">Qtr </w:t>
            </w:r>
            <w:r w:rsidR="00250129">
              <w:rPr>
                <w:lang w:eastAsia="en-AU"/>
              </w:rPr>
              <w:t>58</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4CA83EDF" w:rsidR="009F0A67" w:rsidRPr="00B548B9" w:rsidRDefault="00B548B9" w:rsidP="002E59A0">
            <w:pPr>
              <w:jc w:val="right"/>
            </w:pPr>
            <w:r>
              <w:t>537,776</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66718F30" w:rsidR="009F0A67" w:rsidRPr="00B548B9" w:rsidRDefault="00B548B9" w:rsidP="002E59A0">
            <w:pPr>
              <w:jc w:val="right"/>
            </w:pPr>
            <w:r>
              <w:t>64,573</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34F5D9FF" w:rsidR="009F0A67" w:rsidRPr="00B548B9" w:rsidRDefault="00B548B9" w:rsidP="002E59A0">
            <w:pPr>
              <w:jc w:val="right"/>
            </w:pPr>
            <w:r>
              <w:t>96,175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073F2633" w:rsidR="009F0A67" w:rsidRPr="00B548B9" w:rsidRDefault="00B548B9" w:rsidP="002E59A0">
            <w:pPr>
              <w:jc w:val="right"/>
            </w:pPr>
            <w:r>
              <w:t>11,347</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6085CFBC" w:rsidR="009F0A67" w:rsidRPr="00B548B9" w:rsidRDefault="00B548B9" w:rsidP="002E59A0">
            <w:pPr>
              <w:jc w:val="right"/>
            </w:pPr>
            <w:r>
              <w:t>116,825</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0278832C" w:rsidR="009F0A67" w:rsidRPr="00B548B9" w:rsidRDefault="00B548B9" w:rsidP="002E59A0">
            <w:pPr>
              <w:jc w:val="right"/>
            </w:pPr>
            <w:r>
              <w:t>63,205</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172F0DB9" w:rsidR="009F0A67" w:rsidRPr="00B548B9" w:rsidRDefault="00B548B9" w:rsidP="002E59A0">
            <w:pPr>
              <w:jc w:val="right"/>
            </w:pPr>
            <w:r>
              <w:t>15,292</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7DEF5FF4" w:rsidR="009F0A67" w:rsidRPr="00B548B9" w:rsidRDefault="00B548B9" w:rsidP="002E59A0">
            <w:pPr>
              <w:jc w:val="right"/>
            </w:pPr>
            <w:r>
              <w:t>59,045</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03FA05A9" w:rsidR="009F0A67" w:rsidRPr="00B548B9" w:rsidRDefault="00B548B9" w:rsidP="002E59A0">
            <w:pPr>
              <w:jc w:val="right"/>
            </w:pPr>
            <w:r>
              <w:t>37,046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07E1AA6F" w:rsidR="009F0A67" w:rsidRPr="00B548B9" w:rsidRDefault="00B548B9" w:rsidP="002E59A0">
            <w:pPr>
              <w:jc w:val="right"/>
            </w:pPr>
            <w:r>
              <w:t>42,051</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3A73BA61" w:rsidR="007966F3" w:rsidRPr="00B548B9" w:rsidRDefault="00B548B9" w:rsidP="002E59A0">
            <w:pPr>
              <w:jc w:val="right"/>
            </w:pPr>
            <w:r>
              <w:t>4,082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135E3986" w:rsidR="007966F3" w:rsidRPr="00B548B9" w:rsidRDefault="00B548B9" w:rsidP="002E59A0">
            <w:pPr>
              <w:jc w:val="right"/>
            </w:pPr>
            <w:r>
              <w:t>11,981</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6CEF9A47" w:rsidR="009F0A67" w:rsidRPr="00B548B9" w:rsidRDefault="00B548B9" w:rsidP="002E59A0">
            <w:pPr>
              <w:jc w:val="right"/>
              <w:rPr>
                <w:b/>
              </w:rPr>
            </w:pPr>
            <w:r>
              <w:rPr>
                <w:b/>
              </w:rPr>
              <w:t>$1,059,398</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331081" w:rsidRDefault="00331081" w:rsidP="00CD4DBB">
      <w:pPr>
        <w:pStyle w:val="ListParagraph"/>
        <w:numPr>
          <w:ilvl w:val="0"/>
          <w:numId w:val="9"/>
        </w:numPr>
        <w:spacing w:after="120"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including the operational expenses </w:t>
      </w:r>
      <w:r w:rsidRPr="00331081">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agreements and orders.</w:t>
      </w:r>
    </w:p>
    <w:p w14:paraId="6C2BB238"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
          <w:sz w:val="20"/>
          <w:szCs w:val="20"/>
        </w:rPr>
      </w:pPr>
      <w:r w:rsidRPr="00331081">
        <w:rPr>
          <w:rFonts w:ascii="Verdana" w:hAnsi="Verdana" w:cs="Arial"/>
          <w:b/>
          <w:sz w:val="20"/>
          <w:szCs w:val="20"/>
        </w:rPr>
        <w:t xml:space="preserve">Support and facilitation expenses </w:t>
      </w:r>
      <w:r w:rsidRPr="00331081">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where considered necessary.</w:t>
      </w:r>
    </w:p>
    <w:p w14:paraId="6360FB36" w14:textId="77777777" w:rsidR="00331081" w:rsidRPr="00331081" w:rsidRDefault="00331081" w:rsidP="00331081">
      <w:pPr>
        <w:pStyle w:val="ListParagraph"/>
        <w:numPr>
          <w:ilvl w:val="0"/>
          <w:numId w:val="9"/>
        </w:numPr>
        <w:spacing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Corporate governance </w:t>
      </w:r>
      <w:r w:rsidRPr="00331081">
        <w:rPr>
          <w:rFonts w:ascii="Verdana" w:hAnsi="Verdana" w:cs="Arial"/>
          <w:bCs/>
          <w:sz w:val="20"/>
          <w:szCs w:val="20"/>
        </w:rPr>
        <w:t>includes finance, statistical reporting, corporate governance,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485BB445" w:rsidR="00C14FC9" w:rsidRDefault="00B156C7" w:rsidP="0020608D">
      <w:pPr>
        <w:ind w:left="-142" w:right="-425"/>
        <w:jc w:val="both"/>
        <w:rPr>
          <w:rFonts w:cs="Arial"/>
        </w:rPr>
      </w:pPr>
      <w:r>
        <w:rPr>
          <w:rFonts w:cs="Arial"/>
        </w:rPr>
        <w:t xml:space="preserve">As can be observed in Graph </w:t>
      </w:r>
      <w:r w:rsidR="002C1115">
        <w:rPr>
          <w:rFonts w:cs="Arial"/>
        </w:rPr>
        <w:t>1</w:t>
      </w:r>
      <w:r w:rsidR="006A5843">
        <w:rPr>
          <w:rFonts w:cs="Arial"/>
        </w:rPr>
        <w:t>3</w:t>
      </w:r>
      <w:r w:rsidR="002C1115">
        <w:rPr>
          <w:rFonts w:cs="Arial"/>
        </w:rPr>
        <w:t xml:space="preserve"> </w:t>
      </w:r>
      <w:r>
        <w:rPr>
          <w:rFonts w:cs="Arial"/>
        </w:rPr>
        <w:t xml:space="preserve">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250129">
        <w:rPr>
          <w:rFonts w:cs="Arial"/>
        </w:rPr>
        <w:t>58</w:t>
      </w:r>
      <w:r>
        <w:rPr>
          <w:rFonts w:cs="Arial"/>
        </w:rPr>
        <w:t xml:space="preserve">, the largest allocation during the reporting period is in relation to </w:t>
      </w:r>
      <w:r w:rsidR="00B01B37">
        <w:rPr>
          <w:rFonts w:cs="Arial"/>
        </w:rPr>
        <w:t xml:space="preserve">community </w:t>
      </w:r>
      <w:r w:rsidR="00B01B37" w:rsidRPr="00FA676F">
        <w:rPr>
          <w:rFonts w:cs="Arial"/>
        </w:rPr>
        <w:t>operations</w:t>
      </w:r>
      <w:r w:rsidRPr="00FA676F">
        <w:rPr>
          <w:rFonts w:cs="Arial"/>
        </w:rPr>
        <w:t xml:space="preserve"> (</w:t>
      </w:r>
      <w:r w:rsidR="00CD4DBB" w:rsidRPr="006150B0">
        <w:rPr>
          <w:rFonts w:cs="Arial"/>
        </w:rPr>
        <w:t>7</w:t>
      </w:r>
      <w:r w:rsidR="00FA676F" w:rsidRPr="006150B0">
        <w:rPr>
          <w:rFonts w:cs="Arial"/>
        </w:rPr>
        <w:t>0</w:t>
      </w:r>
      <w:r w:rsidR="00651739" w:rsidRPr="006150B0">
        <w:rPr>
          <w:rFonts w:cs="Arial"/>
        </w:rPr>
        <w:t>.</w:t>
      </w:r>
      <w:r w:rsidR="006150B0" w:rsidRPr="006150B0">
        <w:rPr>
          <w:rFonts w:cs="Arial"/>
        </w:rPr>
        <w:t>9</w:t>
      </w:r>
      <w:r>
        <w:rPr>
          <w:rFonts w:cs="Arial"/>
        </w:rPr>
        <w:t xml:space="preserve"> percent).</w:t>
      </w:r>
    </w:p>
    <w:p w14:paraId="5CCEF14E" w14:textId="66E39067" w:rsidR="00091AF9" w:rsidRDefault="00091AF9" w:rsidP="006E364C">
      <w:pPr>
        <w:ind w:right="-425"/>
        <w:jc w:val="both"/>
        <w:rPr>
          <w:rFonts w:cs="Arial"/>
        </w:rPr>
      </w:pPr>
    </w:p>
    <w:p w14:paraId="65719AEC" w14:textId="6AF37F46" w:rsidR="00091AF9" w:rsidRDefault="006E364C" w:rsidP="00091AF9">
      <w:pPr>
        <w:spacing w:line="240" w:lineRule="auto"/>
        <w:ind w:left="-142"/>
        <w:jc w:val="both"/>
        <w:rPr>
          <w:rFonts w:cs="Arial"/>
          <w:sz w:val="16"/>
          <w:szCs w:val="16"/>
        </w:rPr>
      </w:pPr>
      <w:r>
        <w:rPr>
          <w:rFonts w:cs="Arial"/>
          <w:b/>
          <w:sz w:val="16"/>
          <w:szCs w:val="16"/>
        </w:rPr>
        <w:t>Table 24</w:t>
      </w:r>
      <w:r w:rsidR="00091AF9" w:rsidRPr="006A4DD7">
        <w:rPr>
          <w:rFonts w:cs="Arial"/>
          <w:b/>
          <w:sz w:val="16"/>
          <w:szCs w:val="16"/>
        </w:rPr>
        <w:t xml:space="preserve">: </w:t>
      </w:r>
      <w:r w:rsidR="000D72EE">
        <w:rPr>
          <w:rFonts w:cs="Arial"/>
          <w:sz w:val="16"/>
          <w:szCs w:val="16"/>
        </w:rPr>
        <w:t xml:space="preserve">Allocation of </w:t>
      </w:r>
      <w:r w:rsidR="00BF1639">
        <w:rPr>
          <w:rFonts w:cs="Arial"/>
          <w:sz w:val="16"/>
          <w:szCs w:val="16"/>
        </w:rPr>
        <w:t>e</w:t>
      </w:r>
      <w:r w:rsidR="000D72EE">
        <w:rPr>
          <w:rFonts w:cs="Arial"/>
          <w:sz w:val="16"/>
          <w:szCs w:val="16"/>
        </w:rPr>
        <w:t xml:space="preserve">xpenses </w:t>
      </w:r>
      <w:r w:rsidR="007B7E78">
        <w:rPr>
          <w:rFonts w:cs="Arial"/>
          <w:sz w:val="16"/>
          <w:szCs w:val="16"/>
        </w:rPr>
        <w:t>1 October</w:t>
      </w:r>
      <w:r w:rsidR="00415BC8">
        <w:rPr>
          <w:rFonts w:cs="Arial"/>
          <w:sz w:val="16"/>
          <w:szCs w:val="16"/>
        </w:rPr>
        <w:t xml:space="preserve"> 2022</w:t>
      </w:r>
      <w:r w:rsidR="00091AF9">
        <w:rPr>
          <w:rFonts w:cs="Arial"/>
          <w:sz w:val="16"/>
          <w:szCs w:val="16"/>
        </w:rPr>
        <w:t xml:space="preserve"> to </w:t>
      </w:r>
      <w:r w:rsidR="007B7E78">
        <w:rPr>
          <w:rFonts w:cs="Arial"/>
          <w:sz w:val="16"/>
          <w:szCs w:val="16"/>
        </w:rPr>
        <w:t>31 December</w:t>
      </w:r>
      <w:r w:rsidR="00E80807">
        <w:rPr>
          <w:rFonts w:cs="Arial"/>
          <w:sz w:val="16"/>
          <w:szCs w:val="16"/>
        </w:rPr>
        <w:t xml:space="preserve"> </w:t>
      </w:r>
      <w:r w:rsidR="001A5C4C">
        <w:rPr>
          <w:rFonts w:cs="Arial"/>
          <w:sz w:val="16"/>
          <w:szCs w:val="16"/>
        </w:rPr>
        <w:t>2022</w:t>
      </w:r>
    </w:p>
    <w:p w14:paraId="1A669C24" w14:textId="77777777" w:rsidR="006E364C" w:rsidRDefault="006E364C" w:rsidP="00091AF9">
      <w:pPr>
        <w:spacing w:line="240" w:lineRule="auto"/>
        <w:ind w:left="-142"/>
        <w:jc w:val="both"/>
        <w:rPr>
          <w:rFonts w:cs="Arial"/>
          <w:sz w:val="16"/>
          <w:szCs w:val="16"/>
        </w:rPr>
      </w:pPr>
    </w:p>
    <w:tbl>
      <w:tblPr>
        <w:tblW w:w="5431" w:type="dxa"/>
        <w:tblInd w:w="93" w:type="dxa"/>
        <w:tblLook w:val="04A0" w:firstRow="1" w:lastRow="0" w:firstColumn="1" w:lastColumn="0" w:noHBand="0" w:noVBand="1"/>
      </w:tblPr>
      <w:tblGrid>
        <w:gridCol w:w="3871"/>
        <w:gridCol w:w="1560"/>
      </w:tblGrid>
      <w:tr w:rsidR="006E364C" w:rsidRPr="00920636" w14:paraId="7948B187" w14:textId="77777777" w:rsidTr="00D6309C">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1F5C6183" w14:textId="77777777" w:rsidR="006E364C" w:rsidRPr="000F130C" w:rsidRDefault="006E364C" w:rsidP="00D6309C">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3615B189" w14:textId="77777777" w:rsidR="006E364C" w:rsidRDefault="006E364C" w:rsidP="00D6309C">
            <w:pPr>
              <w:pStyle w:val="TableText"/>
              <w:jc w:val="right"/>
              <w:rPr>
                <w:b/>
                <w:lang w:eastAsia="en-AU"/>
              </w:rPr>
            </w:pPr>
            <w:r>
              <w:rPr>
                <w:b/>
                <w:lang w:eastAsia="en-AU"/>
              </w:rPr>
              <w:t>Percentage of Allocated Expenses</w:t>
            </w:r>
          </w:p>
        </w:tc>
      </w:tr>
      <w:tr w:rsidR="006E364C" w:rsidRPr="00920636" w14:paraId="38399C80" w14:textId="77777777" w:rsidTr="00D6309C">
        <w:trPr>
          <w:trHeight w:val="255"/>
        </w:trPr>
        <w:tc>
          <w:tcPr>
            <w:tcW w:w="3871" w:type="dxa"/>
            <w:tcBorders>
              <w:top w:val="nil"/>
              <w:left w:val="single" w:sz="4" w:space="0" w:color="auto"/>
              <w:bottom w:val="single" w:sz="4" w:space="0" w:color="auto"/>
              <w:right w:val="single" w:sz="4" w:space="0" w:color="auto"/>
            </w:tcBorders>
            <w:noWrap/>
          </w:tcPr>
          <w:p w14:paraId="74CF834C" w14:textId="77777777" w:rsidR="006E364C" w:rsidRPr="00E72DFB" w:rsidRDefault="006E364C" w:rsidP="00D6309C">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57ECF32B" w14:textId="12EE9C01" w:rsidR="006E364C" w:rsidRDefault="006E364C" w:rsidP="00D6309C">
            <w:pPr>
              <w:pStyle w:val="TableText"/>
              <w:jc w:val="right"/>
              <w:rPr>
                <w:lang w:eastAsia="en-AU"/>
              </w:rPr>
            </w:pPr>
            <w:r>
              <w:rPr>
                <w:lang w:eastAsia="en-AU"/>
              </w:rPr>
              <w:t>29.1%</w:t>
            </w:r>
          </w:p>
        </w:tc>
      </w:tr>
      <w:tr w:rsidR="006E364C" w:rsidRPr="00920636" w14:paraId="62ED4313" w14:textId="77777777" w:rsidTr="00D6309C">
        <w:trPr>
          <w:trHeight w:val="255"/>
        </w:trPr>
        <w:tc>
          <w:tcPr>
            <w:tcW w:w="3871" w:type="dxa"/>
            <w:tcBorders>
              <w:top w:val="nil"/>
              <w:left w:val="single" w:sz="4" w:space="0" w:color="auto"/>
              <w:bottom w:val="single" w:sz="4" w:space="0" w:color="auto"/>
              <w:right w:val="single" w:sz="4" w:space="0" w:color="auto"/>
            </w:tcBorders>
            <w:noWrap/>
            <w:hideMark/>
          </w:tcPr>
          <w:p w14:paraId="1535B936" w14:textId="77777777" w:rsidR="006E364C" w:rsidRPr="00E72DFB" w:rsidRDefault="006E364C" w:rsidP="00D6309C">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490F16DF" w14:textId="039E36D7" w:rsidR="006E364C" w:rsidRDefault="006E364C" w:rsidP="00D6309C">
            <w:pPr>
              <w:pStyle w:val="TableText"/>
              <w:jc w:val="right"/>
              <w:rPr>
                <w:lang w:eastAsia="en-AU"/>
              </w:rPr>
            </w:pPr>
            <w:r>
              <w:rPr>
                <w:lang w:eastAsia="en-AU"/>
              </w:rPr>
              <w:t>70.9%</w:t>
            </w:r>
          </w:p>
        </w:tc>
      </w:tr>
      <w:tr w:rsidR="006E364C" w:rsidRPr="00920636" w14:paraId="7C9CCA76" w14:textId="77777777" w:rsidTr="00D6309C">
        <w:trPr>
          <w:trHeight w:val="255"/>
        </w:trPr>
        <w:tc>
          <w:tcPr>
            <w:tcW w:w="3871" w:type="dxa"/>
            <w:tcBorders>
              <w:top w:val="nil"/>
              <w:left w:val="single" w:sz="4" w:space="0" w:color="auto"/>
              <w:bottom w:val="single" w:sz="4" w:space="0" w:color="auto"/>
              <w:right w:val="single" w:sz="4" w:space="0" w:color="auto"/>
            </w:tcBorders>
            <w:noWrap/>
            <w:hideMark/>
          </w:tcPr>
          <w:p w14:paraId="4333167B" w14:textId="77777777" w:rsidR="006E364C" w:rsidRPr="000F130C" w:rsidRDefault="006E364C" w:rsidP="00D6309C">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19F239B6" w14:textId="77777777" w:rsidR="006E364C" w:rsidRDefault="006E364C" w:rsidP="00D6309C">
            <w:pPr>
              <w:pStyle w:val="TableText"/>
              <w:jc w:val="right"/>
              <w:rPr>
                <w:b/>
                <w:lang w:eastAsia="en-AU"/>
              </w:rPr>
            </w:pPr>
            <w:r>
              <w:rPr>
                <w:b/>
                <w:lang w:eastAsia="en-AU"/>
              </w:rPr>
              <w:t>100.0%</w:t>
            </w:r>
          </w:p>
        </w:tc>
      </w:tr>
    </w:tbl>
    <w:p w14:paraId="553AC359" w14:textId="4327A88B" w:rsidR="000541CA" w:rsidRDefault="000541CA" w:rsidP="006E364C">
      <w:pPr>
        <w:ind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1A9A9A9E" w14:textId="36F11B33" w:rsidR="00402726" w:rsidRDefault="00402726" w:rsidP="006E364C">
      <w:pPr>
        <w:ind w:right="-425"/>
        <w:jc w:val="both"/>
        <w:rPr>
          <w:rFonts w:cs="Arial"/>
        </w:rPr>
      </w:pPr>
    </w:p>
    <w:p w14:paraId="4A21D3E7" w14:textId="0C0256DA" w:rsidR="00994941" w:rsidRPr="00706A6C" w:rsidRDefault="006E364C" w:rsidP="00994941">
      <w:pPr>
        <w:spacing w:line="240" w:lineRule="auto"/>
        <w:ind w:left="-142"/>
        <w:jc w:val="both"/>
        <w:rPr>
          <w:rFonts w:cs="Arial"/>
          <w:sz w:val="16"/>
          <w:szCs w:val="16"/>
        </w:rPr>
      </w:pPr>
      <w:r>
        <w:rPr>
          <w:rFonts w:cs="Arial"/>
          <w:b/>
          <w:sz w:val="16"/>
          <w:szCs w:val="16"/>
        </w:rPr>
        <w:t>Table 25</w:t>
      </w:r>
      <w:r w:rsidR="00994941" w:rsidRPr="006A4DD7">
        <w:rPr>
          <w:rFonts w:cs="Arial"/>
          <w:b/>
          <w:sz w:val="16"/>
          <w:szCs w:val="16"/>
        </w:rPr>
        <w:t xml:space="preserve">: </w:t>
      </w:r>
      <w:r w:rsidR="00A23629">
        <w:rPr>
          <w:rFonts w:cs="Arial"/>
          <w:sz w:val="16"/>
          <w:szCs w:val="16"/>
        </w:rPr>
        <w:t>Operating c</w:t>
      </w:r>
      <w:r w:rsidR="00994941" w:rsidRPr="006A4DD7">
        <w:rPr>
          <w:rFonts w:cs="Arial"/>
          <w:sz w:val="16"/>
          <w:szCs w:val="16"/>
        </w:rPr>
        <w:t xml:space="preserve">osts by remote </w:t>
      </w:r>
      <w:r w:rsidR="00994941" w:rsidRPr="0031561D">
        <w:rPr>
          <w:rFonts w:cs="Arial"/>
          <w:sz w:val="16"/>
          <w:szCs w:val="16"/>
        </w:rPr>
        <w:t xml:space="preserve">location </w:t>
      </w:r>
      <w:r w:rsidR="007B7E78">
        <w:rPr>
          <w:rFonts w:cs="Arial"/>
          <w:sz w:val="16"/>
          <w:szCs w:val="16"/>
        </w:rPr>
        <w:t>1 October</w:t>
      </w:r>
      <w:r w:rsidR="00DF103B">
        <w:rPr>
          <w:rFonts w:cs="Arial"/>
          <w:sz w:val="16"/>
          <w:szCs w:val="16"/>
        </w:rPr>
        <w:t xml:space="preserve"> 2021</w:t>
      </w:r>
      <w:r w:rsidR="004364B8">
        <w:rPr>
          <w:rFonts w:cs="Arial"/>
          <w:sz w:val="16"/>
          <w:szCs w:val="16"/>
        </w:rPr>
        <w:t xml:space="preserve"> to </w:t>
      </w:r>
      <w:r w:rsidR="007B7E78">
        <w:rPr>
          <w:rFonts w:cs="Arial"/>
          <w:sz w:val="16"/>
          <w:szCs w:val="16"/>
        </w:rPr>
        <w:t>31 December</w:t>
      </w:r>
      <w:r w:rsidR="00E80807">
        <w:rPr>
          <w:rFonts w:cs="Arial"/>
          <w:sz w:val="16"/>
          <w:szCs w:val="16"/>
        </w:rPr>
        <w:t xml:space="preserve"> </w:t>
      </w:r>
      <w:r w:rsidR="001A5C4C">
        <w:rPr>
          <w:rFonts w:cs="Arial"/>
          <w:sz w:val="16"/>
          <w:szCs w:val="16"/>
        </w:rPr>
        <w:t>2022</w:t>
      </w:r>
    </w:p>
    <w:p w14:paraId="0ECB128C" w14:textId="70CCC81D" w:rsidR="00994941" w:rsidRDefault="00994941" w:rsidP="00994941">
      <w:pPr>
        <w:ind w:left="-142" w:right="-425"/>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6E364C" w:rsidRPr="000F130C" w14:paraId="40F8AC56" w14:textId="45431080" w:rsidTr="006E364C">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936E42A" w14:textId="77777777" w:rsidR="006E364C" w:rsidRPr="000F130C" w:rsidRDefault="006E364C" w:rsidP="00D6309C">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1ACCD958" w14:textId="77777777" w:rsidR="006E364C" w:rsidRDefault="006E364C" w:rsidP="00D6309C">
            <w:pPr>
              <w:pStyle w:val="TableText"/>
              <w:jc w:val="right"/>
              <w:rPr>
                <w:b/>
                <w:lang w:eastAsia="en-AU"/>
              </w:rPr>
            </w:pPr>
            <w:r>
              <w:rPr>
                <w:b/>
                <w:lang w:eastAsia="en-AU"/>
              </w:rPr>
              <w:t>Qtr 54</w:t>
            </w:r>
          </w:p>
        </w:tc>
        <w:tc>
          <w:tcPr>
            <w:tcW w:w="1242" w:type="dxa"/>
            <w:tcBorders>
              <w:top w:val="single" w:sz="4" w:space="0" w:color="auto"/>
              <w:left w:val="nil"/>
              <w:bottom w:val="single" w:sz="4" w:space="0" w:color="auto"/>
              <w:right w:val="single" w:sz="4" w:space="0" w:color="auto"/>
            </w:tcBorders>
          </w:tcPr>
          <w:p w14:paraId="3FBAC0C3" w14:textId="77777777" w:rsidR="006E364C" w:rsidRDefault="006E364C" w:rsidP="00D6309C">
            <w:pPr>
              <w:pStyle w:val="TableText"/>
              <w:jc w:val="right"/>
              <w:rPr>
                <w:b/>
                <w:lang w:eastAsia="en-AU"/>
              </w:rPr>
            </w:pPr>
            <w:r>
              <w:rPr>
                <w:b/>
                <w:lang w:eastAsia="en-AU"/>
              </w:rPr>
              <w:t>Qtr 55</w:t>
            </w:r>
          </w:p>
        </w:tc>
        <w:tc>
          <w:tcPr>
            <w:tcW w:w="1242" w:type="dxa"/>
            <w:tcBorders>
              <w:top w:val="single" w:sz="4" w:space="0" w:color="auto"/>
              <w:left w:val="nil"/>
              <w:bottom w:val="single" w:sz="4" w:space="0" w:color="auto"/>
              <w:right w:val="single" w:sz="4" w:space="0" w:color="auto"/>
            </w:tcBorders>
          </w:tcPr>
          <w:p w14:paraId="7A81D0BA" w14:textId="77777777" w:rsidR="006E364C" w:rsidRDefault="006E364C" w:rsidP="00D6309C">
            <w:pPr>
              <w:pStyle w:val="TableText"/>
              <w:jc w:val="right"/>
              <w:rPr>
                <w:b/>
                <w:lang w:eastAsia="en-AU"/>
              </w:rPr>
            </w:pPr>
            <w:r>
              <w:rPr>
                <w:b/>
                <w:lang w:eastAsia="en-AU"/>
              </w:rPr>
              <w:t>Qtr 56</w:t>
            </w:r>
          </w:p>
        </w:tc>
        <w:tc>
          <w:tcPr>
            <w:tcW w:w="1242" w:type="dxa"/>
            <w:tcBorders>
              <w:top w:val="single" w:sz="4" w:space="0" w:color="auto"/>
              <w:left w:val="nil"/>
              <w:bottom w:val="single" w:sz="4" w:space="0" w:color="auto"/>
              <w:right w:val="single" w:sz="4" w:space="0" w:color="auto"/>
            </w:tcBorders>
          </w:tcPr>
          <w:p w14:paraId="6131723E" w14:textId="77777777" w:rsidR="006E364C" w:rsidRDefault="006E364C" w:rsidP="00D6309C">
            <w:pPr>
              <w:pStyle w:val="TableText"/>
              <w:jc w:val="right"/>
              <w:rPr>
                <w:b/>
                <w:lang w:eastAsia="en-AU"/>
              </w:rPr>
            </w:pPr>
            <w:r>
              <w:rPr>
                <w:b/>
                <w:lang w:eastAsia="en-AU"/>
              </w:rPr>
              <w:t>Qtr 57</w:t>
            </w:r>
          </w:p>
        </w:tc>
        <w:tc>
          <w:tcPr>
            <w:tcW w:w="1242" w:type="dxa"/>
            <w:tcBorders>
              <w:top w:val="single" w:sz="4" w:space="0" w:color="auto"/>
              <w:left w:val="nil"/>
              <w:bottom w:val="single" w:sz="4" w:space="0" w:color="auto"/>
              <w:right w:val="single" w:sz="4" w:space="0" w:color="auto"/>
            </w:tcBorders>
          </w:tcPr>
          <w:p w14:paraId="38DCD6EB" w14:textId="768FFA1D" w:rsidR="006E364C" w:rsidRDefault="006E364C" w:rsidP="00D6309C">
            <w:pPr>
              <w:pStyle w:val="TableText"/>
              <w:jc w:val="right"/>
              <w:rPr>
                <w:b/>
                <w:lang w:eastAsia="en-AU"/>
              </w:rPr>
            </w:pPr>
            <w:r>
              <w:rPr>
                <w:b/>
                <w:lang w:eastAsia="en-AU"/>
              </w:rPr>
              <w:t>Qtr 58</w:t>
            </w:r>
          </w:p>
        </w:tc>
      </w:tr>
      <w:tr w:rsidR="006E364C" w:rsidRPr="000F130C" w14:paraId="3E40BF47" w14:textId="0B2DB5BD" w:rsidTr="006E364C">
        <w:trPr>
          <w:trHeight w:val="255"/>
        </w:trPr>
        <w:tc>
          <w:tcPr>
            <w:tcW w:w="2596" w:type="dxa"/>
            <w:tcBorders>
              <w:top w:val="nil"/>
              <w:left w:val="single" w:sz="4" w:space="0" w:color="auto"/>
              <w:bottom w:val="single" w:sz="4" w:space="0" w:color="auto"/>
              <w:right w:val="single" w:sz="4" w:space="0" w:color="auto"/>
            </w:tcBorders>
            <w:noWrap/>
            <w:hideMark/>
          </w:tcPr>
          <w:p w14:paraId="1EF823BB" w14:textId="77777777" w:rsidR="006E364C" w:rsidRPr="000F130C" w:rsidRDefault="006E364C" w:rsidP="00D6309C">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424FC86" w14:textId="77777777" w:rsidR="006E364C" w:rsidRPr="00346120" w:rsidRDefault="006E364C" w:rsidP="00D6309C">
            <w:pPr>
              <w:pStyle w:val="TableText"/>
              <w:jc w:val="right"/>
              <w:rPr>
                <w:lang w:eastAsia="en-AU"/>
              </w:rPr>
            </w:pPr>
            <w:r>
              <w:rPr>
                <w:rFonts w:cs="Calibri"/>
                <w:color w:val="000000"/>
              </w:rPr>
              <w:t>$93K</w:t>
            </w:r>
          </w:p>
        </w:tc>
        <w:tc>
          <w:tcPr>
            <w:tcW w:w="1242" w:type="dxa"/>
            <w:tcBorders>
              <w:top w:val="nil"/>
              <w:left w:val="nil"/>
              <w:bottom w:val="single" w:sz="4" w:space="0" w:color="auto"/>
              <w:right w:val="single" w:sz="4" w:space="0" w:color="auto"/>
            </w:tcBorders>
          </w:tcPr>
          <w:p w14:paraId="39F87739" w14:textId="77777777" w:rsidR="006E364C" w:rsidRPr="00705863" w:rsidRDefault="006E364C" w:rsidP="00D6309C">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0C0297AF" w14:textId="77777777" w:rsidR="006E364C" w:rsidRDefault="006E364C" w:rsidP="00D6309C">
            <w:pPr>
              <w:pStyle w:val="TableText"/>
              <w:jc w:val="right"/>
              <w:rPr>
                <w:rFonts w:cs="Calibri"/>
                <w:color w:val="000000"/>
              </w:rPr>
            </w:pPr>
            <w:r>
              <w:rPr>
                <w:rFonts w:cs="Calibri"/>
                <w:color w:val="000000"/>
              </w:rPr>
              <w:t>$118K</w:t>
            </w:r>
          </w:p>
        </w:tc>
        <w:tc>
          <w:tcPr>
            <w:tcW w:w="1242" w:type="dxa"/>
            <w:tcBorders>
              <w:top w:val="nil"/>
              <w:left w:val="nil"/>
              <w:bottom w:val="single" w:sz="4" w:space="0" w:color="auto"/>
              <w:right w:val="single" w:sz="4" w:space="0" w:color="auto"/>
            </w:tcBorders>
          </w:tcPr>
          <w:p w14:paraId="5A81BD1C" w14:textId="77777777" w:rsidR="006E364C" w:rsidRDefault="006E364C" w:rsidP="00D6309C">
            <w:pPr>
              <w:pStyle w:val="TableText"/>
              <w:jc w:val="right"/>
              <w:rPr>
                <w:rFonts w:cs="Calibri"/>
                <w:color w:val="000000"/>
              </w:rPr>
            </w:pPr>
            <w:r>
              <w:rPr>
                <w:rFonts w:cs="Calibri"/>
                <w:color w:val="000000"/>
              </w:rPr>
              <w:t>$98K</w:t>
            </w:r>
          </w:p>
        </w:tc>
        <w:tc>
          <w:tcPr>
            <w:tcW w:w="1242" w:type="dxa"/>
            <w:tcBorders>
              <w:top w:val="nil"/>
              <w:left w:val="nil"/>
              <w:bottom w:val="single" w:sz="4" w:space="0" w:color="auto"/>
              <w:right w:val="single" w:sz="4" w:space="0" w:color="auto"/>
            </w:tcBorders>
          </w:tcPr>
          <w:p w14:paraId="73A1C842" w14:textId="2D61168F" w:rsidR="006E364C" w:rsidRDefault="006E364C" w:rsidP="00D6309C">
            <w:pPr>
              <w:pStyle w:val="TableText"/>
              <w:jc w:val="right"/>
              <w:rPr>
                <w:rFonts w:cs="Calibri"/>
                <w:color w:val="000000"/>
              </w:rPr>
            </w:pPr>
            <w:r>
              <w:rPr>
                <w:rFonts w:cs="Calibri"/>
                <w:color w:val="000000"/>
              </w:rPr>
              <w:t>124K</w:t>
            </w:r>
          </w:p>
        </w:tc>
      </w:tr>
      <w:tr w:rsidR="006E364C" w:rsidRPr="000F130C" w14:paraId="15015DFE" w14:textId="208C7973" w:rsidTr="006E364C">
        <w:trPr>
          <w:trHeight w:val="255"/>
        </w:trPr>
        <w:tc>
          <w:tcPr>
            <w:tcW w:w="2596" w:type="dxa"/>
            <w:tcBorders>
              <w:top w:val="nil"/>
              <w:left w:val="single" w:sz="4" w:space="0" w:color="auto"/>
              <w:bottom w:val="single" w:sz="4" w:space="0" w:color="auto"/>
              <w:right w:val="single" w:sz="4" w:space="0" w:color="auto"/>
            </w:tcBorders>
            <w:noWrap/>
            <w:hideMark/>
          </w:tcPr>
          <w:p w14:paraId="54F6D40B" w14:textId="77777777" w:rsidR="006E364C" w:rsidRPr="000F130C" w:rsidRDefault="006E364C" w:rsidP="00D6309C">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342B0870" w14:textId="77777777" w:rsidR="006E364C" w:rsidRPr="00346120" w:rsidRDefault="006E364C" w:rsidP="00D6309C">
            <w:pPr>
              <w:pStyle w:val="TableText"/>
              <w:jc w:val="right"/>
              <w:rPr>
                <w:lang w:eastAsia="en-AU"/>
              </w:rPr>
            </w:pPr>
            <w:r>
              <w:rPr>
                <w:rFonts w:cs="Calibri"/>
                <w:color w:val="000000"/>
              </w:rPr>
              <w:t>$32K</w:t>
            </w:r>
          </w:p>
        </w:tc>
        <w:tc>
          <w:tcPr>
            <w:tcW w:w="1242" w:type="dxa"/>
            <w:tcBorders>
              <w:top w:val="nil"/>
              <w:left w:val="nil"/>
              <w:bottom w:val="single" w:sz="4" w:space="0" w:color="auto"/>
              <w:right w:val="single" w:sz="4" w:space="0" w:color="auto"/>
            </w:tcBorders>
          </w:tcPr>
          <w:p w14:paraId="71EF8CB2" w14:textId="77777777" w:rsidR="006E364C" w:rsidRPr="00705863" w:rsidRDefault="006E364C" w:rsidP="00D6309C">
            <w:pPr>
              <w:pStyle w:val="TableText"/>
              <w:jc w:val="right"/>
              <w:rPr>
                <w:color w:val="000000"/>
              </w:rPr>
            </w:pPr>
            <w:r>
              <w:rPr>
                <w:rFonts w:cs="Calibri"/>
                <w:color w:val="000000"/>
              </w:rPr>
              <w:t>$21K</w:t>
            </w:r>
          </w:p>
        </w:tc>
        <w:tc>
          <w:tcPr>
            <w:tcW w:w="1242" w:type="dxa"/>
            <w:tcBorders>
              <w:top w:val="nil"/>
              <w:left w:val="nil"/>
              <w:bottom w:val="single" w:sz="4" w:space="0" w:color="auto"/>
              <w:right w:val="single" w:sz="4" w:space="0" w:color="auto"/>
            </w:tcBorders>
          </w:tcPr>
          <w:p w14:paraId="0DF58AF8" w14:textId="77777777" w:rsidR="006E364C" w:rsidRDefault="006E364C" w:rsidP="00D6309C">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1FE0FAC7" w14:textId="77777777" w:rsidR="006E364C" w:rsidRDefault="006E364C" w:rsidP="00D6309C">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tcPr>
          <w:p w14:paraId="481BF2CA" w14:textId="7068179C" w:rsidR="006E364C" w:rsidRDefault="006E364C" w:rsidP="00D6309C">
            <w:pPr>
              <w:pStyle w:val="TableText"/>
              <w:jc w:val="right"/>
              <w:rPr>
                <w:rFonts w:cs="Calibri"/>
                <w:color w:val="000000"/>
              </w:rPr>
            </w:pPr>
            <w:r>
              <w:rPr>
                <w:rFonts w:cs="Calibri"/>
                <w:color w:val="000000"/>
              </w:rPr>
              <w:t>33K</w:t>
            </w:r>
          </w:p>
        </w:tc>
      </w:tr>
      <w:tr w:rsidR="006E364C" w:rsidRPr="000F130C" w14:paraId="1F44101E" w14:textId="733E0A31" w:rsidTr="006E364C">
        <w:trPr>
          <w:trHeight w:val="255"/>
        </w:trPr>
        <w:tc>
          <w:tcPr>
            <w:tcW w:w="2596" w:type="dxa"/>
            <w:tcBorders>
              <w:top w:val="nil"/>
              <w:left w:val="single" w:sz="4" w:space="0" w:color="auto"/>
              <w:bottom w:val="single" w:sz="4" w:space="0" w:color="auto"/>
              <w:right w:val="single" w:sz="4" w:space="0" w:color="auto"/>
            </w:tcBorders>
            <w:noWrap/>
          </w:tcPr>
          <w:p w14:paraId="707F8780" w14:textId="77777777" w:rsidR="006E364C" w:rsidRPr="000F130C" w:rsidRDefault="006E364C" w:rsidP="00D6309C">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70E2DB46" w14:textId="77777777" w:rsidR="006E364C" w:rsidRPr="00346120" w:rsidRDefault="006E364C" w:rsidP="00D6309C">
            <w:pPr>
              <w:pStyle w:val="TableText"/>
              <w:jc w:val="right"/>
              <w:rPr>
                <w:lang w:eastAsia="en-AU"/>
              </w:rPr>
            </w:pPr>
            <w:r>
              <w:rPr>
                <w:rFonts w:cs="Calibri"/>
                <w:color w:val="000000"/>
              </w:rPr>
              <w:t>$110K</w:t>
            </w:r>
          </w:p>
        </w:tc>
        <w:tc>
          <w:tcPr>
            <w:tcW w:w="1242" w:type="dxa"/>
            <w:tcBorders>
              <w:top w:val="nil"/>
              <w:left w:val="nil"/>
              <w:bottom w:val="single" w:sz="4" w:space="0" w:color="auto"/>
              <w:right w:val="single" w:sz="4" w:space="0" w:color="auto"/>
            </w:tcBorders>
          </w:tcPr>
          <w:p w14:paraId="4A030D28" w14:textId="77777777" w:rsidR="006E364C" w:rsidRPr="00705863" w:rsidRDefault="006E364C" w:rsidP="00D6309C">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721C93C4" w14:textId="77777777" w:rsidR="006E364C" w:rsidRDefault="006E364C" w:rsidP="00D6309C">
            <w:pPr>
              <w:pStyle w:val="TableText"/>
              <w:jc w:val="right"/>
              <w:rPr>
                <w:rFonts w:cs="Calibri"/>
                <w:color w:val="000000"/>
              </w:rPr>
            </w:pPr>
            <w:r>
              <w:rPr>
                <w:rFonts w:cs="Calibri"/>
                <w:color w:val="000000"/>
              </w:rPr>
              <w:t>$139K</w:t>
            </w:r>
          </w:p>
        </w:tc>
        <w:tc>
          <w:tcPr>
            <w:tcW w:w="1242" w:type="dxa"/>
            <w:tcBorders>
              <w:top w:val="nil"/>
              <w:left w:val="nil"/>
              <w:bottom w:val="single" w:sz="4" w:space="0" w:color="auto"/>
              <w:right w:val="single" w:sz="4" w:space="0" w:color="auto"/>
            </w:tcBorders>
          </w:tcPr>
          <w:p w14:paraId="4D5DB70B" w14:textId="77777777" w:rsidR="006E364C" w:rsidRDefault="006E364C" w:rsidP="00D6309C">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2E19FFB3" w14:textId="512C60BF" w:rsidR="006E364C" w:rsidRDefault="006E364C" w:rsidP="00D6309C">
            <w:pPr>
              <w:pStyle w:val="TableText"/>
              <w:jc w:val="right"/>
              <w:rPr>
                <w:rFonts w:cs="Calibri"/>
                <w:color w:val="000000"/>
              </w:rPr>
            </w:pPr>
            <w:r>
              <w:rPr>
                <w:rFonts w:cs="Calibri"/>
                <w:color w:val="000000"/>
              </w:rPr>
              <w:t>123K</w:t>
            </w:r>
          </w:p>
        </w:tc>
      </w:tr>
      <w:tr w:rsidR="006E364C" w:rsidRPr="000F130C" w14:paraId="49960B03" w14:textId="36734048" w:rsidTr="006E364C">
        <w:trPr>
          <w:trHeight w:val="255"/>
        </w:trPr>
        <w:tc>
          <w:tcPr>
            <w:tcW w:w="2596" w:type="dxa"/>
            <w:tcBorders>
              <w:top w:val="nil"/>
              <w:left w:val="single" w:sz="4" w:space="0" w:color="auto"/>
              <w:bottom w:val="single" w:sz="4" w:space="0" w:color="auto"/>
              <w:right w:val="single" w:sz="4" w:space="0" w:color="auto"/>
            </w:tcBorders>
            <w:noWrap/>
            <w:hideMark/>
          </w:tcPr>
          <w:p w14:paraId="112B10B0" w14:textId="77777777" w:rsidR="006E364C" w:rsidRPr="000F130C" w:rsidRDefault="006E364C" w:rsidP="00D6309C">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7D834B5D" w14:textId="77777777" w:rsidR="006E364C" w:rsidRPr="00346120" w:rsidRDefault="006E364C" w:rsidP="00D6309C">
            <w:pPr>
              <w:pStyle w:val="TableText"/>
              <w:jc w:val="right"/>
              <w:rPr>
                <w:lang w:eastAsia="en-AU"/>
              </w:rPr>
            </w:pPr>
            <w:r>
              <w:rPr>
                <w:rFonts w:cs="Calibri"/>
                <w:color w:val="000000"/>
              </w:rPr>
              <w:t>$67K</w:t>
            </w:r>
          </w:p>
        </w:tc>
        <w:tc>
          <w:tcPr>
            <w:tcW w:w="1242" w:type="dxa"/>
            <w:tcBorders>
              <w:top w:val="nil"/>
              <w:left w:val="nil"/>
              <w:bottom w:val="single" w:sz="4" w:space="0" w:color="auto"/>
              <w:right w:val="single" w:sz="4" w:space="0" w:color="auto"/>
            </w:tcBorders>
          </w:tcPr>
          <w:p w14:paraId="30EF1E34" w14:textId="77777777" w:rsidR="006E364C" w:rsidRPr="00705863" w:rsidRDefault="006E364C" w:rsidP="00D6309C">
            <w:pPr>
              <w:pStyle w:val="TableText"/>
              <w:jc w:val="right"/>
              <w:rPr>
                <w:color w:val="000000"/>
              </w:rPr>
            </w:pPr>
            <w:r>
              <w:rPr>
                <w:rFonts w:cs="Calibri"/>
                <w:color w:val="000000"/>
              </w:rPr>
              <w:t>$60K</w:t>
            </w:r>
          </w:p>
        </w:tc>
        <w:tc>
          <w:tcPr>
            <w:tcW w:w="1242" w:type="dxa"/>
            <w:tcBorders>
              <w:top w:val="nil"/>
              <w:left w:val="nil"/>
              <w:bottom w:val="single" w:sz="4" w:space="0" w:color="auto"/>
              <w:right w:val="single" w:sz="4" w:space="0" w:color="auto"/>
            </w:tcBorders>
          </w:tcPr>
          <w:p w14:paraId="60668EA0" w14:textId="77777777" w:rsidR="006E364C" w:rsidRDefault="006E364C" w:rsidP="00D6309C">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597A72E1" w14:textId="77777777" w:rsidR="006E364C" w:rsidRDefault="006E364C" w:rsidP="00D6309C">
            <w:pPr>
              <w:pStyle w:val="TableText"/>
              <w:jc w:val="right"/>
              <w:rPr>
                <w:rFonts w:cs="Calibri"/>
                <w:color w:val="000000"/>
              </w:rPr>
            </w:pPr>
            <w:r>
              <w:rPr>
                <w:rFonts w:cs="Calibri"/>
                <w:color w:val="000000"/>
              </w:rPr>
              <w:t>$85K</w:t>
            </w:r>
          </w:p>
        </w:tc>
        <w:tc>
          <w:tcPr>
            <w:tcW w:w="1242" w:type="dxa"/>
            <w:tcBorders>
              <w:top w:val="nil"/>
              <w:left w:val="nil"/>
              <w:bottom w:val="single" w:sz="4" w:space="0" w:color="auto"/>
              <w:right w:val="single" w:sz="4" w:space="0" w:color="auto"/>
            </w:tcBorders>
          </w:tcPr>
          <w:p w14:paraId="7E75E437" w14:textId="214FEE8F" w:rsidR="006E364C" w:rsidRDefault="006E364C" w:rsidP="00D6309C">
            <w:pPr>
              <w:pStyle w:val="TableText"/>
              <w:jc w:val="right"/>
              <w:rPr>
                <w:rFonts w:cs="Calibri"/>
                <w:color w:val="000000"/>
              </w:rPr>
            </w:pPr>
            <w:r>
              <w:rPr>
                <w:rFonts w:cs="Calibri"/>
                <w:color w:val="000000"/>
              </w:rPr>
              <w:t>70K</w:t>
            </w:r>
          </w:p>
        </w:tc>
      </w:tr>
      <w:tr w:rsidR="006E364C" w:rsidRPr="000F130C" w14:paraId="107DA2C9" w14:textId="0BC11EED" w:rsidTr="006E364C">
        <w:trPr>
          <w:trHeight w:val="255"/>
        </w:trPr>
        <w:tc>
          <w:tcPr>
            <w:tcW w:w="2596" w:type="dxa"/>
            <w:tcBorders>
              <w:top w:val="nil"/>
              <w:left w:val="single" w:sz="4" w:space="0" w:color="auto"/>
              <w:bottom w:val="single" w:sz="4" w:space="0" w:color="auto"/>
              <w:right w:val="single" w:sz="4" w:space="0" w:color="auto"/>
            </w:tcBorders>
            <w:noWrap/>
            <w:hideMark/>
          </w:tcPr>
          <w:p w14:paraId="1C3153CD" w14:textId="77777777" w:rsidR="006E364C" w:rsidRPr="000F130C" w:rsidRDefault="006E364C" w:rsidP="00D6309C">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650B4F42" w14:textId="77777777" w:rsidR="006E364C" w:rsidRPr="00346120" w:rsidRDefault="006E364C" w:rsidP="00D6309C">
            <w:pPr>
              <w:pStyle w:val="TableText"/>
              <w:jc w:val="right"/>
              <w:rPr>
                <w:lang w:eastAsia="en-AU"/>
              </w:rPr>
            </w:pPr>
            <w:r>
              <w:rPr>
                <w:rFonts w:cs="Calibri"/>
                <w:color w:val="000000"/>
              </w:rPr>
              <w:t>$24K</w:t>
            </w:r>
          </w:p>
        </w:tc>
        <w:tc>
          <w:tcPr>
            <w:tcW w:w="1242" w:type="dxa"/>
            <w:tcBorders>
              <w:top w:val="nil"/>
              <w:left w:val="nil"/>
              <w:bottom w:val="single" w:sz="4" w:space="0" w:color="auto"/>
              <w:right w:val="single" w:sz="4" w:space="0" w:color="auto"/>
            </w:tcBorders>
          </w:tcPr>
          <w:p w14:paraId="7DEC8C89" w14:textId="77777777" w:rsidR="006E364C" w:rsidRPr="00705863" w:rsidRDefault="006E364C" w:rsidP="00D6309C">
            <w:pPr>
              <w:pStyle w:val="TableText"/>
              <w:jc w:val="right"/>
              <w:rPr>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76D863BE" w14:textId="77777777" w:rsidR="006E364C" w:rsidRDefault="006E364C" w:rsidP="00D6309C">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66777984" w14:textId="77777777" w:rsidR="006E364C" w:rsidRDefault="006E364C" w:rsidP="00D6309C">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0ACC10D7" w14:textId="5AE4531F" w:rsidR="006E364C" w:rsidRDefault="006E364C" w:rsidP="00D6309C">
            <w:pPr>
              <w:pStyle w:val="TableText"/>
              <w:jc w:val="right"/>
              <w:rPr>
                <w:rFonts w:cs="Calibri"/>
                <w:color w:val="000000"/>
              </w:rPr>
            </w:pPr>
            <w:r>
              <w:rPr>
                <w:rFonts w:cs="Calibri"/>
                <w:color w:val="000000"/>
              </w:rPr>
              <w:t>54K</w:t>
            </w:r>
          </w:p>
        </w:tc>
      </w:tr>
      <w:tr w:rsidR="006E364C" w:rsidRPr="000F130C" w14:paraId="481244C1" w14:textId="51AEB80F" w:rsidTr="006E364C">
        <w:trPr>
          <w:trHeight w:val="255"/>
        </w:trPr>
        <w:tc>
          <w:tcPr>
            <w:tcW w:w="2596" w:type="dxa"/>
            <w:tcBorders>
              <w:top w:val="nil"/>
              <w:left w:val="single" w:sz="4" w:space="0" w:color="auto"/>
              <w:bottom w:val="single" w:sz="4" w:space="0" w:color="auto"/>
              <w:right w:val="single" w:sz="4" w:space="0" w:color="auto"/>
            </w:tcBorders>
            <w:noWrap/>
            <w:hideMark/>
          </w:tcPr>
          <w:p w14:paraId="3EDAA6BA" w14:textId="77777777" w:rsidR="006E364C" w:rsidRPr="000F130C" w:rsidRDefault="006E364C" w:rsidP="00D6309C">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2372E602" w14:textId="77777777" w:rsidR="006E364C" w:rsidRPr="00346120" w:rsidRDefault="006E364C" w:rsidP="00D6309C">
            <w:pPr>
              <w:pStyle w:val="TableText"/>
              <w:jc w:val="right"/>
              <w:rPr>
                <w:b/>
                <w:bCs/>
                <w:lang w:eastAsia="en-AU"/>
              </w:rPr>
            </w:pPr>
            <w:r>
              <w:rPr>
                <w:rFonts w:cs="Calibri"/>
                <w:b/>
                <w:bCs/>
                <w:color w:val="000000"/>
              </w:rPr>
              <w:t>$326K</w:t>
            </w:r>
          </w:p>
        </w:tc>
        <w:tc>
          <w:tcPr>
            <w:tcW w:w="1242" w:type="dxa"/>
            <w:tcBorders>
              <w:top w:val="nil"/>
              <w:left w:val="nil"/>
              <w:bottom w:val="single" w:sz="4" w:space="0" w:color="auto"/>
              <w:right w:val="single" w:sz="4" w:space="0" w:color="auto"/>
            </w:tcBorders>
          </w:tcPr>
          <w:p w14:paraId="09EEB279" w14:textId="77777777" w:rsidR="006E364C" w:rsidRPr="00705863" w:rsidRDefault="006E364C" w:rsidP="00D6309C">
            <w:pPr>
              <w:pStyle w:val="TableText"/>
              <w:jc w:val="right"/>
              <w:rPr>
                <w:b/>
                <w:bCs/>
                <w:color w:val="000000"/>
              </w:rPr>
            </w:pPr>
            <w:r>
              <w:rPr>
                <w:rFonts w:cs="Calibri"/>
                <w:b/>
                <w:bCs/>
                <w:color w:val="000000"/>
              </w:rPr>
              <w:t>$283K</w:t>
            </w:r>
          </w:p>
        </w:tc>
        <w:tc>
          <w:tcPr>
            <w:tcW w:w="1242" w:type="dxa"/>
            <w:tcBorders>
              <w:top w:val="nil"/>
              <w:left w:val="nil"/>
              <w:bottom w:val="single" w:sz="4" w:space="0" w:color="auto"/>
              <w:right w:val="single" w:sz="4" w:space="0" w:color="auto"/>
            </w:tcBorders>
          </w:tcPr>
          <w:p w14:paraId="254173F8" w14:textId="77777777" w:rsidR="006E364C" w:rsidRDefault="006E364C" w:rsidP="00D6309C">
            <w:pPr>
              <w:pStyle w:val="TableText"/>
              <w:jc w:val="right"/>
              <w:rPr>
                <w:rFonts w:cs="Calibri"/>
                <w:b/>
                <w:bCs/>
                <w:color w:val="000000"/>
              </w:rPr>
            </w:pPr>
            <w:r>
              <w:rPr>
                <w:rFonts w:cs="Calibri"/>
                <w:b/>
                <w:bCs/>
                <w:color w:val="000000"/>
              </w:rPr>
              <w:t>$420K</w:t>
            </w:r>
          </w:p>
        </w:tc>
        <w:tc>
          <w:tcPr>
            <w:tcW w:w="1242" w:type="dxa"/>
            <w:tcBorders>
              <w:top w:val="nil"/>
              <w:left w:val="nil"/>
              <w:bottom w:val="single" w:sz="4" w:space="0" w:color="auto"/>
              <w:right w:val="single" w:sz="4" w:space="0" w:color="auto"/>
            </w:tcBorders>
          </w:tcPr>
          <w:p w14:paraId="5B0ACAC8" w14:textId="77777777" w:rsidR="006E364C" w:rsidRDefault="006E364C" w:rsidP="00D6309C">
            <w:pPr>
              <w:pStyle w:val="TableText"/>
              <w:jc w:val="right"/>
              <w:rPr>
                <w:rFonts w:cs="Calibri"/>
                <w:b/>
                <w:bCs/>
                <w:color w:val="000000"/>
              </w:rPr>
            </w:pPr>
            <w:r>
              <w:rPr>
                <w:rFonts w:cs="Calibri"/>
                <w:b/>
                <w:bCs/>
                <w:color w:val="000000"/>
              </w:rPr>
              <w:t>$375K</w:t>
            </w:r>
          </w:p>
        </w:tc>
        <w:tc>
          <w:tcPr>
            <w:tcW w:w="1242" w:type="dxa"/>
            <w:tcBorders>
              <w:top w:val="nil"/>
              <w:left w:val="nil"/>
              <w:bottom w:val="single" w:sz="4" w:space="0" w:color="auto"/>
              <w:right w:val="single" w:sz="4" w:space="0" w:color="auto"/>
            </w:tcBorders>
          </w:tcPr>
          <w:p w14:paraId="36D7FAE1" w14:textId="5F360881" w:rsidR="006E364C" w:rsidRDefault="006E364C" w:rsidP="00D6309C">
            <w:pPr>
              <w:pStyle w:val="TableText"/>
              <w:jc w:val="right"/>
              <w:rPr>
                <w:rFonts w:cs="Calibri"/>
                <w:b/>
                <w:bCs/>
                <w:color w:val="000000"/>
              </w:rPr>
            </w:pPr>
            <w:r>
              <w:rPr>
                <w:rFonts w:cs="Calibri"/>
                <w:b/>
                <w:bCs/>
                <w:color w:val="000000"/>
              </w:rPr>
              <w:t>404K</w:t>
            </w:r>
          </w:p>
        </w:tc>
      </w:tr>
    </w:tbl>
    <w:p w14:paraId="7B25EE60" w14:textId="77777777" w:rsidR="006E364C" w:rsidRDefault="006E364C" w:rsidP="00994941">
      <w:pPr>
        <w:ind w:left="-142" w:right="-425"/>
        <w:jc w:val="both"/>
        <w:rPr>
          <w:rFonts w:cs="Arial"/>
        </w:rPr>
      </w:pPr>
    </w:p>
    <w:p w14:paraId="1F933F3B" w14:textId="04E25BBF"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250129">
        <w:rPr>
          <w:rFonts w:cs="Arial"/>
        </w:rPr>
        <w:t>58</w:t>
      </w:r>
      <w:r w:rsidR="007914E0">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086AB4EE" w14:textId="29AB782D" w:rsidR="00B24617" w:rsidRDefault="00B24617" w:rsidP="009422CC">
      <w:pPr>
        <w:ind w:right="-425"/>
        <w:jc w:val="both"/>
        <w:rPr>
          <w:rFonts w:cs="Arial"/>
        </w:rPr>
      </w:pPr>
    </w:p>
    <w:p w14:paraId="1E5F5803" w14:textId="5A9DFBC8" w:rsidR="00994941" w:rsidRDefault="009422CC" w:rsidP="00994941">
      <w:pPr>
        <w:spacing w:line="240" w:lineRule="auto"/>
        <w:ind w:left="-142"/>
        <w:jc w:val="both"/>
        <w:rPr>
          <w:rFonts w:cs="Arial"/>
          <w:sz w:val="16"/>
          <w:szCs w:val="16"/>
        </w:rPr>
      </w:pPr>
      <w:r>
        <w:rPr>
          <w:rFonts w:cs="Arial"/>
          <w:b/>
          <w:sz w:val="16"/>
          <w:szCs w:val="16"/>
        </w:rPr>
        <w:t>Table 26</w:t>
      </w:r>
      <w:r w:rsidR="00994941" w:rsidRPr="0089132B">
        <w:rPr>
          <w:rFonts w:cs="Arial"/>
          <w:b/>
          <w:sz w:val="16"/>
          <w:szCs w:val="16"/>
        </w:rPr>
        <w:t xml:space="preserve">: </w:t>
      </w:r>
      <w:r w:rsidR="00A23629">
        <w:rPr>
          <w:rFonts w:cs="Arial"/>
          <w:sz w:val="16"/>
          <w:szCs w:val="16"/>
        </w:rPr>
        <w:t>Quarterly operating c</w:t>
      </w:r>
      <w:r w:rsidR="00994941" w:rsidRPr="006C5060">
        <w:rPr>
          <w:rFonts w:cs="Arial"/>
          <w:sz w:val="16"/>
          <w:szCs w:val="16"/>
        </w:rPr>
        <w:t xml:space="preserve">osts Cairns </w:t>
      </w:r>
      <w:r w:rsidR="007B7E78">
        <w:rPr>
          <w:rFonts w:cs="Arial"/>
          <w:sz w:val="16"/>
          <w:szCs w:val="16"/>
        </w:rPr>
        <w:t>1 October</w:t>
      </w:r>
      <w:r w:rsidR="00DF103B">
        <w:rPr>
          <w:rFonts w:cs="Arial"/>
          <w:sz w:val="16"/>
          <w:szCs w:val="16"/>
        </w:rPr>
        <w:t xml:space="preserve"> 2021</w:t>
      </w:r>
      <w:r w:rsidR="004364B8">
        <w:rPr>
          <w:rFonts w:cs="Arial"/>
          <w:sz w:val="16"/>
          <w:szCs w:val="16"/>
        </w:rPr>
        <w:t xml:space="preserve"> to </w:t>
      </w:r>
      <w:r w:rsidR="007B7E78">
        <w:rPr>
          <w:rFonts w:cs="Arial"/>
          <w:sz w:val="16"/>
          <w:szCs w:val="16"/>
        </w:rPr>
        <w:t>31 December</w:t>
      </w:r>
      <w:r w:rsidR="00E80807">
        <w:rPr>
          <w:rFonts w:cs="Arial"/>
          <w:sz w:val="16"/>
          <w:szCs w:val="16"/>
        </w:rPr>
        <w:t xml:space="preserve"> </w:t>
      </w:r>
      <w:r w:rsidR="001A5C4C">
        <w:rPr>
          <w:rFonts w:cs="Arial"/>
          <w:sz w:val="16"/>
          <w:szCs w:val="16"/>
        </w:rPr>
        <w:t>2022</w:t>
      </w:r>
    </w:p>
    <w:p w14:paraId="79D10264" w14:textId="6255B541" w:rsidR="009422CC" w:rsidRDefault="009422CC" w:rsidP="00994941">
      <w:pPr>
        <w:spacing w:line="240" w:lineRule="auto"/>
        <w:ind w:left="-142"/>
        <w:jc w:val="both"/>
        <w:rPr>
          <w:rFonts w:cs="Arial"/>
          <w:sz w:val="16"/>
          <w:szCs w:val="16"/>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9422CC" w:rsidRPr="00920636" w14:paraId="7D31673C" w14:textId="562F5EC6" w:rsidTr="009422CC">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57B3FD41" w14:textId="77777777" w:rsidR="009422CC" w:rsidRPr="000F130C" w:rsidRDefault="009422CC" w:rsidP="00D6309C">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4FA95EDC" w14:textId="77777777" w:rsidR="009422CC" w:rsidRDefault="009422CC" w:rsidP="00D6309C">
            <w:pPr>
              <w:pStyle w:val="TableText"/>
              <w:jc w:val="right"/>
              <w:rPr>
                <w:b/>
                <w:lang w:eastAsia="en-AU"/>
              </w:rPr>
            </w:pPr>
            <w:r>
              <w:rPr>
                <w:b/>
                <w:lang w:eastAsia="en-AU"/>
              </w:rPr>
              <w:t>Qtr 54</w:t>
            </w:r>
          </w:p>
        </w:tc>
        <w:tc>
          <w:tcPr>
            <w:tcW w:w="1250" w:type="dxa"/>
            <w:tcBorders>
              <w:top w:val="single" w:sz="4" w:space="0" w:color="auto"/>
              <w:left w:val="nil"/>
              <w:bottom w:val="single" w:sz="4" w:space="0" w:color="auto"/>
              <w:right w:val="single" w:sz="4" w:space="0" w:color="auto"/>
            </w:tcBorders>
          </w:tcPr>
          <w:p w14:paraId="2FA90E3E" w14:textId="77777777" w:rsidR="009422CC" w:rsidRDefault="009422CC" w:rsidP="00D6309C">
            <w:pPr>
              <w:pStyle w:val="TableText"/>
              <w:jc w:val="right"/>
              <w:rPr>
                <w:b/>
                <w:lang w:eastAsia="en-AU"/>
              </w:rPr>
            </w:pPr>
            <w:r>
              <w:rPr>
                <w:b/>
                <w:lang w:eastAsia="en-AU"/>
              </w:rPr>
              <w:t>Qtr 55</w:t>
            </w:r>
          </w:p>
        </w:tc>
        <w:tc>
          <w:tcPr>
            <w:tcW w:w="1250" w:type="dxa"/>
            <w:tcBorders>
              <w:top w:val="single" w:sz="4" w:space="0" w:color="auto"/>
              <w:left w:val="nil"/>
              <w:bottom w:val="single" w:sz="4" w:space="0" w:color="auto"/>
              <w:right w:val="single" w:sz="4" w:space="0" w:color="auto"/>
            </w:tcBorders>
          </w:tcPr>
          <w:p w14:paraId="03941EB8" w14:textId="77777777" w:rsidR="009422CC" w:rsidRDefault="009422CC" w:rsidP="00D6309C">
            <w:pPr>
              <w:pStyle w:val="TableText"/>
              <w:jc w:val="right"/>
              <w:rPr>
                <w:b/>
                <w:lang w:eastAsia="en-AU"/>
              </w:rPr>
            </w:pPr>
            <w:r>
              <w:rPr>
                <w:b/>
                <w:lang w:eastAsia="en-AU"/>
              </w:rPr>
              <w:t>Qtr 56</w:t>
            </w:r>
          </w:p>
        </w:tc>
        <w:tc>
          <w:tcPr>
            <w:tcW w:w="1250" w:type="dxa"/>
            <w:tcBorders>
              <w:top w:val="single" w:sz="4" w:space="0" w:color="auto"/>
              <w:left w:val="nil"/>
              <w:bottom w:val="single" w:sz="4" w:space="0" w:color="auto"/>
              <w:right w:val="single" w:sz="4" w:space="0" w:color="auto"/>
            </w:tcBorders>
          </w:tcPr>
          <w:p w14:paraId="646B232D" w14:textId="77777777" w:rsidR="009422CC" w:rsidRDefault="009422CC" w:rsidP="00D6309C">
            <w:pPr>
              <w:pStyle w:val="TableText"/>
              <w:jc w:val="right"/>
              <w:rPr>
                <w:b/>
                <w:lang w:eastAsia="en-AU"/>
              </w:rPr>
            </w:pPr>
            <w:r>
              <w:rPr>
                <w:b/>
                <w:lang w:eastAsia="en-AU"/>
              </w:rPr>
              <w:t>Qtr 57</w:t>
            </w:r>
          </w:p>
        </w:tc>
        <w:tc>
          <w:tcPr>
            <w:tcW w:w="1250" w:type="dxa"/>
            <w:tcBorders>
              <w:top w:val="single" w:sz="4" w:space="0" w:color="auto"/>
              <w:left w:val="nil"/>
              <w:bottom w:val="single" w:sz="4" w:space="0" w:color="auto"/>
              <w:right w:val="single" w:sz="4" w:space="0" w:color="auto"/>
            </w:tcBorders>
          </w:tcPr>
          <w:p w14:paraId="7253A4F3" w14:textId="17818BBA" w:rsidR="009422CC" w:rsidRDefault="009422CC" w:rsidP="00D6309C">
            <w:pPr>
              <w:pStyle w:val="TableText"/>
              <w:jc w:val="right"/>
              <w:rPr>
                <w:b/>
                <w:lang w:eastAsia="en-AU"/>
              </w:rPr>
            </w:pPr>
            <w:r>
              <w:rPr>
                <w:b/>
                <w:lang w:eastAsia="en-AU"/>
              </w:rPr>
              <w:t>Qtr 58</w:t>
            </w:r>
          </w:p>
        </w:tc>
      </w:tr>
      <w:tr w:rsidR="009422CC" w:rsidRPr="00920636" w14:paraId="68A73EB7" w14:textId="0DEBE203" w:rsidTr="009422CC">
        <w:trPr>
          <w:trHeight w:val="255"/>
        </w:trPr>
        <w:tc>
          <w:tcPr>
            <w:tcW w:w="2596" w:type="dxa"/>
            <w:tcBorders>
              <w:top w:val="nil"/>
              <w:left w:val="single" w:sz="4" w:space="0" w:color="auto"/>
              <w:bottom w:val="single" w:sz="4" w:space="0" w:color="auto"/>
              <w:right w:val="single" w:sz="4" w:space="0" w:color="auto"/>
            </w:tcBorders>
            <w:noWrap/>
          </w:tcPr>
          <w:p w14:paraId="6B526C98" w14:textId="77777777" w:rsidR="009422CC" w:rsidRPr="00E72DFB" w:rsidRDefault="009422CC" w:rsidP="00D6309C">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7544B891" w14:textId="77777777" w:rsidR="009422CC" w:rsidRDefault="009422CC" w:rsidP="00D6309C">
            <w:pPr>
              <w:pStyle w:val="TableText"/>
              <w:jc w:val="right"/>
              <w:rPr>
                <w:lang w:eastAsia="en-AU"/>
              </w:rPr>
            </w:pPr>
            <w:r>
              <w:rPr>
                <w:rFonts w:cs="Arial"/>
              </w:rPr>
              <w:t>$295K</w:t>
            </w:r>
          </w:p>
        </w:tc>
        <w:tc>
          <w:tcPr>
            <w:tcW w:w="1250" w:type="dxa"/>
            <w:tcBorders>
              <w:top w:val="nil"/>
              <w:left w:val="nil"/>
              <w:bottom w:val="single" w:sz="4" w:space="0" w:color="auto"/>
              <w:right w:val="single" w:sz="4" w:space="0" w:color="auto"/>
            </w:tcBorders>
          </w:tcPr>
          <w:p w14:paraId="68699C18" w14:textId="77777777" w:rsidR="009422CC" w:rsidRPr="0074086C" w:rsidRDefault="009422CC" w:rsidP="00D6309C">
            <w:pPr>
              <w:pStyle w:val="TableText"/>
              <w:jc w:val="right"/>
              <w:rPr>
                <w:lang w:eastAsia="en-AU"/>
              </w:rPr>
            </w:pPr>
            <w:r>
              <w:rPr>
                <w:rFonts w:cs="Arial"/>
              </w:rPr>
              <w:t>$270K</w:t>
            </w:r>
          </w:p>
        </w:tc>
        <w:tc>
          <w:tcPr>
            <w:tcW w:w="1250" w:type="dxa"/>
            <w:tcBorders>
              <w:top w:val="nil"/>
              <w:left w:val="nil"/>
              <w:bottom w:val="single" w:sz="4" w:space="0" w:color="auto"/>
              <w:right w:val="single" w:sz="4" w:space="0" w:color="auto"/>
            </w:tcBorders>
          </w:tcPr>
          <w:p w14:paraId="369623A7" w14:textId="77777777" w:rsidR="009422CC" w:rsidRDefault="009422CC" w:rsidP="00D6309C">
            <w:pPr>
              <w:pStyle w:val="TableText"/>
              <w:jc w:val="right"/>
              <w:rPr>
                <w:rFonts w:cs="Arial"/>
              </w:rPr>
            </w:pPr>
            <w:r>
              <w:rPr>
                <w:rFonts w:cs="Arial"/>
              </w:rPr>
              <w:t>$289K</w:t>
            </w:r>
          </w:p>
        </w:tc>
        <w:tc>
          <w:tcPr>
            <w:tcW w:w="1250" w:type="dxa"/>
            <w:tcBorders>
              <w:top w:val="nil"/>
              <w:left w:val="nil"/>
              <w:bottom w:val="single" w:sz="4" w:space="0" w:color="auto"/>
              <w:right w:val="single" w:sz="4" w:space="0" w:color="auto"/>
            </w:tcBorders>
          </w:tcPr>
          <w:p w14:paraId="38E29CD4" w14:textId="77777777" w:rsidR="009422CC" w:rsidRDefault="009422CC" w:rsidP="00D6309C">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2D4A3793" w14:textId="6EAC6B62" w:rsidR="009422CC" w:rsidRDefault="009422CC" w:rsidP="00D6309C">
            <w:pPr>
              <w:pStyle w:val="TableText"/>
              <w:jc w:val="right"/>
              <w:rPr>
                <w:rFonts w:cs="Arial"/>
              </w:rPr>
            </w:pPr>
            <w:r>
              <w:rPr>
                <w:rFonts w:cs="Arial"/>
              </w:rPr>
              <w:t>308K</w:t>
            </w:r>
          </w:p>
        </w:tc>
      </w:tr>
      <w:tr w:rsidR="009422CC" w:rsidRPr="00920636" w14:paraId="738803D9" w14:textId="1342DBDF" w:rsidTr="009422CC">
        <w:trPr>
          <w:trHeight w:val="255"/>
        </w:trPr>
        <w:tc>
          <w:tcPr>
            <w:tcW w:w="2596" w:type="dxa"/>
            <w:tcBorders>
              <w:top w:val="nil"/>
              <w:left w:val="single" w:sz="4" w:space="0" w:color="auto"/>
              <w:bottom w:val="single" w:sz="4" w:space="0" w:color="auto"/>
              <w:right w:val="single" w:sz="4" w:space="0" w:color="auto"/>
            </w:tcBorders>
            <w:noWrap/>
            <w:hideMark/>
          </w:tcPr>
          <w:p w14:paraId="731DDA2E" w14:textId="77777777" w:rsidR="009422CC" w:rsidRPr="00E72DFB" w:rsidRDefault="009422CC" w:rsidP="00D6309C">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7423091A" w14:textId="77777777" w:rsidR="009422CC" w:rsidRDefault="009422CC" w:rsidP="00D6309C">
            <w:pPr>
              <w:pStyle w:val="TableText"/>
              <w:jc w:val="right"/>
              <w:rPr>
                <w:lang w:eastAsia="en-AU"/>
              </w:rPr>
            </w:pPr>
            <w:r>
              <w:rPr>
                <w:rFonts w:cs="Arial"/>
              </w:rPr>
              <w:t>$371K</w:t>
            </w:r>
          </w:p>
        </w:tc>
        <w:tc>
          <w:tcPr>
            <w:tcW w:w="1250" w:type="dxa"/>
            <w:tcBorders>
              <w:top w:val="nil"/>
              <w:left w:val="nil"/>
              <w:bottom w:val="single" w:sz="4" w:space="0" w:color="auto"/>
              <w:right w:val="single" w:sz="4" w:space="0" w:color="auto"/>
            </w:tcBorders>
          </w:tcPr>
          <w:p w14:paraId="7F211E95" w14:textId="77777777" w:rsidR="009422CC" w:rsidRPr="0074086C" w:rsidRDefault="009422CC" w:rsidP="00D6309C">
            <w:pPr>
              <w:pStyle w:val="TableText"/>
              <w:jc w:val="right"/>
              <w:rPr>
                <w:lang w:eastAsia="en-AU"/>
              </w:rPr>
            </w:pPr>
            <w:r>
              <w:rPr>
                <w:rFonts w:cs="Arial"/>
              </w:rPr>
              <w:t>$373K</w:t>
            </w:r>
          </w:p>
        </w:tc>
        <w:tc>
          <w:tcPr>
            <w:tcW w:w="1250" w:type="dxa"/>
            <w:tcBorders>
              <w:top w:val="nil"/>
              <w:left w:val="nil"/>
              <w:bottom w:val="single" w:sz="4" w:space="0" w:color="auto"/>
              <w:right w:val="single" w:sz="4" w:space="0" w:color="auto"/>
            </w:tcBorders>
          </w:tcPr>
          <w:p w14:paraId="349F28F3" w14:textId="77777777" w:rsidR="009422CC" w:rsidRDefault="009422CC" w:rsidP="00D6309C">
            <w:pPr>
              <w:pStyle w:val="TableText"/>
              <w:jc w:val="right"/>
              <w:rPr>
                <w:rFonts w:cs="Arial"/>
              </w:rPr>
            </w:pPr>
            <w:r>
              <w:rPr>
                <w:rFonts w:cs="Arial"/>
              </w:rPr>
              <w:t>$371K</w:t>
            </w:r>
          </w:p>
        </w:tc>
        <w:tc>
          <w:tcPr>
            <w:tcW w:w="1250" w:type="dxa"/>
            <w:tcBorders>
              <w:top w:val="nil"/>
              <w:left w:val="nil"/>
              <w:bottom w:val="single" w:sz="4" w:space="0" w:color="auto"/>
              <w:right w:val="single" w:sz="4" w:space="0" w:color="auto"/>
            </w:tcBorders>
          </w:tcPr>
          <w:p w14:paraId="58F2BEA1" w14:textId="77777777" w:rsidR="009422CC" w:rsidRDefault="009422CC" w:rsidP="00D6309C">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06F9A8D9" w14:textId="62F2E0CB" w:rsidR="009422CC" w:rsidRDefault="009422CC" w:rsidP="00D6309C">
            <w:pPr>
              <w:pStyle w:val="TableText"/>
              <w:jc w:val="right"/>
              <w:rPr>
                <w:rFonts w:cs="Arial"/>
              </w:rPr>
            </w:pPr>
            <w:r>
              <w:rPr>
                <w:rFonts w:cs="Arial"/>
              </w:rPr>
              <w:t>348K</w:t>
            </w:r>
          </w:p>
        </w:tc>
      </w:tr>
      <w:tr w:rsidR="009422CC" w:rsidRPr="00920636" w14:paraId="7A792296" w14:textId="32CF2E1A" w:rsidTr="009422CC">
        <w:trPr>
          <w:trHeight w:val="255"/>
        </w:trPr>
        <w:tc>
          <w:tcPr>
            <w:tcW w:w="2596" w:type="dxa"/>
            <w:tcBorders>
              <w:top w:val="nil"/>
              <w:left w:val="single" w:sz="4" w:space="0" w:color="auto"/>
              <w:bottom w:val="single" w:sz="4" w:space="0" w:color="auto"/>
              <w:right w:val="single" w:sz="4" w:space="0" w:color="auto"/>
            </w:tcBorders>
            <w:noWrap/>
            <w:hideMark/>
          </w:tcPr>
          <w:p w14:paraId="4408821C" w14:textId="77777777" w:rsidR="009422CC" w:rsidRPr="000F130C" w:rsidRDefault="009422CC" w:rsidP="00D6309C">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285876A5" w14:textId="77777777" w:rsidR="009422CC" w:rsidRPr="00EB7A8F" w:rsidRDefault="009422CC" w:rsidP="00D6309C">
            <w:pPr>
              <w:pStyle w:val="TableText"/>
              <w:jc w:val="right"/>
              <w:rPr>
                <w:b/>
                <w:bCs/>
                <w:lang w:eastAsia="en-AU"/>
              </w:rPr>
            </w:pPr>
            <w:r>
              <w:rPr>
                <w:rFonts w:cs="Arial"/>
                <w:b/>
                <w:bCs/>
              </w:rPr>
              <w:t>$666K</w:t>
            </w:r>
          </w:p>
        </w:tc>
        <w:tc>
          <w:tcPr>
            <w:tcW w:w="1250" w:type="dxa"/>
            <w:tcBorders>
              <w:top w:val="nil"/>
              <w:left w:val="nil"/>
              <w:bottom w:val="single" w:sz="4" w:space="0" w:color="auto"/>
              <w:right w:val="single" w:sz="4" w:space="0" w:color="auto"/>
            </w:tcBorders>
          </w:tcPr>
          <w:p w14:paraId="64CC5382" w14:textId="77777777" w:rsidR="009422CC" w:rsidRPr="0074086C" w:rsidRDefault="009422CC" w:rsidP="00D6309C">
            <w:pPr>
              <w:pStyle w:val="TableText"/>
              <w:jc w:val="right"/>
              <w:rPr>
                <w:b/>
                <w:bCs/>
                <w:lang w:eastAsia="en-AU"/>
              </w:rPr>
            </w:pPr>
            <w:r>
              <w:rPr>
                <w:rFonts w:cs="Arial"/>
                <w:b/>
                <w:bCs/>
              </w:rPr>
              <w:t>$643K</w:t>
            </w:r>
          </w:p>
        </w:tc>
        <w:tc>
          <w:tcPr>
            <w:tcW w:w="1250" w:type="dxa"/>
            <w:tcBorders>
              <w:top w:val="nil"/>
              <w:left w:val="nil"/>
              <w:bottom w:val="single" w:sz="4" w:space="0" w:color="auto"/>
              <w:right w:val="single" w:sz="4" w:space="0" w:color="auto"/>
            </w:tcBorders>
          </w:tcPr>
          <w:p w14:paraId="0DAC8B94" w14:textId="77777777" w:rsidR="009422CC" w:rsidRDefault="009422CC" w:rsidP="00D6309C">
            <w:pPr>
              <w:pStyle w:val="TableText"/>
              <w:jc w:val="right"/>
              <w:rPr>
                <w:rFonts w:cs="Arial"/>
                <w:b/>
                <w:bCs/>
              </w:rPr>
            </w:pPr>
            <w:r>
              <w:rPr>
                <w:rFonts w:cs="Arial"/>
                <w:b/>
                <w:bCs/>
              </w:rPr>
              <w:t>$660K</w:t>
            </w:r>
          </w:p>
        </w:tc>
        <w:tc>
          <w:tcPr>
            <w:tcW w:w="1250" w:type="dxa"/>
            <w:tcBorders>
              <w:top w:val="nil"/>
              <w:left w:val="nil"/>
              <w:bottom w:val="single" w:sz="4" w:space="0" w:color="auto"/>
              <w:right w:val="single" w:sz="4" w:space="0" w:color="auto"/>
            </w:tcBorders>
          </w:tcPr>
          <w:p w14:paraId="2F736F14" w14:textId="77777777" w:rsidR="009422CC" w:rsidRDefault="009422CC" w:rsidP="00D6309C">
            <w:pPr>
              <w:pStyle w:val="TableText"/>
              <w:jc w:val="right"/>
              <w:rPr>
                <w:rFonts w:cs="Arial"/>
                <w:b/>
                <w:bCs/>
              </w:rPr>
            </w:pPr>
            <w:r>
              <w:rPr>
                <w:rFonts w:cs="Arial"/>
                <w:b/>
                <w:bCs/>
              </w:rPr>
              <w:t>$706K</w:t>
            </w:r>
          </w:p>
        </w:tc>
        <w:tc>
          <w:tcPr>
            <w:tcW w:w="1250" w:type="dxa"/>
            <w:tcBorders>
              <w:top w:val="nil"/>
              <w:left w:val="nil"/>
              <w:bottom w:val="single" w:sz="4" w:space="0" w:color="auto"/>
              <w:right w:val="single" w:sz="4" w:space="0" w:color="auto"/>
            </w:tcBorders>
          </w:tcPr>
          <w:p w14:paraId="512867CC" w14:textId="1F94C738" w:rsidR="009422CC" w:rsidRDefault="009422CC" w:rsidP="00D6309C">
            <w:pPr>
              <w:pStyle w:val="TableText"/>
              <w:jc w:val="right"/>
              <w:rPr>
                <w:rFonts w:cs="Arial"/>
                <w:b/>
                <w:bCs/>
              </w:rPr>
            </w:pPr>
            <w:r>
              <w:rPr>
                <w:rFonts w:cs="Arial"/>
                <w:b/>
                <w:bCs/>
              </w:rPr>
              <w:t>656K</w:t>
            </w:r>
          </w:p>
        </w:tc>
      </w:tr>
    </w:tbl>
    <w:p w14:paraId="0D17736E" w14:textId="77777777" w:rsidR="009422CC" w:rsidRDefault="009422CC" w:rsidP="00994941">
      <w:pPr>
        <w:spacing w:line="240" w:lineRule="auto"/>
        <w:ind w:left="-142"/>
        <w:jc w:val="both"/>
        <w:rPr>
          <w:rFonts w:cs="Arial"/>
          <w:sz w:val="16"/>
          <w:szCs w:val="16"/>
        </w:rPr>
      </w:pPr>
    </w:p>
    <w:p w14:paraId="791E5F7C" w14:textId="1D422118" w:rsidR="00D017C0" w:rsidRDefault="00D017C0" w:rsidP="00994941">
      <w:pPr>
        <w:spacing w:line="240" w:lineRule="auto"/>
        <w:ind w:left="-142"/>
        <w:jc w:val="both"/>
        <w:rPr>
          <w:rFonts w:cs="Arial"/>
          <w:sz w:val="16"/>
          <w:szCs w:val="16"/>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1F04603A"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45E2FA55"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w:t>
            </w:r>
            <w:r w:rsidR="00E80807">
              <w:rPr>
                <w:rFonts w:ascii="Arial" w:hAnsi="Arial" w:cs="Arial"/>
                <w:b/>
                <w:bCs/>
                <w:noProof/>
                <w:lang w:val="en-US"/>
              </w:rPr>
              <w:t>2</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37511A0D"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11256D">
              <w:rPr>
                <w:rFonts w:ascii="Arial" w:hAnsi="Arial" w:cs="Arial"/>
                <w:b/>
                <w:bCs/>
                <w:noProof/>
                <w:lang w:val="en-US"/>
              </w:rPr>
              <w:t xml:space="preserve">July </w:t>
            </w:r>
            <w:r>
              <w:rPr>
                <w:rFonts w:ascii="Arial" w:hAnsi="Arial" w:cs="Arial"/>
                <w:b/>
                <w:bCs/>
                <w:noProof/>
                <w:lang w:val="en-US"/>
              </w:rPr>
              <w:t>202</w:t>
            </w:r>
            <w:r w:rsidR="00C22830">
              <w:rPr>
                <w:rFonts w:ascii="Arial" w:hAnsi="Arial" w:cs="Arial"/>
                <w:b/>
                <w:bCs/>
                <w:noProof/>
                <w:lang w:val="en-US"/>
              </w:rPr>
              <w:t>2</w:t>
            </w:r>
            <w:r>
              <w:rPr>
                <w:rFonts w:ascii="Arial" w:hAnsi="Arial" w:cs="Arial"/>
                <w:b/>
                <w:bCs/>
                <w:noProof/>
                <w:lang w:val="en-US"/>
              </w:rPr>
              <w:t xml:space="preserve"> to 3</w:t>
            </w:r>
            <w:r w:rsidR="0011256D">
              <w:rPr>
                <w:rFonts w:ascii="Arial" w:hAnsi="Arial" w:cs="Arial"/>
                <w:b/>
                <w:bCs/>
                <w:noProof/>
                <w:lang w:val="en-US"/>
              </w:rPr>
              <w:t>1 December</w:t>
            </w:r>
            <w:r w:rsidR="007552AD">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p>
        </w:tc>
        <w:tc>
          <w:tcPr>
            <w:tcW w:w="1817" w:type="dxa"/>
            <w:tcBorders>
              <w:top w:val="nil"/>
              <w:left w:val="nil"/>
              <w:bottom w:val="single" w:sz="18" w:space="0" w:color="auto"/>
              <w:right w:val="nil"/>
            </w:tcBorders>
            <w:shd w:val="clear" w:color="auto" w:fill="auto"/>
            <w:vAlign w:val="center"/>
          </w:tcPr>
          <w:p w14:paraId="79EDD674" w14:textId="05EC4885"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CA4D07">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BD8A33A" w:rsidR="00EB0D94" w:rsidRPr="00A634FA" w:rsidRDefault="0011256D" w:rsidP="00EB0D94">
            <w:pPr>
              <w:jc w:val="center"/>
              <w:rPr>
                <w:rFonts w:ascii="Arial Narrow" w:hAnsi="Arial Narrow" w:cs="Arial"/>
                <w:sz w:val="16"/>
                <w:szCs w:val="16"/>
              </w:rPr>
            </w:pPr>
            <w:r>
              <w:rPr>
                <w:rFonts w:ascii="Arial Narrow" w:hAnsi="Arial Narrow" w:cs="Arial"/>
                <w:sz w:val="16"/>
                <w:szCs w:val="16"/>
              </w:rPr>
              <w:t>4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7928A208" w:rsidR="00EB0D94" w:rsidRPr="008805E5" w:rsidRDefault="00EB0D94" w:rsidP="00EB0D94">
            <w:pPr>
              <w:jc w:val="center"/>
              <w:rPr>
                <w:rFonts w:ascii="Arial Narrow" w:hAnsi="Arial Narrow"/>
                <w:color w:val="31849B"/>
                <w:sz w:val="16"/>
                <w:szCs w:val="16"/>
              </w:rPr>
            </w:pPr>
          </w:p>
        </w:tc>
      </w:tr>
      <w:tr w:rsidR="006801DA" w:rsidRPr="00BC2C5D" w14:paraId="7C66C142" w14:textId="77777777" w:rsidTr="00AA40BA">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D7F7DF0" w:rsidR="006801DA" w:rsidRPr="00A634FA" w:rsidRDefault="006801DA" w:rsidP="00EB0D94">
            <w:pPr>
              <w:jc w:val="center"/>
              <w:rPr>
                <w:rFonts w:ascii="Arial Narrow" w:hAnsi="Arial Narrow" w:cs="Arial"/>
                <w:sz w:val="16"/>
                <w:szCs w:val="16"/>
              </w:rPr>
            </w:pPr>
            <w:r>
              <w:rPr>
                <w:rFonts w:ascii="Arial Narrow" w:hAnsi="Arial Narrow" w:cs="Arial"/>
                <w:sz w:val="16"/>
                <w:szCs w:val="16"/>
              </w:rPr>
              <w:t>1</w:t>
            </w:r>
            <w:r w:rsidR="0011256D">
              <w:rPr>
                <w:rFonts w:ascii="Arial Narrow" w:hAnsi="Arial Narrow" w:cs="Arial"/>
                <w:sz w:val="16"/>
                <w:szCs w:val="16"/>
              </w:rPr>
              <w:t>1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FF00"/>
            <w:vAlign w:val="center"/>
          </w:tcPr>
          <w:p w14:paraId="731C4540" w14:textId="362D1403" w:rsidR="006801DA" w:rsidRPr="00391855" w:rsidRDefault="00391855" w:rsidP="00EB0D94">
            <w:pPr>
              <w:jc w:val="center"/>
              <w:rPr>
                <w:rFonts w:ascii="Arial Narrow" w:hAnsi="Arial Narrow" w:cs="Arial"/>
                <w:b/>
                <w:bCs/>
                <w:sz w:val="16"/>
                <w:szCs w:val="16"/>
              </w:rPr>
            </w:pPr>
            <w:r>
              <w:rPr>
                <w:rFonts w:ascii="Arial Narrow" w:hAnsi="Arial Narrow" w:cs="Arial"/>
                <w:b/>
                <w:bCs/>
                <w:sz w:val="16"/>
                <w:szCs w:val="16"/>
              </w:rPr>
              <w:t>12</w:t>
            </w:r>
          </w:p>
        </w:tc>
        <w:tc>
          <w:tcPr>
            <w:tcW w:w="1162" w:type="dxa"/>
            <w:tcBorders>
              <w:top w:val="single" w:sz="18" w:space="0" w:color="C0C0C0"/>
              <w:left w:val="single" w:sz="18" w:space="0" w:color="BFBFBF"/>
              <w:right w:val="single" w:sz="18" w:space="0" w:color="C0C0C0"/>
            </w:tcBorders>
            <w:shd w:val="clear" w:color="auto" w:fill="FF0000"/>
            <w:vAlign w:val="center"/>
          </w:tcPr>
          <w:p w14:paraId="1E99A741" w14:textId="21C9D66D" w:rsidR="006801DA" w:rsidRPr="00391855" w:rsidRDefault="00391855" w:rsidP="00EB0D94">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13</w:t>
            </w:r>
          </w:p>
        </w:tc>
        <w:tc>
          <w:tcPr>
            <w:tcW w:w="1162" w:type="dxa"/>
            <w:tcBorders>
              <w:top w:val="single" w:sz="18" w:space="0" w:color="C0C0C0"/>
              <w:left w:val="single" w:sz="18" w:space="0" w:color="C0C0C0"/>
              <w:right w:val="single" w:sz="18" w:space="0" w:color="C0C0C0"/>
            </w:tcBorders>
            <w:shd w:val="clear" w:color="auto" w:fill="FF0000"/>
            <w:vAlign w:val="center"/>
          </w:tcPr>
          <w:p w14:paraId="07B23DF6" w14:textId="79156DD0" w:rsidR="006801DA" w:rsidRPr="00391855" w:rsidRDefault="00391855" w:rsidP="00EB0D94">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14</w:t>
            </w: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73D95E24" w:rsidR="006801DA" w:rsidRPr="00236E17" w:rsidRDefault="00236E17" w:rsidP="00EB0D94">
            <w:pPr>
              <w:jc w:val="center"/>
              <w:rPr>
                <w:rFonts w:ascii="Arial Narrow" w:hAnsi="Arial Narrow" w:cs="Arial"/>
                <w:b/>
                <w:bCs/>
                <w:sz w:val="16"/>
                <w:szCs w:val="16"/>
              </w:rPr>
            </w:pPr>
            <w:r w:rsidRPr="00236E17">
              <w:rPr>
                <w:rFonts w:ascii="Arial Narrow" w:hAnsi="Arial Narrow" w:cs="Arial"/>
                <w:b/>
                <w:bCs/>
                <w:sz w:val="16"/>
                <w:szCs w:val="16"/>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7FEE766" w14:textId="77777777" w:rsidR="008D6D06" w:rsidRPr="007E2969" w:rsidRDefault="008D6D06" w:rsidP="008D6D06">
            <w:pPr>
              <w:jc w:val="center"/>
              <w:rPr>
                <w:rFonts w:ascii="Arial Narrow" w:hAnsi="Arial Narrow" w:cs="Arial"/>
                <w:b/>
                <w:bCs/>
                <w:sz w:val="16"/>
                <w:szCs w:val="16"/>
              </w:rPr>
            </w:pPr>
            <w:r w:rsidRPr="007E2969">
              <w:rPr>
                <w:rFonts w:ascii="Arial Narrow" w:hAnsi="Arial Narrow" w:cs="Arial"/>
                <w:b/>
                <w:bCs/>
                <w:sz w:val="16"/>
                <w:szCs w:val="16"/>
              </w:rPr>
              <w:t>Fri 15th - Cairns Show Day</w:t>
            </w:r>
          </w:p>
          <w:p w14:paraId="77022EBA" w14:textId="77777777"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304C5BB3" w14:textId="29C78D75" w:rsidR="006801DA" w:rsidRPr="00DC638E"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91855" w:rsidRPr="00BC2C5D" w14:paraId="5BA53CBD" w14:textId="77777777" w:rsidTr="00CC69CF">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2AFF27D9" w:rsidR="00391855" w:rsidRPr="00A634FA" w:rsidRDefault="00391855" w:rsidP="00C344F6">
            <w:pPr>
              <w:jc w:val="center"/>
              <w:rPr>
                <w:rFonts w:ascii="Arial Narrow" w:hAnsi="Arial Narrow" w:cs="Arial"/>
                <w:sz w:val="16"/>
                <w:szCs w:val="16"/>
              </w:rPr>
            </w:pPr>
            <w:r>
              <w:rPr>
                <w:rFonts w:ascii="Arial Narrow" w:hAnsi="Arial Narrow" w:cs="Arial"/>
                <w:sz w:val="16"/>
                <w:szCs w:val="16"/>
              </w:rPr>
              <w:t>18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030DF612" w:rsidR="00391855" w:rsidRPr="00DC638E" w:rsidRDefault="00391855" w:rsidP="00C344F6">
            <w:pPr>
              <w:jc w:val="center"/>
              <w:rPr>
                <w:rFonts w:ascii="Arial Narrow" w:hAnsi="Arial Narrow" w:cs="Arial"/>
                <w:sz w:val="16"/>
                <w:szCs w:val="16"/>
              </w:rPr>
            </w:pPr>
            <w:r w:rsidRPr="00236E17">
              <w:rPr>
                <w:rFonts w:ascii="Arial Narrow" w:hAnsi="Arial Narrow" w:cs="Arial"/>
                <w:b/>
                <w:bCs/>
                <w:sz w:val="16"/>
                <w:szCs w:val="16"/>
              </w:rPr>
              <w:t>Public Holiday</w:t>
            </w:r>
            <w:r>
              <w:rPr>
                <w:rFonts w:ascii="Arial Narrow" w:hAnsi="Arial Narrow" w:cs="Arial"/>
                <w:b/>
                <w:bCs/>
                <w:sz w:val="16"/>
                <w:szCs w:val="16"/>
              </w:rPr>
              <w:t xml:space="preserve"> – MG Only</w:t>
            </w:r>
          </w:p>
        </w:tc>
        <w:tc>
          <w:tcPr>
            <w:tcW w:w="1162" w:type="dxa"/>
            <w:vMerge w:val="restart"/>
            <w:tcBorders>
              <w:top w:val="single" w:sz="18" w:space="0" w:color="BFBFBF"/>
              <w:left w:val="single" w:sz="18" w:space="0" w:color="C0C0C0"/>
              <w:right w:val="single" w:sz="18" w:space="0" w:color="BFBFBF"/>
              <w:tr2bl w:val="nil"/>
            </w:tcBorders>
            <w:shd w:val="clear" w:color="auto" w:fill="auto"/>
            <w:vAlign w:val="center"/>
          </w:tcPr>
          <w:p w14:paraId="346AA547" w14:textId="5F476F3E" w:rsidR="00391855" w:rsidRPr="00DC638E" w:rsidRDefault="00391855" w:rsidP="00C344F6">
            <w:pPr>
              <w:jc w:val="center"/>
              <w:rPr>
                <w:rFonts w:ascii="Arial Narrow" w:hAnsi="Arial Narrow" w:cs="Arial"/>
                <w:sz w:val="16"/>
                <w:szCs w:val="16"/>
              </w:rPr>
            </w:pPr>
          </w:p>
        </w:tc>
        <w:tc>
          <w:tcPr>
            <w:tcW w:w="1162" w:type="dxa"/>
            <w:tcBorders>
              <w:top w:val="single" w:sz="18" w:space="0" w:color="BFBFBF"/>
              <w:left w:val="single" w:sz="18" w:space="0" w:color="BFBFBF"/>
              <w:bottom w:val="nil"/>
              <w:right w:val="single" w:sz="18" w:space="0" w:color="C0C0C0"/>
            </w:tcBorders>
            <w:shd w:val="clear" w:color="auto" w:fill="A972A9"/>
            <w:vAlign w:val="center"/>
          </w:tcPr>
          <w:p w14:paraId="7A536749" w14:textId="00545C25" w:rsidR="00391855" w:rsidRPr="00391855" w:rsidRDefault="00391855" w:rsidP="00C344F6">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20</w:t>
            </w: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6CAE5B32" w14:textId="5204E3E0" w:rsidR="00391855" w:rsidRPr="00391855" w:rsidRDefault="00391855" w:rsidP="00C344F6">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21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F79FB51"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54B762C" w14:textId="77777777" w:rsidR="00391855" w:rsidRPr="007E2969" w:rsidRDefault="00391855" w:rsidP="008D6D06">
            <w:pPr>
              <w:jc w:val="center"/>
              <w:rPr>
                <w:rFonts w:ascii="Arial Narrow" w:hAnsi="Arial Narrow" w:cs="Arial"/>
                <w:b/>
                <w:bCs/>
                <w:sz w:val="16"/>
                <w:szCs w:val="16"/>
              </w:rPr>
            </w:pPr>
            <w:r w:rsidRPr="007E2969">
              <w:rPr>
                <w:rFonts w:ascii="Arial Narrow" w:hAnsi="Arial Narrow" w:cs="Arial"/>
                <w:b/>
                <w:bCs/>
                <w:sz w:val="16"/>
                <w:szCs w:val="16"/>
              </w:rPr>
              <w:t>Mon 18th - Mossman Show Day</w:t>
            </w:r>
          </w:p>
          <w:p w14:paraId="6C8C40F7" w14:textId="78EFD534" w:rsidR="00391855" w:rsidRPr="00DC638E" w:rsidRDefault="00E52A73" w:rsidP="008D6D06">
            <w:pPr>
              <w:jc w:val="center"/>
              <w:rPr>
                <w:rFonts w:ascii="Arial Narrow" w:hAnsi="Arial Narrow"/>
                <w:sz w:val="16"/>
                <w:szCs w:val="16"/>
              </w:rPr>
            </w:pPr>
            <w:r w:rsidRPr="008805E5">
              <w:rPr>
                <w:rFonts w:ascii="Arial Narrow" w:hAnsi="Arial Narrow"/>
                <w:color w:val="31849B"/>
                <w:sz w:val="16"/>
                <w:szCs w:val="16"/>
              </w:rPr>
              <w:t>Aurukun Cape B &amp; Coen Cape A Circuit</w:t>
            </w:r>
          </w:p>
        </w:tc>
      </w:tr>
      <w:tr w:rsidR="00391855" w:rsidRPr="00BC2C5D" w14:paraId="24F2CAD9" w14:textId="77777777" w:rsidTr="00CC69CF">
        <w:trPr>
          <w:trHeight w:val="284"/>
        </w:trPr>
        <w:tc>
          <w:tcPr>
            <w:tcW w:w="1526" w:type="dxa"/>
            <w:vMerge/>
            <w:tcBorders>
              <w:left w:val="single" w:sz="18" w:space="0" w:color="auto"/>
              <w:right w:val="single" w:sz="18" w:space="0" w:color="C0C0C0"/>
            </w:tcBorders>
            <w:shd w:val="clear" w:color="auto" w:fill="auto"/>
            <w:vAlign w:val="center"/>
          </w:tcPr>
          <w:p w14:paraId="2B8AFE85" w14:textId="77777777" w:rsidR="00391855" w:rsidRDefault="00391855" w:rsidP="00391855">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E52FF19" w14:textId="77777777" w:rsidR="00391855" w:rsidRPr="00236E17" w:rsidRDefault="00391855" w:rsidP="00391855">
            <w:pPr>
              <w:jc w:val="center"/>
              <w:rPr>
                <w:rFonts w:ascii="Arial Narrow" w:hAnsi="Arial Narrow" w:cs="Arial"/>
                <w:b/>
                <w:bCs/>
                <w:sz w:val="16"/>
                <w:szCs w:val="16"/>
              </w:rPr>
            </w:pPr>
          </w:p>
        </w:tc>
        <w:tc>
          <w:tcPr>
            <w:tcW w:w="1162" w:type="dxa"/>
            <w:vMerge/>
            <w:tcBorders>
              <w:left w:val="single" w:sz="18" w:space="0" w:color="C0C0C0"/>
              <w:right w:val="single" w:sz="18" w:space="0" w:color="BFBFBF"/>
              <w:tr2bl w:val="nil"/>
            </w:tcBorders>
            <w:shd w:val="clear" w:color="auto" w:fill="auto"/>
            <w:vAlign w:val="center"/>
          </w:tcPr>
          <w:p w14:paraId="21112033" w14:textId="77777777" w:rsidR="00391855" w:rsidRPr="00DC638E" w:rsidRDefault="00391855" w:rsidP="00391855">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BFBFBF"/>
            </w:tcBorders>
            <w:shd w:val="clear" w:color="auto" w:fill="769250"/>
            <w:vAlign w:val="center"/>
          </w:tcPr>
          <w:p w14:paraId="290D0E42" w14:textId="7F60CAFC" w:rsidR="00391855" w:rsidRPr="00391855" w:rsidRDefault="00391855" w:rsidP="00391855">
            <w:pPr>
              <w:jc w:val="center"/>
              <w:rPr>
                <w:rFonts w:ascii="Arial Narrow" w:hAnsi="Arial Narrow" w:cs="Arial"/>
                <w:color w:val="FFFFFF" w:themeColor="background1"/>
                <w:sz w:val="16"/>
                <w:szCs w:val="16"/>
              </w:rPr>
            </w:pPr>
            <w:r w:rsidRPr="00391855">
              <w:rPr>
                <w:rFonts w:ascii="Arial Narrow" w:hAnsi="Arial Narrow" w:cs="Arial"/>
                <w:b/>
                <w:bCs/>
                <w:color w:val="FFFFFF" w:themeColor="background1"/>
                <w:sz w:val="16"/>
                <w:szCs w:val="16"/>
              </w:rPr>
              <w:t>20</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4E8C99F" w14:textId="3F58205B" w:rsidR="00391855" w:rsidRPr="00391855" w:rsidRDefault="00391855" w:rsidP="00391855">
            <w:pPr>
              <w:jc w:val="center"/>
              <w:rPr>
                <w:rFonts w:ascii="Arial Narrow" w:hAnsi="Arial Narrow" w:cs="Arial"/>
                <w:color w:val="FFFFFF" w:themeColor="background1"/>
                <w:sz w:val="16"/>
                <w:szCs w:val="16"/>
              </w:rPr>
            </w:pPr>
            <w:r w:rsidRPr="00391855">
              <w:rPr>
                <w:rFonts w:ascii="Arial Narrow" w:hAnsi="Arial Narrow" w:cs="Arial"/>
                <w:b/>
                <w:bCs/>
                <w:color w:val="FFFFFF" w:themeColor="background1"/>
                <w:sz w:val="16"/>
                <w:szCs w:val="16"/>
              </w:rPr>
              <w:t>21</w:t>
            </w:r>
          </w:p>
        </w:tc>
        <w:tc>
          <w:tcPr>
            <w:tcW w:w="1162" w:type="dxa"/>
            <w:vMerge/>
            <w:tcBorders>
              <w:left w:val="single" w:sz="18" w:space="0" w:color="C0C0C0"/>
              <w:right w:val="single" w:sz="18" w:space="0" w:color="auto"/>
            </w:tcBorders>
            <w:shd w:val="clear" w:color="auto" w:fill="auto"/>
            <w:vAlign w:val="center"/>
          </w:tcPr>
          <w:p w14:paraId="218BDC30" w14:textId="77777777" w:rsidR="00391855" w:rsidRPr="00DC638E" w:rsidRDefault="00391855" w:rsidP="00391855">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D8AE7FF" w14:textId="77777777" w:rsidR="00391855" w:rsidRPr="008D6D06" w:rsidRDefault="00391855" w:rsidP="00391855">
            <w:pPr>
              <w:jc w:val="center"/>
              <w:rPr>
                <w:rFonts w:ascii="Arial Narrow" w:hAnsi="Arial Narrow" w:cs="Arial"/>
                <w:b/>
                <w:bCs/>
                <w:color w:val="244061"/>
                <w:sz w:val="16"/>
                <w:szCs w:val="16"/>
              </w:rPr>
            </w:pPr>
          </w:p>
        </w:tc>
      </w:tr>
      <w:tr w:rsidR="006801DA" w:rsidRPr="00BC2C5D" w14:paraId="3FC520FE" w14:textId="77777777" w:rsidTr="00694B49">
        <w:trPr>
          <w:trHeight w:val="567"/>
        </w:trPr>
        <w:tc>
          <w:tcPr>
            <w:tcW w:w="1526" w:type="dxa"/>
            <w:tcBorders>
              <w:top w:val="single" w:sz="18" w:space="0" w:color="BFBFBF"/>
              <w:left w:val="single" w:sz="18" w:space="0" w:color="auto"/>
              <w:bottom w:val="single" w:sz="18" w:space="0" w:color="auto"/>
              <w:right w:val="single" w:sz="18" w:space="0" w:color="C0C0C0"/>
            </w:tcBorders>
            <w:shd w:val="clear" w:color="auto" w:fill="auto"/>
            <w:vAlign w:val="center"/>
          </w:tcPr>
          <w:p w14:paraId="6D1805FC" w14:textId="4B68C252" w:rsidR="006801DA" w:rsidRPr="00A634FA" w:rsidRDefault="006801DA" w:rsidP="00C344F6">
            <w:pPr>
              <w:jc w:val="center"/>
              <w:rPr>
                <w:rFonts w:ascii="Arial Narrow" w:hAnsi="Arial Narrow" w:cs="Arial"/>
                <w:sz w:val="16"/>
                <w:szCs w:val="16"/>
              </w:rPr>
            </w:pPr>
            <w:r>
              <w:rPr>
                <w:rFonts w:ascii="Arial Narrow" w:hAnsi="Arial Narrow" w:cs="Arial"/>
                <w:sz w:val="16"/>
                <w:szCs w:val="16"/>
              </w:rPr>
              <w:t>2</w:t>
            </w:r>
            <w:r w:rsidR="0011256D">
              <w:rPr>
                <w:rFonts w:ascii="Arial Narrow" w:hAnsi="Arial Narrow" w:cs="Arial"/>
                <w:sz w:val="16"/>
                <w:szCs w:val="16"/>
              </w:rPr>
              <w:t>5 July</w:t>
            </w:r>
          </w:p>
        </w:tc>
        <w:tc>
          <w:tcPr>
            <w:tcW w:w="1051" w:type="dxa"/>
            <w:tcBorders>
              <w:top w:val="single" w:sz="18" w:space="0" w:color="BFBFBF"/>
              <w:left w:val="single" w:sz="18" w:space="0" w:color="C0C0C0"/>
              <w:bottom w:val="single" w:sz="18" w:space="0" w:color="auto"/>
              <w:right w:val="single" w:sz="18" w:space="0" w:color="C0C0C0"/>
            </w:tcBorders>
            <w:shd w:val="clear" w:color="auto" w:fill="auto"/>
            <w:vAlign w:val="center"/>
          </w:tcPr>
          <w:p w14:paraId="4DAA80E5" w14:textId="4D14B982"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BFBFBF"/>
              <w:tr2bl w:val="nil"/>
            </w:tcBorders>
            <w:shd w:val="clear" w:color="auto" w:fill="auto"/>
            <w:vAlign w:val="center"/>
          </w:tcPr>
          <w:p w14:paraId="211F9DD8" w14:textId="18561EA9"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auto"/>
              <w:right w:val="single" w:sz="18" w:space="0" w:color="C0C0C0"/>
            </w:tcBorders>
            <w:shd w:val="clear" w:color="auto" w:fill="auto"/>
            <w:vAlign w:val="center"/>
          </w:tcPr>
          <w:p w14:paraId="54F73A57" w14:textId="49B30526"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2B85F166" w14:textId="3C2550B1"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bottom w:val="single" w:sz="18" w:space="0" w:color="auto"/>
              <w:right w:val="single" w:sz="18" w:space="0" w:color="auto"/>
            </w:tcBorders>
            <w:shd w:val="clear" w:color="auto" w:fill="auto"/>
            <w:vAlign w:val="center"/>
          </w:tcPr>
          <w:p w14:paraId="4C8AAF12" w14:textId="6BB98184"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bottom w:val="single" w:sz="18" w:space="0" w:color="auto"/>
              <w:right w:val="single" w:sz="18" w:space="0" w:color="auto"/>
            </w:tcBorders>
            <w:shd w:val="clear" w:color="auto" w:fill="auto"/>
            <w:vAlign w:val="center"/>
          </w:tcPr>
          <w:p w14:paraId="54FCC955" w14:textId="77777777" w:rsidR="008D6D06"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29-30 Quamby Rodeo</w:t>
            </w:r>
          </w:p>
          <w:p w14:paraId="4A692BE1" w14:textId="00C49AF9" w:rsidR="006801DA" w:rsidRPr="008D6D06" w:rsidRDefault="008D6D06" w:rsidP="008D6D06">
            <w:pPr>
              <w:jc w:val="center"/>
              <w:rPr>
                <w:rFonts w:ascii="Arial Narrow" w:hAnsi="Arial Narrow" w:cs="Arial"/>
                <w:sz w:val="16"/>
                <w:szCs w:val="16"/>
              </w:rPr>
            </w:pPr>
            <w:r w:rsidRPr="008D6D06">
              <w:rPr>
                <w:rFonts w:ascii="Arial Narrow" w:hAnsi="Arial Narrow" w:cs="Arial"/>
                <w:color w:val="FF0000"/>
                <w:sz w:val="16"/>
                <w:szCs w:val="16"/>
              </w:rPr>
              <w:t>Estimates: Tuesday 26/07/2021 – Friday 29/07/2021</w:t>
            </w:r>
          </w:p>
        </w:tc>
      </w:tr>
      <w:tr w:rsidR="00391855" w:rsidRPr="00BC2C5D" w14:paraId="2A3C72E2" w14:textId="77777777" w:rsidTr="00694B49">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2C84293E" w14:textId="58AEA903" w:rsidR="00391855" w:rsidRDefault="00391855" w:rsidP="00C344F6">
            <w:pPr>
              <w:jc w:val="center"/>
              <w:rPr>
                <w:rFonts w:ascii="Arial Narrow" w:hAnsi="Arial Narrow" w:cs="Arial"/>
                <w:sz w:val="16"/>
                <w:szCs w:val="16"/>
              </w:rPr>
            </w:pPr>
            <w:r>
              <w:rPr>
                <w:rFonts w:ascii="Arial Narrow" w:hAnsi="Arial Narrow" w:cs="Arial"/>
                <w:sz w:val="16"/>
                <w:szCs w:val="16"/>
              </w:rPr>
              <w:t>1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52F01DE" w14:textId="77777777" w:rsidR="00391855" w:rsidRPr="00DC638E" w:rsidRDefault="00391855" w:rsidP="00C344F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r2bl w:val="nil"/>
            </w:tcBorders>
            <w:shd w:val="clear" w:color="auto" w:fill="FFFF00"/>
            <w:vAlign w:val="center"/>
          </w:tcPr>
          <w:p w14:paraId="57679363" w14:textId="5EAAE6FD" w:rsidR="00391855"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2</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3B8E32D4" w14:textId="5D6C7135"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val="restart"/>
            <w:tcBorders>
              <w:top w:val="single" w:sz="18" w:space="0" w:color="auto"/>
              <w:left w:val="single" w:sz="18" w:space="0" w:color="C0C0C0"/>
              <w:right w:val="single" w:sz="18" w:space="0" w:color="C0C0C0"/>
            </w:tcBorders>
            <w:shd w:val="clear" w:color="auto" w:fill="A972A9"/>
            <w:vAlign w:val="center"/>
          </w:tcPr>
          <w:p w14:paraId="5940BE24" w14:textId="44375584"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4</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23CB3DBA" w14:textId="77777777"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6DEDA2B7" w14:textId="77777777" w:rsidR="00391855" w:rsidRPr="007E2969" w:rsidRDefault="00391855" w:rsidP="008D6D06">
            <w:pPr>
              <w:jc w:val="center"/>
              <w:rPr>
                <w:rFonts w:ascii="Arial Narrow" w:hAnsi="Arial Narrow" w:cs="Arial"/>
                <w:b/>
                <w:bCs/>
                <w:sz w:val="16"/>
                <w:szCs w:val="16"/>
              </w:rPr>
            </w:pPr>
            <w:r w:rsidRPr="007E2969">
              <w:rPr>
                <w:rFonts w:ascii="Arial Narrow" w:hAnsi="Arial Narrow" w:cs="Arial"/>
                <w:b/>
                <w:bCs/>
                <w:sz w:val="16"/>
                <w:szCs w:val="16"/>
              </w:rPr>
              <w:t>Thu 4th – Aurukun Day Public Holiday</w:t>
            </w:r>
          </w:p>
          <w:p w14:paraId="470BC975" w14:textId="50884868" w:rsidR="00391855" w:rsidRPr="008D6D06" w:rsidRDefault="00391855" w:rsidP="008D6D06">
            <w:pPr>
              <w:jc w:val="center"/>
              <w:rPr>
                <w:rFonts w:ascii="Arial Narrow" w:hAnsi="Arial Narrow"/>
                <w:color w:val="31849B"/>
                <w:sz w:val="16"/>
                <w:szCs w:val="16"/>
              </w:rPr>
            </w:pPr>
            <w:r w:rsidRPr="008D6D06">
              <w:rPr>
                <w:rFonts w:ascii="Arial Narrow" w:hAnsi="Arial Narrow" w:cs="Arial"/>
                <w:color w:val="FF0000"/>
                <w:sz w:val="16"/>
                <w:szCs w:val="16"/>
              </w:rPr>
              <w:t>Estimates: Tuesday 2/08/2021 – Thursday 4/08/2021</w:t>
            </w:r>
          </w:p>
        </w:tc>
      </w:tr>
      <w:tr w:rsidR="00391855" w:rsidRPr="00BC2C5D" w14:paraId="611BFD1A" w14:textId="77777777" w:rsidTr="00694B49">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41AE0FFE"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4DA853F8" w14:textId="77777777" w:rsidR="00391855" w:rsidRPr="00DC638E"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r2bl w:val="nil"/>
            </w:tcBorders>
            <w:shd w:val="clear" w:color="auto" w:fill="FFFF00"/>
            <w:vAlign w:val="center"/>
          </w:tcPr>
          <w:p w14:paraId="4DAA42FC" w14:textId="77777777" w:rsidR="00391855" w:rsidRPr="00DC638E" w:rsidRDefault="00391855" w:rsidP="00C344F6">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17D89AFC" w14:textId="243FF218"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6BBE7C6D" w14:textId="77777777" w:rsidR="00391855" w:rsidRPr="00DC638E"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5B85B5C" w14:textId="77777777" w:rsidR="00391855" w:rsidRPr="00DC638E" w:rsidRDefault="00391855"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0C959258" w14:textId="77777777" w:rsidR="00391855" w:rsidRPr="008D6D06" w:rsidRDefault="00391855" w:rsidP="008D6D06">
            <w:pPr>
              <w:jc w:val="center"/>
              <w:rPr>
                <w:rFonts w:ascii="Arial Narrow" w:hAnsi="Arial Narrow" w:cs="Arial"/>
                <w:b/>
                <w:bCs/>
                <w:color w:val="244061"/>
                <w:sz w:val="16"/>
                <w:szCs w:val="16"/>
              </w:rPr>
            </w:pPr>
          </w:p>
        </w:tc>
      </w:tr>
      <w:tr w:rsidR="00C344F6" w:rsidRPr="00BC2C5D" w14:paraId="20327535" w14:textId="77777777" w:rsidTr="00694B49">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088F8A57" w14:textId="5A0F3F36" w:rsidR="00C344F6" w:rsidRPr="00A634FA" w:rsidRDefault="0011256D" w:rsidP="00C344F6">
            <w:pPr>
              <w:jc w:val="center"/>
              <w:rPr>
                <w:rFonts w:ascii="Arial Narrow" w:hAnsi="Arial Narrow" w:cs="Arial"/>
                <w:sz w:val="16"/>
                <w:szCs w:val="16"/>
              </w:rPr>
            </w:pPr>
            <w:r>
              <w:rPr>
                <w:rFonts w:ascii="Arial Narrow" w:hAnsi="Arial Narrow" w:cs="Arial"/>
                <w:sz w:val="16"/>
                <w:szCs w:val="16"/>
              </w:rPr>
              <w:t>8 August</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05BAEBD3" w14:textId="77777777" w:rsidR="00C344F6" w:rsidRPr="00DC638E"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auto"/>
            <w:vAlign w:val="center"/>
          </w:tcPr>
          <w:p w14:paraId="6EF5A450" w14:textId="3386BF16" w:rsidR="00C344F6" w:rsidRPr="00DC638E" w:rsidRDefault="00C344F6"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60AD86C6" w14:textId="2077EA6E" w:rsidR="00C344F6" w:rsidRPr="00372CF9" w:rsidRDefault="00372CF9" w:rsidP="00DC638E">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10</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FF0000"/>
            <w:vAlign w:val="center"/>
          </w:tcPr>
          <w:p w14:paraId="7C18418D" w14:textId="6A1553C2" w:rsidR="00C344F6"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11</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auto"/>
            <w:vAlign w:val="center"/>
          </w:tcPr>
          <w:p w14:paraId="4997C671" w14:textId="77777777" w:rsidR="00C344F6" w:rsidRPr="00DC638E" w:rsidRDefault="00C344F6"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444728EB" w14:textId="41C1414A" w:rsidR="008D6D06"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11-14 Mount Isa Mines Rodeo</w:t>
            </w:r>
          </w:p>
          <w:p w14:paraId="087087AD" w14:textId="7CCC4A31"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71568B7F" w14:textId="6011AA93" w:rsidR="00C344F6" w:rsidRPr="008805E5"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91855" w:rsidRPr="00BC2C5D" w14:paraId="34AF6A84" w14:textId="77777777" w:rsidTr="00694B49">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21E246CA" w:rsidR="00391855" w:rsidRDefault="00391855" w:rsidP="00C344F6">
            <w:pPr>
              <w:jc w:val="center"/>
              <w:rPr>
                <w:rFonts w:ascii="Arial Narrow" w:hAnsi="Arial Narrow" w:cs="Arial"/>
                <w:sz w:val="16"/>
                <w:szCs w:val="16"/>
              </w:rPr>
            </w:pPr>
            <w:r>
              <w:rPr>
                <w:rFonts w:ascii="Arial Narrow" w:hAnsi="Arial Narrow" w:cs="Arial"/>
                <w:sz w:val="16"/>
                <w:szCs w:val="16"/>
              </w:rPr>
              <w:t>15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391855" w:rsidRPr="00DC638E" w:rsidRDefault="00391855" w:rsidP="00C344F6">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auto"/>
            <w:vAlign w:val="center"/>
          </w:tcPr>
          <w:p w14:paraId="34B4531E" w14:textId="4AC99C87" w:rsidR="00391855" w:rsidRPr="00DC638E" w:rsidRDefault="00391855" w:rsidP="00DC638E">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2D8EACCF"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17</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667635B7"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424271F1" w:rsidR="00391855" w:rsidRPr="008805E5" w:rsidRDefault="00391855"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372CF9" w:rsidRPr="00BC2C5D" w14:paraId="60C3B73D"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7CC50F0A" w14:textId="77777777" w:rsidR="00372CF9" w:rsidRDefault="00372CF9" w:rsidP="00372CF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DEF862" w14:textId="77777777" w:rsidR="00372CF9" w:rsidRPr="00DC638E" w:rsidRDefault="00372CF9" w:rsidP="00372CF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3AEB83EB" w14:textId="77777777" w:rsidR="00372CF9" w:rsidRPr="00DC638E" w:rsidRDefault="00372CF9" w:rsidP="00372CF9">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BFBFBF"/>
            </w:tcBorders>
            <w:shd w:val="clear" w:color="auto" w:fill="769250"/>
            <w:vAlign w:val="center"/>
          </w:tcPr>
          <w:p w14:paraId="7830B0AD" w14:textId="4B7FD692" w:rsidR="00372CF9" w:rsidRPr="00372CF9" w:rsidRDefault="00372CF9" w:rsidP="00372CF9">
            <w:pPr>
              <w:jc w:val="center"/>
              <w:rPr>
                <w:rFonts w:ascii="Arial Narrow" w:hAnsi="Arial Narrow" w:cs="Arial"/>
                <w:color w:val="FFFFFF" w:themeColor="background1"/>
                <w:sz w:val="16"/>
                <w:szCs w:val="16"/>
              </w:rPr>
            </w:pPr>
            <w:r w:rsidRPr="00372CF9">
              <w:rPr>
                <w:rFonts w:ascii="Arial Narrow" w:hAnsi="Arial Narrow" w:cs="Arial"/>
                <w:b/>
                <w:bCs/>
                <w:color w:val="FFFFFF" w:themeColor="background1"/>
                <w:sz w:val="16"/>
                <w:szCs w:val="16"/>
              </w:rPr>
              <w:t>17</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EF6C2AC" w14:textId="02576A45" w:rsidR="00372CF9" w:rsidRPr="00372CF9" w:rsidRDefault="00372CF9" w:rsidP="00372CF9">
            <w:pPr>
              <w:jc w:val="center"/>
              <w:rPr>
                <w:rFonts w:ascii="Arial Narrow" w:hAnsi="Arial Narrow" w:cs="Arial"/>
                <w:color w:val="FFFFFF" w:themeColor="background1"/>
                <w:sz w:val="16"/>
                <w:szCs w:val="16"/>
              </w:rPr>
            </w:pPr>
            <w:r w:rsidRPr="00372CF9">
              <w:rPr>
                <w:rFonts w:ascii="Arial Narrow" w:hAnsi="Arial Narrow" w:cs="Arial"/>
                <w:b/>
                <w:bCs/>
                <w:color w:val="FFFFFF" w:themeColor="background1"/>
                <w:sz w:val="16"/>
                <w:szCs w:val="16"/>
              </w:rPr>
              <w:t>18</w:t>
            </w:r>
          </w:p>
        </w:tc>
        <w:tc>
          <w:tcPr>
            <w:tcW w:w="1162" w:type="dxa"/>
            <w:vMerge/>
            <w:tcBorders>
              <w:left w:val="single" w:sz="18" w:space="0" w:color="C0C0C0"/>
              <w:right w:val="single" w:sz="18" w:space="0" w:color="auto"/>
            </w:tcBorders>
            <w:shd w:val="clear" w:color="auto" w:fill="auto"/>
            <w:vAlign w:val="center"/>
          </w:tcPr>
          <w:p w14:paraId="5B973AFE" w14:textId="77777777" w:rsidR="00372CF9" w:rsidRPr="00DC638E" w:rsidRDefault="00372CF9" w:rsidP="00372CF9">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53BEFB83" w14:textId="77777777" w:rsidR="00372CF9" w:rsidRPr="008805E5" w:rsidRDefault="00372CF9" w:rsidP="00372CF9">
            <w:pPr>
              <w:jc w:val="center"/>
              <w:rPr>
                <w:rFonts w:ascii="Arial Narrow" w:hAnsi="Arial Narrow"/>
                <w:color w:val="31849B"/>
                <w:sz w:val="16"/>
                <w:szCs w:val="16"/>
              </w:rPr>
            </w:pPr>
          </w:p>
        </w:tc>
      </w:tr>
      <w:tr w:rsidR="00F512E5" w:rsidRPr="00BC2C5D" w14:paraId="2980BC10" w14:textId="77777777" w:rsidTr="00694B49">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7846428E" w:rsidR="00F512E5" w:rsidRPr="00A634FA" w:rsidRDefault="006B0D6C" w:rsidP="00C344F6">
            <w:pPr>
              <w:jc w:val="center"/>
              <w:rPr>
                <w:rFonts w:ascii="Arial Narrow" w:hAnsi="Arial Narrow" w:cs="Arial"/>
                <w:sz w:val="16"/>
                <w:szCs w:val="16"/>
              </w:rPr>
            </w:pPr>
            <w:r>
              <w:rPr>
                <w:rFonts w:ascii="Arial Narrow" w:hAnsi="Arial Narrow" w:cs="Arial"/>
                <w:sz w:val="16"/>
                <w:szCs w:val="16"/>
              </w:rPr>
              <w:t>22</w:t>
            </w:r>
            <w:r w:rsidR="0011256D">
              <w:rPr>
                <w:rFonts w:ascii="Arial Narrow" w:hAnsi="Arial Narrow" w:cs="Arial"/>
                <w:sz w:val="16"/>
                <w:szCs w:val="16"/>
              </w:rPr>
              <w:t xml:space="preserve"> August</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FF00"/>
            <w:vAlign w:val="center"/>
          </w:tcPr>
          <w:p w14:paraId="61BD711E" w14:textId="55FCE9DB" w:rsidR="00F512E5"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23</w:t>
            </w:r>
          </w:p>
        </w:tc>
        <w:tc>
          <w:tcPr>
            <w:tcW w:w="1162" w:type="dxa"/>
            <w:tcBorders>
              <w:top w:val="single" w:sz="18" w:space="0" w:color="C0C0C0"/>
              <w:left w:val="single" w:sz="18" w:space="0" w:color="BFBFBF"/>
              <w:right w:val="single" w:sz="18" w:space="0" w:color="C0C0C0"/>
            </w:tcBorders>
            <w:shd w:val="clear" w:color="auto" w:fill="FF0000"/>
            <w:vAlign w:val="center"/>
          </w:tcPr>
          <w:p w14:paraId="3BA986A2" w14:textId="56F1D09A" w:rsidR="00F512E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24</w:t>
            </w:r>
          </w:p>
        </w:tc>
        <w:tc>
          <w:tcPr>
            <w:tcW w:w="1162" w:type="dxa"/>
            <w:tcBorders>
              <w:top w:val="single" w:sz="18" w:space="0" w:color="C0C0C0"/>
              <w:left w:val="single" w:sz="18" w:space="0" w:color="C0C0C0"/>
              <w:right w:val="single" w:sz="18" w:space="0" w:color="C0C0C0"/>
            </w:tcBorders>
            <w:shd w:val="clear" w:color="auto" w:fill="FF0000"/>
            <w:vAlign w:val="center"/>
          </w:tcPr>
          <w:p w14:paraId="719EBC8E" w14:textId="487BC68D" w:rsidR="00F512E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25</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531AF98C" w:rsidR="00F512E5" w:rsidRPr="00DC638E" w:rsidRDefault="00236E17" w:rsidP="00C344F6">
            <w:pPr>
              <w:jc w:val="center"/>
              <w:rPr>
                <w:rFonts w:ascii="Arial Narrow" w:hAnsi="Arial Narrow" w:cs="Arial"/>
                <w:sz w:val="16"/>
                <w:szCs w:val="16"/>
              </w:rPr>
            </w:pPr>
            <w:r w:rsidRPr="00236E17">
              <w:rPr>
                <w:rFonts w:ascii="Arial Narrow" w:hAnsi="Arial Narrow" w:cs="Arial"/>
                <w:b/>
                <w:bCs/>
                <w:sz w:val="16"/>
                <w:szCs w:val="16"/>
              </w:rPr>
              <w:t>Public Holiday</w:t>
            </w:r>
            <w:r>
              <w:rPr>
                <w:rFonts w:ascii="Arial Narrow" w:hAnsi="Arial Narrow" w:cs="Arial"/>
                <w:b/>
                <w:bCs/>
                <w:sz w:val="16"/>
                <w:szCs w:val="16"/>
              </w:rPr>
              <w:t xml:space="preserve"> – DM Only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68FA1CF0" w14:textId="77777777" w:rsidR="008D6D06" w:rsidRPr="007E2969" w:rsidRDefault="008D6D06" w:rsidP="008D6D06">
            <w:pPr>
              <w:jc w:val="center"/>
              <w:rPr>
                <w:rFonts w:ascii="Arial Narrow" w:hAnsi="Arial Narrow" w:cs="Arial"/>
                <w:b/>
                <w:bCs/>
                <w:sz w:val="16"/>
                <w:szCs w:val="16"/>
              </w:rPr>
            </w:pPr>
            <w:r w:rsidRPr="007E2969">
              <w:rPr>
                <w:rFonts w:ascii="Arial Narrow" w:hAnsi="Arial Narrow" w:cs="Arial"/>
                <w:b/>
                <w:bCs/>
                <w:sz w:val="16"/>
                <w:szCs w:val="16"/>
              </w:rPr>
              <w:t>Fri 26th - Doomadgee Day Public Holiday</w:t>
            </w:r>
          </w:p>
          <w:p w14:paraId="369C694F" w14:textId="5E3511C8" w:rsidR="00F512E5"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26-28 Camooweal Drovers Camp Festival</w:t>
            </w:r>
          </w:p>
        </w:tc>
      </w:tr>
      <w:tr w:rsidR="00391855" w:rsidRPr="00BC2C5D" w14:paraId="3066009B"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3E58BA89" w:rsidR="00391855" w:rsidRPr="00A634FA" w:rsidRDefault="00391855" w:rsidP="00C344F6">
            <w:pPr>
              <w:jc w:val="center"/>
              <w:rPr>
                <w:rFonts w:ascii="Arial Narrow" w:hAnsi="Arial Narrow" w:cs="Arial"/>
                <w:sz w:val="16"/>
                <w:szCs w:val="16"/>
              </w:rPr>
            </w:pPr>
            <w:r>
              <w:rPr>
                <w:rFonts w:ascii="Arial Narrow" w:hAnsi="Arial Narrow" w:cs="Arial"/>
                <w:sz w:val="16"/>
                <w:szCs w:val="16"/>
              </w:rPr>
              <w:t>29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391855" w:rsidRPr="00236E17" w:rsidRDefault="00391855" w:rsidP="00C344F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uto"/>
            <w:vAlign w:val="center"/>
          </w:tcPr>
          <w:p w14:paraId="63E8B25A" w14:textId="4FF7A11D" w:rsidR="00391855" w:rsidRPr="00236E17" w:rsidRDefault="00391855" w:rsidP="00C344F6">
            <w:pPr>
              <w:jc w:val="center"/>
              <w:rPr>
                <w:rFonts w:ascii="Arial Narrow" w:hAnsi="Arial Narrow" w:cs="Arial"/>
                <w:sz w:val="16"/>
                <w:szCs w:val="16"/>
              </w:rPr>
            </w:pPr>
          </w:p>
        </w:tc>
        <w:tc>
          <w:tcPr>
            <w:tcW w:w="1162" w:type="dxa"/>
            <w:tcBorders>
              <w:top w:val="single" w:sz="18" w:space="0" w:color="BFBFBF"/>
              <w:left w:val="single" w:sz="18" w:space="0" w:color="BFBFBF"/>
              <w:bottom w:val="nil"/>
              <w:right w:val="single" w:sz="18" w:space="0" w:color="C0C0C0"/>
            </w:tcBorders>
            <w:shd w:val="clear" w:color="auto" w:fill="A972A9"/>
            <w:vAlign w:val="center"/>
          </w:tcPr>
          <w:p w14:paraId="710F20E7" w14:textId="068A168A"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6C6E2192" w14:textId="21FAB7E3"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w:t>
            </w:r>
          </w:p>
        </w:tc>
        <w:tc>
          <w:tcPr>
            <w:tcW w:w="1162" w:type="dxa"/>
            <w:vMerge w:val="restart"/>
            <w:tcBorders>
              <w:top w:val="single" w:sz="18" w:space="0" w:color="C0C0C0"/>
              <w:left w:val="single" w:sz="18" w:space="0" w:color="C0C0C0"/>
              <w:right w:val="single" w:sz="18" w:space="0" w:color="auto"/>
            </w:tcBorders>
            <w:shd w:val="clear" w:color="auto" w:fill="D9D9D9"/>
            <w:vAlign w:val="center"/>
          </w:tcPr>
          <w:p w14:paraId="580ACE5B" w14:textId="17AF0F66" w:rsidR="00391855" w:rsidRPr="00236E17" w:rsidRDefault="00391855" w:rsidP="00C344F6">
            <w:pPr>
              <w:jc w:val="center"/>
              <w:rPr>
                <w:rFonts w:ascii="Arial Narrow" w:hAnsi="Arial Narrow" w:cs="Arial"/>
                <w:sz w:val="16"/>
                <w:szCs w:val="16"/>
              </w:rPr>
            </w:pPr>
            <w:r>
              <w:rPr>
                <w:rFonts w:ascii="Arial Narrow" w:hAnsi="Arial Narrow" w:cs="Arial"/>
                <w:sz w:val="16"/>
                <w:szCs w:val="16"/>
              </w:rPr>
              <w:t>Student Free 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5D991A9C" w:rsidR="00391855" w:rsidRPr="008D6D06" w:rsidRDefault="00391855" w:rsidP="00C344F6">
            <w:pPr>
              <w:jc w:val="center"/>
              <w:rPr>
                <w:rFonts w:ascii="Arial Narrow" w:hAnsi="Arial Narrow"/>
                <w:sz w:val="16"/>
                <w:szCs w:val="16"/>
              </w:rPr>
            </w:pPr>
          </w:p>
        </w:tc>
      </w:tr>
      <w:tr w:rsidR="00391855" w:rsidRPr="00BC2C5D" w14:paraId="3E62E35D"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31ABF4C9"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CDA827C"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55CCA31E" w14:textId="77777777" w:rsidR="00391855" w:rsidRPr="00236E17" w:rsidRDefault="00391855" w:rsidP="00C344F6">
            <w:pPr>
              <w:jc w:val="center"/>
              <w:rPr>
                <w:rFonts w:ascii="Arial Narrow" w:hAnsi="Arial Narrow" w:cs="Arial"/>
                <w:sz w:val="16"/>
                <w:szCs w:val="16"/>
              </w:rPr>
            </w:pPr>
          </w:p>
        </w:tc>
        <w:tc>
          <w:tcPr>
            <w:tcW w:w="1162" w:type="dxa"/>
            <w:tcBorders>
              <w:top w:val="nil"/>
              <w:left w:val="single" w:sz="18" w:space="0" w:color="BFBFBF"/>
              <w:bottom w:val="single" w:sz="18" w:space="0" w:color="auto"/>
              <w:right w:val="single" w:sz="18" w:space="0" w:color="C0C0C0"/>
            </w:tcBorders>
            <w:shd w:val="clear" w:color="auto" w:fill="769250"/>
            <w:vAlign w:val="center"/>
          </w:tcPr>
          <w:p w14:paraId="269A8819" w14:textId="6998B23D"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31</w:t>
            </w:r>
          </w:p>
        </w:tc>
        <w:tc>
          <w:tcPr>
            <w:tcW w:w="1162" w:type="dxa"/>
            <w:vMerge/>
            <w:tcBorders>
              <w:left w:val="single" w:sz="18" w:space="0" w:color="C0C0C0"/>
              <w:right w:val="single" w:sz="18" w:space="0" w:color="C0C0C0"/>
            </w:tcBorders>
            <w:shd w:val="clear" w:color="auto" w:fill="A972A9"/>
            <w:vAlign w:val="center"/>
          </w:tcPr>
          <w:p w14:paraId="1163E487"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D9D9D9"/>
            <w:vAlign w:val="center"/>
          </w:tcPr>
          <w:p w14:paraId="4042C06C" w14:textId="77777777" w:rsidR="00391855" w:rsidRDefault="00391855"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5BDCBD9C" w14:textId="77777777" w:rsidR="00391855" w:rsidRPr="008D6D06" w:rsidRDefault="00391855" w:rsidP="00C344F6">
            <w:pPr>
              <w:jc w:val="center"/>
              <w:rPr>
                <w:rFonts w:ascii="Arial Narrow" w:hAnsi="Arial Narrow"/>
                <w:sz w:val="16"/>
                <w:szCs w:val="16"/>
              </w:rPr>
            </w:pPr>
          </w:p>
        </w:tc>
      </w:tr>
      <w:tr w:rsidR="00236E17" w:rsidRPr="00BC2C5D" w14:paraId="4F42726F" w14:textId="77777777" w:rsidTr="00CC69CF">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547AAE0E" w14:textId="4462C3C0" w:rsidR="00236E17" w:rsidRPr="00A634FA" w:rsidRDefault="00236E17" w:rsidP="00C344F6">
            <w:pPr>
              <w:jc w:val="center"/>
              <w:rPr>
                <w:rFonts w:ascii="Arial Narrow" w:hAnsi="Arial Narrow" w:cs="Arial"/>
                <w:sz w:val="16"/>
                <w:szCs w:val="16"/>
              </w:rPr>
            </w:pPr>
            <w:r>
              <w:rPr>
                <w:rFonts w:ascii="Arial Narrow" w:hAnsi="Arial Narrow" w:cs="Arial"/>
                <w:sz w:val="16"/>
                <w:szCs w:val="16"/>
              </w:rPr>
              <w:t>5 September</w:t>
            </w:r>
          </w:p>
        </w:tc>
        <w:tc>
          <w:tcPr>
            <w:tcW w:w="1051" w:type="dxa"/>
            <w:tcBorders>
              <w:top w:val="single" w:sz="18" w:space="0" w:color="auto"/>
              <w:left w:val="single" w:sz="18" w:space="0" w:color="C0C0C0"/>
              <w:right w:val="single" w:sz="18" w:space="0" w:color="C0C0C0"/>
            </w:tcBorders>
            <w:shd w:val="clear" w:color="auto" w:fill="auto"/>
            <w:vAlign w:val="center"/>
          </w:tcPr>
          <w:p w14:paraId="01743E49" w14:textId="77777777" w:rsidR="00236E17" w:rsidRPr="00236E17" w:rsidRDefault="00236E17"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38618E9" w14:textId="69ECB37E" w:rsidR="00236E17" w:rsidRPr="00236E17" w:rsidRDefault="00236E17"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2A768ACC" w14:textId="1254E3A1" w:rsidR="00236E17" w:rsidRPr="00236E17" w:rsidRDefault="00236E17" w:rsidP="00236E17">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20B7857C" w14:textId="6804FABE" w:rsidR="00236E17" w:rsidRPr="00236E17" w:rsidRDefault="00236E17"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3B88A390" w14:textId="77777777" w:rsidR="00236E17" w:rsidRPr="00236E17" w:rsidRDefault="00236E17"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1408BA65" w14:textId="77777777"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03F7AA07" w14:textId="2DE36A44" w:rsidR="008D6D06" w:rsidRPr="00CA4D07"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A40BA" w:rsidRPr="00BC2C5D" w14:paraId="1709D6A1"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1BF0A00" w14:textId="581C8824" w:rsidR="00AA40BA" w:rsidRPr="00390B39" w:rsidRDefault="00AA40BA" w:rsidP="00C344F6">
            <w:pPr>
              <w:jc w:val="center"/>
              <w:rPr>
                <w:rFonts w:ascii="Arial Narrow" w:hAnsi="Arial Narrow" w:cs="Arial"/>
                <w:sz w:val="16"/>
                <w:szCs w:val="16"/>
              </w:rPr>
            </w:pPr>
            <w:r>
              <w:rPr>
                <w:rFonts w:ascii="Arial Narrow" w:hAnsi="Arial Narrow" w:cs="Arial"/>
                <w:sz w:val="16"/>
                <w:szCs w:val="16"/>
              </w:rPr>
              <w:t>12 September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AA40BA" w:rsidRPr="00236E17" w:rsidRDefault="00AA40BA"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FF00"/>
            <w:vAlign w:val="center"/>
          </w:tcPr>
          <w:p w14:paraId="06EA5338" w14:textId="3D8D9C5D" w:rsidR="00AA40BA"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13</w:t>
            </w: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66874CFB" w14:textId="5D7DB261"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14</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6FA11784" w14:textId="47787957"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0E52BC2E" w14:textId="54953C73" w:rsidR="00AA40BA" w:rsidRPr="008805E5" w:rsidRDefault="00AA40BA" w:rsidP="00C344F6">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AA40BA" w:rsidRPr="00BC2C5D" w14:paraId="2DDBCE70"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03F0FCDA" w14:textId="77777777" w:rsidR="00AA40BA" w:rsidRDefault="00AA40BA"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F20D8EA" w14:textId="77777777" w:rsidR="00AA40BA" w:rsidRPr="00236E17" w:rsidRDefault="00AA40BA"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0000"/>
            <w:vAlign w:val="center"/>
          </w:tcPr>
          <w:p w14:paraId="3A2E58CF" w14:textId="30E65A3F"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0000"/>
            <w:vAlign w:val="center"/>
          </w:tcPr>
          <w:p w14:paraId="1F11C1D6" w14:textId="069BCC45"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14</w:t>
            </w: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0745F0E8" w14:textId="22C70C35"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15</w:t>
            </w:r>
          </w:p>
        </w:tc>
        <w:tc>
          <w:tcPr>
            <w:tcW w:w="1162" w:type="dxa"/>
            <w:vMerge/>
            <w:tcBorders>
              <w:left w:val="single" w:sz="18" w:space="0" w:color="BFBFBF"/>
              <w:right w:val="single" w:sz="18" w:space="0" w:color="auto"/>
            </w:tcBorders>
            <w:shd w:val="clear" w:color="auto" w:fill="auto"/>
            <w:vAlign w:val="center"/>
          </w:tcPr>
          <w:p w14:paraId="2137B6AC"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71679569" w14:textId="77777777" w:rsidR="00AA40BA" w:rsidRPr="008805E5" w:rsidRDefault="00AA40BA" w:rsidP="00C344F6">
            <w:pPr>
              <w:jc w:val="center"/>
              <w:rPr>
                <w:rFonts w:ascii="Arial Narrow" w:hAnsi="Arial Narrow"/>
                <w:color w:val="31849B"/>
                <w:sz w:val="16"/>
                <w:szCs w:val="16"/>
              </w:rPr>
            </w:pPr>
          </w:p>
        </w:tc>
      </w:tr>
      <w:tr w:rsidR="00236E17" w:rsidRPr="00BC2C5D" w14:paraId="73DF2101" w14:textId="77777777" w:rsidTr="00CC69CF">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1E15EA0B" w:rsidR="00236E17" w:rsidRPr="00390B39" w:rsidRDefault="00236E17" w:rsidP="00C344F6">
            <w:pPr>
              <w:jc w:val="center"/>
              <w:rPr>
                <w:rFonts w:ascii="Arial Narrow" w:hAnsi="Arial Narrow" w:cs="Arial"/>
                <w:sz w:val="16"/>
                <w:szCs w:val="16"/>
              </w:rPr>
            </w:pPr>
            <w:r>
              <w:rPr>
                <w:rFonts w:ascii="Arial Narrow" w:hAnsi="Arial Narrow" w:cs="Arial"/>
                <w:sz w:val="16"/>
                <w:szCs w:val="16"/>
              </w:rPr>
              <w:t>19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72174859" w14:textId="77777777"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023F7BD7" w14:textId="2380740F"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587EA42C" w14:textId="47FB184A"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D9D9D9"/>
            <w:vAlign w:val="center"/>
          </w:tcPr>
          <w:p w14:paraId="0D6D0741" w14:textId="4E724634"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ABBF5DF" w14:textId="77777777" w:rsidR="00236E17" w:rsidRPr="008D6D06" w:rsidRDefault="00236E17"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07D43AC4" w14:textId="0D6465C6" w:rsidR="00236E17" w:rsidRPr="008D6D06" w:rsidRDefault="00236E17" w:rsidP="00C344F6">
            <w:pPr>
              <w:jc w:val="center"/>
              <w:rPr>
                <w:rFonts w:ascii="Arial Narrow" w:hAnsi="Arial Narrow"/>
                <w:sz w:val="16"/>
                <w:szCs w:val="16"/>
              </w:rPr>
            </w:pPr>
          </w:p>
        </w:tc>
      </w:tr>
      <w:tr w:rsidR="00236E17" w:rsidRPr="00BC2C5D" w14:paraId="307A9FC1" w14:textId="77777777" w:rsidTr="00CC69CF">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4C848D30" w:rsidR="00236E17" w:rsidRPr="00390B39" w:rsidRDefault="00236E17" w:rsidP="00C344F6">
            <w:pPr>
              <w:jc w:val="center"/>
              <w:rPr>
                <w:rFonts w:ascii="Arial Narrow" w:hAnsi="Arial Narrow" w:cs="Arial"/>
                <w:sz w:val="16"/>
                <w:szCs w:val="16"/>
              </w:rPr>
            </w:pPr>
            <w:r>
              <w:rPr>
                <w:rFonts w:ascii="Arial Narrow" w:hAnsi="Arial Narrow" w:cs="Arial"/>
                <w:sz w:val="16"/>
                <w:szCs w:val="16"/>
              </w:rPr>
              <w:t>26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B552431" w14:textId="77777777"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left w:val="single" w:sz="18" w:space="0" w:color="C0C0C0"/>
              <w:right w:val="single" w:sz="18" w:space="0" w:color="BFBFBF"/>
            </w:tcBorders>
            <w:shd w:val="clear" w:color="auto" w:fill="D9D9D9"/>
            <w:vAlign w:val="center"/>
          </w:tcPr>
          <w:p w14:paraId="7C5A4051" w14:textId="381E69BE"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2D625F6F" w14:textId="340DC316"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31F3F07A" w14:textId="4EB1172F"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77777777" w:rsidR="00236E17" w:rsidRPr="008D6D06" w:rsidRDefault="00236E17"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7636D447" w14:textId="42568CCD" w:rsidR="00236E17" w:rsidRPr="008D6D06" w:rsidRDefault="00236E17" w:rsidP="00C344F6">
            <w:pPr>
              <w:jc w:val="center"/>
              <w:rPr>
                <w:rFonts w:ascii="Arial Narrow" w:hAnsi="Arial Narrow"/>
                <w:sz w:val="16"/>
                <w:szCs w:val="16"/>
              </w:rPr>
            </w:pPr>
          </w:p>
        </w:tc>
      </w:tr>
      <w:tr w:rsidR="00C344F6" w:rsidRPr="00BC2C5D" w14:paraId="04B98309" w14:textId="77777777" w:rsidTr="00CC69CF">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1861D586" w:rsidR="00C344F6" w:rsidRPr="00390B39" w:rsidRDefault="006B0D6C" w:rsidP="00C344F6">
            <w:pPr>
              <w:jc w:val="center"/>
              <w:rPr>
                <w:rFonts w:ascii="Arial Narrow" w:hAnsi="Arial Narrow" w:cs="Arial"/>
                <w:sz w:val="16"/>
                <w:szCs w:val="16"/>
              </w:rPr>
            </w:pPr>
            <w:r>
              <w:rPr>
                <w:rFonts w:ascii="Arial Narrow" w:hAnsi="Arial Narrow" w:cs="Arial"/>
                <w:sz w:val="16"/>
                <w:szCs w:val="16"/>
              </w:rPr>
              <w:t>3 October</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4F3EC6F0" w:rsidR="00C344F6" w:rsidRPr="00236E17" w:rsidRDefault="00236E17" w:rsidP="00C344F6">
            <w:pPr>
              <w:jc w:val="center"/>
              <w:rPr>
                <w:rFonts w:ascii="Arial Narrow" w:hAnsi="Arial Narrow" w:cs="Arial"/>
                <w:color w:val="000000"/>
                <w:sz w:val="16"/>
                <w:szCs w:val="16"/>
              </w:rPr>
            </w:pPr>
            <w:r w:rsidRPr="00236E17">
              <w:rPr>
                <w:rFonts w:ascii="Arial Narrow" w:hAnsi="Arial Narrow" w:cs="Arial"/>
                <w:b/>
                <w:bCs/>
                <w:sz w:val="16"/>
                <w:szCs w:val="16"/>
              </w:rPr>
              <w:t>Public Holiday</w:t>
            </w:r>
          </w:p>
        </w:tc>
        <w:tc>
          <w:tcPr>
            <w:tcW w:w="1162" w:type="dxa"/>
            <w:tcBorders>
              <w:top w:val="single" w:sz="18" w:space="0" w:color="auto"/>
              <w:left w:val="single" w:sz="18" w:space="0" w:color="C0C0C0"/>
              <w:bottom w:val="single" w:sz="18" w:space="0" w:color="C0C0C0"/>
              <w:right w:val="single" w:sz="18" w:space="0" w:color="BFBFBF"/>
            </w:tcBorders>
            <w:shd w:val="clear" w:color="auto" w:fill="auto"/>
            <w:vAlign w:val="center"/>
          </w:tcPr>
          <w:p w14:paraId="0A7AAF2C" w14:textId="7AD33B1D"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auto"/>
            <w:vAlign w:val="center"/>
          </w:tcPr>
          <w:p w14:paraId="1F9ED47F" w14:textId="01CB8248"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auto"/>
            <w:vAlign w:val="center"/>
          </w:tcPr>
          <w:p w14:paraId="2B4AD7BE" w14:textId="77777777"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auto"/>
            <w:vAlign w:val="center"/>
          </w:tcPr>
          <w:p w14:paraId="71435210" w14:textId="40AD0C44" w:rsidR="00C344F6" w:rsidRPr="00236E17"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auto"/>
            <w:vAlign w:val="center"/>
          </w:tcPr>
          <w:p w14:paraId="46CF9B42" w14:textId="77777777" w:rsidR="00236E17" w:rsidRPr="007E2969" w:rsidRDefault="00236E17" w:rsidP="00236E17">
            <w:pPr>
              <w:jc w:val="center"/>
              <w:rPr>
                <w:rFonts w:ascii="Arial Narrow" w:hAnsi="Arial Narrow" w:cs="Arial"/>
                <w:b/>
                <w:bCs/>
                <w:sz w:val="16"/>
                <w:szCs w:val="16"/>
              </w:rPr>
            </w:pPr>
            <w:r w:rsidRPr="007E2969">
              <w:rPr>
                <w:rFonts w:ascii="Arial Narrow" w:hAnsi="Arial Narrow" w:cs="Arial"/>
                <w:b/>
                <w:bCs/>
                <w:sz w:val="16"/>
                <w:szCs w:val="16"/>
              </w:rPr>
              <w:t>Mon 3rd - Queen’s Birthday</w:t>
            </w:r>
          </w:p>
          <w:p w14:paraId="3EB018F0" w14:textId="25842086" w:rsidR="00C344F6" w:rsidRPr="000857D8" w:rsidRDefault="00236E17" w:rsidP="00236E17">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372CF9" w:rsidRPr="00BC2C5D" w14:paraId="1920F1D5" w14:textId="77777777" w:rsidTr="00694B49">
        <w:trPr>
          <w:trHeight w:val="143"/>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79CA0660" w14:textId="5AD0A022" w:rsidR="00372CF9" w:rsidRPr="00A634FA" w:rsidRDefault="00372CF9" w:rsidP="00C344F6">
            <w:pPr>
              <w:jc w:val="center"/>
              <w:rPr>
                <w:rFonts w:ascii="Arial Narrow" w:hAnsi="Arial Narrow" w:cs="Arial"/>
                <w:sz w:val="16"/>
                <w:szCs w:val="16"/>
              </w:rPr>
            </w:pPr>
            <w:r>
              <w:rPr>
                <w:rFonts w:ascii="Arial Narrow" w:hAnsi="Arial Narrow" w:cs="Arial"/>
                <w:sz w:val="16"/>
                <w:szCs w:val="16"/>
              </w:rPr>
              <w:t>10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6638F21" w14:textId="6B9136FB" w:rsidR="00372CF9" w:rsidRPr="00236E17" w:rsidRDefault="00372CF9"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4476C160" w14:textId="2B2CF496" w:rsidR="00372CF9" w:rsidRPr="00372CF9" w:rsidRDefault="00372CF9" w:rsidP="00C344F6">
            <w:pPr>
              <w:jc w:val="center"/>
              <w:rPr>
                <w:rFonts w:ascii="Arial Narrow" w:hAnsi="Arial Narrow" w:cs="Arial"/>
                <w:b/>
                <w:bCs/>
                <w:color w:val="000000"/>
                <w:sz w:val="16"/>
                <w:szCs w:val="16"/>
              </w:rPr>
            </w:pPr>
            <w:r w:rsidRPr="00372CF9">
              <w:rPr>
                <w:rFonts w:ascii="Arial Narrow" w:hAnsi="Arial Narrow" w:cs="Arial"/>
                <w:b/>
                <w:bCs/>
                <w:color w:val="000000"/>
                <w:sz w:val="16"/>
                <w:szCs w:val="16"/>
              </w:rPr>
              <w:t>11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AE5584B" w14:textId="569D54A5"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12</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B78F59B" w14:textId="072B1B1A"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A733CA3" w14:textId="0748470A" w:rsidR="00372CF9" w:rsidRPr="00236E17" w:rsidRDefault="00372CF9"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A9A9803" w14:textId="77777777" w:rsidR="00372CF9" w:rsidRDefault="00372CF9" w:rsidP="00ED4568">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51EA0079" w14:textId="37C65C78" w:rsidR="00372CF9" w:rsidRPr="00ED4568" w:rsidRDefault="00372CF9" w:rsidP="00ED4568">
            <w:pPr>
              <w:jc w:val="center"/>
              <w:rPr>
                <w:rFonts w:ascii="Arial Narrow" w:hAnsi="Arial Narrow" w:cs="Arial"/>
                <w:color w:val="244061"/>
                <w:sz w:val="16"/>
                <w:szCs w:val="16"/>
              </w:rPr>
            </w:pPr>
            <w:r w:rsidRPr="008805E5">
              <w:rPr>
                <w:rFonts w:ascii="Arial Narrow" w:hAnsi="Arial Narrow"/>
                <w:color w:val="31849B"/>
                <w:sz w:val="16"/>
                <w:szCs w:val="16"/>
              </w:rPr>
              <w:t>Doomadgee – Gulf Circuit</w:t>
            </w:r>
          </w:p>
        </w:tc>
      </w:tr>
      <w:tr w:rsidR="00372CF9" w:rsidRPr="00BC2C5D" w14:paraId="6BF3AD01" w14:textId="77777777" w:rsidTr="00694B49">
        <w:trPr>
          <w:trHeight w:val="142"/>
        </w:trPr>
        <w:tc>
          <w:tcPr>
            <w:tcW w:w="1526" w:type="dxa"/>
            <w:vMerge/>
            <w:tcBorders>
              <w:left w:val="single" w:sz="18" w:space="0" w:color="auto"/>
              <w:right w:val="single" w:sz="18" w:space="0" w:color="C0C0C0"/>
            </w:tcBorders>
            <w:shd w:val="clear" w:color="auto" w:fill="auto"/>
            <w:vAlign w:val="center"/>
          </w:tcPr>
          <w:p w14:paraId="565A5878" w14:textId="77777777" w:rsidR="00372CF9" w:rsidRDefault="00372CF9"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300D5AC" w14:textId="77777777" w:rsidR="00372CF9" w:rsidRPr="00236E17" w:rsidRDefault="00372CF9"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BFBFBF"/>
            </w:tcBorders>
            <w:shd w:val="clear" w:color="auto" w:fill="FFFF00"/>
            <w:vAlign w:val="center"/>
          </w:tcPr>
          <w:p w14:paraId="32121EC5" w14:textId="77777777" w:rsidR="00372CF9" w:rsidRPr="00372CF9" w:rsidRDefault="00372CF9" w:rsidP="00C344F6">
            <w:pPr>
              <w:jc w:val="center"/>
              <w:rPr>
                <w:rFonts w:ascii="Arial Narrow" w:hAnsi="Arial Narrow" w:cs="Arial"/>
                <w:b/>
                <w:bCs/>
                <w:color w:val="000000"/>
                <w:sz w:val="16"/>
                <w:szCs w:val="16"/>
              </w:rPr>
            </w:pPr>
          </w:p>
        </w:tc>
        <w:tc>
          <w:tcPr>
            <w:tcW w:w="1162" w:type="dxa"/>
            <w:vMerge/>
            <w:tcBorders>
              <w:left w:val="single" w:sz="18" w:space="0" w:color="BFBFBF"/>
              <w:bottom w:val="nil"/>
              <w:right w:val="single" w:sz="18" w:space="0" w:color="C0C0C0"/>
            </w:tcBorders>
            <w:shd w:val="clear" w:color="auto" w:fill="FF0000"/>
            <w:vAlign w:val="center"/>
          </w:tcPr>
          <w:p w14:paraId="7C334BFF" w14:textId="77777777" w:rsidR="00372CF9" w:rsidRPr="00372CF9" w:rsidRDefault="00372CF9"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A972A9"/>
            <w:vAlign w:val="center"/>
          </w:tcPr>
          <w:p w14:paraId="56F76D12" w14:textId="73B5DA54" w:rsidR="00372CF9" w:rsidRPr="00372CF9" w:rsidRDefault="00372CF9" w:rsidP="00C344F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162" w:type="dxa"/>
            <w:vMerge/>
            <w:tcBorders>
              <w:left w:val="single" w:sz="18" w:space="0" w:color="C0C0C0"/>
              <w:right w:val="single" w:sz="18" w:space="0" w:color="auto"/>
            </w:tcBorders>
            <w:shd w:val="clear" w:color="auto" w:fill="auto"/>
            <w:vAlign w:val="center"/>
          </w:tcPr>
          <w:p w14:paraId="6D203A0E" w14:textId="77777777" w:rsidR="00372CF9" w:rsidRPr="00236E17" w:rsidRDefault="00372CF9"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8602838" w14:textId="77777777" w:rsidR="00372CF9" w:rsidRPr="008805E5" w:rsidRDefault="00372CF9" w:rsidP="00ED4568">
            <w:pPr>
              <w:jc w:val="center"/>
              <w:rPr>
                <w:rFonts w:ascii="Arial Narrow" w:hAnsi="Arial Narrow"/>
                <w:color w:val="31849B"/>
                <w:sz w:val="16"/>
                <w:szCs w:val="16"/>
              </w:rPr>
            </w:pPr>
          </w:p>
        </w:tc>
      </w:tr>
      <w:tr w:rsidR="00372CF9" w:rsidRPr="00BC2C5D" w14:paraId="18126F8E"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61EADF95" w14:textId="77777777" w:rsidR="00372CF9" w:rsidRDefault="00372CF9"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A902FE3" w14:textId="77777777" w:rsidR="00372CF9" w:rsidRPr="00236E17" w:rsidRDefault="00372CF9"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FFFF00"/>
            <w:vAlign w:val="center"/>
          </w:tcPr>
          <w:p w14:paraId="5889BDAD" w14:textId="77777777" w:rsidR="00372CF9" w:rsidRPr="00236E17" w:rsidRDefault="00372CF9"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A972A9"/>
            <w:vAlign w:val="center"/>
          </w:tcPr>
          <w:p w14:paraId="373E881D" w14:textId="64333707"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12</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4F89A72" w14:textId="7E3B69AA"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vMerge/>
            <w:tcBorders>
              <w:left w:val="single" w:sz="18" w:space="0" w:color="C0C0C0"/>
              <w:right w:val="single" w:sz="18" w:space="0" w:color="auto"/>
            </w:tcBorders>
            <w:shd w:val="clear" w:color="auto" w:fill="auto"/>
            <w:vAlign w:val="center"/>
          </w:tcPr>
          <w:p w14:paraId="004A066C" w14:textId="77777777" w:rsidR="00372CF9" w:rsidRPr="00236E17" w:rsidRDefault="00372CF9"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32E50C37" w14:textId="77777777" w:rsidR="00372CF9" w:rsidRPr="008805E5" w:rsidRDefault="00372CF9" w:rsidP="00ED4568">
            <w:pPr>
              <w:jc w:val="center"/>
              <w:rPr>
                <w:rFonts w:ascii="Arial Narrow" w:hAnsi="Arial Narrow"/>
                <w:color w:val="31849B"/>
                <w:sz w:val="16"/>
                <w:szCs w:val="16"/>
              </w:rPr>
            </w:pPr>
          </w:p>
        </w:tc>
      </w:tr>
      <w:tr w:rsidR="00F512E5" w:rsidRPr="00BC2C5D" w14:paraId="3D55130B" w14:textId="77777777" w:rsidTr="00694B49">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50A09688" w14:textId="3793BBA8" w:rsidR="00F512E5" w:rsidRPr="00A634FA" w:rsidRDefault="006B0D6C" w:rsidP="00C344F6">
            <w:pPr>
              <w:jc w:val="center"/>
              <w:rPr>
                <w:rFonts w:ascii="Arial Narrow" w:hAnsi="Arial Narrow" w:cs="Arial"/>
                <w:sz w:val="16"/>
                <w:szCs w:val="16"/>
              </w:rPr>
            </w:pPr>
            <w:r>
              <w:rPr>
                <w:rFonts w:ascii="Arial Narrow" w:hAnsi="Arial Narrow" w:cs="Arial"/>
                <w:sz w:val="16"/>
                <w:szCs w:val="16"/>
              </w:rPr>
              <w:t>17 October</w:t>
            </w:r>
          </w:p>
        </w:tc>
        <w:tc>
          <w:tcPr>
            <w:tcW w:w="1051" w:type="dxa"/>
            <w:tcBorders>
              <w:top w:val="single" w:sz="18" w:space="0" w:color="C0C0C0"/>
              <w:left w:val="single" w:sz="18" w:space="0" w:color="C0C0C0"/>
              <w:bottom w:val="single" w:sz="18" w:space="0" w:color="C0C0C0"/>
              <w:right w:val="single" w:sz="18" w:space="0" w:color="C0C0C0"/>
            </w:tcBorders>
            <w:shd w:val="clear" w:color="auto" w:fill="53D2FF"/>
            <w:vAlign w:val="center"/>
          </w:tcPr>
          <w:p w14:paraId="3BBBD21F" w14:textId="65239E46" w:rsidR="00F512E5" w:rsidRPr="00236E17"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53D2FF"/>
            <w:vAlign w:val="center"/>
          </w:tcPr>
          <w:p w14:paraId="2F78CCA0" w14:textId="4718794F" w:rsidR="00F512E5" w:rsidRPr="00227C0F" w:rsidRDefault="00227C0F" w:rsidP="00C344F6">
            <w:pPr>
              <w:jc w:val="center"/>
              <w:rPr>
                <w:rFonts w:ascii="Arial Narrow" w:hAnsi="Arial Narrow" w:cs="Arial"/>
                <w:b/>
                <w:bCs/>
                <w:sz w:val="16"/>
                <w:szCs w:val="16"/>
              </w:rPr>
            </w:pPr>
            <w:r w:rsidRPr="00227C0F">
              <w:rPr>
                <w:rFonts w:ascii="Arial Narrow" w:hAnsi="Arial Narrow" w:cs="Arial"/>
                <w:b/>
                <w:bCs/>
                <w:sz w:val="16"/>
                <w:szCs w:val="16"/>
              </w:rPr>
              <w:t>18</w:t>
            </w:r>
          </w:p>
        </w:tc>
        <w:tc>
          <w:tcPr>
            <w:tcW w:w="1162" w:type="dxa"/>
            <w:tcBorders>
              <w:top w:val="single" w:sz="18" w:space="0" w:color="BFBFBF" w:themeColor="background1" w:themeShade="BF"/>
              <w:left w:val="single" w:sz="18" w:space="0" w:color="BFBFBF"/>
              <w:bottom w:val="single" w:sz="18" w:space="0" w:color="C0C0C0"/>
              <w:right w:val="single" w:sz="18" w:space="0" w:color="C0C0C0"/>
            </w:tcBorders>
            <w:shd w:val="clear" w:color="auto" w:fill="53D2FF"/>
            <w:vAlign w:val="center"/>
          </w:tcPr>
          <w:p w14:paraId="484ED60A" w14:textId="47C290EF" w:rsidR="00F512E5" w:rsidRPr="00227C0F" w:rsidRDefault="00227C0F" w:rsidP="00C344F6">
            <w:pPr>
              <w:jc w:val="center"/>
              <w:rPr>
                <w:rFonts w:ascii="Arial Narrow" w:hAnsi="Arial Narrow" w:cs="Arial"/>
                <w:b/>
                <w:bCs/>
                <w:color w:val="000000"/>
                <w:sz w:val="16"/>
                <w:szCs w:val="16"/>
              </w:rPr>
            </w:pPr>
            <w:r w:rsidRPr="00227C0F">
              <w:rPr>
                <w:rFonts w:ascii="Arial Narrow" w:hAnsi="Arial Narrow" w:cs="Arial"/>
                <w:b/>
                <w:bCs/>
                <w:color w:val="000000"/>
                <w:sz w:val="16"/>
                <w:szCs w:val="16"/>
              </w:rPr>
              <w:t>19</w:t>
            </w:r>
          </w:p>
        </w:tc>
        <w:tc>
          <w:tcPr>
            <w:tcW w:w="1162" w:type="dxa"/>
            <w:tcBorders>
              <w:top w:val="single" w:sz="18" w:space="0" w:color="C0C0C0"/>
              <w:left w:val="single" w:sz="18" w:space="0" w:color="C0C0C0"/>
              <w:bottom w:val="single" w:sz="18" w:space="0" w:color="C0C0C0"/>
              <w:right w:val="single" w:sz="18" w:space="0" w:color="C0C0C0"/>
            </w:tcBorders>
            <w:shd w:val="clear" w:color="auto" w:fill="53D2FF"/>
            <w:vAlign w:val="center"/>
          </w:tcPr>
          <w:p w14:paraId="13761527" w14:textId="70D63837" w:rsidR="00F512E5" w:rsidRPr="00236E17"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53D2FF"/>
            <w:vAlign w:val="center"/>
          </w:tcPr>
          <w:p w14:paraId="341632A4" w14:textId="77777777" w:rsidR="00F512E5" w:rsidRPr="00236E17"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auto"/>
            <w:vAlign w:val="center"/>
          </w:tcPr>
          <w:p w14:paraId="184F82AE" w14:textId="6E5DA5F0" w:rsidR="00F512E5" w:rsidRPr="008805E5" w:rsidRDefault="008D6D06" w:rsidP="00C344F6">
            <w:pPr>
              <w:jc w:val="center"/>
              <w:rPr>
                <w:rFonts w:ascii="Arial Narrow" w:hAnsi="Arial Narrow"/>
                <w:sz w:val="16"/>
                <w:szCs w:val="16"/>
              </w:rPr>
            </w:pPr>
            <w:r>
              <w:rPr>
                <w:rFonts w:ascii="Arial Narrow" w:hAnsi="Arial Narrow" w:cs="Arial"/>
                <w:color w:val="244061"/>
                <w:sz w:val="16"/>
                <w:szCs w:val="16"/>
              </w:rPr>
              <w:t>New Local Commissioner Training Week</w:t>
            </w:r>
          </w:p>
        </w:tc>
      </w:tr>
      <w:tr w:rsidR="00391855" w:rsidRPr="00BC2C5D" w14:paraId="172CB696" w14:textId="77777777" w:rsidTr="00CC69CF">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325AD13C" w:rsidR="00391855" w:rsidRPr="00A634FA" w:rsidRDefault="00391855" w:rsidP="00C344F6">
            <w:pPr>
              <w:jc w:val="center"/>
              <w:rPr>
                <w:rFonts w:ascii="Arial Narrow" w:hAnsi="Arial Narrow" w:cs="Arial"/>
                <w:sz w:val="16"/>
                <w:szCs w:val="16"/>
              </w:rPr>
            </w:pPr>
            <w:r>
              <w:rPr>
                <w:rFonts w:ascii="Arial Narrow" w:hAnsi="Arial Narrow" w:cs="Arial"/>
                <w:sz w:val="16"/>
                <w:szCs w:val="16"/>
              </w:rPr>
              <w:t>24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48222CE7" w:rsidR="00391855" w:rsidRPr="00236E17" w:rsidRDefault="00391855" w:rsidP="00C344F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auto"/>
            <w:vAlign w:val="center"/>
          </w:tcPr>
          <w:p w14:paraId="6A7880B7" w14:textId="6BDD04BF" w:rsidR="00391855" w:rsidRPr="00236E17" w:rsidRDefault="00391855"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BEECBCA" w14:textId="4BFF5C3F" w:rsidR="00391855" w:rsidRPr="00372CF9" w:rsidRDefault="00372CF9" w:rsidP="00236E17">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26</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30CE006" w14:textId="1AC50B6C"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27</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91855" w:rsidRPr="00236E17" w:rsidRDefault="00391855"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19B3EB2A" w:rsidR="00391855" w:rsidRPr="009E4A93" w:rsidRDefault="00391855" w:rsidP="00C344F6">
            <w:pPr>
              <w:jc w:val="center"/>
              <w:rPr>
                <w:rFonts w:ascii="Arial Narrow" w:hAnsi="Arial Narrow" w:cs="Arial"/>
                <w:sz w:val="16"/>
                <w:szCs w:val="16"/>
              </w:rPr>
            </w:pPr>
          </w:p>
        </w:tc>
      </w:tr>
      <w:tr w:rsidR="00391855" w:rsidRPr="00BC2C5D" w14:paraId="3A60D0B3" w14:textId="77777777" w:rsidTr="00CC69CF">
        <w:trPr>
          <w:trHeight w:val="284"/>
        </w:trPr>
        <w:tc>
          <w:tcPr>
            <w:tcW w:w="1526" w:type="dxa"/>
            <w:vMerge/>
            <w:tcBorders>
              <w:left w:val="single" w:sz="18" w:space="0" w:color="auto"/>
              <w:bottom w:val="single" w:sz="18" w:space="0" w:color="C0C0C0"/>
              <w:right w:val="single" w:sz="18" w:space="0" w:color="C0C0C0"/>
            </w:tcBorders>
            <w:shd w:val="clear" w:color="auto" w:fill="auto"/>
            <w:vAlign w:val="center"/>
          </w:tcPr>
          <w:p w14:paraId="0DF42F54"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bottom w:val="single" w:sz="18" w:space="0" w:color="C0C0C0"/>
              <w:right w:val="single" w:sz="18" w:space="0" w:color="C0C0C0"/>
            </w:tcBorders>
            <w:shd w:val="clear" w:color="auto" w:fill="auto"/>
            <w:vAlign w:val="center"/>
          </w:tcPr>
          <w:p w14:paraId="6BC85353"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BFBFBF"/>
            </w:tcBorders>
            <w:shd w:val="clear" w:color="auto" w:fill="auto"/>
            <w:vAlign w:val="center"/>
          </w:tcPr>
          <w:p w14:paraId="7F317EA0" w14:textId="77777777" w:rsidR="00391855" w:rsidRPr="00236E17" w:rsidRDefault="00391855" w:rsidP="00C344F6">
            <w:pPr>
              <w:jc w:val="center"/>
              <w:rPr>
                <w:rFonts w:ascii="Arial Narrow" w:hAnsi="Arial Narrow" w:cs="Arial"/>
                <w:color w:val="000000"/>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28D3BA7C" w14:textId="77777777" w:rsidR="00391855" w:rsidRPr="00372CF9" w:rsidRDefault="00391855" w:rsidP="00236E17">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5DA5F259" w14:textId="725CE566"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27</w:t>
            </w:r>
          </w:p>
        </w:tc>
        <w:tc>
          <w:tcPr>
            <w:tcW w:w="1162" w:type="dxa"/>
            <w:vMerge/>
            <w:tcBorders>
              <w:left w:val="single" w:sz="18" w:space="0" w:color="BFBFBF"/>
              <w:bottom w:val="single" w:sz="18" w:space="0" w:color="C0C0C0"/>
              <w:right w:val="single" w:sz="18" w:space="0" w:color="auto"/>
            </w:tcBorders>
            <w:shd w:val="clear" w:color="auto" w:fill="auto"/>
            <w:vAlign w:val="center"/>
          </w:tcPr>
          <w:p w14:paraId="424F2F3A" w14:textId="77777777" w:rsidR="00391855" w:rsidRPr="00236E17" w:rsidRDefault="00391855"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72D39750" w14:textId="77777777" w:rsidR="00391855" w:rsidRPr="009E4A93" w:rsidRDefault="00391855" w:rsidP="00C344F6">
            <w:pPr>
              <w:jc w:val="center"/>
              <w:rPr>
                <w:rFonts w:ascii="Arial Narrow" w:hAnsi="Arial Narrow" w:cs="Arial"/>
                <w:sz w:val="16"/>
                <w:szCs w:val="16"/>
              </w:rPr>
            </w:pPr>
          </w:p>
        </w:tc>
      </w:tr>
      <w:tr w:rsidR="00AA40BA" w:rsidRPr="00BC2C5D" w14:paraId="512E60FF"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0EA42D4" w14:textId="3FCEF3CF" w:rsidR="00AA40BA" w:rsidRPr="00A634FA" w:rsidRDefault="00AA40BA" w:rsidP="00C344F6">
            <w:pPr>
              <w:jc w:val="center"/>
              <w:rPr>
                <w:rFonts w:ascii="Arial Narrow" w:hAnsi="Arial Narrow" w:cs="Arial"/>
                <w:sz w:val="16"/>
                <w:szCs w:val="16"/>
              </w:rPr>
            </w:pPr>
            <w:r>
              <w:rPr>
                <w:rFonts w:ascii="Arial Narrow" w:hAnsi="Arial Narrow" w:cs="Arial"/>
                <w:sz w:val="16"/>
                <w:szCs w:val="16"/>
              </w:rPr>
              <w:t>31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7612969B" w14:textId="62216EA9" w:rsidR="00AA40BA" w:rsidRPr="00236E17" w:rsidRDefault="00AA40BA"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FF00"/>
            <w:vAlign w:val="center"/>
          </w:tcPr>
          <w:p w14:paraId="42289F1C" w14:textId="4FEE6A3A" w:rsidR="00AA40BA" w:rsidRPr="00372CF9" w:rsidRDefault="00372CF9" w:rsidP="00C344F6">
            <w:pPr>
              <w:ind w:left="1440" w:hanging="1440"/>
              <w:jc w:val="center"/>
              <w:rPr>
                <w:rFonts w:ascii="Arial Narrow" w:hAnsi="Arial Narrow" w:cs="Arial"/>
                <w:b/>
                <w:bCs/>
                <w:sz w:val="16"/>
                <w:szCs w:val="16"/>
              </w:rPr>
            </w:pPr>
            <w:r w:rsidRPr="00372CF9">
              <w:rPr>
                <w:rFonts w:ascii="Arial Narrow" w:hAnsi="Arial Narrow" w:cs="Arial"/>
                <w:b/>
                <w:bCs/>
                <w:sz w:val="16"/>
                <w:szCs w:val="16"/>
              </w:rPr>
              <w:t>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6CD71B" w14:textId="02CF42DA" w:rsidR="00AA40BA" w:rsidRPr="00372CF9" w:rsidRDefault="00372CF9" w:rsidP="00C344F6">
            <w:pPr>
              <w:ind w:left="1440" w:hanging="1440"/>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0984E9CC" w14:textId="64445EAA"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4B09F96C"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58B2748E" w14:textId="156AEEC4" w:rsidR="00AA40BA" w:rsidRPr="009E4A93" w:rsidRDefault="00AA40BA" w:rsidP="00C344F6">
            <w:pPr>
              <w:jc w:val="center"/>
              <w:rPr>
                <w:rFonts w:ascii="Arial Narrow" w:hAnsi="Arial Narrow" w:cs="Arial"/>
                <w:sz w:val="16"/>
                <w:szCs w:val="16"/>
              </w:rPr>
            </w:pPr>
            <w:r w:rsidRPr="008D6D06">
              <w:rPr>
                <w:rFonts w:ascii="Arial Narrow" w:hAnsi="Arial Narrow"/>
                <w:color w:val="31849B"/>
                <w:sz w:val="16"/>
                <w:szCs w:val="16"/>
              </w:rPr>
              <w:t>Cooktown – Circuit</w:t>
            </w:r>
          </w:p>
        </w:tc>
      </w:tr>
      <w:tr w:rsidR="00AA40BA" w:rsidRPr="00BC2C5D" w14:paraId="4ECFEFD1" w14:textId="77777777" w:rsidTr="00694B49">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6A131896" w14:textId="77777777" w:rsidR="00AA40BA" w:rsidRDefault="00AA40BA" w:rsidP="00C344F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79A31911" w14:textId="77777777" w:rsidR="00AA40BA" w:rsidRPr="00236E17" w:rsidRDefault="00AA40BA" w:rsidP="00C344F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FF0000"/>
            <w:vAlign w:val="center"/>
          </w:tcPr>
          <w:p w14:paraId="01059492" w14:textId="086E195A" w:rsidR="00AA40BA" w:rsidRPr="00372CF9" w:rsidRDefault="00372CF9" w:rsidP="00C344F6">
            <w:pPr>
              <w:ind w:left="1440" w:hanging="1440"/>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4E214E06" w14:textId="77777777" w:rsidR="00AA40BA" w:rsidRPr="00236E17" w:rsidRDefault="00AA40BA" w:rsidP="00C344F6">
            <w:pPr>
              <w:ind w:left="1440" w:hanging="1440"/>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C0C0C0"/>
            </w:tcBorders>
            <w:shd w:val="clear" w:color="auto" w:fill="FF0000"/>
            <w:vAlign w:val="center"/>
          </w:tcPr>
          <w:p w14:paraId="6EBB23BB" w14:textId="77777777" w:rsidR="00AA40BA" w:rsidRPr="00236E17" w:rsidRDefault="00AA40BA"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1C56A34A"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42C30627" w14:textId="77777777" w:rsidR="00AA40BA" w:rsidRPr="008D6D06" w:rsidRDefault="00AA40BA" w:rsidP="00C344F6">
            <w:pPr>
              <w:jc w:val="center"/>
              <w:rPr>
                <w:rFonts w:ascii="Arial Narrow" w:hAnsi="Arial Narrow"/>
                <w:color w:val="31849B"/>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395"/>
        <w:gridCol w:w="1134"/>
        <w:gridCol w:w="1210"/>
        <w:gridCol w:w="1162"/>
        <w:gridCol w:w="1162"/>
        <w:gridCol w:w="1162"/>
        <w:gridCol w:w="3633"/>
      </w:tblGrid>
      <w:tr w:rsidR="00C5507C" w:rsidRPr="00BC2C5D" w14:paraId="57F3478D" w14:textId="77777777" w:rsidTr="00CA7C6A">
        <w:trPr>
          <w:trHeight w:val="567"/>
        </w:trPr>
        <w:tc>
          <w:tcPr>
            <w:tcW w:w="1395"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210"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620F76" w:rsidRPr="00BC2C5D" w14:paraId="0CE321A3" w14:textId="77777777" w:rsidTr="00694B49">
        <w:trPr>
          <w:trHeight w:val="158"/>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96DAD36" w14:textId="74D79DE2" w:rsidR="00620F76" w:rsidRPr="00390B39" w:rsidRDefault="00620F76" w:rsidP="00C5507C">
            <w:pPr>
              <w:jc w:val="center"/>
              <w:rPr>
                <w:rFonts w:ascii="Arial Narrow" w:hAnsi="Arial Narrow" w:cs="Arial"/>
                <w:sz w:val="16"/>
                <w:szCs w:val="16"/>
              </w:rPr>
            </w:pPr>
            <w:r>
              <w:rPr>
                <w:rFonts w:ascii="Arial Narrow" w:hAnsi="Arial Narrow" w:cs="Arial"/>
                <w:sz w:val="16"/>
                <w:szCs w:val="16"/>
              </w:rPr>
              <w:t>7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620F76" w:rsidRPr="00C344F6" w:rsidRDefault="00620F76" w:rsidP="00C5507C">
            <w:pPr>
              <w:jc w:val="center"/>
              <w:rPr>
                <w:rFonts w:ascii="Arial Narrow" w:hAnsi="Arial Narrow" w:cs="Arial"/>
                <w:sz w:val="16"/>
                <w:szCs w:val="16"/>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65468345" w14:textId="7E492D19" w:rsidR="00620F76" w:rsidRPr="00CA7C6A" w:rsidRDefault="00620F76" w:rsidP="00193311">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5D26E3A1" w14:textId="3186EA91"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9</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37F7711A" w14:textId="2B7221F9"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620F76" w:rsidRPr="00CA7C6A" w:rsidRDefault="00620F76"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9A8E7D7" w14:textId="77777777" w:rsidR="00620F76" w:rsidRDefault="00620F76" w:rsidP="00B6139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5CA04E27" w14:textId="7FD2E317" w:rsidR="00620F76" w:rsidRPr="008805E5" w:rsidRDefault="00620F76" w:rsidP="00B61391">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620F76" w:rsidRPr="00BC2C5D" w14:paraId="181CB78F" w14:textId="77777777" w:rsidTr="00694B49">
        <w:trPr>
          <w:trHeight w:val="157"/>
        </w:trPr>
        <w:tc>
          <w:tcPr>
            <w:tcW w:w="1395" w:type="dxa"/>
            <w:vMerge/>
            <w:tcBorders>
              <w:left w:val="single" w:sz="18" w:space="0" w:color="auto"/>
              <w:right w:val="single" w:sz="18" w:space="0" w:color="C0C0C0"/>
            </w:tcBorders>
            <w:shd w:val="clear" w:color="auto" w:fill="auto"/>
            <w:vAlign w:val="center"/>
          </w:tcPr>
          <w:p w14:paraId="78073AC5" w14:textId="77777777" w:rsidR="00620F76" w:rsidRDefault="00620F76"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8669B4A" w14:textId="77777777" w:rsidR="00620F76" w:rsidRPr="00C344F6" w:rsidRDefault="00620F76" w:rsidP="00C5507C">
            <w:pPr>
              <w:jc w:val="center"/>
              <w:rPr>
                <w:rFonts w:ascii="Arial Narrow" w:hAnsi="Arial Narrow" w:cs="Arial"/>
                <w:sz w:val="16"/>
                <w:szCs w:val="16"/>
              </w:rPr>
            </w:pPr>
          </w:p>
        </w:tc>
        <w:tc>
          <w:tcPr>
            <w:tcW w:w="1210" w:type="dxa"/>
            <w:vMerge/>
            <w:tcBorders>
              <w:left w:val="single" w:sz="18" w:space="0" w:color="C0C0C0"/>
              <w:right w:val="single" w:sz="18" w:space="0" w:color="BFBFBF"/>
            </w:tcBorders>
            <w:shd w:val="clear" w:color="auto" w:fill="auto"/>
            <w:vAlign w:val="center"/>
          </w:tcPr>
          <w:p w14:paraId="23604C50" w14:textId="77777777" w:rsidR="00620F76" w:rsidRPr="00CA7C6A" w:rsidRDefault="00620F76"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405C5827" w14:textId="77777777" w:rsidR="00620F76" w:rsidRPr="00620F76" w:rsidRDefault="00620F76" w:rsidP="00CA7C6A">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31AEA7C3" w14:textId="6A1F3BF4"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tcBorders>
              <w:left w:val="single" w:sz="18" w:space="0" w:color="C0C0C0"/>
              <w:right w:val="single" w:sz="18" w:space="0" w:color="auto"/>
            </w:tcBorders>
            <w:shd w:val="clear" w:color="auto" w:fill="auto"/>
            <w:vAlign w:val="center"/>
          </w:tcPr>
          <w:p w14:paraId="1466A448" w14:textId="77777777" w:rsidR="00620F76" w:rsidRPr="00CA7C6A" w:rsidRDefault="00620F76"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40B919B9" w14:textId="77777777" w:rsidR="00620F76" w:rsidRPr="008805E5" w:rsidRDefault="00620F76" w:rsidP="00B61391">
            <w:pPr>
              <w:jc w:val="center"/>
              <w:rPr>
                <w:rFonts w:ascii="Arial Narrow" w:hAnsi="Arial Narrow"/>
                <w:color w:val="31849B"/>
                <w:sz w:val="16"/>
                <w:szCs w:val="16"/>
              </w:rPr>
            </w:pPr>
          </w:p>
        </w:tc>
      </w:tr>
      <w:tr w:rsidR="00620F76" w:rsidRPr="00BC2C5D" w14:paraId="0FCBB6DF" w14:textId="77777777" w:rsidTr="00694B49">
        <w:trPr>
          <w:trHeight w:val="307"/>
        </w:trPr>
        <w:tc>
          <w:tcPr>
            <w:tcW w:w="1395" w:type="dxa"/>
            <w:vMerge/>
            <w:tcBorders>
              <w:left w:val="single" w:sz="18" w:space="0" w:color="auto"/>
              <w:right w:val="single" w:sz="18" w:space="0" w:color="C0C0C0"/>
            </w:tcBorders>
            <w:shd w:val="clear" w:color="auto" w:fill="auto"/>
            <w:vAlign w:val="center"/>
          </w:tcPr>
          <w:p w14:paraId="4934314E" w14:textId="77777777" w:rsidR="00620F76" w:rsidRDefault="00620F76"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725468A1" w14:textId="77777777" w:rsidR="00620F76" w:rsidRPr="00C344F6" w:rsidRDefault="00620F76" w:rsidP="00C5507C">
            <w:pPr>
              <w:jc w:val="center"/>
              <w:rPr>
                <w:rFonts w:ascii="Arial Narrow" w:hAnsi="Arial Narrow" w:cs="Arial"/>
                <w:sz w:val="16"/>
                <w:szCs w:val="16"/>
              </w:rPr>
            </w:pPr>
          </w:p>
        </w:tc>
        <w:tc>
          <w:tcPr>
            <w:tcW w:w="1210" w:type="dxa"/>
            <w:vMerge/>
            <w:tcBorders>
              <w:left w:val="single" w:sz="18" w:space="0" w:color="C0C0C0"/>
              <w:right w:val="single" w:sz="18" w:space="0" w:color="BFBFBF"/>
            </w:tcBorders>
            <w:shd w:val="clear" w:color="auto" w:fill="auto"/>
            <w:vAlign w:val="center"/>
          </w:tcPr>
          <w:p w14:paraId="2B3EECE3" w14:textId="77777777" w:rsidR="00620F76" w:rsidRPr="00CA7C6A" w:rsidRDefault="00620F76"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281298CF" w14:textId="77777777" w:rsidR="00620F76" w:rsidRPr="00620F76" w:rsidRDefault="00620F76" w:rsidP="00CA7C6A">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6C7CF698" w14:textId="3D8054B1"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tcBorders>
              <w:left w:val="single" w:sz="18" w:space="0" w:color="C0C0C0"/>
              <w:right w:val="single" w:sz="18" w:space="0" w:color="auto"/>
            </w:tcBorders>
            <w:shd w:val="clear" w:color="auto" w:fill="auto"/>
            <w:vAlign w:val="center"/>
          </w:tcPr>
          <w:p w14:paraId="110D044E" w14:textId="77777777" w:rsidR="00620F76" w:rsidRPr="00CA7C6A" w:rsidRDefault="00620F76"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B6AEB25" w14:textId="77777777" w:rsidR="00620F76" w:rsidRPr="008805E5" w:rsidRDefault="00620F76" w:rsidP="00B61391">
            <w:pPr>
              <w:jc w:val="center"/>
              <w:rPr>
                <w:rFonts w:ascii="Arial Narrow" w:hAnsi="Arial Narrow"/>
                <w:color w:val="31849B"/>
                <w:sz w:val="16"/>
                <w:szCs w:val="16"/>
              </w:rPr>
            </w:pPr>
          </w:p>
        </w:tc>
      </w:tr>
      <w:tr w:rsidR="00CC23DC" w:rsidRPr="00BC2C5D" w14:paraId="3EA964B8" w14:textId="77777777" w:rsidTr="00CC69CF">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0A6385D6" w14:textId="0EDF74B6" w:rsidR="00CC23DC" w:rsidRPr="00390B39" w:rsidRDefault="006B0D6C" w:rsidP="00C5507C">
            <w:pPr>
              <w:jc w:val="center"/>
              <w:rPr>
                <w:rFonts w:ascii="Arial Narrow" w:hAnsi="Arial Narrow" w:cs="Arial"/>
                <w:sz w:val="16"/>
                <w:szCs w:val="16"/>
              </w:rPr>
            </w:pPr>
            <w:r>
              <w:rPr>
                <w:rFonts w:ascii="Arial Narrow" w:hAnsi="Arial Narrow" w:cs="Arial"/>
                <w:sz w:val="16"/>
                <w:szCs w:val="16"/>
              </w:rPr>
              <w:t>14 November</w:t>
            </w:r>
          </w:p>
        </w:tc>
        <w:tc>
          <w:tcPr>
            <w:tcW w:w="1134" w:type="dxa"/>
            <w:tcBorders>
              <w:top w:val="single" w:sz="18" w:space="0" w:color="C0C0C0"/>
              <w:left w:val="single" w:sz="18" w:space="0" w:color="C0C0C0"/>
              <w:right w:val="single" w:sz="18" w:space="0" w:color="C0C0C0"/>
            </w:tcBorders>
            <w:shd w:val="clear" w:color="auto" w:fill="auto"/>
            <w:vAlign w:val="center"/>
          </w:tcPr>
          <w:p w14:paraId="27120716" w14:textId="2460197C" w:rsidR="00CC23DC" w:rsidRPr="006C79D3" w:rsidRDefault="00CC23DC" w:rsidP="00C5507C">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FF0000"/>
            <w:vAlign w:val="center"/>
          </w:tcPr>
          <w:p w14:paraId="79A68E23" w14:textId="0FBA7474" w:rsidR="00CC23DC" w:rsidRPr="00620F76" w:rsidRDefault="00620F76" w:rsidP="008F23DF">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15</w:t>
            </w:r>
          </w:p>
        </w:tc>
        <w:tc>
          <w:tcPr>
            <w:tcW w:w="1162" w:type="dxa"/>
            <w:tcBorders>
              <w:top w:val="single" w:sz="18" w:space="0" w:color="C0C0C0"/>
              <w:left w:val="single" w:sz="18" w:space="0" w:color="BFBFBF"/>
              <w:right w:val="single" w:sz="18" w:space="0" w:color="C0C0C0"/>
            </w:tcBorders>
            <w:shd w:val="clear" w:color="auto" w:fill="FF0000"/>
            <w:vAlign w:val="center"/>
          </w:tcPr>
          <w:p w14:paraId="05A7C8EF" w14:textId="7B21DE15" w:rsidR="00CC23DC" w:rsidRPr="00620F76" w:rsidRDefault="00620F76" w:rsidP="00C5507C">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16</w:t>
            </w:r>
          </w:p>
        </w:tc>
        <w:tc>
          <w:tcPr>
            <w:tcW w:w="1162" w:type="dxa"/>
            <w:tcBorders>
              <w:top w:val="single" w:sz="18" w:space="0" w:color="C0C0C0"/>
              <w:left w:val="single" w:sz="18" w:space="0" w:color="C0C0C0"/>
              <w:right w:val="single" w:sz="18" w:space="0" w:color="C0C0C0"/>
            </w:tcBorders>
            <w:shd w:val="clear" w:color="auto" w:fill="FF0000"/>
            <w:vAlign w:val="center"/>
          </w:tcPr>
          <w:p w14:paraId="10D421D0" w14:textId="24730E3C" w:rsidR="00CC23DC" w:rsidRPr="00620F76" w:rsidRDefault="00620F76" w:rsidP="00987E6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17</w:t>
            </w: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C23DC" w:rsidRPr="00CA7C6A" w:rsidRDefault="00CC23D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11145A3" w14:textId="585EEE34" w:rsidR="00CC23DC" w:rsidRPr="008805E5" w:rsidRDefault="00CC23DC" w:rsidP="00C5507C">
            <w:pPr>
              <w:jc w:val="center"/>
              <w:rPr>
                <w:rFonts w:ascii="Arial Narrow" w:hAnsi="Arial Narrow" w:cs="Arial"/>
                <w:sz w:val="16"/>
                <w:szCs w:val="16"/>
                <w:highlight w:val="yellow"/>
              </w:rPr>
            </w:pPr>
          </w:p>
        </w:tc>
      </w:tr>
      <w:tr w:rsidR="00391855" w:rsidRPr="00BC2C5D" w14:paraId="3766C4CB" w14:textId="77777777" w:rsidTr="00694B49">
        <w:trPr>
          <w:trHeight w:val="285"/>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0F542D29" w14:textId="200C0FFB" w:rsidR="00391855" w:rsidRDefault="00391855" w:rsidP="00390B39">
            <w:pPr>
              <w:jc w:val="center"/>
              <w:rPr>
                <w:rFonts w:ascii="Arial Narrow" w:hAnsi="Arial Narrow" w:cs="Arial"/>
                <w:sz w:val="16"/>
                <w:szCs w:val="16"/>
              </w:rPr>
            </w:pPr>
            <w:r>
              <w:rPr>
                <w:rFonts w:ascii="Arial Narrow" w:hAnsi="Arial Narrow" w:cs="Arial"/>
                <w:sz w:val="16"/>
                <w:szCs w:val="16"/>
              </w:rPr>
              <w:t>21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391855" w:rsidRPr="006C79D3" w:rsidRDefault="00391855" w:rsidP="00390B39">
            <w:pPr>
              <w:jc w:val="center"/>
              <w:rPr>
                <w:rFonts w:ascii="Arial Narrow" w:hAnsi="Arial Narrow" w:cs="Arial"/>
                <w:sz w:val="16"/>
                <w:szCs w:val="16"/>
                <w:highlight w:val="yellow"/>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7CBBAD8B" w14:textId="75536AEF" w:rsidR="00391855" w:rsidRPr="00CA7C6A" w:rsidRDefault="00391855" w:rsidP="00987E69">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46FDB6FD" w14:textId="6E1DC7F0"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23</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E61EDBE" w14:textId="260A9FA2"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24</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391855" w:rsidRPr="00CA7C6A" w:rsidRDefault="00391855"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391855" w:rsidRPr="008805E5" w:rsidRDefault="00391855" w:rsidP="009E4A93">
            <w:pPr>
              <w:jc w:val="center"/>
              <w:rPr>
                <w:rFonts w:ascii="Arial Narrow" w:hAnsi="Arial Narrow" w:cs="Arial"/>
                <w:sz w:val="16"/>
                <w:szCs w:val="16"/>
                <w:highlight w:val="yellow"/>
              </w:rPr>
            </w:pPr>
          </w:p>
        </w:tc>
      </w:tr>
      <w:tr w:rsidR="00391855" w:rsidRPr="00BC2C5D" w14:paraId="56C35009" w14:textId="77777777" w:rsidTr="00694B49">
        <w:trPr>
          <w:trHeight w:val="285"/>
        </w:trPr>
        <w:tc>
          <w:tcPr>
            <w:tcW w:w="1395" w:type="dxa"/>
            <w:vMerge/>
            <w:tcBorders>
              <w:left w:val="single" w:sz="18" w:space="0" w:color="auto"/>
              <w:right w:val="single" w:sz="18" w:space="0" w:color="C0C0C0"/>
            </w:tcBorders>
            <w:shd w:val="clear" w:color="auto" w:fill="auto"/>
            <w:vAlign w:val="center"/>
          </w:tcPr>
          <w:p w14:paraId="777C1922" w14:textId="77777777" w:rsidR="00391855" w:rsidRDefault="00391855"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EDD1CD8" w14:textId="77777777" w:rsidR="00391855" w:rsidRPr="006C79D3" w:rsidRDefault="00391855"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33A86F19" w14:textId="77777777" w:rsidR="00391855" w:rsidRPr="00CA7C6A" w:rsidRDefault="00391855" w:rsidP="00987E69">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5FBAE9D2" w14:textId="77777777" w:rsidR="00391855" w:rsidRPr="00620F76" w:rsidRDefault="00391855"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20A91208" w14:textId="4DDF1459"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24</w:t>
            </w:r>
          </w:p>
        </w:tc>
        <w:tc>
          <w:tcPr>
            <w:tcW w:w="1162" w:type="dxa"/>
            <w:vMerge/>
            <w:tcBorders>
              <w:left w:val="single" w:sz="18" w:space="0" w:color="C0C0C0"/>
              <w:right w:val="single" w:sz="18" w:space="0" w:color="auto"/>
            </w:tcBorders>
            <w:shd w:val="clear" w:color="auto" w:fill="auto"/>
            <w:vAlign w:val="center"/>
          </w:tcPr>
          <w:p w14:paraId="1125703C" w14:textId="77777777" w:rsidR="00391855" w:rsidRPr="00CA7C6A" w:rsidRDefault="00391855"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644F7188" w14:textId="77777777" w:rsidR="00391855" w:rsidRPr="008805E5" w:rsidRDefault="00391855" w:rsidP="009E4A93">
            <w:pPr>
              <w:jc w:val="center"/>
              <w:rPr>
                <w:rFonts w:ascii="Arial Narrow" w:hAnsi="Arial Narrow" w:cs="Arial"/>
                <w:sz w:val="16"/>
                <w:szCs w:val="16"/>
                <w:highlight w:val="yellow"/>
              </w:rPr>
            </w:pPr>
          </w:p>
        </w:tc>
      </w:tr>
      <w:tr w:rsidR="00BD6B31" w:rsidRPr="00BC2C5D" w14:paraId="2952A691" w14:textId="77777777" w:rsidTr="008F23DF">
        <w:trPr>
          <w:trHeight w:val="284"/>
        </w:trPr>
        <w:tc>
          <w:tcPr>
            <w:tcW w:w="1395" w:type="dxa"/>
            <w:vMerge w:val="restart"/>
            <w:tcBorders>
              <w:top w:val="single" w:sz="18" w:space="0" w:color="BFBFBF"/>
              <w:left w:val="single" w:sz="18" w:space="0" w:color="auto"/>
              <w:right w:val="single" w:sz="18" w:space="0" w:color="C0C0C0"/>
            </w:tcBorders>
            <w:shd w:val="clear" w:color="auto" w:fill="auto"/>
            <w:vAlign w:val="center"/>
          </w:tcPr>
          <w:p w14:paraId="219AC89F" w14:textId="7C5A1FC1" w:rsidR="00BD6B31" w:rsidRPr="00A634FA" w:rsidRDefault="00BD6B31" w:rsidP="00390B39">
            <w:pPr>
              <w:jc w:val="center"/>
              <w:rPr>
                <w:rFonts w:ascii="Arial Narrow" w:hAnsi="Arial Narrow" w:cs="Arial"/>
                <w:sz w:val="16"/>
                <w:szCs w:val="16"/>
              </w:rPr>
            </w:pPr>
            <w:r>
              <w:rPr>
                <w:rFonts w:ascii="Arial Narrow" w:hAnsi="Arial Narrow" w:cs="Arial"/>
                <w:sz w:val="16"/>
                <w:szCs w:val="16"/>
              </w:rPr>
              <w:t>28 November</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BD6B31" w:rsidRPr="00A634FA" w:rsidRDefault="00BD6B31" w:rsidP="00390B39">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4423C25E" w14:textId="461BFF37"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29</w:t>
            </w:r>
          </w:p>
        </w:tc>
        <w:tc>
          <w:tcPr>
            <w:tcW w:w="1162" w:type="dxa"/>
            <w:tcBorders>
              <w:top w:val="single" w:sz="18" w:space="0" w:color="C0C0C0"/>
              <w:left w:val="single" w:sz="18" w:space="0" w:color="BFBFBF"/>
              <w:bottom w:val="nil"/>
              <w:right w:val="single" w:sz="18" w:space="0" w:color="C0C0C0"/>
            </w:tcBorders>
            <w:shd w:val="clear" w:color="auto" w:fill="FF0000"/>
            <w:vAlign w:val="center"/>
          </w:tcPr>
          <w:p w14:paraId="2AE45B4E" w14:textId="0E40FC26"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30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6E1606DB" w:rsidR="00BD6B31" w:rsidRPr="00620F76" w:rsidRDefault="00BD6B31" w:rsidP="00987E6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BD6B31" w:rsidRPr="00A634FA" w:rsidRDefault="00BD6B31"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77312F66" w:rsidR="00BD6B31" w:rsidRPr="008805E5" w:rsidRDefault="00BD6B31" w:rsidP="00390B39">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BD6B31" w:rsidRPr="00BC2C5D" w14:paraId="261C2032" w14:textId="77777777" w:rsidTr="008F23DF">
        <w:trPr>
          <w:trHeight w:val="284"/>
        </w:trPr>
        <w:tc>
          <w:tcPr>
            <w:tcW w:w="1395" w:type="dxa"/>
            <w:vMerge/>
            <w:tcBorders>
              <w:left w:val="single" w:sz="18" w:space="0" w:color="auto"/>
              <w:right w:val="single" w:sz="18" w:space="0" w:color="C0C0C0"/>
            </w:tcBorders>
            <w:shd w:val="clear" w:color="auto" w:fill="auto"/>
            <w:vAlign w:val="center"/>
          </w:tcPr>
          <w:p w14:paraId="583F988F" w14:textId="77777777" w:rsidR="00BD6B31" w:rsidRDefault="00BD6B31"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ACC7E71" w14:textId="77777777" w:rsidR="00BD6B31" w:rsidRPr="00A634FA" w:rsidRDefault="00BD6B31" w:rsidP="00390B39">
            <w:pPr>
              <w:jc w:val="center"/>
              <w:rPr>
                <w:rFonts w:ascii="Arial Narrow" w:hAnsi="Arial Narrow" w:cs="Arial"/>
                <w:sz w:val="16"/>
                <w:szCs w:val="16"/>
              </w:rPr>
            </w:pPr>
          </w:p>
        </w:tc>
        <w:tc>
          <w:tcPr>
            <w:tcW w:w="1210" w:type="dxa"/>
            <w:tcBorders>
              <w:top w:val="nil"/>
              <w:left w:val="single" w:sz="18" w:space="0" w:color="C0C0C0"/>
              <w:bottom w:val="single" w:sz="18" w:space="0" w:color="auto"/>
              <w:right w:val="single" w:sz="18" w:space="0" w:color="C0C0C0"/>
            </w:tcBorders>
            <w:shd w:val="clear" w:color="auto" w:fill="A972A9"/>
            <w:vAlign w:val="center"/>
          </w:tcPr>
          <w:p w14:paraId="321B7C62" w14:textId="442544C1"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29</w:t>
            </w:r>
          </w:p>
        </w:tc>
        <w:tc>
          <w:tcPr>
            <w:tcW w:w="1162" w:type="dxa"/>
            <w:tcBorders>
              <w:top w:val="nil"/>
              <w:left w:val="single" w:sz="18" w:space="0" w:color="C0C0C0"/>
              <w:bottom w:val="single" w:sz="18" w:space="0" w:color="auto"/>
              <w:right w:val="single" w:sz="18" w:space="0" w:color="C0C0C0"/>
            </w:tcBorders>
            <w:shd w:val="clear" w:color="auto" w:fill="A972A9"/>
            <w:vAlign w:val="center"/>
          </w:tcPr>
          <w:p w14:paraId="637F9271" w14:textId="6C96BCDF"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30</w:t>
            </w:r>
          </w:p>
        </w:tc>
        <w:tc>
          <w:tcPr>
            <w:tcW w:w="1162" w:type="dxa"/>
            <w:vMerge/>
            <w:tcBorders>
              <w:left w:val="single" w:sz="18" w:space="0" w:color="C0C0C0"/>
              <w:bottom w:val="single" w:sz="18" w:space="0" w:color="auto"/>
              <w:right w:val="single" w:sz="18" w:space="0" w:color="C0C0C0"/>
            </w:tcBorders>
            <w:shd w:val="clear" w:color="auto" w:fill="31849B"/>
            <w:vAlign w:val="center"/>
          </w:tcPr>
          <w:p w14:paraId="3021E6E6" w14:textId="0FE77B5A" w:rsidR="00BD6B31" w:rsidRPr="00620F76" w:rsidRDefault="00BD6B31" w:rsidP="00987E69">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auto"/>
            </w:tcBorders>
            <w:shd w:val="clear" w:color="auto" w:fill="auto"/>
            <w:vAlign w:val="center"/>
          </w:tcPr>
          <w:p w14:paraId="1FA3C3F9" w14:textId="77777777" w:rsidR="00BD6B31" w:rsidRPr="00A634FA" w:rsidRDefault="00BD6B31"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68A1E6B2" w14:textId="77777777" w:rsidR="00BD6B31" w:rsidRPr="008805E5" w:rsidRDefault="00BD6B31" w:rsidP="00390B39">
            <w:pPr>
              <w:jc w:val="center"/>
              <w:rPr>
                <w:rFonts w:ascii="Arial Narrow" w:hAnsi="Arial Narrow"/>
                <w:color w:val="31849B"/>
                <w:sz w:val="16"/>
                <w:szCs w:val="16"/>
              </w:rPr>
            </w:pPr>
          </w:p>
        </w:tc>
      </w:tr>
      <w:tr w:rsidR="00CC23DC" w:rsidRPr="00BC2C5D" w14:paraId="1CA5194F" w14:textId="77777777" w:rsidTr="00694B49">
        <w:trPr>
          <w:trHeight w:val="613"/>
        </w:trPr>
        <w:tc>
          <w:tcPr>
            <w:tcW w:w="1395" w:type="dxa"/>
            <w:tcBorders>
              <w:top w:val="single" w:sz="18" w:space="0" w:color="auto"/>
              <w:left w:val="single" w:sz="18" w:space="0" w:color="auto"/>
              <w:right w:val="single" w:sz="18" w:space="0" w:color="C0C0C0"/>
            </w:tcBorders>
            <w:shd w:val="clear" w:color="auto" w:fill="auto"/>
            <w:vAlign w:val="center"/>
          </w:tcPr>
          <w:p w14:paraId="62CCD3D4" w14:textId="78B02998" w:rsidR="00CC23DC" w:rsidRPr="00A634FA" w:rsidRDefault="006B0D6C" w:rsidP="00390B39">
            <w:pPr>
              <w:jc w:val="center"/>
              <w:rPr>
                <w:rFonts w:ascii="Arial Narrow" w:hAnsi="Arial Narrow" w:cs="Arial"/>
                <w:sz w:val="16"/>
                <w:szCs w:val="16"/>
              </w:rPr>
            </w:pPr>
            <w:r>
              <w:rPr>
                <w:rFonts w:ascii="Arial Narrow" w:hAnsi="Arial Narrow" w:cs="Arial"/>
                <w:sz w:val="16"/>
                <w:szCs w:val="16"/>
              </w:rPr>
              <w:t>5 December</w:t>
            </w:r>
          </w:p>
        </w:tc>
        <w:tc>
          <w:tcPr>
            <w:tcW w:w="1134" w:type="dxa"/>
            <w:tcBorders>
              <w:top w:val="single" w:sz="18" w:space="0" w:color="auto"/>
              <w:left w:val="single" w:sz="18" w:space="0" w:color="C0C0C0"/>
              <w:right w:val="single" w:sz="18" w:space="0" w:color="C0C0C0"/>
            </w:tcBorders>
            <w:shd w:val="clear" w:color="auto" w:fill="auto"/>
            <w:vAlign w:val="center"/>
          </w:tcPr>
          <w:p w14:paraId="66E74CF9" w14:textId="77777777" w:rsidR="00CC23DC" w:rsidRPr="00A634FA" w:rsidRDefault="00CC23DC" w:rsidP="00390B39">
            <w:pPr>
              <w:jc w:val="center"/>
              <w:rPr>
                <w:rFonts w:ascii="Arial Narrow" w:hAnsi="Arial Narrow" w:cs="Arial"/>
                <w:sz w:val="16"/>
                <w:szCs w:val="16"/>
                <w:highlight w:val="yellow"/>
              </w:rPr>
            </w:pPr>
          </w:p>
        </w:tc>
        <w:tc>
          <w:tcPr>
            <w:tcW w:w="1210" w:type="dxa"/>
            <w:tcBorders>
              <w:top w:val="single" w:sz="18" w:space="0" w:color="auto"/>
              <w:left w:val="single" w:sz="18" w:space="0" w:color="C0C0C0"/>
              <w:right w:val="single" w:sz="18" w:space="0" w:color="BFBFBF"/>
            </w:tcBorders>
            <w:shd w:val="clear" w:color="auto" w:fill="auto"/>
            <w:vAlign w:val="center"/>
          </w:tcPr>
          <w:p w14:paraId="5280C7F2" w14:textId="4046BD7F" w:rsidR="00CC23DC" w:rsidRPr="00CA7C6A" w:rsidRDefault="00CC23DC" w:rsidP="00294AA0">
            <w:pPr>
              <w:jc w:val="center"/>
              <w:rPr>
                <w:rFonts w:ascii="Arial Narrow" w:hAnsi="Arial Narrow" w:cs="Arial"/>
                <w:color w:val="000000"/>
                <w:sz w:val="16"/>
                <w:szCs w:val="16"/>
              </w:rPr>
            </w:pPr>
          </w:p>
        </w:tc>
        <w:tc>
          <w:tcPr>
            <w:tcW w:w="1162" w:type="dxa"/>
            <w:tcBorders>
              <w:top w:val="single" w:sz="18" w:space="0" w:color="auto"/>
              <w:left w:val="single" w:sz="18" w:space="0" w:color="BFBFBF"/>
              <w:right w:val="single" w:sz="18" w:space="0" w:color="C0C0C0"/>
            </w:tcBorders>
            <w:shd w:val="clear" w:color="auto" w:fill="FFFF00"/>
            <w:vAlign w:val="center"/>
          </w:tcPr>
          <w:p w14:paraId="31836070" w14:textId="0D65ACA6" w:rsidR="00CC23DC" w:rsidRPr="009B4B9A" w:rsidRDefault="009B4B9A" w:rsidP="00390B39">
            <w:pPr>
              <w:jc w:val="center"/>
              <w:rPr>
                <w:rFonts w:ascii="Arial Narrow" w:hAnsi="Arial Narrow" w:cs="Arial"/>
                <w:b/>
                <w:bCs/>
                <w:color w:val="000000"/>
                <w:sz w:val="16"/>
                <w:szCs w:val="16"/>
              </w:rPr>
            </w:pPr>
            <w:r w:rsidRPr="009B4B9A">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C0C0C0"/>
            </w:tcBorders>
            <w:shd w:val="clear" w:color="auto" w:fill="FFFF00"/>
            <w:vAlign w:val="center"/>
          </w:tcPr>
          <w:p w14:paraId="18177425" w14:textId="6B0C7FE1" w:rsidR="00CC23DC" w:rsidRPr="009B4B9A" w:rsidRDefault="009B4B9A" w:rsidP="00534C70">
            <w:pPr>
              <w:jc w:val="center"/>
              <w:rPr>
                <w:rFonts w:ascii="Arial Narrow" w:hAnsi="Arial Narrow" w:cs="Arial"/>
                <w:b/>
                <w:bCs/>
                <w:sz w:val="16"/>
                <w:szCs w:val="16"/>
              </w:rPr>
            </w:pPr>
            <w:r w:rsidRPr="009B4B9A">
              <w:rPr>
                <w:rFonts w:ascii="Arial Narrow" w:hAnsi="Arial Narrow" w:cs="Arial"/>
                <w:b/>
                <w:bCs/>
                <w:sz w:val="16"/>
                <w:szCs w:val="16"/>
              </w:rPr>
              <w:t>8 ½ day</w:t>
            </w:r>
          </w:p>
        </w:tc>
        <w:tc>
          <w:tcPr>
            <w:tcW w:w="1162" w:type="dxa"/>
            <w:tcBorders>
              <w:top w:val="single" w:sz="18" w:space="0" w:color="auto"/>
              <w:left w:val="single" w:sz="18" w:space="0" w:color="C0C0C0"/>
              <w:right w:val="single" w:sz="18" w:space="0" w:color="auto"/>
            </w:tcBorders>
            <w:shd w:val="clear" w:color="auto" w:fill="auto"/>
            <w:vAlign w:val="center"/>
          </w:tcPr>
          <w:p w14:paraId="56CF5F8B" w14:textId="77777777" w:rsidR="00CC23DC" w:rsidRPr="00A634FA" w:rsidRDefault="00CC23DC" w:rsidP="00390B39">
            <w:pPr>
              <w:jc w:val="center"/>
              <w:rPr>
                <w:rFonts w:ascii="Arial Narrow" w:hAnsi="Arial Narrow" w:cs="Arial"/>
                <w:sz w:val="16"/>
                <w:szCs w:val="16"/>
                <w:highlight w:val="yellow"/>
              </w:rPr>
            </w:pPr>
          </w:p>
        </w:tc>
        <w:tc>
          <w:tcPr>
            <w:tcW w:w="3633" w:type="dxa"/>
            <w:tcBorders>
              <w:top w:val="single" w:sz="18" w:space="0" w:color="auto"/>
              <w:left w:val="single" w:sz="18" w:space="0" w:color="auto"/>
              <w:right w:val="single" w:sz="18" w:space="0" w:color="auto"/>
            </w:tcBorders>
            <w:shd w:val="clear" w:color="auto" w:fill="auto"/>
            <w:vAlign w:val="center"/>
          </w:tcPr>
          <w:p w14:paraId="1E4AC268" w14:textId="77777777" w:rsidR="00CA7C6A" w:rsidRPr="00CA7C6A" w:rsidRDefault="00CA7C6A" w:rsidP="00CA7C6A">
            <w:pPr>
              <w:jc w:val="center"/>
              <w:rPr>
                <w:rFonts w:ascii="Arial Narrow" w:hAnsi="Arial Narrow"/>
                <w:color w:val="31849B"/>
                <w:sz w:val="16"/>
                <w:szCs w:val="16"/>
              </w:rPr>
            </w:pPr>
            <w:r w:rsidRPr="00CA7C6A">
              <w:rPr>
                <w:rFonts w:ascii="Arial Narrow" w:hAnsi="Arial Narrow"/>
                <w:color w:val="31849B"/>
                <w:sz w:val="16"/>
                <w:szCs w:val="16"/>
              </w:rPr>
              <w:t>Aurukun Cape B Circuit</w:t>
            </w:r>
          </w:p>
          <w:p w14:paraId="3510D1F2" w14:textId="77777777" w:rsidR="00CA7C6A" w:rsidRPr="00CA7C6A" w:rsidRDefault="00CA7C6A" w:rsidP="00CA7C6A">
            <w:pPr>
              <w:jc w:val="center"/>
              <w:rPr>
                <w:rFonts w:ascii="Arial Narrow" w:hAnsi="Arial Narrow"/>
                <w:color w:val="31849B"/>
                <w:sz w:val="16"/>
                <w:szCs w:val="16"/>
              </w:rPr>
            </w:pPr>
            <w:r w:rsidRPr="00CA7C6A">
              <w:rPr>
                <w:rFonts w:ascii="Arial Narrow" w:hAnsi="Arial Narrow"/>
                <w:color w:val="31849B"/>
                <w:sz w:val="16"/>
                <w:szCs w:val="16"/>
              </w:rPr>
              <w:t xml:space="preserve">Doomadgee – Gulf Circuit </w:t>
            </w:r>
          </w:p>
          <w:p w14:paraId="6C9148DC" w14:textId="6152F34C" w:rsidR="00CC23DC" w:rsidRPr="008805E5" w:rsidRDefault="00CA7C6A" w:rsidP="00CA7C6A">
            <w:pPr>
              <w:jc w:val="center"/>
              <w:rPr>
                <w:rFonts w:ascii="Arial Narrow" w:hAnsi="Arial Narrow" w:cs="Arial"/>
                <w:sz w:val="16"/>
                <w:szCs w:val="16"/>
                <w:highlight w:val="yellow"/>
              </w:rPr>
            </w:pPr>
            <w:r w:rsidRPr="00CA7C6A">
              <w:rPr>
                <w:rFonts w:ascii="Arial Narrow" w:hAnsi="Arial Narrow" w:cs="Arial"/>
                <w:sz w:val="16"/>
                <w:szCs w:val="16"/>
              </w:rPr>
              <w:t>Mossman schools finish 9/12/2022</w:t>
            </w:r>
          </w:p>
        </w:tc>
      </w:tr>
      <w:tr w:rsidR="00CA7C6A" w:rsidRPr="00BC2C5D" w14:paraId="6A282D96" w14:textId="77777777" w:rsidTr="00CC69CF">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6D86D990" w14:textId="000F3370" w:rsidR="00CA7C6A" w:rsidRPr="00A634FA" w:rsidRDefault="00CA7C6A" w:rsidP="00313AD9">
            <w:pPr>
              <w:jc w:val="center"/>
              <w:rPr>
                <w:rFonts w:ascii="Arial Narrow" w:hAnsi="Arial Narrow" w:cs="Arial"/>
                <w:sz w:val="16"/>
                <w:szCs w:val="16"/>
              </w:rPr>
            </w:pPr>
            <w:r>
              <w:rPr>
                <w:rFonts w:ascii="Arial Narrow" w:hAnsi="Arial Narrow" w:cs="Arial"/>
                <w:sz w:val="16"/>
                <w:szCs w:val="16"/>
              </w:rPr>
              <w:t>12 December</w:t>
            </w:r>
          </w:p>
        </w:tc>
        <w:tc>
          <w:tcPr>
            <w:tcW w:w="1134" w:type="dxa"/>
            <w:tcBorders>
              <w:top w:val="single" w:sz="18" w:space="0" w:color="C0C0C0"/>
              <w:left w:val="single" w:sz="18" w:space="0" w:color="C0C0C0"/>
              <w:right w:val="single" w:sz="18" w:space="0" w:color="C0C0C0"/>
            </w:tcBorders>
            <w:shd w:val="clear" w:color="auto" w:fill="D9D9D9"/>
            <w:vAlign w:val="center"/>
          </w:tcPr>
          <w:p w14:paraId="695555CE" w14:textId="61BB7C07" w:rsidR="00CA7C6A" w:rsidRPr="00A634FA" w:rsidRDefault="00CA7C6A" w:rsidP="00313AD9">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D9D9D9"/>
            <w:vAlign w:val="center"/>
          </w:tcPr>
          <w:p w14:paraId="09C9C0A4" w14:textId="43A3A419" w:rsidR="00CA7C6A" w:rsidRPr="00CA7C6A" w:rsidRDefault="00CA7C6A" w:rsidP="001F0A2E">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BF01046" w14:textId="71145BA3" w:rsidR="00CA7C6A" w:rsidRPr="00CA7C6A" w:rsidRDefault="00CA7C6A" w:rsidP="00534C70">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3AD05D9" w14:textId="3A6A1974" w:rsidR="00CA7C6A" w:rsidRPr="00CA7C6A" w:rsidRDefault="00CA7C6A"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7FC64D6A" w14:textId="77777777" w:rsidR="00CA7C6A" w:rsidRPr="00A634FA" w:rsidRDefault="00CA7C6A" w:rsidP="00313AD9">
            <w:pPr>
              <w:jc w:val="center"/>
              <w:rPr>
                <w:rFonts w:ascii="Arial Narrow" w:hAnsi="Arial Narrow" w:cs="Arial"/>
                <w:sz w:val="16"/>
                <w:szCs w:val="16"/>
                <w:highlight w:val="yellow"/>
              </w:rPr>
            </w:pPr>
          </w:p>
        </w:tc>
        <w:tc>
          <w:tcPr>
            <w:tcW w:w="3633" w:type="dxa"/>
            <w:tcBorders>
              <w:top w:val="single" w:sz="18" w:space="0" w:color="C0C0C0"/>
              <w:left w:val="single" w:sz="18" w:space="0" w:color="auto"/>
              <w:right w:val="single" w:sz="18" w:space="0" w:color="auto"/>
            </w:tcBorders>
            <w:shd w:val="clear" w:color="auto" w:fill="D9D9D9"/>
            <w:vAlign w:val="center"/>
          </w:tcPr>
          <w:p w14:paraId="7594D7D0" w14:textId="624C77F8" w:rsidR="00CA7C6A" w:rsidRPr="008805E5" w:rsidRDefault="00CA7C6A" w:rsidP="008805E5">
            <w:pPr>
              <w:jc w:val="center"/>
              <w:rPr>
                <w:rFonts w:ascii="Arial Narrow" w:hAnsi="Arial Narrow"/>
                <w:sz w:val="16"/>
                <w:szCs w:val="16"/>
              </w:rPr>
            </w:pPr>
          </w:p>
        </w:tc>
      </w:tr>
      <w:tr w:rsidR="00534C70" w:rsidRPr="00BC2C5D" w14:paraId="5AD4A603" w14:textId="77777777" w:rsidTr="00CC69CF">
        <w:trPr>
          <w:trHeight w:val="567"/>
        </w:trPr>
        <w:tc>
          <w:tcPr>
            <w:tcW w:w="1395"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7139B581" w:rsidR="00534C70" w:rsidRDefault="006B0D6C" w:rsidP="00313AD9">
            <w:pPr>
              <w:jc w:val="center"/>
              <w:rPr>
                <w:rFonts w:ascii="Arial Narrow" w:hAnsi="Arial Narrow" w:cs="Arial"/>
                <w:sz w:val="16"/>
                <w:szCs w:val="16"/>
              </w:rPr>
            </w:pPr>
            <w:r>
              <w:rPr>
                <w:rFonts w:ascii="Arial Narrow" w:hAnsi="Arial Narrow" w:cs="Arial"/>
                <w:sz w:val="16"/>
                <w:szCs w:val="16"/>
              </w:rPr>
              <w:t>19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210"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0BF91455" w:rsidR="00534C70" w:rsidRPr="00CA7C6A" w:rsidRDefault="00534C70" w:rsidP="00534C70">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ACD015" w14:textId="6E7E0D8D" w:rsidR="00534C70" w:rsidRPr="00CA7C6A" w:rsidRDefault="00534C70" w:rsidP="00313AD9">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6B770D2" w14:textId="06DE48AE" w:rsidR="00534C70" w:rsidRPr="00CA7C6A"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6BDAA42B" w:rsidR="00534C70" w:rsidRPr="008805E5" w:rsidRDefault="00534C70" w:rsidP="009E4A93">
            <w:pPr>
              <w:jc w:val="center"/>
              <w:rPr>
                <w:rFonts w:ascii="Arial Narrow" w:hAnsi="Arial Narrow"/>
                <w:sz w:val="16"/>
                <w:szCs w:val="16"/>
              </w:rPr>
            </w:pPr>
          </w:p>
        </w:tc>
      </w:tr>
      <w:tr w:rsidR="00CA7C6A" w:rsidRPr="00BC2C5D" w14:paraId="358400C0" w14:textId="77777777" w:rsidTr="00CC69CF">
        <w:trPr>
          <w:trHeight w:val="567"/>
        </w:trPr>
        <w:tc>
          <w:tcPr>
            <w:tcW w:w="1395"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0D86B985" w:rsidR="00CA7C6A" w:rsidRDefault="00CA7C6A" w:rsidP="00CA7C6A">
            <w:pPr>
              <w:jc w:val="center"/>
              <w:rPr>
                <w:rFonts w:ascii="Arial Narrow" w:hAnsi="Arial Narrow" w:cs="Arial"/>
                <w:sz w:val="16"/>
                <w:szCs w:val="16"/>
              </w:rPr>
            </w:pPr>
            <w:r>
              <w:rPr>
                <w:rFonts w:ascii="Arial Narrow" w:hAnsi="Arial Narrow" w:cs="Arial"/>
                <w:sz w:val="16"/>
                <w:szCs w:val="16"/>
              </w:rPr>
              <w:t>26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02B8358C" w:rsidR="00CA7C6A" w:rsidRPr="00A634FA" w:rsidRDefault="00CA7C6A" w:rsidP="00CA7C6A">
            <w:pPr>
              <w:jc w:val="center"/>
              <w:rPr>
                <w:rFonts w:ascii="Arial Narrow" w:hAnsi="Arial Narrow" w:cs="Arial"/>
                <w:sz w:val="16"/>
                <w:szCs w:val="16"/>
                <w:highlight w:val="yellow"/>
              </w:rPr>
            </w:pPr>
            <w:r w:rsidRPr="006E14DE">
              <w:rPr>
                <w:rFonts w:ascii="Arial Narrow" w:hAnsi="Arial Narrow" w:cs="Arial"/>
                <w:b/>
                <w:bCs/>
                <w:sz w:val="16"/>
                <w:szCs w:val="16"/>
              </w:rPr>
              <w:t>Public Holiday</w:t>
            </w:r>
          </w:p>
        </w:tc>
        <w:tc>
          <w:tcPr>
            <w:tcW w:w="1210"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6FEB001E" w:rsidR="00CA7C6A" w:rsidRDefault="00CA7C6A" w:rsidP="00CA7C6A">
            <w:pPr>
              <w:jc w:val="center"/>
              <w:rPr>
                <w:rFonts w:ascii="Arial Narrow" w:hAnsi="Arial Narrow" w:cs="Arial"/>
                <w:color w:val="000000"/>
                <w:sz w:val="16"/>
                <w:szCs w:val="16"/>
              </w:rPr>
            </w:pPr>
            <w:r w:rsidRPr="006E14DE">
              <w:rPr>
                <w:rFonts w:ascii="Arial Narrow" w:hAnsi="Arial Narrow" w:cs="Arial"/>
                <w:b/>
                <w:bCs/>
                <w:sz w:val="16"/>
                <w:szCs w:val="16"/>
              </w:rPr>
              <w:t>Public Holiday</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CA7C6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CA7C6A" w:rsidRDefault="00CA7C6A" w:rsidP="00CA7C6A">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CA7C6A" w:rsidRPr="00A634FA" w:rsidRDefault="00CA7C6A" w:rsidP="00CA7C6A">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42DC9DDE" w14:textId="77777777" w:rsidR="00CA7C6A" w:rsidRPr="00CA7C6A" w:rsidRDefault="00CA7C6A" w:rsidP="00CA7C6A">
            <w:pPr>
              <w:jc w:val="center"/>
              <w:rPr>
                <w:rFonts w:ascii="Arial Narrow" w:hAnsi="Arial Narrow" w:cs="Arial"/>
                <w:b/>
                <w:bCs/>
                <w:sz w:val="16"/>
                <w:szCs w:val="16"/>
              </w:rPr>
            </w:pPr>
            <w:r w:rsidRPr="00CA7C6A">
              <w:rPr>
                <w:rFonts w:ascii="Arial Narrow" w:hAnsi="Arial Narrow" w:cs="Arial"/>
                <w:b/>
                <w:bCs/>
                <w:sz w:val="16"/>
                <w:szCs w:val="16"/>
              </w:rPr>
              <w:t>Mon 26</w:t>
            </w:r>
            <w:r w:rsidRPr="00CA7C6A">
              <w:rPr>
                <w:rFonts w:ascii="Arial Narrow" w:hAnsi="Arial Narrow" w:cs="Arial"/>
                <w:b/>
                <w:bCs/>
                <w:sz w:val="16"/>
                <w:szCs w:val="16"/>
                <w:vertAlign w:val="superscript"/>
              </w:rPr>
              <w:t>th</w:t>
            </w:r>
            <w:r w:rsidRPr="00CA7C6A">
              <w:rPr>
                <w:rFonts w:ascii="Arial Narrow" w:hAnsi="Arial Narrow" w:cs="Arial"/>
                <w:b/>
                <w:bCs/>
                <w:sz w:val="16"/>
                <w:szCs w:val="16"/>
              </w:rPr>
              <w:t xml:space="preserve"> &amp; Tue 27</w:t>
            </w:r>
            <w:r w:rsidRPr="00CA7C6A">
              <w:rPr>
                <w:rFonts w:ascii="Arial Narrow" w:hAnsi="Arial Narrow" w:cs="Arial"/>
                <w:b/>
                <w:bCs/>
                <w:sz w:val="16"/>
                <w:szCs w:val="16"/>
                <w:vertAlign w:val="superscript"/>
              </w:rPr>
              <w:t>th</w:t>
            </w:r>
            <w:r w:rsidRPr="00CA7C6A">
              <w:rPr>
                <w:rFonts w:ascii="Arial Narrow" w:hAnsi="Arial Narrow" w:cs="Arial"/>
                <w:b/>
                <w:bCs/>
                <w:sz w:val="16"/>
                <w:szCs w:val="16"/>
              </w:rPr>
              <w:t xml:space="preserve"> Christmas Day and Boxing Day,</w:t>
            </w:r>
          </w:p>
          <w:p w14:paraId="5A84D8F4" w14:textId="24A126E4" w:rsidR="00CA7C6A" w:rsidRPr="00CA7C6A" w:rsidRDefault="00CA7C6A" w:rsidP="00CA7C6A">
            <w:pPr>
              <w:jc w:val="center"/>
              <w:rPr>
                <w:rFonts w:ascii="Arial Narrow" w:hAnsi="Arial Narrow"/>
                <w:sz w:val="16"/>
                <w:szCs w:val="16"/>
              </w:rPr>
            </w:pPr>
            <w:r w:rsidRPr="00CA7C6A">
              <w:rPr>
                <w:rFonts w:ascii="Arial Narrow" w:hAnsi="Arial Narrow" w:cs="Arial"/>
                <w:sz w:val="16"/>
                <w:szCs w:val="16"/>
              </w:rPr>
              <w:t>28, 29, 30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06D8F0CB" w:rsidR="00583BA9" w:rsidRPr="00583BA9" w:rsidRDefault="00583BA9" w:rsidP="00583BA9">
            <w:pPr>
              <w:rPr>
                <w:rFonts w:ascii="Arial" w:hAnsi="Arial" w:cs="Arial"/>
                <w:sz w:val="18"/>
                <w:szCs w:val="18"/>
              </w:rPr>
            </w:pPr>
            <w:r w:rsidRPr="00583BA9">
              <w:rPr>
                <w:rFonts w:ascii="Arial" w:hAnsi="Arial" w:cs="Arial"/>
                <w:sz w:val="18"/>
                <w:szCs w:val="18"/>
              </w:rPr>
              <w:t>Tracey Paterson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215AA6F3"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3FCF9CD8" w:rsidR="00583BA9" w:rsidRPr="00583BA9" w:rsidRDefault="00583BA9" w:rsidP="00583BA9">
            <w:pPr>
              <w:rPr>
                <w:rFonts w:ascii="Arial" w:hAnsi="Arial" w:cs="Arial"/>
                <w:sz w:val="18"/>
                <w:szCs w:val="18"/>
              </w:rPr>
            </w:pPr>
            <w:r w:rsidRPr="00583BA9">
              <w:rPr>
                <w:rFonts w:ascii="Arial" w:hAnsi="Arial" w:cs="Arial"/>
                <w:sz w:val="18"/>
                <w:szCs w:val="18"/>
              </w:rPr>
              <w:t>Bryce Coxall</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AD79F2">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005AEB" w:rsidRPr="00504360" w:rsidRDefault="00005AEB"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005AEB" w:rsidRPr="00504360" w:rsidRDefault="00005AEB"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6A654ADA"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B77504">
        <w:rPr>
          <w:sz w:val="16"/>
          <w:szCs w:val="16"/>
        </w:rPr>
        <w:t>5</w:t>
      </w:r>
      <w:r w:rsidRPr="007F1AF6">
        <w:rPr>
          <w:sz w:val="16"/>
          <w:szCs w:val="16"/>
        </w:rPr>
        <w:t>.</w:t>
      </w:r>
    </w:p>
  </w:footnote>
  <w:footnote w:id="6">
    <w:p w14:paraId="255B35DE" w14:textId="44BAC7B7" w:rsidR="00324B7B" w:rsidRDefault="00324B7B">
      <w:pPr>
        <w:pStyle w:val="FootnoteText"/>
      </w:pPr>
      <w:r>
        <w:rPr>
          <w:rStyle w:val="FootnoteReference"/>
        </w:rPr>
        <w:footnoteRef/>
      </w:r>
      <w:r>
        <w:t xml:space="preserve"> </w:t>
      </w:r>
      <w:bookmarkStart w:id="15" w:name="_Hlk97300676"/>
      <w:r w:rsidRPr="00F106B3">
        <w:rPr>
          <w:sz w:val="16"/>
          <w:szCs w:val="16"/>
        </w:rPr>
        <w:t xml:space="preserve">Refer to the descriptions of </w:t>
      </w:r>
      <w:r w:rsidRPr="007F1AF6">
        <w:rPr>
          <w:sz w:val="16"/>
          <w:szCs w:val="16"/>
        </w:rPr>
        <w:t xml:space="preserve">abbreviations on page </w:t>
      </w:r>
      <w:r w:rsidR="00B77504">
        <w:rPr>
          <w:sz w:val="16"/>
          <w:szCs w:val="16"/>
        </w:rPr>
        <w:t>5</w:t>
      </w:r>
      <w:r w:rsidRPr="007F1AF6">
        <w:rPr>
          <w:sz w:val="16"/>
          <w:szCs w:val="16"/>
        </w:rPr>
        <w:t>.</w:t>
      </w:r>
      <w:bookmarkEnd w:id="15"/>
    </w:p>
  </w:footnote>
  <w:footnote w:id="7">
    <w:p w14:paraId="3413357A" w14:textId="48ACBD14"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B77504">
        <w:rPr>
          <w:sz w:val="16"/>
          <w:szCs w:val="16"/>
        </w:rPr>
        <w:t>5</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8B165B" w:rsidRDefault="008B165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8B165B" w:rsidRDefault="008B165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8B165B" w:rsidRDefault="008B165B"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8B165B" w:rsidRPr="004C7880" w:rsidRDefault="008B165B"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8B165B" w:rsidRDefault="008B165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8B165B" w:rsidRDefault="008B165B">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8B165B" w:rsidRDefault="008B165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333E43B" w:rsidR="00324B7B" w:rsidRDefault="00324B7B" w:rsidP="00F500CF">
      <w:pPr>
        <w:pStyle w:val="FootnoteText"/>
        <w:jc w:val="both"/>
      </w:pPr>
      <w:r w:rsidRPr="00C5462F">
        <w:rPr>
          <w:rStyle w:val="FootnoteReference"/>
          <w:sz w:val="16"/>
          <w:szCs w:val="16"/>
        </w:rPr>
        <w:footnoteRef/>
      </w:r>
      <w:r w:rsidRPr="004971EA">
        <w:rPr>
          <w:sz w:val="16"/>
          <w:szCs w:val="16"/>
        </w:rPr>
        <w:t xml:space="preserve"> </w:t>
      </w:r>
      <w:r w:rsidR="00587B7C" w:rsidRPr="004971EA">
        <w:rPr>
          <w:sz w:val="16"/>
          <w:szCs w:val="16"/>
        </w:rPr>
        <w:t xml:space="preserve">Note: </w:t>
      </w:r>
      <w:r w:rsidR="00587B7C" w:rsidRPr="0044594D">
        <w:rPr>
          <w:sz w:val="16"/>
          <w:szCs w:val="16"/>
        </w:rPr>
        <w:t>Australian Statistical Geography Standard 20</w:t>
      </w:r>
      <w:r w:rsidR="00587B7C">
        <w:rPr>
          <w:sz w:val="16"/>
          <w:szCs w:val="16"/>
        </w:rPr>
        <w:t>21</w:t>
      </w:r>
      <w:r w:rsidR="00587B7C" w:rsidRPr="0044594D">
        <w:rPr>
          <w:sz w:val="16"/>
          <w:szCs w:val="16"/>
        </w:rPr>
        <w:t xml:space="preserve"> boundaries used are local government areas for Aurukun, Doomadgee and Hope Vale, and statistical areas level 1 (SA1s) of </w:t>
      </w:r>
      <w:r w:rsidR="00587B7C">
        <w:rPr>
          <w:sz w:val="16"/>
          <w:szCs w:val="16"/>
        </w:rPr>
        <w:t>31501139616</w:t>
      </w:r>
      <w:r w:rsidR="00587B7C" w:rsidRPr="0044594D">
        <w:rPr>
          <w:sz w:val="16"/>
          <w:szCs w:val="16"/>
        </w:rPr>
        <w:t xml:space="preserve"> for Coen and </w:t>
      </w:r>
      <w:r w:rsidR="00587B7C">
        <w:rPr>
          <w:sz w:val="16"/>
          <w:szCs w:val="16"/>
        </w:rPr>
        <w:t>30604116408</w:t>
      </w:r>
      <w:r w:rsidR="00587B7C" w:rsidRPr="0044594D">
        <w:rPr>
          <w:sz w:val="16"/>
          <w:szCs w:val="16"/>
        </w:rPr>
        <w:t xml:space="preserve"> for Mossman Gorge.</w:t>
      </w:r>
    </w:p>
  </w:footnote>
  <w:footnote w:id="19">
    <w:p w14:paraId="3BBC0E7E" w14:textId="3BFF06EC" w:rsidR="00324B7B" w:rsidRDefault="00324B7B" w:rsidP="00F500CF">
      <w:pPr>
        <w:pStyle w:val="FootnoteText"/>
      </w:pPr>
      <w:r w:rsidRPr="004971EA">
        <w:rPr>
          <w:rStyle w:val="FootnoteReference"/>
          <w:sz w:val="16"/>
          <w:szCs w:val="16"/>
        </w:rPr>
        <w:footnoteRef/>
      </w:r>
      <w:r w:rsidRPr="004971EA">
        <w:rPr>
          <w:sz w:val="16"/>
          <w:szCs w:val="16"/>
        </w:rPr>
        <w:t xml:space="preserve"> </w:t>
      </w:r>
      <w:r w:rsidR="00587B7C" w:rsidRPr="004971EA">
        <w:rPr>
          <w:sz w:val="16"/>
          <w:szCs w:val="16"/>
        </w:rPr>
        <w:t xml:space="preserve">Note: Adults </w:t>
      </w:r>
      <w:r w:rsidR="00587B7C">
        <w:rPr>
          <w:sz w:val="16"/>
          <w:szCs w:val="16"/>
        </w:rPr>
        <w:t>18</w:t>
      </w:r>
      <w:r w:rsidR="00587B7C" w:rsidRPr="004971EA">
        <w:rPr>
          <w:sz w:val="16"/>
          <w:szCs w:val="16"/>
        </w:rPr>
        <w:t xml:space="preserve"> years and over provided by the </w:t>
      </w:r>
      <w:r w:rsidR="00587B7C" w:rsidRPr="001816AB">
        <w:rPr>
          <w:sz w:val="16"/>
          <w:szCs w:val="16"/>
        </w:rPr>
        <w:t>Queensland Government Statistician’s Office (QGSO), Queensland Treasury, based on the Australian Bureau of Statistics (ABS) unpublished preliminary rebased (to 2021 Census) Estimated Resident Population (ERP) data by age and sex at the Local Government Area level for 30 June 2021.</w:t>
      </w:r>
    </w:p>
  </w:footnote>
  <w:footnote w:id="20">
    <w:p w14:paraId="3884DA28" w14:textId="3A53F2FE" w:rsidR="00324B7B" w:rsidRDefault="00324B7B" w:rsidP="00F500CF">
      <w:pPr>
        <w:pStyle w:val="FootnoteText"/>
      </w:pPr>
      <w:r w:rsidRPr="00C5462F">
        <w:rPr>
          <w:rStyle w:val="FootnoteReference"/>
          <w:sz w:val="18"/>
          <w:szCs w:val="18"/>
        </w:rPr>
        <w:footnoteRef/>
      </w:r>
      <w:r w:rsidRPr="004971EA">
        <w:rPr>
          <w:sz w:val="16"/>
          <w:szCs w:val="16"/>
        </w:rPr>
        <w:t xml:space="preserve"> </w:t>
      </w:r>
      <w:r w:rsidR="00587B7C" w:rsidRPr="0006058E">
        <w:rPr>
          <w:sz w:val="16"/>
          <w:szCs w:val="16"/>
        </w:rPr>
        <w:t xml:space="preserve">Note: Adults </w:t>
      </w:r>
      <w:r w:rsidR="00587B7C">
        <w:rPr>
          <w:sz w:val="16"/>
          <w:szCs w:val="16"/>
        </w:rPr>
        <w:t xml:space="preserve">18 years and over provided by </w:t>
      </w:r>
      <w:r w:rsidR="00587B7C">
        <w:rPr>
          <w:rFonts w:cs="Arial"/>
          <w:sz w:val="16"/>
          <w:szCs w:val="16"/>
        </w:rPr>
        <w:t>QGSO</w:t>
      </w:r>
      <w:r w:rsidR="00587B7C" w:rsidRPr="0006058E">
        <w:rPr>
          <w:rFonts w:cs="Arial"/>
          <w:sz w:val="16"/>
          <w:szCs w:val="16"/>
        </w:rPr>
        <w:t xml:space="preserve">, Queensland Treasury, based on the </w:t>
      </w:r>
      <w:r w:rsidR="00587B7C">
        <w:rPr>
          <w:rFonts w:cs="Arial"/>
          <w:sz w:val="16"/>
          <w:szCs w:val="16"/>
        </w:rPr>
        <w:t>ABS</w:t>
      </w:r>
      <w:r w:rsidR="00587B7C" w:rsidRPr="0006058E">
        <w:rPr>
          <w:rFonts w:cs="Arial"/>
          <w:sz w:val="16"/>
          <w:szCs w:val="16"/>
        </w:rPr>
        <w:t xml:space="preserve"> </w:t>
      </w:r>
      <w:r w:rsidR="00587B7C">
        <w:rPr>
          <w:rFonts w:cs="Arial"/>
          <w:sz w:val="16"/>
          <w:szCs w:val="16"/>
        </w:rPr>
        <w:t>unpublished preliminary rebased (to 2021 Census) ERP</w:t>
      </w:r>
      <w:r w:rsidR="00587B7C" w:rsidRPr="0006058E">
        <w:rPr>
          <w:rFonts w:cs="Arial"/>
          <w:sz w:val="16"/>
          <w:szCs w:val="16"/>
        </w:rPr>
        <w:t xml:space="preserve"> data by age and sex at the </w:t>
      </w:r>
      <w:r w:rsidR="00587B7C" w:rsidRPr="002376E4">
        <w:rPr>
          <w:rFonts w:cs="Arial"/>
          <w:sz w:val="16"/>
          <w:szCs w:val="16"/>
        </w:rPr>
        <w:t xml:space="preserve">Statistical </w:t>
      </w:r>
      <w:r w:rsidR="00587B7C" w:rsidRPr="0006058E">
        <w:rPr>
          <w:rFonts w:cs="Arial"/>
          <w:sz w:val="16"/>
          <w:szCs w:val="16"/>
        </w:rPr>
        <w:t>Area level</w:t>
      </w:r>
      <w:r w:rsidR="00587B7C">
        <w:rPr>
          <w:rFonts w:cs="Arial"/>
          <w:sz w:val="16"/>
          <w:szCs w:val="16"/>
        </w:rPr>
        <w:t xml:space="preserve"> 1</w:t>
      </w:r>
      <w:r w:rsidR="00587B7C" w:rsidRPr="0006058E">
        <w:rPr>
          <w:rFonts w:cs="Arial"/>
          <w:sz w:val="16"/>
          <w:szCs w:val="16"/>
        </w:rPr>
        <w:t xml:space="preserve"> for 30 June </w:t>
      </w:r>
      <w:r w:rsidR="00587B7C">
        <w:rPr>
          <w:rFonts w:cs="Arial"/>
          <w:sz w:val="16"/>
          <w:szCs w:val="16"/>
        </w:rPr>
        <w:t>2021.</w:t>
      </w:r>
    </w:p>
  </w:footnote>
  <w:footnote w:id="21">
    <w:p w14:paraId="5BB1F6F6" w14:textId="650B342D"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587B7C">
        <w:rPr>
          <w:sz w:val="16"/>
          <w:szCs w:val="16"/>
        </w:rPr>
        <w:t>Total population provided by</w:t>
      </w:r>
      <w:r w:rsidR="00587B7C" w:rsidRPr="008B5D72">
        <w:rPr>
          <w:sz w:val="16"/>
          <w:szCs w:val="16"/>
        </w:rPr>
        <w:t xml:space="preserve"> </w:t>
      </w:r>
      <w:r w:rsidR="00587B7C">
        <w:rPr>
          <w:sz w:val="16"/>
          <w:szCs w:val="16"/>
        </w:rPr>
        <w:t>QGSO</w:t>
      </w:r>
      <w:r w:rsidR="00587B7C" w:rsidRPr="008B5D72">
        <w:rPr>
          <w:sz w:val="16"/>
          <w:szCs w:val="16"/>
        </w:rPr>
        <w:t>, Queensland T</w:t>
      </w:r>
      <w:r w:rsidR="00587B7C">
        <w:rPr>
          <w:sz w:val="16"/>
          <w:szCs w:val="16"/>
        </w:rPr>
        <w:t xml:space="preserve">reasury, not 18 years and older, due to the small size of the total population </w:t>
      </w:r>
      <w:r w:rsidR="00587B7C" w:rsidRPr="002376E4">
        <w:rPr>
          <w:rFonts w:cs="Arial"/>
          <w:sz w:val="16"/>
          <w:szCs w:val="16"/>
        </w:rPr>
        <w:t xml:space="preserve">from the ABS </w:t>
      </w:r>
      <w:r w:rsidR="00587B7C">
        <w:rPr>
          <w:rFonts w:cs="Arial"/>
          <w:sz w:val="16"/>
          <w:szCs w:val="16"/>
        </w:rPr>
        <w:t xml:space="preserve">unpublished preliminary rebased (to 2021 Census) </w:t>
      </w:r>
      <w:r w:rsidR="00587B7C" w:rsidRPr="002376E4">
        <w:rPr>
          <w:rFonts w:cs="Arial"/>
          <w:sz w:val="16"/>
          <w:szCs w:val="16"/>
        </w:rPr>
        <w:t xml:space="preserve">ERP data at the Statistical Area level 1 for 30 June </w:t>
      </w:r>
      <w:r w:rsidR="00587B7C">
        <w:rPr>
          <w:rFonts w:cs="Arial"/>
          <w:sz w:val="16"/>
          <w:szCs w:val="16"/>
        </w:rPr>
        <w:t>2021</w:t>
      </w:r>
      <w:r w:rsidR="00587B7C"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1147C71"/>
    <w:multiLevelType w:val="hybridMultilevel"/>
    <w:tmpl w:val="B44655A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01D31D39"/>
    <w:multiLevelType w:val="hybridMultilevel"/>
    <w:tmpl w:val="7BC0F74A"/>
    <w:lvl w:ilvl="0" w:tplc="8EB88A92">
      <w:start w:val="1"/>
      <w:numFmt w:val="bullet"/>
      <w:lvlText w:val="•"/>
      <w:lvlJc w:val="left"/>
      <w:pPr>
        <w:tabs>
          <w:tab w:val="num" w:pos="720"/>
        </w:tabs>
        <w:ind w:left="720" w:hanging="360"/>
      </w:pPr>
      <w:rPr>
        <w:rFonts w:ascii="Arial" w:hAnsi="Arial" w:hint="default"/>
      </w:rPr>
    </w:lvl>
    <w:lvl w:ilvl="1" w:tplc="A1F82D80">
      <w:numFmt w:val="bullet"/>
      <w:lvlText w:val=""/>
      <w:lvlJc w:val="left"/>
      <w:pPr>
        <w:tabs>
          <w:tab w:val="num" w:pos="1440"/>
        </w:tabs>
        <w:ind w:left="1440" w:hanging="360"/>
      </w:pPr>
      <w:rPr>
        <w:rFonts w:ascii="Wingdings" w:hAnsi="Wingdings" w:hint="default"/>
      </w:rPr>
    </w:lvl>
    <w:lvl w:ilvl="2" w:tplc="F924716C" w:tentative="1">
      <w:start w:val="1"/>
      <w:numFmt w:val="bullet"/>
      <w:lvlText w:val="•"/>
      <w:lvlJc w:val="left"/>
      <w:pPr>
        <w:tabs>
          <w:tab w:val="num" w:pos="2160"/>
        </w:tabs>
        <w:ind w:left="2160" w:hanging="360"/>
      </w:pPr>
      <w:rPr>
        <w:rFonts w:ascii="Arial" w:hAnsi="Arial" w:hint="default"/>
      </w:rPr>
    </w:lvl>
    <w:lvl w:ilvl="3" w:tplc="AB1A90A6" w:tentative="1">
      <w:start w:val="1"/>
      <w:numFmt w:val="bullet"/>
      <w:lvlText w:val="•"/>
      <w:lvlJc w:val="left"/>
      <w:pPr>
        <w:tabs>
          <w:tab w:val="num" w:pos="2880"/>
        </w:tabs>
        <w:ind w:left="2880" w:hanging="360"/>
      </w:pPr>
      <w:rPr>
        <w:rFonts w:ascii="Arial" w:hAnsi="Arial" w:hint="default"/>
      </w:rPr>
    </w:lvl>
    <w:lvl w:ilvl="4" w:tplc="CD804EB4" w:tentative="1">
      <w:start w:val="1"/>
      <w:numFmt w:val="bullet"/>
      <w:lvlText w:val="•"/>
      <w:lvlJc w:val="left"/>
      <w:pPr>
        <w:tabs>
          <w:tab w:val="num" w:pos="3600"/>
        </w:tabs>
        <w:ind w:left="3600" w:hanging="360"/>
      </w:pPr>
      <w:rPr>
        <w:rFonts w:ascii="Arial" w:hAnsi="Arial" w:hint="default"/>
      </w:rPr>
    </w:lvl>
    <w:lvl w:ilvl="5" w:tplc="9F24A544" w:tentative="1">
      <w:start w:val="1"/>
      <w:numFmt w:val="bullet"/>
      <w:lvlText w:val="•"/>
      <w:lvlJc w:val="left"/>
      <w:pPr>
        <w:tabs>
          <w:tab w:val="num" w:pos="4320"/>
        </w:tabs>
        <w:ind w:left="4320" w:hanging="360"/>
      </w:pPr>
      <w:rPr>
        <w:rFonts w:ascii="Arial" w:hAnsi="Arial" w:hint="default"/>
      </w:rPr>
    </w:lvl>
    <w:lvl w:ilvl="6" w:tplc="96CA5894" w:tentative="1">
      <w:start w:val="1"/>
      <w:numFmt w:val="bullet"/>
      <w:lvlText w:val="•"/>
      <w:lvlJc w:val="left"/>
      <w:pPr>
        <w:tabs>
          <w:tab w:val="num" w:pos="5040"/>
        </w:tabs>
        <w:ind w:left="5040" w:hanging="360"/>
      </w:pPr>
      <w:rPr>
        <w:rFonts w:ascii="Arial" w:hAnsi="Arial" w:hint="default"/>
      </w:rPr>
    </w:lvl>
    <w:lvl w:ilvl="7" w:tplc="822E7FD8" w:tentative="1">
      <w:start w:val="1"/>
      <w:numFmt w:val="bullet"/>
      <w:lvlText w:val="•"/>
      <w:lvlJc w:val="left"/>
      <w:pPr>
        <w:tabs>
          <w:tab w:val="num" w:pos="5760"/>
        </w:tabs>
        <w:ind w:left="5760" w:hanging="360"/>
      </w:pPr>
      <w:rPr>
        <w:rFonts w:ascii="Arial" w:hAnsi="Arial" w:hint="default"/>
      </w:rPr>
    </w:lvl>
    <w:lvl w:ilvl="8" w:tplc="0D049E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2D7CCC"/>
    <w:multiLevelType w:val="hybridMultilevel"/>
    <w:tmpl w:val="BD96DEBA"/>
    <w:lvl w:ilvl="0" w:tplc="3F8AEA88">
      <w:start w:val="1"/>
      <w:numFmt w:val="bullet"/>
      <w:lvlText w:val="•"/>
      <w:lvlJc w:val="left"/>
      <w:pPr>
        <w:tabs>
          <w:tab w:val="num" w:pos="720"/>
        </w:tabs>
        <w:ind w:left="720" w:hanging="360"/>
      </w:pPr>
      <w:rPr>
        <w:rFonts w:ascii="Arial" w:hAnsi="Arial" w:hint="default"/>
      </w:rPr>
    </w:lvl>
    <w:lvl w:ilvl="1" w:tplc="28EC35E8">
      <w:numFmt w:val="bullet"/>
      <w:lvlText w:val=""/>
      <w:lvlJc w:val="left"/>
      <w:pPr>
        <w:tabs>
          <w:tab w:val="num" w:pos="1440"/>
        </w:tabs>
        <w:ind w:left="1440" w:hanging="360"/>
      </w:pPr>
      <w:rPr>
        <w:rFonts w:ascii="Wingdings" w:hAnsi="Wingdings" w:hint="default"/>
      </w:rPr>
    </w:lvl>
    <w:lvl w:ilvl="2" w:tplc="66089DE8" w:tentative="1">
      <w:start w:val="1"/>
      <w:numFmt w:val="bullet"/>
      <w:lvlText w:val="•"/>
      <w:lvlJc w:val="left"/>
      <w:pPr>
        <w:tabs>
          <w:tab w:val="num" w:pos="2160"/>
        </w:tabs>
        <w:ind w:left="2160" w:hanging="360"/>
      </w:pPr>
      <w:rPr>
        <w:rFonts w:ascii="Arial" w:hAnsi="Arial" w:hint="default"/>
      </w:rPr>
    </w:lvl>
    <w:lvl w:ilvl="3" w:tplc="3594F1CE" w:tentative="1">
      <w:start w:val="1"/>
      <w:numFmt w:val="bullet"/>
      <w:lvlText w:val="•"/>
      <w:lvlJc w:val="left"/>
      <w:pPr>
        <w:tabs>
          <w:tab w:val="num" w:pos="2880"/>
        </w:tabs>
        <w:ind w:left="2880" w:hanging="360"/>
      </w:pPr>
      <w:rPr>
        <w:rFonts w:ascii="Arial" w:hAnsi="Arial" w:hint="default"/>
      </w:rPr>
    </w:lvl>
    <w:lvl w:ilvl="4" w:tplc="00D8D7C4" w:tentative="1">
      <w:start w:val="1"/>
      <w:numFmt w:val="bullet"/>
      <w:lvlText w:val="•"/>
      <w:lvlJc w:val="left"/>
      <w:pPr>
        <w:tabs>
          <w:tab w:val="num" w:pos="3600"/>
        </w:tabs>
        <w:ind w:left="3600" w:hanging="360"/>
      </w:pPr>
      <w:rPr>
        <w:rFonts w:ascii="Arial" w:hAnsi="Arial" w:hint="default"/>
      </w:rPr>
    </w:lvl>
    <w:lvl w:ilvl="5" w:tplc="16C60814" w:tentative="1">
      <w:start w:val="1"/>
      <w:numFmt w:val="bullet"/>
      <w:lvlText w:val="•"/>
      <w:lvlJc w:val="left"/>
      <w:pPr>
        <w:tabs>
          <w:tab w:val="num" w:pos="4320"/>
        </w:tabs>
        <w:ind w:left="4320" w:hanging="360"/>
      </w:pPr>
      <w:rPr>
        <w:rFonts w:ascii="Arial" w:hAnsi="Arial" w:hint="default"/>
      </w:rPr>
    </w:lvl>
    <w:lvl w:ilvl="6" w:tplc="552CF48A" w:tentative="1">
      <w:start w:val="1"/>
      <w:numFmt w:val="bullet"/>
      <w:lvlText w:val="•"/>
      <w:lvlJc w:val="left"/>
      <w:pPr>
        <w:tabs>
          <w:tab w:val="num" w:pos="5040"/>
        </w:tabs>
        <w:ind w:left="5040" w:hanging="360"/>
      </w:pPr>
      <w:rPr>
        <w:rFonts w:ascii="Arial" w:hAnsi="Arial" w:hint="default"/>
      </w:rPr>
    </w:lvl>
    <w:lvl w:ilvl="7" w:tplc="194AAECE" w:tentative="1">
      <w:start w:val="1"/>
      <w:numFmt w:val="bullet"/>
      <w:lvlText w:val="•"/>
      <w:lvlJc w:val="left"/>
      <w:pPr>
        <w:tabs>
          <w:tab w:val="num" w:pos="5760"/>
        </w:tabs>
        <w:ind w:left="5760" w:hanging="360"/>
      </w:pPr>
      <w:rPr>
        <w:rFonts w:ascii="Arial" w:hAnsi="Arial" w:hint="default"/>
      </w:rPr>
    </w:lvl>
    <w:lvl w:ilvl="8" w:tplc="80FE21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6D70791"/>
    <w:multiLevelType w:val="hybridMultilevel"/>
    <w:tmpl w:val="E5B87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C110B3"/>
    <w:multiLevelType w:val="hybridMultilevel"/>
    <w:tmpl w:val="736A3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8774EF"/>
    <w:multiLevelType w:val="hybridMultilevel"/>
    <w:tmpl w:val="23BA1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A41E0"/>
    <w:multiLevelType w:val="hybridMultilevel"/>
    <w:tmpl w:val="D3D05694"/>
    <w:lvl w:ilvl="0" w:tplc="E1D8CA30">
      <w:start w:val="1"/>
      <w:numFmt w:val="bullet"/>
      <w:lvlText w:val="•"/>
      <w:lvlJc w:val="left"/>
      <w:pPr>
        <w:tabs>
          <w:tab w:val="num" w:pos="720"/>
        </w:tabs>
        <w:ind w:left="720" w:hanging="360"/>
      </w:pPr>
      <w:rPr>
        <w:rFonts w:ascii="Arial" w:hAnsi="Arial" w:hint="default"/>
      </w:rPr>
    </w:lvl>
    <w:lvl w:ilvl="1" w:tplc="1DD6FCF6" w:tentative="1">
      <w:start w:val="1"/>
      <w:numFmt w:val="bullet"/>
      <w:lvlText w:val="•"/>
      <w:lvlJc w:val="left"/>
      <w:pPr>
        <w:tabs>
          <w:tab w:val="num" w:pos="1440"/>
        </w:tabs>
        <w:ind w:left="1440" w:hanging="360"/>
      </w:pPr>
      <w:rPr>
        <w:rFonts w:ascii="Arial" w:hAnsi="Arial" w:hint="default"/>
      </w:rPr>
    </w:lvl>
    <w:lvl w:ilvl="2" w:tplc="F638727A" w:tentative="1">
      <w:start w:val="1"/>
      <w:numFmt w:val="bullet"/>
      <w:lvlText w:val="•"/>
      <w:lvlJc w:val="left"/>
      <w:pPr>
        <w:tabs>
          <w:tab w:val="num" w:pos="2160"/>
        </w:tabs>
        <w:ind w:left="2160" w:hanging="360"/>
      </w:pPr>
      <w:rPr>
        <w:rFonts w:ascii="Arial" w:hAnsi="Arial" w:hint="default"/>
      </w:rPr>
    </w:lvl>
    <w:lvl w:ilvl="3" w:tplc="41DE5570" w:tentative="1">
      <w:start w:val="1"/>
      <w:numFmt w:val="bullet"/>
      <w:lvlText w:val="•"/>
      <w:lvlJc w:val="left"/>
      <w:pPr>
        <w:tabs>
          <w:tab w:val="num" w:pos="2880"/>
        </w:tabs>
        <w:ind w:left="2880" w:hanging="360"/>
      </w:pPr>
      <w:rPr>
        <w:rFonts w:ascii="Arial" w:hAnsi="Arial" w:hint="default"/>
      </w:rPr>
    </w:lvl>
    <w:lvl w:ilvl="4" w:tplc="30B4D5D8" w:tentative="1">
      <w:start w:val="1"/>
      <w:numFmt w:val="bullet"/>
      <w:lvlText w:val="•"/>
      <w:lvlJc w:val="left"/>
      <w:pPr>
        <w:tabs>
          <w:tab w:val="num" w:pos="3600"/>
        </w:tabs>
        <w:ind w:left="3600" w:hanging="360"/>
      </w:pPr>
      <w:rPr>
        <w:rFonts w:ascii="Arial" w:hAnsi="Arial" w:hint="default"/>
      </w:rPr>
    </w:lvl>
    <w:lvl w:ilvl="5" w:tplc="7C542208" w:tentative="1">
      <w:start w:val="1"/>
      <w:numFmt w:val="bullet"/>
      <w:lvlText w:val="•"/>
      <w:lvlJc w:val="left"/>
      <w:pPr>
        <w:tabs>
          <w:tab w:val="num" w:pos="4320"/>
        </w:tabs>
        <w:ind w:left="4320" w:hanging="360"/>
      </w:pPr>
      <w:rPr>
        <w:rFonts w:ascii="Arial" w:hAnsi="Arial" w:hint="default"/>
      </w:rPr>
    </w:lvl>
    <w:lvl w:ilvl="6" w:tplc="EAC64704" w:tentative="1">
      <w:start w:val="1"/>
      <w:numFmt w:val="bullet"/>
      <w:lvlText w:val="•"/>
      <w:lvlJc w:val="left"/>
      <w:pPr>
        <w:tabs>
          <w:tab w:val="num" w:pos="5040"/>
        </w:tabs>
        <w:ind w:left="5040" w:hanging="360"/>
      </w:pPr>
      <w:rPr>
        <w:rFonts w:ascii="Arial" w:hAnsi="Arial" w:hint="default"/>
      </w:rPr>
    </w:lvl>
    <w:lvl w:ilvl="7" w:tplc="BCB02D92" w:tentative="1">
      <w:start w:val="1"/>
      <w:numFmt w:val="bullet"/>
      <w:lvlText w:val="•"/>
      <w:lvlJc w:val="left"/>
      <w:pPr>
        <w:tabs>
          <w:tab w:val="num" w:pos="5760"/>
        </w:tabs>
        <w:ind w:left="5760" w:hanging="360"/>
      </w:pPr>
      <w:rPr>
        <w:rFonts w:ascii="Arial" w:hAnsi="Arial" w:hint="default"/>
      </w:rPr>
    </w:lvl>
    <w:lvl w:ilvl="8" w:tplc="BFEEB8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E32339"/>
    <w:multiLevelType w:val="hybridMultilevel"/>
    <w:tmpl w:val="6DA6F3D6"/>
    <w:lvl w:ilvl="0" w:tplc="416C21BC">
      <w:start w:val="1"/>
      <w:numFmt w:val="decimal"/>
      <w:lvlText w:val="%1."/>
      <w:lvlJc w:val="left"/>
      <w:pPr>
        <w:ind w:left="713" w:hanging="855"/>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1"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3E07C07"/>
    <w:multiLevelType w:val="hybridMultilevel"/>
    <w:tmpl w:val="042A1D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7AB7845"/>
    <w:multiLevelType w:val="hybridMultilevel"/>
    <w:tmpl w:val="97005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8F0D64"/>
    <w:multiLevelType w:val="hybridMultilevel"/>
    <w:tmpl w:val="4EDE3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A44A96"/>
    <w:multiLevelType w:val="hybridMultilevel"/>
    <w:tmpl w:val="4CD0270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F7520"/>
    <w:multiLevelType w:val="hybridMultilevel"/>
    <w:tmpl w:val="416C1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F27CE"/>
    <w:multiLevelType w:val="hybridMultilevel"/>
    <w:tmpl w:val="83E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8039DB"/>
    <w:multiLevelType w:val="hybridMultilevel"/>
    <w:tmpl w:val="8AB233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F7F01"/>
    <w:multiLevelType w:val="hybridMultilevel"/>
    <w:tmpl w:val="9A50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47442EFB"/>
    <w:multiLevelType w:val="hybridMultilevel"/>
    <w:tmpl w:val="DF56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C1C1862"/>
    <w:multiLevelType w:val="hybridMultilevel"/>
    <w:tmpl w:val="1EA0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32ABD"/>
    <w:multiLevelType w:val="hybridMultilevel"/>
    <w:tmpl w:val="87041410"/>
    <w:lvl w:ilvl="0" w:tplc="211CB940">
      <w:start w:val="1"/>
      <w:numFmt w:val="bullet"/>
      <w:lvlText w:val="•"/>
      <w:lvlJc w:val="left"/>
      <w:pPr>
        <w:tabs>
          <w:tab w:val="num" w:pos="720"/>
        </w:tabs>
        <w:ind w:left="720" w:hanging="360"/>
      </w:pPr>
      <w:rPr>
        <w:rFonts w:ascii="Arial" w:hAnsi="Arial" w:hint="default"/>
      </w:rPr>
    </w:lvl>
    <w:lvl w:ilvl="1" w:tplc="48C2C188" w:tentative="1">
      <w:start w:val="1"/>
      <w:numFmt w:val="bullet"/>
      <w:lvlText w:val="•"/>
      <w:lvlJc w:val="left"/>
      <w:pPr>
        <w:tabs>
          <w:tab w:val="num" w:pos="1440"/>
        </w:tabs>
        <w:ind w:left="1440" w:hanging="360"/>
      </w:pPr>
      <w:rPr>
        <w:rFonts w:ascii="Arial" w:hAnsi="Arial" w:hint="default"/>
      </w:rPr>
    </w:lvl>
    <w:lvl w:ilvl="2" w:tplc="2758CBD6" w:tentative="1">
      <w:start w:val="1"/>
      <w:numFmt w:val="bullet"/>
      <w:lvlText w:val="•"/>
      <w:lvlJc w:val="left"/>
      <w:pPr>
        <w:tabs>
          <w:tab w:val="num" w:pos="2160"/>
        </w:tabs>
        <w:ind w:left="2160" w:hanging="360"/>
      </w:pPr>
      <w:rPr>
        <w:rFonts w:ascii="Arial" w:hAnsi="Arial" w:hint="default"/>
      </w:rPr>
    </w:lvl>
    <w:lvl w:ilvl="3" w:tplc="546077A6" w:tentative="1">
      <w:start w:val="1"/>
      <w:numFmt w:val="bullet"/>
      <w:lvlText w:val="•"/>
      <w:lvlJc w:val="left"/>
      <w:pPr>
        <w:tabs>
          <w:tab w:val="num" w:pos="2880"/>
        </w:tabs>
        <w:ind w:left="2880" w:hanging="360"/>
      </w:pPr>
      <w:rPr>
        <w:rFonts w:ascii="Arial" w:hAnsi="Arial" w:hint="default"/>
      </w:rPr>
    </w:lvl>
    <w:lvl w:ilvl="4" w:tplc="84DAFFC8" w:tentative="1">
      <w:start w:val="1"/>
      <w:numFmt w:val="bullet"/>
      <w:lvlText w:val="•"/>
      <w:lvlJc w:val="left"/>
      <w:pPr>
        <w:tabs>
          <w:tab w:val="num" w:pos="3600"/>
        </w:tabs>
        <w:ind w:left="3600" w:hanging="360"/>
      </w:pPr>
      <w:rPr>
        <w:rFonts w:ascii="Arial" w:hAnsi="Arial" w:hint="default"/>
      </w:rPr>
    </w:lvl>
    <w:lvl w:ilvl="5" w:tplc="4CBAE24E" w:tentative="1">
      <w:start w:val="1"/>
      <w:numFmt w:val="bullet"/>
      <w:lvlText w:val="•"/>
      <w:lvlJc w:val="left"/>
      <w:pPr>
        <w:tabs>
          <w:tab w:val="num" w:pos="4320"/>
        </w:tabs>
        <w:ind w:left="4320" w:hanging="360"/>
      </w:pPr>
      <w:rPr>
        <w:rFonts w:ascii="Arial" w:hAnsi="Arial" w:hint="default"/>
      </w:rPr>
    </w:lvl>
    <w:lvl w:ilvl="6" w:tplc="84F645AC" w:tentative="1">
      <w:start w:val="1"/>
      <w:numFmt w:val="bullet"/>
      <w:lvlText w:val="•"/>
      <w:lvlJc w:val="left"/>
      <w:pPr>
        <w:tabs>
          <w:tab w:val="num" w:pos="5040"/>
        </w:tabs>
        <w:ind w:left="5040" w:hanging="360"/>
      </w:pPr>
      <w:rPr>
        <w:rFonts w:ascii="Arial" w:hAnsi="Arial" w:hint="default"/>
      </w:rPr>
    </w:lvl>
    <w:lvl w:ilvl="7" w:tplc="231C591C" w:tentative="1">
      <w:start w:val="1"/>
      <w:numFmt w:val="bullet"/>
      <w:lvlText w:val="•"/>
      <w:lvlJc w:val="left"/>
      <w:pPr>
        <w:tabs>
          <w:tab w:val="num" w:pos="5760"/>
        </w:tabs>
        <w:ind w:left="5760" w:hanging="360"/>
      </w:pPr>
      <w:rPr>
        <w:rFonts w:ascii="Arial" w:hAnsi="Arial" w:hint="default"/>
      </w:rPr>
    </w:lvl>
    <w:lvl w:ilvl="8" w:tplc="FC26DF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1" w15:restartNumberingAfterBreak="0">
    <w:nsid w:val="50F166CD"/>
    <w:multiLevelType w:val="hybridMultilevel"/>
    <w:tmpl w:val="41F4A40A"/>
    <w:lvl w:ilvl="0" w:tplc="BAC4A43E">
      <w:start w:val="1"/>
      <w:numFmt w:val="bullet"/>
      <w:lvlText w:val="•"/>
      <w:lvlJc w:val="left"/>
      <w:pPr>
        <w:tabs>
          <w:tab w:val="num" w:pos="720"/>
        </w:tabs>
        <w:ind w:left="720" w:hanging="360"/>
      </w:pPr>
      <w:rPr>
        <w:rFonts w:ascii="Arial" w:hAnsi="Arial" w:hint="default"/>
      </w:rPr>
    </w:lvl>
    <w:lvl w:ilvl="1" w:tplc="72C2E2C4" w:tentative="1">
      <w:start w:val="1"/>
      <w:numFmt w:val="bullet"/>
      <w:lvlText w:val="•"/>
      <w:lvlJc w:val="left"/>
      <w:pPr>
        <w:tabs>
          <w:tab w:val="num" w:pos="1440"/>
        </w:tabs>
        <w:ind w:left="1440" w:hanging="360"/>
      </w:pPr>
      <w:rPr>
        <w:rFonts w:ascii="Arial" w:hAnsi="Arial" w:hint="default"/>
      </w:rPr>
    </w:lvl>
    <w:lvl w:ilvl="2" w:tplc="F34AEBC4" w:tentative="1">
      <w:start w:val="1"/>
      <w:numFmt w:val="bullet"/>
      <w:lvlText w:val="•"/>
      <w:lvlJc w:val="left"/>
      <w:pPr>
        <w:tabs>
          <w:tab w:val="num" w:pos="2160"/>
        </w:tabs>
        <w:ind w:left="2160" w:hanging="360"/>
      </w:pPr>
      <w:rPr>
        <w:rFonts w:ascii="Arial" w:hAnsi="Arial" w:hint="default"/>
      </w:rPr>
    </w:lvl>
    <w:lvl w:ilvl="3" w:tplc="7312FAAA" w:tentative="1">
      <w:start w:val="1"/>
      <w:numFmt w:val="bullet"/>
      <w:lvlText w:val="•"/>
      <w:lvlJc w:val="left"/>
      <w:pPr>
        <w:tabs>
          <w:tab w:val="num" w:pos="2880"/>
        </w:tabs>
        <w:ind w:left="2880" w:hanging="360"/>
      </w:pPr>
      <w:rPr>
        <w:rFonts w:ascii="Arial" w:hAnsi="Arial" w:hint="default"/>
      </w:rPr>
    </w:lvl>
    <w:lvl w:ilvl="4" w:tplc="1590BC82" w:tentative="1">
      <w:start w:val="1"/>
      <w:numFmt w:val="bullet"/>
      <w:lvlText w:val="•"/>
      <w:lvlJc w:val="left"/>
      <w:pPr>
        <w:tabs>
          <w:tab w:val="num" w:pos="3600"/>
        </w:tabs>
        <w:ind w:left="3600" w:hanging="360"/>
      </w:pPr>
      <w:rPr>
        <w:rFonts w:ascii="Arial" w:hAnsi="Arial" w:hint="default"/>
      </w:rPr>
    </w:lvl>
    <w:lvl w:ilvl="5" w:tplc="5CF8FC84" w:tentative="1">
      <w:start w:val="1"/>
      <w:numFmt w:val="bullet"/>
      <w:lvlText w:val="•"/>
      <w:lvlJc w:val="left"/>
      <w:pPr>
        <w:tabs>
          <w:tab w:val="num" w:pos="4320"/>
        </w:tabs>
        <w:ind w:left="4320" w:hanging="360"/>
      </w:pPr>
      <w:rPr>
        <w:rFonts w:ascii="Arial" w:hAnsi="Arial" w:hint="default"/>
      </w:rPr>
    </w:lvl>
    <w:lvl w:ilvl="6" w:tplc="FE5CB5F0" w:tentative="1">
      <w:start w:val="1"/>
      <w:numFmt w:val="bullet"/>
      <w:lvlText w:val="•"/>
      <w:lvlJc w:val="left"/>
      <w:pPr>
        <w:tabs>
          <w:tab w:val="num" w:pos="5040"/>
        </w:tabs>
        <w:ind w:left="5040" w:hanging="360"/>
      </w:pPr>
      <w:rPr>
        <w:rFonts w:ascii="Arial" w:hAnsi="Arial" w:hint="default"/>
      </w:rPr>
    </w:lvl>
    <w:lvl w:ilvl="7" w:tplc="667ADDF4" w:tentative="1">
      <w:start w:val="1"/>
      <w:numFmt w:val="bullet"/>
      <w:lvlText w:val="•"/>
      <w:lvlJc w:val="left"/>
      <w:pPr>
        <w:tabs>
          <w:tab w:val="num" w:pos="5760"/>
        </w:tabs>
        <w:ind w:left="5760" w:hanging="360"/>
      </w:pPr>
      <w:rPr>
        <w:rFonts w:ascii="Arial" w:hAnsi="Arial" w:hint="default"/>
      </w:rPr>
    </w:lvl>
    <w:lvl w:ilvl="8" w:tplc="6194E6A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DB0930"/>
    <w:multiLevelType w:val="hybridMultilevel"/>
    <w:tmpl w:val="168C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1674C"/>
    <w:multiLevelType w:val="hybridMultilevel"/>
    <w:tmpl w:val="B73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38228C"/>
    <w:multiLevelType w:val="hybridMultilevel"/>
    <w:tmpl w:val="1528E5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5"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6" w15:restartNumberingAfterBreak="0">
    <w:nsid w:val="67B0216B"/>
    <w:multiLevelType w:val="hybridMultilevel"/>
    <w:tmpl w:val="8FB8F12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7" w15:restartNumberingAfterBreak="0">
    <w:nsid w:val="69231F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B3211A"/>
    <w:multiLevelType w:val="hybridMultilevel"/>
    <w:tmpl w:val="B95A3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C3EFC"/>
    <w:multiLevelType w:val="hybridMultilevel"/>
    <w:tmpl w:val="F1E8DFFE"/>
    <w:lvl w:ilvl="0" w:tplc="B936F488">
      <w:start w:val="1"/>
      <w:numFmt w:val="bullet"/>
      <w:lvlText w:val="•"/>
      <w:lvlJc w:val="left"/>
      <w:pPr>
        <w:tabs>
          <w:tab w:val="num" w:pos="720"/>
        </w:tabs>
        <w:ind w:left="720" w:hanging="360"/>
      </w:pPr>
      <w:rPr>
        <w:rFonts w:ascii="Arial" w:hAnsi="Arial" w:hint="default"/>
      </w:rPr>
    </w:lvl>
    <w:lvl w:ilvl="1" w:tplc="CF8EFC10">
      <w:numFmt w:val="bullet"/>
      <w:lvlText w:val=""/>
      <w:lvlJc w:val="left"/>
      <w:pPr>
        <w:tabs>
          <w:tab w:val="num" w:pos="1440"/>
        </w:tabs>
        <w:ind w:left="1440" w:hanging="360"/>
      </w:pPr>
      <w:rPr>
        <w:rFonts w:ascii="Wingdings" w:hAnsi="Wingdings" w:hint="default"/>
      </w:rPr>
    </w:lvl>
    <w:lvl w:ilvl="2" w:tplc="BC1637B6" w:tentative="1">
      <w:start w:val="1"/>
      <w:numFmt w:val="bullet"/>
      <w:lvlText w:val="•"/>
      <w:lvlJc w:val="left"/>
      <w:pPr>
        <w:tabs>
          <w:tab w:val="num" w:pos="2160"/>
        </w:tabs>
        <w:ind w:left="2160" w:hanging="360"/>
      </w:pPr>
      <w:rPr>
        <w:rFonts w:ascii="Arial" w:hAnsi="Arial" w:hint="default"/>
      </w:rPr>
    </w:lvl>
    <w:lvl w:ilvl="3" w:tplc="CE504FF6" w:tentative="1">
      <w:start w:val="1"/>
      <w:numFmt w:val="bullet"/>
      <w:lvlText w:val="•"/>
      <w:lvlJc w:val="left"/>
      <w:pPr>
        <w:tabs>
          <w:tab w:val="num" w:pos="2880"/>
        </w:tabs>
        <w:ind w:left="2880" w:hanging="360"/>
      </w:pPr>
      <w:rPr>
        <w:rFonts w:ascii="Arial" w:hAnsi="Arial" w:hint="default"/>
      </w:rPr>
    </w:lvl>
    <w:lvl w:ilvl="4" w:tplc="26526012" w:tentative="1">
      <w:start w:val="1"/>
      <w:numFmt w:val="bullet"/>
      <w:lvlText w:val="•"/>
      <w:lvlJc w:val="left"/>
      <w:pPr>
        <w:tabs>
          <w:tab w:val="num" w:pos="3600"/>
        </w:tabs>
        <w:ind w:left="3600" w:hanging="360"/>
      </w:pPr>
      <w:rPr>
        <w:rFonts w:ascii="Arial" w:hAnsi="Arial" w:hint="default"/>
      </w:rPr>
    </w:lvl>
    <w:lvl w:ilvl="5" w:tplc="2F9E1596" w:tentative="1">
      <w:start w:val="1"/>
      <w:numFmt w:val="bullet"/>
      <w:lvlText w:val="•"/>
      <w:lvlJc w:val="left"/>
      <w:pPr>
        <w:tabs>
          <w:tab w:val="num" w:pos="4320"/>
        </w:tabs>
        <w:ind w:left="4320" w:hanging="360"/>
      </w:pPr>
      <w:rPr>
        <w:rFonts w:ascii="Arial" w:hAnsi="Arial" w:hint="default"/>
      </w:rPr>
    </w:lvl>
    <w:lvl w:ilvl="6" w:tplc="86DAD696" w:tentative="1">
      <w:start w:val="1"/>
      <w:numFmt w:val="bullet"/>
      <w:lvlText w:val="•"/>
      <w:lvlJc w:val="left"/>
      <w:pPr>
        <w:tabs>
          <w:tab w:val="num" w:pos="5040"/>
        </w:tabs>
        <w:ind w:left="5040" w:hanging="360"/>
      </w:pPr>
      <w:rPr>
        <w:rFonts w:ascii="Arial" w:hAnsi="Arial" w:hint="default"/>
      </w:rPr>
    </w:lvl>
    <w:lvl w:ilvl="7" w:tplc="F6AE34CA" w:tentative="1">
      <w:start w:val="1"/>
      <w:numFmt w:val="bullet"/>
      <w:lvlText w:val="•"/>
      <w:lvlJc w:val="left"/>
      <w:pPr>
        <w:tabs>
          <w:tab w:val="num" w:pos="5760"/>
        </w:tabs>
        <w:ind w:left="5760" w:hanging="360"/>
      </w:pPr>
      <w:rPr>
        <w:rFonts w:ascii="Arial" w:hAnsi="Arial" w:hint="default"/>
      </w:rPr>
    </w:lvl>
    <w:lvl w:ilvl="8" w:tplc="A7DAFA7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7C2C7FB1"/>
    <w:multiLevelType w:val="hybridMultilevel"/>
    <w:tmpl w:val="7B607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40"/>
  </w:num>
  <w:num w:numId="3" w16cid:durableId="1469781046">
    <w:abstractNumId w:val="11"/>
  </w:num>
  <w:num w:numId="4" w16cid:durableId="47189556">
    <w:abstractNumId w:val="43"/>
  </w:num>
  <w:num w:numId="5" w16cid:durableId="1836995923">
    <w:abstractNumId w:val="45"/>
  </w:num>
  <w:num w:numId="6" w16cid:durableId="879827819">
    <w:abstractNumId w:val="0"/>
  </w:num>
  <w:num w:numId="7" w16cid:durableId="2082289908">
    <w:abstractNumId w:val="17"/>
  </w:num>
  <w:num w:numId="8" w16cid:durableId="655643015">
    <w:abstractNumId w:val="5"/>
  </w:num>
  <w:num w:numId="9" w16cid:durableId="1632320174">
    <w:abstractNumId w:val="29"/>
  </w:num>
  <w:num w:numId="10" w16cid:durableId="687173672">
    <w:abstractNumId w:val="22"/>
  </w:num>
  <w:num w:numId="11" w16cid:durableId="1309020323">
    <w:abstractNumId w:val="35"/>
  </w:num>
  <w:num w:numId="12" w16cid:durableId="781535469">
    <w:abstractNumId w:val="24"/>
  </w:num>
  <w:num w:numId="13" w16cid:durableId="164051385">
    <w:abstractNumId w:val="26"/>
  </w:num>
  <w:num w:numId="14" w16cid:durableId="1312176643">
    <w:abstractNumId w:val="12"/>
  </w:num>
  <w:num w:numId="15" w16cid:durableId="1314605424">
    <w:abstractNumId w:val="34"/>
  </w:num>
  <w:num w:numId="16" w16cid:durableId="488833035">
    <w:abstractNumId w:val="19"/>
  </w:num>
  <w:num w:numId="17" w16cid:durableId="11995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9447006">
    <w:abstractNumId w:val="2"/>
  </w:num>
  <w:num w:numId="19" w16cid:durableId="1521704528">
    <w:abstractNumId w:val="13"/>
  </w:num>
  <w:num w:numId="20" w16cid:durableId="998507440">
    <w:abstractNumId w:val="30"/>
  </w:num>
  <w:num w:numId="21" w16cid:durableId="1349454194">
    <w:abstractNumId w:val="20"/>
  </w:num>
  <w:num w:numId="22" w16cid:durableId="1608543025">
    <w:abstractNumId w:val="27"/>
  </w:num>
  <w:num w:numId="23" w16cid:durableId="658533718">
    <w:abstractNumId w:val="0"/>
  </w:num>
  <w:num w:numId="24" w16cid:durableId="1206212132">
    <w:abstractNumId w:val="25"/>
  </w:num>
  <w:num w:numId="25" w16cid:durableId="2060401285">
    <w:abstractNumId w:val="41"/>
  </w:num>
  <w:num w:numId="26" w16cid:durableId="1335375815">
    <w:abstractNumId w:val="33"/>
  </w:num>
  <w:num w:numId="27" w16cid:durableId="1512062524">
    <w:abstractNumId w:val="42"/>
  </w:num>
  <w:num w:numId="28" w16cid:durableId="1441296803">
    <w:abstractNumId w:val="36"/>
  </w:num>
  <w:num w:numId="29" w16cid:durableId="1081179414">
    <w:abstractNumId w:val="39"/>
  </w:num>
  <w:num w:numId="30" w16cid:durableId="612172644">
    <w:abstractNumId w:val="31"/>
  </w:num>
  <w:num w:numId="31" w16cid:durableId="1982689521">
    <w:abstractNumId w:val="4"/>
  </w:num>
  <w:num w:numId="32" w16cid:durableId="1691645837">
    <w:abstractNumId w:val="3"/>
  </w:num>
  <w:num w:numId="33" w16cid:durableId="1317999335">
    <w:abstractNumId w:val="9"/>
  </w:num>
  <w:num w:numId="34" w16cid:durableId="752354537">
    <w:abstractNumId w:val="28"/>
  </w:num>
  <w:num w:numId="35" w16cid:durableId="457841136">
    <w:abstractNumId w:val="16"/>
  </w:num>
  <w:num w:numId="36" w16cid:durableId="1140221843">
    <w:abstractNumId w:val="10"/>
  </w:num>
  <w:num w:numId="37" w16cid:durableId="1169246399">
    <w:abstractNumId w:val="37"/>
  </w:num>
  <w:num w:numId="38" w16cid:durableId="410280098">
    <w:abstractNumId w:val="15"/>
  </w:num>
  <w:num w:numId="39" w16cid:durableId="1090420567">
    <w:abstractNumId w:val="38"/>
  </w:num>
  <w:num w:numId="40" w16cid:durableId="1342468974">
    <w:abstractNumId w:val="8"/>
  </w:num>
  <w:num w:numId="41" w16cid:durableId="1900439595">
    <w:abstractNumId w:val="7"/>
  </w:num>
  <w:num w:numId="42" w16cid:durableId="284389761">
    <w:abstractNumId w:val="21"/>
  </w:num>
  <w:num w:numId="43" w16cid:durableId="640690297">
    <w:abstractNumId w:val="32"/>
  </w:num>
  <w:num w:numId="44" w16cid:durableId="1652565769">
    <w:abstractNumId w:val="18"/>
  </w:num>
  <w:num w:numId="45" w16cid:durableId="81487850">
    <w:abstractNumId w:val="6"/>
  </w:num>
  <w:num w:numId="46" w16cid:durableId="999044506">
    <w:abstractNumId w:val="44"/>
  </w:num>
  <w:num w:numId="47" w16cid:durableId="431558903">
    <w:abstractNumId w:val="14"/>
  </w:num>
  <w:num w:numId="48" w16cid:durableId="136452514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756"/>
    <w:rsid w:val="00003AD4"/>
    <w:rsid w:val="000040A8"/>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930"/>
    <w:rsid w:val="00007A59"/>
    <w:rsid w:val="00007B00"/>
    <w:rsid w:val="00007BA5"/>
    <w:rsid w:val="00007BA9"/>
    <w:rsid w:val="000101BA"/>
    <w:rsid w:val="000102C9"/>
    <w:rsid w:val="00010328"/>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690"/>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49"/>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8EE"/>
    <w:rsid w:val="00094AC7"/>
    <w:rsid w:val="00094CDC"/>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9E4"/>
    <w:rsid w:val="000D7A37"/>
    <w:rsid w:val="000E028F"/>
    <w:rsid w:val="000E0AD8"/>
    <w:rsid w:val="000E0C2F"/>
    <w:rsid w:val="000E0C5F"/>
    <w:rsid w:val="000E0C69"/>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22E"/>
    <w:rsid w:val="0011233B"/>
    <w:rsid w:val="0011234B"/>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2D"/>
    <w:rsid w:val="00151DBD"/>
    <w:rsid w:val="00152069"/>
    <w:rsid w:val="00152128"/>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A8"/>
    <w:rsid w:val="001654E8"/>
    <w:rsid w:val="00165792"/>
    <w:rsid w:val="001659B3"/>
    <w:rsid w:val="00165A39"/>
    <w:rsid w:val="00165FAB"/>
    <w:rsid w:val="0016605D"/>
    <w:rsid w:val="00166102"/>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F0"/>
    <w:rsid w:val="001D3B69"/>
    <w:rsid w:val="001D409E"/>
    <w:rsid w:val="001D4A2E"/>
    <w:rsid w:val="001D4D49"/>
    <w:rsid w:val="001D4FEA"/>
    <w:rsid w:val="001D51D4"/>
    <w:rsid w:val="001D52F5"/>
    <w:rsid w:val="001D539F"/>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4ED9"/>
    <w:rsid w:val="002250C4"/>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6ED"/>
    <w:rsid w:val="002349F3"/>
    <w:rsid w:val="00234A37"/>
    <w:rsid w:val="00234ADD"/>
    <w:rsid w:val="00234D37"/>
    <w:rsid w:val="00235176"/>
    <w:rsid w:val="0023535D"/>
    <w:rsid w:val="0023542D"/>
    <w:rsid w:val="0023544C"/>
    <w:rsid w:val="00235699"/>
    <w:rsid w:val="002359B9"/>
    <w:rsid w:val="00235A61"/>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CEE"/>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5C5"/>
    <w:rsid w:val="00271729"/>
    <w:rsid w:val="00271824"/>
    <w:rsid w:val="00271A87"/>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384"/>
    <w:rsid w:val="00277626"/>
    <w:rsid w:val="002776FF"/>
    <w:rsid w:val="00277745"/>
    <w:rsid w:val="00277797"/>
    <w:rsid w:val="002777C5"/>
    <w:rsid w:val="002779FC"/>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A00"/>
    <w:rsid w:val="00291B72"/>
    <w:rsid w:val="00291BB3"/>
    <w:rsid w:val="00291CC0"/>
    <w:rsid w:val="00291D0A"/>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53"/>
    <w:rsid w:val="002A0093"/>
    <w:rsid w:val="002A01E9"/>
    <w:rsid w:val="002A0223"/>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3EEF"/>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A8"/>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9F6"/>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6AA"/>
    <w:rsid w:val="003A2A3E"/>
    <w:rsid w:val="003A2B0D"/>
    <w:rsid w:val="003A2CA4"/>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6E2"/>
    <w:rsid w:val="003B0C41"/>
    <w:rsid w:val="003B114F"/>
    <w:rsid w:val="003B178C"/>
    <w:rsid w:val="003B19B6"/>
    <w:rsid w:val="003B1A97"/>
    <w:rsid w:val="003B2043"/>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B2"/>
    <w:rsid w:val="003C7118"/>
    <w:rsid w:val="003C71F1"/>
    <w:rsid w:val="003C73C3"/>
    <w:rsid w:val="003C7545"/>
    <w:rsid w:val="003C76D8"/>
    <w:rsid w:val="003C7722"/>
    <w:rsid w:val="003C7736"/>
    <w:rsid w:val="003C7872"/>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453"/>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222"/>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D8D"/>
    <w:rsid w:val="00444F08"/>
    <w:rsid w:val="00445276"/>
    <w:rsid w:val="004452E4"/>
    <w:rsid w:val="00445392"/>
    <w:rsid w:val="004454B4"/>
    <w:rsid w:val="00445700"/>
    <w:rsid w:val="00445906"/>
    <w:rsid w:val="004459B0"/>
    <w:rsid w:val="00445C6A"/>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573"/>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5F"/>
    <w:rsid w:val="00461BC4"/>
    <w:rsid w:val="00461C9B"/>
    <w:rsid w:val="00461DCA"/>
    <w:rsid w:val="00461E64"/>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A72"/>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15D"/>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C76"/>
    <w:rsid w:val="00503D7D"/>
    <w:rsid w:val="00503EB1"/>
    <w:rsid w:val="00503EC0"/>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D16"/>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81"/>
    <w:rsid w:val="00541BBB"/>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5A4"/>
    <w:rsid w:val="005868E7"/>
    <w:rsid w:val="00586A64"/>
    <w:rsid w:val="00586B89"/>
    <w:rsid w:val="00586D8D"/>
    <w:rsid w:val="00586EE4"/>
    <w:rsid w:val="00586F8B"/>
    <w:rsid w:val="00587232"/>
    <w:rsid w:val="0058725B"/>
    <w:rsid w:val="00587367"/>
    <w:rsid w:val="00587778"/>
    <w:rsid w:val="00587B6E"/>
    <w:rsid w:val="00587B7C"/>
    <w:rsid w:val="00587E21"/>
    <w:rsid w:val="00587F3B"/>
    <w:rsid w:val="005902E7"/>
    <w:rsid w:val="005905CA"/>
    <w:rsid w:val="0059072F"/>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3FB2"/>
    <w:rsid w:val="005D41F0"/>
    <w:rsid w:val="005D4772"/>
    <w:rsid w:val="005D48DD"/>
    <w:rsid w:val="005D4916"/>
    <w:rsid w:val="005D49E8"/>
    <w:rsid w:val="005D4A57"/>
    <w:rsid w:val="005D4AAB"/>
    <w:rsid w:val="005D4F0A"/>
    <w:rsid w:val="005D5013"/>
    <w:rsid w:val="005D509B"/>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C3"/>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29C"/>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49"/>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218"/>
    <w:rsid w:val="006A1226"/>
    <w:rsid w:val="006A12B4"/>
    <w:rsid w:val="006A1735"/>
    <w:rsid w:val="006A17CE"/>
    <w:rsid w:val="006A194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D5"/>
    <w:rsid w:val="006D27F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64C"/>
    <w:rsid w:val="006E370E"/>
    <w:rsid w:val="006E3787"/>
    <w:rsid w:val="006E390C"/>
    <w:rsid w:val="006E39D5"/>
    <w:rsid w:val="006E39F0"/>
    <w:rsid w:val="006E3BC1"/>
    <w:rsid w:val="006E3C46"/>
    <w:rsid w:val="006E3E92"/>
    <w:rsid w:val="006E3EF6"/>
    <w:rsid w:val="006E3FBB"/>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237"/>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1CD"/>
    <w:rsid w:val="00755215"/>
    <w:rsid w:val="00755291"/>
    <w:rsid w:val="007552AD"/>
    <w:rsid w:val="00755429"/>
    <w:rsid w:val="007557B6"/>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259"/>
    <w:rsid w:val="007A7480"/>
    <w:rsid w:val="007A7493"/>
    <w:rsid w:val="007A7630"/>
    <w:rsid w:val="007A76DD"/>
    <w:rsid w:val="007A7708"/>
    <w:rsid w:val="007A772F"/>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8A"/>
    <w:rsid w:val="008232AD"/>
    <w:rsid w:val="008236E5"/>
    <w:rsid w:val="0082379E"/>
    <w:rsid w:val="008237BE"/>
    <w:rsid w:val="00823860"/>
    <w:rsid w:val="00823AC6"/>
    <w:rsid w:val="00823C83"/>
    <w:rsid w:val="00823CF0"/>
    <w:rsid w:val="00823E3B"/>
    <w:rsid w:val="00823F43"/>
    <w:rsid w:val="0082412D"/>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49F"/>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82D"/>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5AE"/>
    <w:rsid w:val="008D2A05"/>
    <w:rsid w:val="008D2ABD"/>
    <w:rsid w:val="008D2B74"/>
    <w:rsid w:val="008D2B99"/>
    <w:rsid w:val="008D3423"/>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3DF"/>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A15"/>
    <w:rsid w:val="00906B0A"/>
    <w:rsid w:val="00906D8C"/>
    <w:rsid w:val="00906DF5"/>
    <w:rsid w:val="00906F39"/>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2CC"/>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E85"/>
    <w:rsid w:val="0097702A"/>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38"/>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D78"/>
    <w:rsid w:val="009F0F95"/>
    <w:rsid w:val="009F139B"/>
    <w:rsid w:val="009F146B"/>
    <w:rsid w:val="009F17E7"/>
    <w:rsid w:val="009F19F0"/>
    <w:rsid w:val="009F1C40"/>
    <w:rsid w:val="009F1E7D"/>
    <w:rsid w:val="009F1F61"/>
    <w:rsid w:val="009F2171"/>
    <w:rsid w:val="009F2615"/>
    <w:rsid w:val="009F26E9"/>
    <w:rsid w:val="009F28DA"/>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BA5"/>
    <w:rsid w:val="00A97E1F"/>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910"/>
    <w:rsid w:val="00AB4BCF"/>
    <w:rsid w:val="00AB4BEA"/>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9F2"/>
    <w:rsid w:val="00AD7A1B"/>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D91"/>
    <w:rsid w:val="00B52F71"/>
    <w:rsid w:val="00B53396"/>
    <w:rsid w:val="00B53881"/>
    <w:rsid w:val="00B5399B"/>
    <w:rsid w:val="00B53B44"/>
    <w:rsid w:val="00B53F62"/>
    <w:rsid w:val="00B53FB2"/>
    <w:rsid w:val="00B54042"/>
    <w:rsid w:val="00B540F0"/>
    <w:rsid w:val="00B542A2"/>
    <w:rsid w:val="00B54358"/>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F7"/>
    <w:rsid w:val="00B60E22"/>
    <w:rsid w:val="00B60FB1"/>
    <w:rsid w:val="00B6102D"/>
    <w:rsid w:val="00B6132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38B"/>
    <w:rsid w:val="00B74951"/>
    <w:rsid w:val="00B74B5D"/>
    <w:rsid w:val="00B7504C"/>
    <w:rsid w:val="00B752B5"/>
    <w:rsid w:val="00B75395"/>
    <w:rsid w:val="00B753E8"/>
    <w:rsid w:val="00B75482"/>
    <w:rsid w:val="00B75781"/>
    <w:rsid w:val="00B757DF"/>
    <w:rsid w:val="00B75826"/>
    <w:rsid w:val="00B75908"/>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E81"/>
    <w:rsid w:val="00B91F3D"/>
    <w:rsid w:val="00B91F3F"/>
    <w:rsid w:val="00B91FA3"/>
    <w:rsid w:val="00B920CE"/>
    <w:rsid w:val="00B9227F"/>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0A4"/>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72"/>
    <w:rsid w:val="00BA5869"/>
    <w:rsid w:val="00BA58C6"/>
    <w:rsid w:val="00BA598B"/>
    <w:rsid w:val="00BA5E57"/>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9A"/>
    <w:rsid w:val="00BB12BC"/>
    <w:rsid w:val="00BB1614"/>
    <w:rsid w:val="00BB179E"/>
    <w:rsid w:val="00BB1840"/>
    <w:rsid w:val="00BB1D36"/>
    <w:rsid w:val="00BB1F3A"/>
    <w:rsid w:val="00BB20D8"/>
    <w:rsid w:val="00BB22FA"/>
    <w:rsid w:val="00BB249C"/>
    <w:rsid w:val="00BB2673"/>
    <w:rsid w:val="00BB290A"/>
    <w:rsid w:val="00BB2ADF"/>
    <w:rsid w:val="00BB2C48"/>
    <w:rsid w:val="00BB2FCB"/>
    <w:rsid w:val="00BB3250"/>
    <w:rsid w:val="00BB34B7"/>
    <w:rsid w:val="00BB353E"/>
    <w:rsid w:val="00BB36B3"/>
    <w:rsid w:val="00BB36D8"/>
    <w:rsid w:val="00BB3BA3"/>
    <w:rsid w:val="00BB3CED"/>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60"/>
    <w:rsid w:val="00BD58E2"/>
    <w:rsid w:val="00BD5A95"/>
    <w:rsid w:val="00BD5B5D"/>
    <w:rsid w:val="00BD5C09"/>
    <w:rsid w:val="00BD5C10"/>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95B"/>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31D"/>
    <w:rsid w:val="00C3253A"/>
    <w:rsid w:val="00C327C3"/>
    <w:rsid w:val="00C32801"/>
    <w:rsid w:val="00C32B80"/>
    <w:rsid w:val="00C32C08"/>
    <w:rsid w:val="00C32FB8"/>
    <w:rsid w:val="00C33067"/>
    <w:rsid w:val="00C3312C"/>
    <w:rsid w:val="00C33211"/>
    <w:rsid w:val="00C33230"/>
    <w:rsid w:val="00C33251"/>
    <w:rsid w:val="00C33428"/>
    <w:rsid w:val="00C335F0"/>
    <w:rsid w:val="00C3364D"/>
    <w:rsid w:val="00C3377A"/>
    <w:rsid w:val="00C33B2C"/>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69"/>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A1"/>
    <w:rsid w:val="00D423B2"/>
    <w:rsid w:val="00D424FB"/>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DEA"/>
    <w:rsid w:val="00D64E5A"/>
    <w:rsid w:val="00D64F13"/>
    <w:rsid w:val="00D65215"/>
    <w:rsid w:val="00D65322"/>
    <w:rsid w:val="00D655BB"/>
    <w:rsid w:val="00D6580C"/>
    <w:rsid w:val="00D65941"/>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628"/>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3D9D"/>
    <w:rsid w:val="00E14037"/>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6B7"/>
    <w:rsid w:val="00E77802"/>
    <w:rsid w:val="00E778DB"/>
    <w:rsid w:val="00E7790B"/>
    <w:rsid w:val="00E77B26"/>
    <w:rsid w:val="00E77CA4"/>
    <w:rsid w:val="00E80359"/>
    <w:rsid w:val="00E80389"/>
    <w:rsid w:val="00E8059F"/>
    <w:rsid w:val="00E80807"/>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5EC"/>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B07"/>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586"/>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774"/>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406"/>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CB1032"/>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CB1032"/>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143</TotalTime>
  <Pages>26</Pages>
  <Words>8722</Words>
  <Characters>49717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58323</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10</cp:revision>
  <cp:lastPrinted>2023-03-29T03:43:00Z</cp:lastPrinted>
  <dcterms:created xsi:type="dcterms:W3CDTF">2023-03-21T02:25:00Z</dcterms:created>
  <dcterms:modified xsi:type="dcterms:W3CDTF">2023-04-04T23:26:00Z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