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32524B46"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250129">
        <w:rPr>
          <w:caps w:val="0"/>
        </w:rPr>
        <w:t>5</w:t>
      </w:r>
      <w:r w:rsidR="00D85930">
        <w:rPr>
          <w:caps w:val="0"/>
        </w:rPr>
        <w:t>9</w:t>
      </w:r>
    </w:p>
    <w:p w14:paraId="0C6B487A" w14:textId="77777777" w:rsidR="00900037" w:rsidRPr="00013220" w:rsidRDefault="00900037" w:rsidP="002B6652">
      <w:pPr>
        <w:pStyle w:val="Subtitle"/>
        <w:ind w:left="-426" w:right="-623"/>
        <w:jc w:val="center"/>
        <w:rPr>
          <w:b/>
          <w:i w:val="0"/>
          <w:sz w:val="36"/>
          <w:szCs w:val="36"/>
        </w:rPr>
      </w:pPr>
    </w:p>
    <w:p w14:paraId="0AC82FDD" w14:textId="3EF414E8" w:rsidR="00900037" w:rsidRPr="006F7EC0" w:rsidRDefault="00D85930" w:rsidP="006F7EC0">
      <w:pPr>
        <w:pStyle w:val="Title"/>
        <w:spacing w:before="200"/>
        <w:ind w:left="-426" w:right="-623"/>
        <w:jc w:val="center"/>
        <w:rPr>
          <w:caps w:val="0"/>
          <w:sz w:val="28"/>
          <w:szCs w:val="28"/>
        </w:rPr>
      </w:pPr>
      <w:r>
        <w:rPr>
          <w:caps w:val="0"/>
          <w:sz w:val="28"/>
          <w:szCs w:val="28"/>
        </w:rPr>
        <w:t xml:space="preserve">January 2023 </w:t>
      </w:r>
      <w:r w:rsidR="00900037" w:rsidRPr="006F7EC0">
        <w:rPr>
          <w:caps w:val="0"/>
          <w:sz w:val="28"/>
          <w:szCs w:val="28"/>
        </w:rPr>
        <w:t>t</w:t>
      </w:r>
      <w:r w:rsidR="00D00877">
        <w:rPr>
          <w:caps w:val="0"/>
          <w:sz w:val="28"/>
          <w:szCs w:val="28"/>
        </w:rPr>
        <w:t xml:space="preserve">o </w:t>
      </w:r>
      <w:r>
        <w:rPr>
          <w:caps w:val="0"/>
          <w:sz w:val="28"/>
          <w:szCs w:val="28"/>
        </w:rPr>
        <w:t>March 2023</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3C33C350"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1959955A"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 xml:space="preserve">and presented to the Family Responsibilities Board pursuant to section 144 of the Family Responsibilities Commission Act 2008. </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232C52">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57ED6E4F" w:rsidR="008A481F" w:rsidRPr="00ED55CD" w:rsidRDefault="00536924" w:rsidP="00EE5878">
      <w:pPr>
        <w:ind w:left="-142" w:right="-425"/>
        <w:jc w:val="both"/>
        <w:rPr>
          <w:rFonts w:cs="Arial"/>
        </w:rPr>
      </w:pPr>
      <w:r w:rsidRPr="00ED55CD">
        <w:rPr>
          <w:rFonts w:cs="Arial"/>
        </w:rPr>
        <w:t>The Families 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49472736"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D85930">
        <w:rPr>
          <w:rFonts w:cs="Arial"/>
        </w:rPr>
        <w:t>January</w:t>
      </w:r>
      <w:r w:rsidR="00D85930" w:rsidRPr="00ED55CD">
        <w:rPr>
          <w:rFonts w:cs="Arial"/>
        </w:rPr>
        <w:t xml:space="preserve"> </w:t>
      </w:r>
      <w:r w:rsidR="003467B2" w:rsidRPr="00ED55CD">
        <w:rPr>
          <w:rFonts w:cs="Arial"/>
        </w:rPr>
        <w:t xml:space="preserve">to </w:t>
      </w:r>
      <w:r w:rsidR="00D85930">
        <w:rPr>
          <w:rFonts w:cs="Arial"/>
        </w:rPr>
        <w:t>March</w:t>
      </w:r>
      <w:r w:rsidR="00D85930" w:rsidRPr="00ED55CD">
        <w:rPr>
          <w:rFonts w:cs="Arial"/>
        </w:rPr>
        <w:t xml:space="preserve"> </w:t>
      </w:r>
      <w:r w:rsidR="00D85930">
        <w:rPr>
          <w:rFonts w:cs="Arial"/>
        </w:rPr>
        <w:t>2023</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3410BA02"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250129">
        <w:rPr>
          <w:rFonts w:cs="Arial"/>
        </w:rPr>
        <w:t>5</w:t>
      </w:r>
      <w:r w:rsidR="00C01980">
        <w:rPr>
          <w:rFonts w:cs="Arial"/>
        </w:rPr>
        <w:t>9</w:t>
      </w:r>
      <w:r w:rsidR="00281E08" w:rsidRPr="00ED55CD">
        <w:rPr>
          <w:rFonts w:cs="Arial"/>
        </w:rPr>
        <w:t xml:space="preserve"> </w:t>
      </w:r>
      <w:r w:rsidRPr="00ED55CD">
        <w:rPr>
          <w:rFonts w:cs="Arial"/>
        </w:rPr>
        <w:t>with comparisons shown to the previous quarter.</w:t>
      </w:r>
    </w:p>
    <w:p w14:paraId="0C420264" w14:textId="77777777" w:rsidR="0023544C" w:rsidRPr="00351891" w:rsidRDefault="0023544C" w:rsidP="00351891">
      <w:pPr>
        <w:ind w:left="-142" w:right="-425"/>
        <w:jc w:val="both"/>
        <w:rPr>
          <w:rFonts w:cs="Arial"/>
        </w:rPr>
      </w:pPr>
      <w:bookmarkStart w:id="0" w:name="_Hlk38021442"/>
    </w:p>
    <w:p w14:paraId="7466B2AC" w14:textId="4C916F13"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413FAC">
        <w:rPr>
          <w:sz w:val="16"/>
          <w:szCs w:val="16"/>
        </w:rPr>
        <w:t>October 2022</w:t>
      </w:r>
      <w:r w:rsidR="00DA70CA">
        <w:rPr>
          <w:sz w:val="16"/>
          <w:szCs w:val="16"/>
        </w:rPr>
        <w:t xml:space="preserve"> </w:t>
      </w:r>
      <w:r>
        <w:rPr>
          <w:sz w:val="16"/>
          <w:szCs w:val="16"/>
        </w:rPr>
        <w:t xml:space="preserve">to </w:t>
      </w:r>
      <w:r w:rsidR="007B7E78">
        <w:rPr>
          <w:sz w:val="16"/>
          <w:szCs w:val="16"/>
        </w:rPr>
        <w:t xml:space="preserve">31 </w:t>
      </w:r>
      <w:r w:rsidR="00C01980">
        <w:rPr>
          <w:sz w:val="16"/>
          <w:szCs w:val="16"/>
        </w:rPr>
        <w:t xml:space="preserve">March 2023 </w:t>
      </w:r>
    </w:p>
    <w:tbl>
      <w:tblPr>
        <w:tblW w:w="9389" w:type="dxa"/>
        <w:tblInd w:w="103" w:type="dxa"/>
        <w:tblLook w:val="04A0" w:firstRow="1" w:lastRow="0" w:firstColumn="1" w:lastColumn="0" w:noHBand="0" w:noVBand="1"/>
      </w:tblPr>
      <w:tblGrid>
        <w:gridCol w:w="7405"/>
        <w:gridCol w:w="992"/>
        <w:gridCol w:w="992"/>
      </w:tblGrid>
      <w:tr w:rsidR="00C01980" w:rsidRPr="00504360" w14:paraId="0784B417" w14:textId="773E2A2D" w:rsidTr="00C01980">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C01980" w:rsidRPr="00504360" w:rsidRDefault="00C01980" w:rsidP="00C01980">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92" w:type="dxa"/>
            <w:tcBorders>
              <w:top w:val="single" w:sz="4" w:space="0" w:color="auto"/>
              <w:left w:val="single" w:sz="4" w:space="0" w:color="auto"/>
              <w:bottom w:val="single" w:sz="4" w:space="0" w:color="auto"/>
              <w:right w:val="single" w:sz="4" w:space="0" w:color="auto"/>
            </w:tcBorders>
          </w:tcPr>
          <w:p w14:paraId="4A6D3F36" w14:textId="303E1A23" w:rsidR="00C01980" w:rsidRPr="00504360" w:rsidRDefault="00C01980" w:rsidP="00C01980">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58</w:t>
            </w:r>
          </w:p>
        </w:tc>
        <w:tc>
          <w:tcPr>
            <w:tcW w:w="992" w:type="dxa"/>
            <w:tcBorders>
              <w:top w:val="single" w:sz="4" w:space="0" w:color="auto"/>
              <w:left w:val="single" w:sz="4" w:space="0" w:color="auto"/>
              <w:bottom w:val="single" w:sz="4" w:space="0" w:color="auto"/>
              <w:right w:val="single" w:sz="4" w:space="0" w:color="auto"/>
            </w:tcBorders>
          </w:tcPr>
          <w:p w14:paraId="26E501C0" w14:textId="42A9085D" w:rsidR="00C01980" w:rsidRPr="00504360" w:rsidRDefault="00C01980" w:rsidP="00C01980">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59</w:t>
            </w:r>
          </w:p>
        </w:tc>
      </w:tr>
      <w:tr w:rsidR="00311F92" w:rsidRPr="00504360" w14:paraId="2B1B5FCF" w14:textId="3A80F0E7"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311F92" w:rsidRPr="00504360" w:rsidRDefault="00311F92" w:rsidP="00311F92">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3"/>
            </w:r>
          </w:p>
        </w:tc>
        <w:tc>
          <w:tcPr>
            <w:tcW w:w="992" w:type="dxa"/>
            <w:tcBorders>
              <w:top w:val="single" w:sz="4" w:space="0" w:color="auto"/>
              <w:left w:val="single" w:sz="4" w:space="0" w:color="auto"/>
              <w:bottom w:val="single" w:sz="4" w:space="0" w:color="auto"/>
              <w:right w:val="single" w:sz="4" w:space="0" w:color="auto"/>
            </w:tcBorders>
          </w:tcPr>
          <w:p w14:paraId="28923E1B" w14:textId="597D8A8D" w:rsidR="00311F92" w:rsidRDefault="00311F92" w:rsidP="00311F92">
            <w:pPr>
              <w:spacing w:line="240" w:lineRule="auto"/>
              <w:jc w:val="right"/>
              <w:rPr>
                <w:rFonts w:cs="Arial"/>
                <w:sz w:val="18"/>
                <w:szCs w:val="18"/>
              </w:rPr>
            </w:pPr>
            <w:r>
              <w:rPr>
                <w:rFonts w:cs="Arial"/>
                <w:sz w:val="18"/>
                <w:szCs w:val="18"/>
              </w:rPr>
              <w:t>2,166</w:t>
            </w:r>
          </w:p>
        </w:tc>
        <w:tc>
          <w:tcPr>
            <w:tcW w:w="992" w:type="dxa"/>
            <w:tcBorders>
              <w:top w:val="single" w:sz="4" w:space="0" w:color="auto"/>
              <w:left w:val="single" w:sz="4" w:space="0" w:color="auto"/>
              <w:bottom w:val="single" w:sz="4" w:space="0" w:color="auto"/>
              <w:right w:val="single" w:sz="4" w:space="0" w:color="auto"/>
            </w:tcBorders>
          </w:tcPr>
          <w:p w14:paraId="7FA692B3" w14:textId="51170A0B" w:rsidR="00311F92" w:rsidRPr="00733DE0" w:rsidRDefault="00311F92" w:rsidP="00311F92">
            <w:pPr>
              <w:spacing w:line="240" w:lineRule="auto"/>
              <w:jc w:val="right"/>
              <w:rPr>
                <w:rFonts w:cs="Arial"/>
                <w:sz w:val="18"/>
                <w:szCs w:val="18"/>
              </w:rPr>
            </w:pPr>
            <w:r>
              <w:rPr>
                <w:rFonts w:cs="Arial"/>
                <w:sz w:val="18"/>
                <w:szCs w:val="18"/>
              </w:rPr>
              <w:t>2,3</w:t>
            </w:r>
            <w:r w:rsidR="005040F3">
              <w:rPr>
                <w:rFonts w:cs="Arial"/>
                <w:sz w:val="18"/>
                <w:szCs w:val="18"/>
              </w:rPr>
              <w:t>90</w:t>
            </w:r>
          </w:p>
        </w:tc>
      </w:tr>
      <w:tr w:rsidR="00311F92" w:rsidRPr="00504360" w14:paraId="624B7E23" w14:textId="3456D37D"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384922C7" w:rsidR="00311F92" w:rsidRPr="00504360" w:rsidRDefault="00311F92" w:rsidP="00311F92">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tcPr>
          <w:p w14:paraId="031F7C2D" w14:textId="40393B42" w:rsidR="00311F92" w:rsidRDefault="00311F92" w:rsidP="00311F92">
            <w:pPr>
              <w:spacing w:line="240" w:lineRule="auto"/>
              <w:jc w:val="right"/>
              <w:rPr>
                <w:rFonts w:cs="Arial"/>
                <w:sz w:val="18"/>
                <w:szCs w:val="18"/>
              </w:rPr>
            </w:pPr>
            <w:r>
              <w:rPr>
                <w:rFonts w:cs="Arial"/>
                <w:sz w:val="18"/>
                <w:szCs w:val="18"/>
              </w:rPr>
              <w:t>1,221</w:t>
            </w:r>
          </w:p>
        </w:tc>
        <w:tc>
          <w:tcPr>
            <w:tcW w:w="992" w:type="dxa"/>
            <w:tcBorders>
              <w:top w:val="single" w:sz="4" w:space="0" w:color="auto"/>
              <w:left w:val="single" w:sz="4" w:space="0" w:color="auto"/>
              <w:bottom w:val="single" w:sz="4" w:space="0" w:color="auto"/>
              <w:right w:val="single" w:sz="4" w:space="0" w:color="auto"/>
            </w:tcBorders>
          </w:tcPr>
          <w:p w14:paraId="01FC42FF" w14:textId="587CC14F" w:rsidR="00311F92" w:rsidRPr="00733DE0" w:rsidRDefault="00311F92" w:rsidP="00311F92">
            <w:pPr>
              <w:spacing w:line="240" w:lineRule="auto"/>
              <w:jc w:val="right"/>
              <w:rPr>
                <w:rFonts w:cs="Arial"/>
                <w:sz w:val="18"/>
                <w:szCs w:val="18"/>
              </w:rPr>
            </w:pPr>
            <w:r>
              <w:rPr>
                <w:rFonts w:cs="Arial"/>
                <w:sz w:val="18"/>
                <w:szCs w:val="18"/>
              </w:rPr>
              <w:t>1,61</w:t>
            </w:r>
            <w:r w:rsidR="005040F3">
              <w:rPr>
                <w:rFonts w:cs="Arial"/>
                <w:sz w:val="18"/>
                <w:szCs w:val="18"/>
              </w:rPr>
              <w:t>4</w:t>
            </w:r>
          </w:p>
        </w:tc>
      </w:tr>
      <w:tr w:rsidR="00311F92" w:rsidRPr="00504360" w14:paraId="387F01C7" w14:textId="45A2E948"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72D55FA5" w:rsidR="00311F92" w:rsidRPr="00504360" w:rsidRDefault="00311F92" w:rsidP="00311F92">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92" w:type="dxa"/>
            <w:tcBorders>
              <w:top w:val="single" w:sz="4" w:space="0" w:color="auto"/>
              <w:left w:val="single" w:sz="4" w:space="0" w:color="auto"/>
              <w:bottom w:val="single" w:sz="4" w:space="0" w:color="auto"/>
              <w:right w:val="single" w:sz="4" w:space="0" w:color="auto"/>
            </w:tcBorders>
          </w:tcPr>
          <w:p w14:paraId="09836220" w14:textId="6EA32C5D" w:rsidR="00311F92" w:rsidRDefault="00311F92" w:rsidP="00311F92">
            <w:pPr>
              <w:spacing w:line="240" w:lineRule="auto"/>
              <w:jc w:val="right"/>
              <w:rPr>
                <w:rFonts w:cs="Arial"/>
                <w:sz w:val="18"/>
                <w:szCs w:val="18"/>
              </w:rPr>
            </w:pPr>
            <w:r>
              <w:rPr>
                <w:rFonts w:cs="Arial"/>
                <w:sz w:val="18"/>
                <w:szCs w:val="18"/>
              </w:rPr>
              <w:t>945</w:t>
            </w:r>
          </w:p>
        </w:tc>
        <w:tc>
          <w:tcPr>
            <w:tcW w:w="992" w:type="dxa"/>
            <w:tcBorders>
              <w:top w:val="single" w:sz="4" w:space="0" w:color="auto"/>
              <w:left w:val="single" w:sz="4" w:space="0" w:color="auto"/>
              <w:bottom w:val="single" w:sz="4" w:space="0" w:color="auto"/>
              <w:right w:val="single" w:sz="4" w:space="0" w:color="auto"/>
            </w:tcBorders>
          </w:tcPr>
          <w:p w14:paraId="15DC554A" w14:textId="1478DF48" w:rsidR="00311F92" w:rsidRPr="00733DE0" w:rsidRDefault="00311F92" w:rsidP="00311F92">
            <w:pPr>
              <w:spacing w:line="240" w:lineRule="auto"/>
              <w:jc w:val="right"/>
              <w:rPr>
                <w:rFonts w:cs="Arial"/>
                <w:sz w:val="18"/>
                <w:szCs w:val="18"/>
              </w:rPr>
            </w:pPr>
            <w:r>
              <w:rPr>
                <w:rFonts w:cs="Arial"/>
                <w:sz w:val="18"/>
                <w:szCs w:val="18"/>
              </w:rPr>
              <w:t>77</w:t>
            </w:r>
            <w:r w:rsidR="00AC5E51">
              <w:rPr>
                <w:rFonts w:cs="Arial"/>
                <w:sz w:val="18"/>
                <w:szCs w:val="18"/>
              </w:rPr>
              <w:t>6</w:t>
            </w:r>
          </w:p>
        </w:tc>
      </w:tr>
      <w:tr w:rsidR="00311F92" w:rsidRPr="00504360" w14:paraId="5B71472F" w14:textId="40C0B21A"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3B7AB833" w:rsidR="00311F92" w:rsidRPr="00504360" w:rsidRDefault="00311F92" w:rsidP="00311F92">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vAlign w:val="center"/>
          </w:tcPr>
          <w:p w14:paraId="1E29B33C" w14:textId="04E9E061" w:rsidR="00311F92" w:rsidRDefault="00311F92" w:rsidP="00311F92">
            <w:pPr>
              <w:spacing w:line="240" w:lineRule="auto"/>
              <w:jc w:val="right"/>
              <w:rPr>
                <w:rFonts w:cs="Arial"/>
                <w:sz w:val="18"/>
                <w:szCs w:val="18"/>
              </w:rPr>
            </w:pPr>
            <w:r>
              <w:rPr>
                <w:rFonts w:cs="Arial"/>
                <w:sz w:val="18"/>
                <w:szCs w:val="18"/>
              </w:rPr>
              <w:t>672</w:t>
            </w:r>
          </w:p>
        </w:tc>
        <w:tc>
          <w:tcPr>
            <w:tcW w:w="992" w:type="dxa"/>
            <w:tcBorders>
              <w:top w:val="single" w:sz="4" w:space="0" w:color="auto"/>
              <w:left w:val="single" w:sz="4" w:space="0" w:color="auto"/>
              <w:bottom w:val="single" w:sz="4" w:space="0" w:color="auto"/>
              <w:right w:val="single" w:sz="4" w:space="0" w:color="auto"/>
            </w:tcBorders>
            <w:vAlign w:val="center"/>
          </w:tcPr>
          <w:p w14:paraId="3B7D6E74" w14:textId="6138E3C3" w:rsidR="00311F92" w:rsidRPr="00733DE0" w:rsidRDefault="00311F92" w:rsidP="00311F92">
            <w:pPr>
              <w:spacing w:line="240" w:lineRule="auto"/>
              <w:jc w:val="right"/>
              <w:rPr>
                <w:rFonts w:cs="Arial"/>
                <w:sz w:val="18"/>
                <w:szCs w:val="18"/>
              </w:rPr>
            </w:pPr>
            <w:r>
              <w:rPr>
                <w:rFonts w:cs="Arial"/>
                <w:sz w:val="18"/>
                <w:szCs w:val="18"/>
              </w:rPr>
              <w:t>787</w:t>
            </w:r>
          </w:p>
        </w:tc>
      </w:tr>
      <w:tr w:rsidR="00311F92" w:rsidRPr="00504360" w14:paraId="5B70DF90" w14:textId="56033E44" w:rsidTr="00C01980">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311F92" w:rsidRPr="00504360" w:rsidRDefault="00311F92" w:rsidP="00311F92">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E8ACDF5" w14:textId="77777777" w:rsidR="00311F92" w:rsidRPr="00733DE0" w:rsidRDefault="00311F92" w:rsidP="00311F92">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578A6A5" w14:textId="5E86A972" w:rsidR="00311F92" w:rsidRPr="00733DE0" w:rsidRDefault="00311F92" w:rsidP="00311F92">
            <w:pPr>
              <w:spacing w:line="240" w:lineRule="auto"/>
              <w:jc w:val="right"/>
              <w:rPr>
                <w:rFonts w:cs="Arial"/>
                <w:sz w:val="18"/>
                <w:szCs w:val="18"/>
              </w:rPr>
            </w:pPr>
            <w:r>
              <w:rPr>
                <w:rFonts w:cs="Arial"/>
                <w:sz w:val="18"/>
                <w:szCs w:val="18"/>
              </w:rPr>
              <w:t> </w:t>
            </w:r>
          </w:p>
        </w:tc>
      </w:tr>
      <w:tr w:rsidR="00311F92" w:rsidRPr="00504360" w14:paraId="4598B56C" w14:textId="77777777"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4812E09" w14:textId="3ACBCAEC" w:rsidR="00311F92" w:rsidRPr="001E2C9A" w:rsidRDefault="00311F92" w:rsidP="00311F92">
            <w:pPr>
              <w:spacing w:line="240" w:lineRule="auto"/>
              <w:rPr>
                <w:rFonts w:cs="Arial"/>
                <w:b/>
                <w:bCs/>
                <w:sz w:val="18"/>
                <w:szCs w:val="18"/>
                <w:lang w:eastAsia="en-AU"/>
              </w:rPr>
            </w:pPr>
            <w:r w:rsidRPr="0041058E">
              <w:rPr>
                <w:rFonts w:cs="Arial"/>
                <w:b/>
                <w:bCs/>
                <w:sz w:val="18"/>
                <w:szCs w:val="18"/>
                <w:lang w:eastAsia="en-AU"/>
              </w:rPr>
              <w:t>Conferences</w:t>
            </w:r>
          </w:p>
        </w:tc>
        <w:tc>
          <w:tcPr>
            <w:tcW w:w="992" w:type="dxa"/>
            <w:tcBorders>
              <w:top w:val="single" w:sz="4" w:space="0" w:color="auto"/>
              <w:left w:val="single" w:sz="4" w:space="0" w:color="auto"/>
              <w:bottom w:val="single" w:sz="4" w:space="0" w:color="auto"/>
              <w:right w:val="single" w:sz="4" w:space="0" w:color="auto"/>
            </w:tcBorders>
            <w:vAlign w:val="center"/>
          </w:tcPr>
          <w:p w14:paraId="4D0DEA38" w14:textId="77777777" w:rsidR="00311F92" w:rsidRPr="00733DE0" w:rsidRDefault="00311F92" w:rsidP="00311F92">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6E0B551" w14:textId="6F1F730C" w:rsidR="00311F92" w:rsidRPr="00733DE0" w:rsidRDefault="00311F92" w:rsidP="00311F92">
            <w:pPr>
              <w:spacing w:line="240" w:lineRule="auto"/>
              <w:jc w:val="right"/>
              <w:rPr>
                <w:rFonts w:cs="Arial"/>
                <w:sz w:val="18"/>
                <w:szCs w:val="18"/>
              </w:rPr>
            </w:pPr>
            <w:r>
              <w:rPr>
                <w:rFonts w:cs="Arial"/>
                <w:sz w:val="18"/>
                <w:szCs w:val="18"/>
              </w:rPr>
              <w:t> </w:t>
            </w:r>
          </w:p>
        </w:tc>
      </w:tr>
      <w:tr w:rsidR="00311F92" w:rsidRPr="00504360" w14:paraId="357F6E2A" w14:textId="77777777"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D2AEC3" w14:textId="72F76CB9" w:rsidR="00311F92" w:rsidRPr="0041058E" w:rsidRDefault="00311F92" w:rsidP="00311F92">
            <w:pPr>
              <w:spacing w:line="240" w:lineRule="auto"/>
              <w:rPr>
                <w:rFonts w:cs="Arial"/>
                <w:b/>
                <w:bCs/>
                <w:sz w:val="18"/>
                <w:szCs w:val="18"/>
                <w:lang w:eastAsia="en-AU"/>
              </w:rPr>
            </w:pPr>
            <w:r w:rsidRPr="00504360">
              <w:rPr>
                <w:rFonts w:cs="Arial"/>
                <w:sz w:val="18"/>
                <w:szCs w:val="18"/>
                <w:lang w:eastAsia="en-AU"/>
              </w:rPr>
              <w:t>Conferences conducted</w:t>
            </w:r>
          </w:p>
        </w:tc>
        <w:tc>
          <w:tcPr>
            <w:tcW w:w="992" w:type="dxa"/>
            <w:tcBorders>
              <w:top w:val="single" w:sz="4" w:space="0" w:color="auto"/>
              <w:left w:val="single" w:sz="4" w:space="0" w:color="auto"/>
              <w:bottom w:val="single" w:sz="4" w:space="0" w:color="auto"/>
              <w:right w:val="single" w:sz="4" w:space="0" w:color="auto"/>
            </w:tcBorders>
            <w:vAlign w:val="center"/>
          </w:tcPr>
          <w:p w14:paraId="778B1BC4" w14:textId="1B518EA1" w:rsidR="00311F92" w:rsidRDefault="00311F92" w:rsidP="00311F92">
            <w:pPr>
              <w:spacing w:line="240" w:lineRule="auto"/>
              <w:jc w:val="right"/>
              <w:rPr>
                <w:rFonts w:cs="Arial"/>
                <w:sz w:val="18"/>
                <w:szCs w:val="18"/>
              </w:rPr>
            </w:pPr>
            <w:r>
              <w:rPr>
                <w:rFonts w:cs="Arial"/>
                <w:sz w:val="18"/>
                <w:szCs w:val="18"/>
              </w:rPr>
              <w:t>313</w:t>
            </w:r>
          </w:p>
        </w:tc>
        <w:tc>
          <w:tcPr>
            <w:tcW w:w="992" w:type="dxa"/>
            <w:tcBorders>
              <w:top w:val="single" w:sz="4" w:space="0" w:color="auto"/>
              <w:left w:val="single" w:sz="4" w:space="0" w:color="auto"/>
              <w:bottom w:val="single" w:sz="4" w:space="0" w:color="auto"/>
              <w:right w:val="single" w:sz="4" w:space="0" w:color="auto"/>
            </w:tcBorders>
            <w:vAlign w:val="center"/>
          </w:tcPr>
          <w:p w14:paraId="7A3A9BFF" w14:textId="248D7E22" w:rsidR="00311F92" w:rsidRPr="002D2253" w:rsidRDefault="00311F92" w:rsidP="00311F92">
            <w:pPr>
              <w:spacing w:line="240" w:lineRule="auto"/>
              <w:jc w:val="right"/>
              <w:rPr>
                <w:rFonts w:cs="Arial"/>
                <w:sz w:val="18"/>
                <w:szCs w:val="18"/>
              </w:rPr>
            </w:pPr>
            <w:r>
              <w:rPr>
                <w:rFonts w:cs="Arial"/>
                <w:sz w:val="18"/>
                <w:szCs w:val="18"/>
              </w:rPr>
              <w:t>278</w:t>
            </w:r>
          </w:p>
        </w:tc>
      </w:tr>
      <w:tr w:rsidR="00311F92" w:rsidRPr="00504360" w14:paraId="6640BF7C" w14:textId="109DF005"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311F92" w:rsidRPr="00504360" w:rsidRDefault="00311F92" w:rsidP="00311F92">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92" w:type="dxa"/>
            <w:tcBorders>
              <w:top w:val="single" w:sz="4" w:space="0" w:color="auto"/>
              <w:left w:val="single" w:sz="4" w:space="0" w:color="auto"/>
              <w:bottom w:val="single" w:sz="4" w:space="0" w:color="auto"/>
              <w:right w:val="single" w:sz="4" w:space="0" w:color="auto"/>
            </w:tcBorders>
            <w:vAlign w:val="center"/>
          </w:tcPr>
          <w:p w14:paraId="756F1838" w14:textId="22D98278" w:rsidR="00311F92" w:rsidRDefault="00311F92" w:rsidP="00311F92">
            <w:pPr>
              <w:spacing w:line="240" w:lineRule="auto"/>
              <w:jc w:val="right"/>
              <w:rPr>
                <w:rFonts w:cs="Arial"/>
                <w:sz w:val="18"/>
                <w:szCs w:val="18"/>
              </w:rPr>
            </w:pPr>
            <w:r>
              <w:rPr>
                <w:rFonts w:cs="Arial"/>
                <w:sz w:val="18"/>
                <w:szCs w:val="18"/>
              </w:rPr>
              <w:t>266</w:t>
            </w:r>
          </w:p>
        </w:tc>
        <w:tc>
          <w:tcPr>
            <w:tcW w:w="992" w:type="dxa"/>
            <w:tcBorders>
              <w:top w:val="single" w:sz="4" w:space="0" w:color="auto"/>
              <w:left w:val="single" w:sz="4" w:space="0" w:color="auto"/>
              <w:bottom w:val="single" w:sz="4" w:space="0" w:color="auto"/>
              <w:right w:val="single" w:sz="4" w:space="0" w:color="auto"/>
            </w:tcBorders>
            <w:vAlign w:val="center"/>
          </w:tcPr>
          <w:p w14:paraId="160DAEC2" w14:textId="632CB20B" w:rsidR="00311F92" w:rsidRPr="002D2253" w:rsidRDefault="00311F92" w:rsidP="00311F92">
            <w:pPr>
              <w:spacing w:line="240" w:lineRule="auto"/>
              <w:jc w:val="right"/>
              <w:rPr>
                <w:rFonts w:cs="Arial"/>
                <w:sz w:val="18"/>
                <w:szCs w:val="18"/>
              </w:rPr>
            </w:pPr>
            <w:r>
              <w:rPr>
                <w:rFonts w:cs="Arial"/>
                <w:sz w:val="18"/>
                <w:szCs w:val="18"/>
              </w:rPr>
              <w:t>244</w:t>
            </w:r>
          </w:p>
        </w:tc>
      </w:tr>
      <w:tr w:rsidR="00311F92" w:rsidRPr="00504360" w14:paraId="5461BF2B" w14:textId="7F70F316"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41FA7E88" w:rsidR="00311F92" w:rsidRPr="00504360" w:rsidRDefault="00311F92" w:rsidP="00311F92">
            <w:pPr>
              <w:spacing w:line="240" w:lineRule="auto"/>
              <w:rPr>
                <w:rFonts w:cs="Arial"/>
                <w:sz w:val="18"/>
                <w:szCs w:val="18"/>
                <w:lang w:eastAsia="en-AU"/>
              </w:rPr>
            </w:pPr>
            <w:r w:rsidRPr="0041058E">
              <w:rPr>
                <w:rFonts w:cs="Arial"/>
                <w:sz w:val="18"/>
                <w:szCs w:val="18"/>
                <w:lang w:eastAsia="en-AU"/>
              </w:rPr>
              <w:t>Attendance percentage for conferences</w:t>
            </w:r>
          </w:p>
        </w:tc>
        <w:tc>
          <w:tcPr>
            <w:tcW w:w="992" w:type="dxa"/>
            <w:tcBorders>
              <w:top w:val="single" w:sz="4" w:space="0" w:color="auto"/>
              <w:left w:val="single" w:sz="4" w:space="0" w:color="auto"/>
              <w:bottom w:val="single" w:sz="4" w:space="0" w:color="auto"/>
              <w:right w:val="single" w:sz="4" w:space="0" w:color="auto"/>
            </w:tcBorders>
            <w:vAlign w:val="center"/>
          </w:tcPr>
          <w:p w14:paraId="40FB89CF" w14:textId="0D6EF01E" w:rsidR="00311F92" w:rsidRDefault="00311F92" w:rsidP="00311F92">
            <w:pPr>
              <w:spacing w:line="240" w:lineRule="auto"/>
              <w:jc w:val="right"/>
              <w:rPr>
                <w:rFonts w:cs="Arial"/>
                <w:sz w:val="18"/>
                <w:szCs w:val="18"/>
              </w:rPr>
            </w:pPr>
            <w:r>
              <w:rPr>
                <w:rFonts w:cs="Arial"/>
                <w:sz w:val="18"/>
                <w:szCs w:val="18"/>
              </w:rPr>
              <w:t>66%</w:t>
            </w:r>
          </w:p>
        </w:tc>
        <w:tc>
          <w:tcPr>
            <w:tcW w:w="992" w:type="dxa"/>
            <w:tcBorders>
              <w:top w:val="single" w:sz="4" w:space="0" w:color="auto"/>
              <w:left w:val="single" w:sz="4" w:space="0" w:color="auto"/>
              <w:bottom w:val="single" w:sz="4" w:space="0" w:color="auto"/>
              <w:right w:val="single" w:sz="4" w:space="0" w:color="auto"/>
            </w:tcBorders>
            <w:vAlign w:val="center"/>
          </w:tcPr>
          <w:p w14:paraId="2B2A8376" w14:textId="44B74C14" w:rsidR="00311F92" w:rsidRPr="002D2253" w:rsidRDefault="00311F92" w:rsidP="00311F92">
            <w:pPr>
              <w:spacing w:line="240" w:lineRule="auto"/>
              <w:jc w:val="right"/>
              <w:rPr>
                <w:rFonts w:cs="Arial"/>
                <w:sz w:val="18"/>
                <w:szCs w:val="18"/>
              </w:rPr>
            </w:pPr>
            <w:r>
              <w:rPr>
                <w:rFonts w:cs="Arial"/>
                <w:sz w:val="18"/>
                <w:szCs w:val="18"/>
              </w:rPr>
              <w:t>68%</w:t>
            </w:r>
          </w:p>
        </w:tc>
      </w:tr>
      <w:tr w:rsidR="00311F92" w:rsidRPr="00504360" w14:paraId="71489B13" w14:textId="19021212"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41D4EDB0" w:rsidR="00311F92" w:rsidRPr="00504360" w:rsidRDefault="00311F92" w:rsidP="00311F92">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w:t>
            </w:r>
          </w:p>
        </w:tc>
        <w:tc>
          <w:tcPr>
            <w:tcW w:w="992" w:type="dxa"/>
            <w:tcBorders>
              <w:top w:val="single" w:sz="4" w:space="0" w:color="auto"/>
              <w:left w:val="single" w:sz="4" w:space="0" w:color="auto"/>
              <w:bottom w:val="single" w:sz="4" w:space="0" w:color="auto"/>
              <w:right w:val="single" w:sz="4" w:space="0" w:color="auto"/>
            </w:tcBorders>
            <w:vAlign w:val="center"/>
          </w:tcPr>
          <w:p w14:paraId="6DB9056E" w14:textId="73FE5D0D" w:rsidR="00311F92" w:rsidRDefault="00311F92" w:rsidP="00311F92">
            <w:pPr>
              <w:spacing w:line="240" w:lineRule="auto"/>
              <w:jc w:val="right"/>
              <w:rPr>
                <w:rFonts w:cs="Arial"/>
                <w:sz w:val="18"/>
                <w:szCs w:val="18"/>
              </w:rPr>
            </w:pPr>
            <w:r>
              <w:rPr>
                <w:rFonts w:cs="Arial"/>
                <w:sz w:val="18"/>
                <w:szCs w:val="18"/>
              </w:rPr>
              <w:t>31%</w:t>
            </w:r>
          </w:p>
        </w:tc>
        <w:tc>
          <w:tcPr>
            <w:tcW w:w="992" w:type="dxa"/>
            <w:tcBorders>
              <w:top w:val="single" w:sz="4" w:space="0" w:color="auto"/>
              <w:left w:val="single" w:sz="4" w:space="0" w:color="auto"/>
              <w:bottom w:val="single" w:sz="4" w:space="0" w:color="auto"/>
              <w:right w:val="single" w:sz="4" w:space="0" w:color="auto"/>
            </w:tcBorders>
            <w:vAlign w:val="center"/>
          </w:tcPr>
          <w:p w14:paraId="7F7C0BF6" w14:textId="46EE6D50" w:rsidR="00311F92" w:rsidRPr="002D2253" w:rsidRDefault="00311F92" w:rsidP="00311F92">
            <w:pPr>
              <w:spacing w:line="240" w:lineRule="auto"/>
              <w:jc w:val="right"/>
              <w:rPr>
                <w:rFonts w:cs="Arial"/>
                <w:sz w:val="18"/>
                <w:szCs w:val="18"/>
                <w:lang w:eastAsia="en-AU"/>
              </w:rPr>
            </w:pPr>
            <w:r>
              <w:rPr>
                <w:rFonts w:cs="Arial"/>
                <w:sz w:val="18"/>
                <w:szCs w:val="18"/>
              </w:rPr>
              <w:t>53%</w:t>
            </w:r>
          </w:p>
        </w:tc>
      </w:tr>
      <w:tr w:rsidR="00311F92" w:rsidRPr="00504360" w14:paraId="000DC7AD" w14:textId="54E3CAE3" w:rsidTr="00C01980">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311F92" w:rsidRPr="00504360" w:rsidRDefault="00311F92" w:rsidP="00311F92">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FB3EF98" w14:textId="77777777" w:rsidR="00311F92" w:rsidRPr="00733DE0" w:rsidRDefault="00311F92" w:rsidP="00311F92">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1EB3D4F" w14:textId="43E46BEE" w:rsidR="00311F92" w:rsidRPr="00733DE0" w:rsidRDefault="00311F92" w:rsidP="00311F92">
            <w:pPr>
              <w:spacing w:line="240" w:lineRule="auto"/>
              <w:jc w:val="right"/>
              <w:rPr>
                <w:rFonts w:cs="Arial"/>
                <w:sz w:val="18"/>
                <w:szCs w:val="18"/>
                <w:lang w:eastAsia="en-AU"/>
              </w:rPr>
            </w:pPr>
            <w:r>
              <w:rPr>
                <w:rFonts w:cs="Arial"/>
                <w:sz w:val="18"/>
                <w:szCs w:val="18"/>
              </w:rPr>
              <w:t> </w:t>
            </w:r>
          </w:p>
        </w:tc>
      </w:tr>
      <w:tr w:rsidR="00311F92" w:rsidRPr="00504360" w14:paraId="242866B2" w14:textId="789BC72D"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6FFCCD1B" w:rsidR="00311F92" w:rsidRPr="00504360" w:rsidRDefault="00311F92" w:rsidP="00311F92">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92" w:type="dxa"/>
            <w:tcBorders>
              <w:top w:val="single" w:sz="4" w:space="0" w:color="auto"/>
              <w:left w:val="single" w:sz="4" w:space="0" w:color="auto"/>
              <w:bottom w:val="single" w:sz="4" w:space="0" w:color="auto"/>
              <w:right w:val="single" w:sz="4" w:space="0" w:color="auto"/>
            </w:tcBorders>
            <w:vAlign w:val="center"/>
          </w:tcPr>
          <w:p w14:paraId="7C0DC739" w14:textId="77777777" w:rsidR="00311F92" w:rsidRPr="00733DE0" w:rsidRDefault="00311F92" w:rsidP="00311F92">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B35147E" w14:textId="2D0D6972" w:rsidR="00311F92" w:rsidRPr="00733DE0" w:rsidRDefault="00311F92" w:rsidP="00311F92">
            <w:pPr>
              <w:spacing w:line="240" w:lineRule="auto"/>
              <w:jc w:val="right"/>
              <w:rPr>
                <w:rFonts w:cs="Arial"/>
                <w:sz w:val="18"/>
                <w:szCs w:val="18"/>
                <w:lang w:eastAsia="en-AU"/>
              </w:rPr>
            </w:pPr>
            <w:r>
              <w:rPr>
                <w:rFonts w:cs="Arial"/>
                <w:sz w:val="18"/>
                <w:szCs w:val="18"/>
              </w:rPr>
              <w:t> </w:t>
            </w:r>
          </w:p>
        </w:tc>
      </w:tr>
      <w:tr w:rsidR="00311F92" w:rsidRPr="00504360" w14:paraId="5D7BAD0E" w14:textId="0E5FE517"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311F92" w:rsidRPr="00504360" w:rsidRDefault="00311F92" w:rsidP="00311F92">
            <w:pPr>
              <w:spacing w:line="240" w:lineRule="auto"/>
              <w:rPr>
                <w:rFonts w:cs="Arial"/>
                <w:sz w:val="18"/>
                <w:szCs w:val="18"/>
                <w:lang w:eastAsia="en-AU"/>
              </w:rPr>
            </w:pPr>
            <w:r w:rsidRPr="00504360">
              <w:rPr>
                <w:rFonts w:cs="Arial"/>
                <w:sz w:val="18"/>
                <w:szCs w:val="18"/>
              </w:rPr>
              <w:t>Agreements to attend community support services</w:t>
            </w:r>
          </w:p>
        </w:tc>
        <w:tc>
          <w:tcPr>
            <w:tcW w:w="992" w:type="dxa"/>
            <w:tcBorders>
              <w:top w:val="single" w:sz="4" w:space="0" w:color="auto"/>
              <w:left w:val="single" w:sz="4" w:space="0" w:color="auto"/>
              <w:bottom w:val="single" w:sz="4" w:space="0" w:color="auto"/>
              <w:right w:val="single" w:sz="4" w:space="0" w:color="auto"/>
            </w:tcBorders>
            <w:vAlign w:val="center"/>
          </w:tcPr>
          <w:p w14:paraId="30635B95" w14:textId="0044B7BC" w:rsidR="00311F92" w:rsidRDefault="00311F92" w:rsidP="00311F92">
            <w:pPr>
              <w:spacing w:line="240" w:lineRule="auto"/>
              <w:jc w:val="right"/>
              <w:rPr>
                <w:rFonts w:cs="Arial"/>
                <w:sz w:val="18"/>
                <w:szCs w:val="18"/>
              </w:rPr>
            </w:pPr>
            <w:r>
              <w:rPr>
                <w:rFonts w:cs="Arial"/>
                <w:sz w:val="18"/>
                <w:szCs w:val="18"/>
              </w:rPr>
              <w:t>86</w:t>
            </w:r>
          </w:p>
        </w:tc>
        <w:tc>
          <w:tcPr>
            <w:tcW w:w="992" w:type="dxa"/>
            <w:tcBorders>
              <w:top w:val="single" w:sz="4" w:space="0" w:color="auto"/>
              <w:left w:val="single" w:sz="4" w:space="0" w:color="auto"/>
              <w:bottom w:val="single" w:sz="4" w:space="0" w:color="auto"/>
              <w:right w:val="single" w:sz="4" w:space="0" w:color="auto"/>
            </w:tcBorders>
            <w:vAlign w:val="center"/>
          </w:tcPr>
          <w:p w14:paraId="0FE4697E" w14:textId="76930809" w:rsidR="00311F92" w:rsidRPr="002D2253" w:rsidRDefault="00311F92" w:rsidP="00311F92">
            <w:pPr>
              <w:spacing w:line="240" w:lineRule="auto"/>
              <w:jc w:val="right"/>
              <w:rPr>
                <w:rFonts w:cs="Arial"/>
                <w:sz w:val="18"/>
                <w:szCs w:val="18"/>
              </w:rPr>
            </w:pPr>
            <w:r>
              <w:rPr>
                <w:rFonts w:cs="Arial"/>
                <w:sz w:val="18"/>
                <w:szCs w:val="18"/>
              </w:rPr>
              <w:t>56</w:t>
            </w:r>
          </w:p>
        </w:tc>
      </w:tr>
      <w:tr w:rsidR="00311F92" w:rsidRPr="00504360" w14:paraId="2EEF3859" w14:textId="48AFBAD9"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311F92" w:rsidRPr="00504360" w:rsidRDefault="00311F92" w:rsidP="00311F92">
            <w:pPr>
              <w:spacing w:line="240" w:lineRule="auto"/>
              <w:rPr>
                <w:rFonts w:cs="Arial"/>
                <w:sz w:val="18"/>
                <w:szCs w:val="18"/>
                <w:lang w:eastAsia="en-AU"/>
              </w:rPr>
            </w:pPr>
            <w:r w:rsidRPr="00504360">
              <w:rPr>
                <w:rFonts w:cs="Arial"/>
                <w:sz w:val="18"/>
                <w:szCs w:val="18"/>
              </w:rPr>
              <w:t>Orders made to attend community support services</w:t>
            </w:r>
          </w:p>
        </w:tc>
        <w:tc>
          <w:tcPr>
            <w:tcW w:w="992" w:type="dxa"/>
            <w:tcBorders>
              <w:top w:val="single" w:sz="4" w:space="0" w:color="auto"/>
              <w:left w:val="single" w:sz="4" w:space="0" w:color="auto"/>
              <w:bottom w:val="single" w:sz="4" w:space="0" w:color="auto"/>
              <w:right w:val="single" w:sz="4" w:space="0" w:color="auto"/>
            </w:tcBorders>
            <w:vAlign w:val="center"/>
          </w:tcPr>
          <w:p w14:paraId="6AED3DE1" w14:textId="67494C16" w:rsidR="00311F92" w:rsidRDefault="00311F92" w:rsidP="00311F92">
            <w:pPr>
              <w:spacing w:line="240" w:lineRule="auto"/>
              <w:jc w:val="right"/>
              <w:rPr>
                <w:rFonts w:cs="Arial"/>
                <w:sz w:val="18"/>
                <w:szCs w:val="18"/>
              </w:rPr>
            </w:pPr>
            <w:r>
              <w:rPr>
                <w:rFonts w:cs="Arial"/>
                <w:sz w:val="18"/>
                <w:szCs w:val="18"/>
              </w:rPr>
              <w:t>45</w:t>
            </w:r>
          </w:p>
        </w:tc>
        <w:tc>
          <w:tcPr>
            <w:tcW w:w="992" w:type="dxa"/>
            <w:tcBorders>
              <w:top w:val="single" w:sz="4" w:space="0" w:color="auto"/>
              <w:left w:val="single" w:sz="4" w:space="0" w:color="auto"/>
              <w:bottom w:val="single" w:sz="4" w:space="0" w:color="auto"/>
              <w:right w:val="single" w:sz="4" w:space="0" w:color="auto"/>
            </w:tcBorders>
            <w:vAlign w:val="center"/>
          </w:tcPr>
          <w:p w14:paraId="189FF9E4" w14:textId="01A8485F" w:rsidR="00311F92" w:rsidRPr="002D2253" w:rsidRDefault="00311F92" w:rsidP="00311F92">
            <w:pPr>
              <w:spacing w:line="240" w:lineRule="auto"/>
              <w:jc w:val="right"/>
              <w:rPr>
                <w:rFonts w:cs="Arial"/>
                <w:sz w:val="18"/>
                <w:szCs w:val="18"/>
              </w:rPr>
            </w:pPr>
            <w:r>
              <w:rPr>
                <w:rFonts w:cs="Arial"/>
                <w:sz w:val="18"/>
                <w:szCs w:val="18"/>
              </w:rPr>
              <w:t>38</w:t>
            </w:r>
          </w:p>
        </w:tc>
      </w:tr>
      <w:tr w:rsidR="00311F92" w:rsidRPr="00504360" w14:paraId="6ABD7603" w14:textId="4C425840"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6622F3D" w:rsidR="00311F92" w:rsidRPr="00504360" w:rsidRDefault="00311F92" w:rsidP="00311F92">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92" w:type="dxa"/>
            <w:tcBorders>
              <w:top w:val="single" w:sz="4" w:space="0" w:color="auto"/>
              <w:left w:val="single" w:sz="4" w:space="0" w:color="auto"/>
              <w:bottom w:val="single" w:sz="4" w:space="0" w:color="auto"/>
              <w:right w:val="single" w:sz="4" w:space="0" w:color="auto"/>
            </w:tcBorders>
            <w:vAlign w:val="center"/>
          </w:tcPr>
          <w:p w14:paraId="03F279B8" w14:textId="01F8C8F4" w:rsidR="00311F92" w:rsidRDefault="00311F92" w:rsidP="00311F92">
            <w:pPr>
              <w:spacing w:line="240" w:lineRule="auto"/>
              <w:jc w:val="right"/>
              <w:rPr>
                <w:rFonts w:cs="Arial"/>
                <w:sz w:val="18"/>
                <w:szCs w:val="18"/>
              </w:rPr>
            </w:pPr>
            <w:r>
              <w:rPr>
                <w:rFonts w:cs="Arial"/>
                <w:sz w:val="18"/>
                <w:szCs w:val="18"/>
              </w:rPr>
              <w:t>154</w:t>
            </w:r>
          </w:p>
        </w:tc>
        <w:tc>
          <w:tcPr>
            <w:tcW w:w="992" w:type="dxa"/>
            <w:tcBorders>
              <w:top w:val="single" w:sz="4" w:space="0" w:color="auto"/>
              <w:left w:val="single" w:sz="4" w:space="0" w:color="auto"/>
              <w:bottom w:val="single" w:sz="4" w:space="0" w:color="auto"/>
              <w:right w:val="single" w:sz="4" w:space="0" w:color="auto"/>
            </w:tcBorders>
            <w:vAlign w:val="center"/>
          </w:tcPr>
          <w:p w14:paraId="28406079" w14:textId="2FED04CF" w:rsidR="00311F92" w:rsidRPr="002D2253" w:rsidRDefault="00311F92" w:rsidP="00311F92">
            <w:pPr>
              <w:spacing w:line="240" w:lineRule="auto"/>
              <w:jc w:val="right"/>
              <w:rPr>
                <w:rFonts w:cs="Arial"/>
                <w:sz w:val="18"/>
                <w:szCs w:val="18"/>
              </w:rPr>
            </w:pPr>
            <w:r>
              <w:rPr>
                <w:rFonts w:cs="Arial"/>
                <w:sz w:val="18"/>
                <w:szCs w:val="18"/>
              </w:rPr>
              <w:t>116</w:t>
            </w:r>
          </w:p>
        </w:tc>
      </w:tr>
      <w:tr w:rsidR="00311F92" w:rsidRPr="00504360" w14:paraId="2709F335" w14:textId="77777777"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5C9370F" w14:textId="6A13D77F" w:rsidR="00311F92" w:rsidRDefault="00311F92" w:rsidP="00311F92">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92" w:type="dxa"/>
            <w:tcBorders>
              <w:top w:val="single" w:sz="4" w:space="0" w:color="auto"/>
              <w:left w:val="single" w:sz="4" w:space="0" w:color="auto"/>
              <w:bottom w:val="single" w:sz="4" w:space="0" w:color="auto"/>
              <w:right w:val="single" w:sz="4" w:space="0" w:color="auto"/>
            </w:tcBorders>
            <w:vAlign w:val="center"/>
          </w:tcPr>
          <w:p w14:paraId="59278FB0" w14:textId="4041FC27" w:rsidR="00311F92" w:rsidRDefault="00311F92" w:rsidP="00311F92">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694F6CB3" w14:textId="32DE37B1" w:rsidR="00311F92" w:rsidRPr="002D2253" w:rsidRDefault="00311F92" w:rsidP="00311F92">
            <w:pPr>
              <w:spacing w:line="240" w:lineRule="auto"/>
              <w:jc w:val="right"/>
              <w:rPr>
                <w:rFonts w:cs="Arial"/>
                <w:sz w:val="18"/>
                <w:szCs w:val="18"/>
              </w:rPr>
            </w:pPr>
            <w:r>
              <w:rPr>
                <w:rFonts w:cs="Arial"/>
                <w:sz w:val="18"/>
                <w:szCs w:val="18"/>
              </w:rPr>
              <w:t>0</w:t>
            </w:r>
          </w:p>
        </w:tc>
      </w:tr>
      <w:tr w:rsidR="00311F92" w:rsidRPr="00504360" w14:paraId="72AB99E7" w14:textId="283639BC" w:rsidTr="00C01980">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311F92" w:rsidRPr="00504360" w:rsidRDefault="00311F92" w:rsidP="00311F92">
            <w:pPr>
              <w:spacing w:line="240" w:lineRule="auto"/>
              <w:rPr>
                <w:rFonts w:cs="Arial"/>
                <w:sz w:val="18"/>
                <w:szCs w:val="18"/>
                <w:lang w:eastAsia="en-AU"/>
              </w:rPr>
            </w:pPr>
            <w:r w:rsidRPr="00504360">
              <w:rPr>
                <w:rFonts w:cs="Arial"/>
                <w:sz w:val="18"/>
                <w:szCs w:val="18"/>
              </w:rPr>
              <w:t>Orders made for CIM</w:t>
            </w:r>
          </w:p>
        </w:tc>
        <w:tc>
          <w:tcPr>
            <w:tcW w:w="992" w:type="dxa"/>
            <w:tcBorders>
              <w:top w:val="single" w:sz="4" w:space="0" w:color="auto"/>
              <w:left w:val="single" w:sz="4" w:space="0" w:color="auto"/>
              <w:bottom w:val="single" w:sz="4" w:space="0" w:color="auto"/>
              <w:right w:val="single" w:sz="4" w:space="0" w:color="auto"/>
            </w:tcBorders>
            <w:vAlign w:val="center"/>
          </w:tcPr>
          <w:p w14:paraId="34D54E2D" w14:textId="3E7330E6" w:rsidR="00311F92" w:rsidRDefault="00311F92" w:rsidP="00311F92">
            <w:pPr>
              <w:spacing w:line="240" w:lineRule="auto"/>
              <w:jc w:val="right"/>
              <w:rPr>
                <w:rFonts w:cs="Arial"/>
                <w:sz w:val="18"/>
                <w:szCs w:val="18"/>
              </w:rPr>
            </w:pPr>
            <w:r>
              <w:rPr>
                <w:rFonts w:cs="Arial"/>
                <w:sz w:val="18"/>
                <w:szCs w:val="18"/>
              </w:rPr>
              <w:t>21</w:t>
            </w:r>
          </w:p>
        </w:tc>
        <w:tc>
          <w:tcPr>
            <w:tcW w:w="992" w:type="dxa"/>
            <w:tcBorders>
              <w:top w:val="single" w:sz="4" w:space="0" w:color="auto"/>
              <w:left w:val="single" w:sz="4" w:space="0" w:color="auto"/>
              <w:bottom w:val="single" w:sz="4" w:space="0" w:color="auto"/>
              <w:right w:val="single" w:sz="4" w:space="0" w:color="auto"/>
            </w:tcBorders>
            <w:vAlign w:val="center"/>
          </w:tcPr>
          <w:p w14:paraId="43519C0A" w14:textId="120B5303" w:rsidR="00311F92" w:rsidRPr="002D2253" w:rsidRDefault="00311F92" w:rsidP="00311F92">
            <w:pPr>
              <w:spacing w:line="240" w:lineRule="auto"/>
              <w:jc w:val="right"/>
              <w:rPr>
                <w:rFonts w:cs="Arial"/>
                <w:sz w:val="18"/>
                <w:szCs w:val="18"/>
              </w:rPr>
            </w:pPr>
            <w:r>
              <w:rPr>
                <w:rFonts w:cs="Arial"/>
                <w:sz w:val="18"/>
                <w:szCs w:val="18"/>
              </w:rPr>
              <w:t>13</w:t>
            </w:r>
          </w:p>
        </w:tc>
      </w:tr>
    </w:tbl>
    <w:p w14:paraId="2FD0CBCB" w14:textId="5E5C658B" w:rsidR="000114A6" w:rsidRDefault="000114A6"/>
    <w:p w14:paraId="19B06170" w14:textId="77777777" w:rsidR="000114A6" w:rsidRDefault="000114A6">
      <w:pPr>
        <w:spacing w:line="240" w:lineRule="auto"/>
      </w:pPr>
      <w:r>
        <w:br w:type="page"/>
      </w:r>
    </w:p>
    <w:tbl>
      <w:tblPr>
        <w:tblW w:w="9389" w:type="dxa"/>
        <w:tblInd w:w="103" w:type="dxa"/>
        <w:tblLook w:val="04A0" w:firstRow="1" w:lastRow="0" w:firstColumn="1" w:lastColumn="0" w:noHBand="0" w:noVBand="1"/>
      </w:tblPr>
      <w:tblGrid>
        <w:gridCol w:w="7405"/>
        <w:gridCol w:w="992"/>
        <w:gridCol w:w="992"/>
      </w:tblGrid>
      <w:tr w:rsidR="003D3B04" w:rsidRPr="00504360" w14:paraId="1D148075" w14:textId="77777777" w:rsidTr="003D3B04">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920CEF9" w14:textId="22CFF7FC" w:rsidR="003D3B04" w:rsidRPr="0041058E" w:rsidRDefault="003D3B04" w:rsidP="003D3B04">
            <w:pPr>
              <w:spacing w:line="240" w:lineRule="auto"/>
              <w:rPr>
                <w:rFonts w:cs="Arial"/>
                <w:b/>
                <w:sz w:val="18"/>
                <w:szCs w:val="18"/>
                <w:lang w:eastAsia="en-AU"/>
              </w:rPr>
            </w:pPr>
            <w:r>
              <w:rPr>
                <w:rFonts w:cs="Arial"/>
                <w:b/>
                <w:sz w:val="18"/>
                <w:szCs w:val="18"/>
                <w:lang w:eastAsia="en-AU"/>
              </w:rPr>
              <w:lastRenderedPageBreak/>
              <w:t>Domestic Violence statistical information as a subset from the total number of conferences conducted, referrals made and CIMs put in place</w:t>
            </w:r>
          </w:p>
        </w:tc>
        <w:tc>
          <w:tcPr>
            <w:tcW w:w="992" w:type="dxa"/>
            <w:tcBorders>
              <w:top w:val="single" w:sz="4" w:space="0" w:color="auto"/>
              <w:left w:val="single" w:sz="4" w:space="0" w:color="auto"/>
              <w:bottom w:val="single" w:sz="4" w:space="0" w:color="auto"/>
              <w:right w:val="single" w:sz="4" w:space="0" w:color="auto"/>
            </w:tcBorders>
          </w:tcPr>
          <w:p w14:paraId="11058156" w14:textId="18BE197D" w:rsidR="003D3B04" w:rsidRPr="00504360" w:rsidRDefault="003D3B04" w:rsidP="003D3B04">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58</w:t>
            </w:r>
          </w:p>
        </w:tc>
        <w:tc>
          <w:tcPr>
            <w:tcW w:w="992" w:type="dxa"/>
            <w:tcBorders>
              <w:top w:val="single" w:sz="4" w:space="0" w:color="auto"/>
              <w:left w:val="single" w:sz="4" w:space="0" w:color="auto"/>
              <w:bottom w:val="single" w:sz="4" w:space="0" w:color="auto"/>
              <w:right w:val="single" w:sz="4" w:space="0" w:color="auto"/>
            </w:tcBorders>
          </w:tcPr>
          <w:p w14:paraId="6439EBB6" w14:textId="1FD54DE6" w:rsidR="003D3B04" w:rsidRPr="00504360" w:rsidRDefault="003D3B04" w:rsidP="003D3B04">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59</w:t>
            </w:r>
          </w:p>
        </w:tc>
      </w:tr>
      <w:tr w:rsidR="00311F92" w:rsidRPr="00504360" w14:paraId="4E8132BF" w14:textId="77777777" w:rsidTr="00311F92">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CB70D17" w14:textId="45EDC03D" w:rsidR="00311F92" w:rsidRPr="00561C6C" w:rsidRDefault="00311F92" w:rsidP="00311F92">
            <w:pPr>
              <w:spacing w:line="240" w:lineRule="auto"/>
              <w:rPr>
                <w:rFonts w:cs="Arial"/>
                <w:sz w:val="18"/>
                <w:szCs w:val="18"/>
              </w:rPr>
            </w:pPr>
            <w:r w:rsidRPr="00561C6C">
              <w:rPr>
                <w:rFonts w:cs="Arial"/>
                <w:sz w:val="18"/>
                <w:szCs w:val="18"/>
              </w:rPr>
              <w:t xml:space="preserve">Conferences for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m</w:t>
            </w:r>
            <w:r w:rsidRPr="00561C6C">
              <w:rPr>
                <w:rFonts w:cs="Arial"/>
                <w:sz w:val="18"/>
                <w:szCs w:val="18"/>
              </w:rPr>
              <w:t>atters</w:t>
            </w:r>
          </w:p>
        </w:tc>
        <w:tc>
          <w:tcPr>
            <w:tcW w:w="992" w:type="dxa"/>
            <w:tcBorders>
              <w:top w:val="single" w:sz="4" w:space="0" w:color="auto"/>
              <w:left w:val="single" w:sz="4" w:space="0" w:color="auto"/>
              <w:bottom w:val="single" w:sz="4" w:space="0" w:color="auto"/>
              <w:right w:val="single" w:sz="4" w:space="0" w:color="auto"/>
            </w:tcBorders>
          </w:tcPr>
          <w:p w14:paraId="6B8C53EB" w14:textId="4FE48A41" w:rsidR="00311F92" w:rsidRDefault="00311F92" w:rsidP="00311F92">
            <w:pPr>
              <w:spacing w:line="240" w:lineRule="auto"/>
              <w:jc w:val="right"/>
              <w:rPr>
                <w:rFonts w:cs="Arial"/>
                <w:sz w:val="18"/>
                <w:szCs w:val="18"/>
                <w:lang w:eastAsia="en-AU"/>
              </w:rPr>
            </w:pPr>
            <w:r>
              <w:rPr>
                <w:rFonts w:cs="Arial"/>
                <w:sz w:val="18"/>
                <w:szCs w:val="18"/>
                <w:lang w:eastAsia="en-AU"/>
              </w:rPr>
              <w:t>78</w:t>
            </w:r>
          </w:p>
        </w:tc>
        <w:tc>
          <w:tcPr>
            <w:tcW w:w="992" w:type="dxa"/>
            <w:tcBorders>
              <w:top w:val="single" w:sz="4" w:space="0" w:color="auto"/>
              <w:left w:val="single" w:sz="4" w:space="0" w:color="auto"/>
              <w:bottom w:val="single" w:sz="4" w:space="0" w:color="auto"/>
              <w:right w:val="single" w:sz="4" w:space="0" w:color="auto"/>
            </w:tcBorders>
            <w:vAlign w:val="center"/>
          </w:tcPr>
          <w:p w14:paraId="5C2D3CC5" w14:textId="3BA5BFC3" w:rsidR="00311F92" w:rsidRPr="00561C6C" w:rsidRDefault="00311F92" w:rsidP="00311F92">
            <w:pPr>
              <w:spacing w:line="240" w:lineRule="auto"/>
              <w:jc w:val="right"/>
              <w:rPr>
                <w:rFonts w:cs="Arial"/>
                <w:sz w:val="18"/>
                <w:szCs w:val="18"/>
                <w:lang w:eastAsia="en-AU"/>
              </w:rPr>
            </w:pPr>
            <w:r>
              <w:rPr>
                <w:rFonts w:cs="Arial"/>
                <w:sz w:val="18"/>
                <w:szCs w:val="18"/>
              </w:rPr>
              <w:t>44</w:t>
            </w:r>
          </w:p>
        </w:tc>
      </w:tr>
      <w:tr w:rsidR="00311F92" w:rsidRPr="00504360" w14:paraId="62188BF7" w14:textId="77777777" w:rsidTr="00311F92">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FACBC9B" w14:textId="66E2C5B0" w:rsidR="00311F92" w:rsidRPr="00561C6C" w:rsidRDefault="00311F92" w:rsidP="00311F92">
            <w:pPr>
              <w:spacing w:line="240" w:lineRule="auto"/>
              <w:rPr>
                <w:rFonts w:cs="Arial"/>
                <w:sz w:val="18"/>
                <w:szCs w:val="18"/>
              </w:rPr>
            </w:pPr>
            <w:r w:rsidRPr="00561C6C">
              <w:rPr>
                <w:rFonts w:cs="Arial"/>
                <w:sz w:val="18"/>
                <w:szCs w:val="18"/>
              </w:rPr>
              <w:t xml:space="preserve">Referrals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92" w:type="dxa"/>
            <w:tcBorders>
              <w:top w:val="single" w:sz="4" w:space="0" w:color="auto"/>
              <w:left w:val="single" w:sz="4" w:space="0" w:color="auto"/>
              <w:bottom w:val="single" w:sz="4" w:space="0" w:color="auto"/>
              <w:right w:val="single" w:sz="4" w:space="0" w:color="auto"/>
            </w:tcBorders>
          </w:tcPr>
          <w:p w14:paraId="1B19E104" w14:textId="0D98C226" w:rsidR="00311F92" w:rsidRDefault="00311F92" w:rsidP="00311F92">
            <w:pPr>
              <w:spacing w:line="240" w:lineRule="auto"/>
              <w:jc w:val="right"/>
              <w:rPr>
                <w:rFonts w:cs="Arial"/>
                <w:sz w:val="18"/>
                <w:szCs w:val="18"/>
                <w:lang w:eastAsia="en-AU"/>
              </w:rPr>
            </w:pPr>
            <w:r>
              <w:rPr>
                <w:rFonts w:cs="Arial"/>
                <w:sz w:val="18"/>
                <w:szCs w:val="18"/>
                <w:lang w:eastAsia="en-AU"/>
              </w:rPr>
              <w:t>53</w:t>
            </w:r>
          </w:p>
        </w:tc>
        <w:tc>
          <w:tcPr>
            <w:tcW w:w="992" w:type="dxa"/>
            <w:tcBorders>
              <w:top w:val="single" w:sz="4" w:space="0" w:color="auto"/>
              <w:left w:val="single" w:sz="4" w:space="0" w:color="auto"/>
              <w:bottom w:val="single" w:sz="4" w:space="0" w:color="auto"/>
              <w:right w:val="single" w:sz="4" w:space="0" w:color="auto"/>
            </w:tcBorders>
            <w:vAlign w:val="center"/>
          </w:tcPr>
          <w:p w14:paraId="08F9615B" w14:textId="60BA6857" w:rsidR="00311F92" w:rsidRPr="00561C6C" w:rsidRDefault="00311F92" w:rsidP="00311F92">
            <w:pPr>
              <w:spacing w:line="240" w:lineRule="auto"/>
              <w:jc w:val="right"/>
              <w:rPr>
                <w:rFonts w:cs="Arial"/>
                <w:sz w:val="18"/>
                <w:szCs w:val="18"/>
                <w:lang w:eastAsia="en-AU"/>
              </w:rPr>
            </w:pPr>
            <w:r>
              <w:rPr>
                <w:rFonts w:cs="Arial"/>
                <w:sz w:val="18"/>
                <w:szCs w:val="18"/>
              </w:rPr>
              <w:t>30</w:t>
            </w:r>
          </w:p>
        </w:tc>
      </w:tr>
      <w:tr w:rsidR="00311F92" w:rsidRPr="00504360" w14:paraId="4805DD92" w14:textId="77777777" w:rsidTr="00311F92">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07EAB58" w14:textId="47455EF2" w:rsidR="00311F92" w:rsidRPr="00561C6C" w:rsidRDefault="00311F92" w:rsidP="00311F92">
            <w:pPr>
              <w:spacing w:line="240" w:lineRule="auto"/>
              <w:rPr>
                <w:rFonts w:cs="Arial"/>
                <w:sz w:val="18"/>
                <w:szCs w:val="18"/>
              </w:rPr>
            </w:pPr>
            <w:r w:rsidRPr="00561C6C">
              <w:rPr>
                <w:rFonts w:cs="Arial"/>
                <w:sz w:val="18"/>
                <w:szCs w:val="18"/>
              </w:rPr>
              <w:t>CIM</w:t>
            </w:r>
            <w:r>
              <w:rPr>
                <w:rFonts w:cs="Arial"/>
                <w:sz w:val="18"/>
                <w:szCs w:val="18"/>
              </w:rPr>
              <w:t>’s</w:t>
            </w:r>
            <w:r w:rsidRPr="00561C6C">
              <w:rPr>
                <w:rFonts w:cs="Arial"/>
                <w:sz w:val="18"/>
                <w:szCs w:val="18"/>
              </w:rPr>
              <w:t xml:space="preserve">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92" w:type="dxa"/>
            <w:tcBorders>
              <w:top w:val="single" w:sz="4" w:space="0" w:color="auto"/>
              <w:left w:val="single" w:sz="4" w:space="0" w:color="auto"/>
              <w:bottom w:val="single" w:sz="4" w:space="0" w:color="auto"/>
              <w:right w:val="single" w:sz="4" w:space="0" w:color="auto"/>
            </w:tcBorders>
          </w:tcPr>
          <w:p w14:paraId="2D2E44EF" w14:textId="385CD9D0" w:rsidR="00311F92" w:rsidRDefault="00311F92" w:rsidP="00311F92">
            <w:pPr>
              <w:spacing w:line="240" w:lineRule="auto"/>
              <w:jc w:val="right"/>
              <w:rPr>
                <w:rFonts w:cs="Arial"/>
                <w:sz w:val="18"/>
                <w:szCs w:val="18"/>
                <w:lang w:eastAsia="en-AU"/>
              </w:rPr>
            </w:pPr>
            <w:r>
              <w:rPr>
                <w:rFonts w:cs="Arial"/>
                <w:sz w:val="18"/>
                <w:szCs w:val="18"/>
                <w:lang w:eastAsia="en-AU"/>
              </w:rPr>
              <w:t>0</w:t>
            </w:r>
          </w:p>
        </w:tc>
        <w:tc>
          <w:tcPr>
            <w:tcW w:w="992" w:type="dxa"/>
            <w:tcBorders>
              <w:top w:val="single" w:sz="4" w:space="0" w:color="auto"/>
              <w:left w:val="single" w:sz="4" w:space="0" w:color="auto"/>
              <w:bottom w:val="single" w:sz="4" w:space="0" w:color="auto"/>
              <w:right w:val="single" w:sz="4" w:space="0" w:color="auto"/>
            </w:tcBorders>
            <w:vAlign w:val="center"/>
          </w:tcPr>
          <w:p w14:paraId="327B8764" w14:textId="6A41BCE7" w:rsidR="00311F92" w:rsidRPr="00561C6C" w:rsidRDefault="00311F92" w:rsidP="00311F92">
            <w:pPr>
              <w:spacing w:line="240" w:lineRule="auto"/>
              <w:jc w:val="right"/>
              <w:rPr>
                <w:rFonts w:cs="Arial"/>
                <w:sz w:val="18"/>
                <w:szCs w:val="18"/>
                <w:lang w:eastAsia="en-AU"/>
              </w:rPr>
            </w:pPr>
            <w:r>
              <w:rPr>
                <w:rFonts w:cs="Arial"/>
                <w:sz w:val="18"/>
                <w:szCs w:val="18"/>
              </w:rPr>
              <w:t>2</w:t>
            </w:r>
          </w:p>
        </w:tc>
      </w:tr>
      <w:tr w:rsidR="00311F92" w:rsidRPr="00504360" w14:paraId="7C69E8E6" w14:textId="77777777" w:rsidTr="00311F92">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46760947" w14:textId="77777777" w:rsidR="00311F92" w:rsidRPr="0041058E" w:rsidRDefault="00311F92" w:rsidP="00311F92">
            <w:pPr>
              <w:spacing w:line="240" w:lineRule="auto"/>
              <w:rPr>
                <w:rFonts w:cs="Arial"/>
                <w:b/>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tcPr>
          <w:p w14:paraId="0F1979A7" w14:textId="77777777" w:rsidR="00311F92" w:rsidRPr="00504360" w:rsidRDefault="00311F92" w:rsidP="00311F92">
            <w:pPr>
              <w:spacing w:line="240" w:lineRule="auto"/>
              <w:jc w:val="right"/>
              <w:rPr>
                <w:rFonts w:cs="Arial"/>
                <w:b/>
                <w:bCs/>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F50DE39" w14:textId="76F8C7F3" w:rsidR="00311F92" w:rsidRPr="00504360" w:rsidRDefault="00311F92" w:rsidP="00311F92">
            <w:pPr>
              <w:spacing w:line="240" w:lineRule="auto"/>
              <w:jc w:val="right"/>
              <w:rPr>
                <w:rFonts w:cs="Arial"/>
                <w:b/>
                <w:bCs/>
                <w:sz w:val="18"/>
                <w:szCs w:val="18"/>
                <w:lang w:eastAsia="en-AU"/>
              </w:rPr>
            </w:pPr>
            <w:r>
              <w:rPr>
                <w:rFonts w:cs="Arial"/>
                <w:sz w:val="18"/>
                <w:szCs w:val="18"/>
              </w:rPr>
              <w:t> </w:t>
            </w:r>
          </w:p>
        </w:tc>
      </w:tr>
      <w:tr w:rsidR="00311F92" w:rsidRPr="00504360" w14:paraId="4B8C25F7" w14:textId="77777777" w:rsidTr="00311F92">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A6A2591" w14:textId="2CA17AC3" w:rsidR="00311F92" w:rsidRPr="00504360" w:rsidRDefault="00311F92" w:rsidP="00311F92">
            <w:pPr>
              <w:spacing w:line="240" w:lineRule="auto"/>
              <w:rPr>
                <w:rFonts w:cs="Arial"/>
                <w:sz w:val="18"/>
                <w:szCs w:val="18"/>
              </w:rPr>
            </w:pPr>
            <w:r w:rsidRPr="0041058E">
              <w:rPr>
                <w:rFonts w:cs="Arial"/>
                <w:b/>
                <w:sz w:val="18"/>
                <w:szCs w:val="18"/>
                <w:lang w:eastAsia="en-AU"/>
              </w:rPr>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tcPr>
          <w:p w14:paraId="03FF75DD" w14:textId="77777777" w:rsidR="00311F92" w:rsidRPr="00733DE0" w:rsidRDefault="00311F92" w:rsidP="00311F92">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A5F7805" w14:textId="411BB3E8" w:rsidR="00311F92" w:rsidRPr="00733DE0" w:rsidRDefault="00311F92" w:rsidP="00311F92">
            <w:pPr>
              <w:spacing w:line="240" w:lineRule="auto"/>
              <w:jc w:val="right"/>
              <w:rPr>
                <w:rFonts w:cs="Arial"/>
                <w:sz w:val="18"/>
                <w:szCs w:val="18"/>
              </w:rPr>
            </w:pPr>
            <w:r>
              <w:rPr>
                <w:rFonts w:cs="Arial"/>
                <w:sz w:val="18"/>
                <w:szCs w:val="18"/>
              </w:rPr>
              <w:t> </w:t>
            </w:r>
          </w:p>
        </w:tc>
      </w:tr>
      <w:tr w:rsidR="00311F92" w:rsidRPr="00504360" w14:paraId="74C95294" w14:textId="77777777" w:rsidTr="003D3B04">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115F8D9F" w14:textId="1122760F" w:rsidR="00311F92" w:rsidRDefault="00311F92" w:rsidP="00311F92">
            <w:pPr>
              <w:spacing w:line="240" w:lineRule="auto"/>
              <w:rPr>
                <w:rFonts w:cs="Arial"/>
                <w:sz w:val="18"/>
                <w:szCs w:val="18"/>
              </w:rPr>
            </w:pPr>
            <w:r>
              <w:rPr>
                <w:rFonts w:cs="Arial"/>
                <w:sz w:val="18"/>
                <w:szCs w:val="18"/>
              </w:rPr>
              <w:t xml:space="preserve">Number of amend/end decisions for </w:t>
            </w:r>
            <w:r w:rsidRPr="00AC019C">
              <w:rPr>
                <w:rFonts w:cs="Arial"/>
                <w:bCs/>
                <w:sz w:val="18"/>
                <w:szCs w:val="18"/>
                <w:lang w:eastAsia="en-AU"/>
              </w:rPr>
              <w:t>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vAlign w:val="center"/>
          </w:tcPr>
          <w:p w14:paraId="50D4287C" w14:textId="5D1CC844" w:rsidR="00311F92" w:rsidRDefault="00311F92" w:rsidP="00311F92">
            <w:pPr>
              <w:spacing w:line="240" w:lineRule="auto"/>
              <w:jc w:val="right"/>
              <w:rPr>
                <w:rFonts w:cs="Arial"/>
                <w:sz w:val="18"/>
                <w:szCs w:val="18"/>
              </w:rPr>
            </w:pPr>
            <w:r>
              <w:rPr>
                <w:rFonts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5053B86" w14:textId="5ED1A438" w:rsidR="00311F92" w:rsidRDefault="00311F92" w:rsidP="00311F92">
            <w:pPr>
              <w:spacing w:line="240" w:lineRule="auto"/>
              <w:jc w:val="right"/>
              <w:rPr>
                <w:rFonts w:cs="Arial"/>
                <w:sz w:val="18"/>
                <w:szCs w:val="18"/>
              </w:rPr>
            </w:pPr>
            <w:r>
              <w:rPr>
                <w:rFonts w:cs="Arial"/>
                <w:sz w:val="18"/>
                <w:szCs w:val="18"/>
              </w:rPr>
              <w:t>2</w:t>
            </w:r>
          </w:p>
        </w:tc>
      </w:tr>
      <w:tr w:rsidR="00311F92" w:rsidRPr="00504360" w14:paraId="0F426218" w14:textId="77777777" w:rsidTr="003D3B04">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776A41F8" w14:textId="70D6C571" w:rsidR="00311F92" w:rsidRPr="00504360" w:rsidRDefault="00311F92" w:rsidP="00311F92">
            <w:pPr>
              <w:spacing w:line="240" w:lineRule="auto"/>
              <w:rPr>
                <w:rFonts w:cs="Arial"/>
                <w:sz w:val="18"/>
                <w:szCs w:val="18"/>
              </w:rPr>
            </w:pPr>
            <w:r>
              <w:rPr>
                <w:rFonts w:cs="Arial"/>
                <w:sz w:val="18"/>
                <w:szCs w:val="18"/>
              </w:rPr>
              <w:t>Accepted</w:t>
            </w:r>
          </w:p>
        </w:tc>
        <w:tc>
          <w:tcPr>
            <w:tcW w:w="992" w:type="dxa"/>
            <w:tcBorders>
              <w:top w:val="single" w:sz="4" w:space="0" w:color="auto"/>
              <w:left w:val="single" w:sz="4" w:space="0" w:color="auto"/>
              <w:bottom w:val="single" w:sz="4" w:space="0" w:color="auto"/>
              <w:right w:val="single" w:sz="4" w:space="0" w:color="auto"/>
            </w:tcBorders>
            <w:vAlign w:val="center"/>
          </w:tcPr>
          <w:p w14:paraId="10093424" w14:textId="343BD263" w:rsidR="00311F92" w:rsidRDefault="00311F92" w:rsidP="00311F92">
            <w:pPr>
              <w:spacing w:line="240" w:lineRule="auto"/>
              <w:jc w:val="right"/>
              <w:rPr>
                <w:rFonts w:cs="Arial"/>
                <w:sz w:val="18"/>
                <w:szCs w:val="18"/>
              </w:rPr>
            </w:pPr>
            <w:r>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3870E75" w14:textId="2B95E97D" w:rsidR="00311F92" w:rsidRPr="002D2253" w:rsidRDefault="00311F92" w:rsidP="00311F92">
            <w:pPr>
              <w:spacing w:line="240" w:lineRule="auto"/>
              <w:jc w:val="right"/>
              <w:rPr>
                <w:rFonts w:cs="Arial"/>
                <w:sz w:val="18"/>
                <w:szCs w:val="18"/>
              </w:rPr>
            </w:pPr>
            <w:r>
              <w:rPr>
                <w:rFonts w:cs="Arial"/>
                <w:sz w:val="18"/>
                <w:szCs w:val="18"/>
              </w:rPr>
              <w:t>50%</w:t>
            </w:r>
          </w:p>
        </w:tc>
      </w:tr>
      <w:tr w:rsidR="00311F92" w:rsidRPr="00504360" w14:paraId="09FA7CF5" w14:textId="77777777" w:rsidTr="003D3B04">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4A8C91F8" w14:textId="6F6CD011" w:rsidR="00311F92" w:rsidRPr="00504360" w:rsidRDefault="00311F92" w:rsidP="00311F92">
            <w:pPr>
              <w:spacing w:line="240" w:lineRule="auto"/>
              <w:rPr>
                <w:rFonts w:cs="Arial"/>
                <w:sz w:val="18"/>
                <w:szCs w:val="18"/>
              </w:rPr>
            </w:pPr>
            <w:r>
              <w:rPr>
                <w:rFonts w:cs="Arial"/>
                <w:sz w:val="18"/>
                <w:szCs w:val="18"/>
              </w:rPr>
              <w:t>Refused</w:t>
            </w:r>
          </w:p>
        </w:tc>
        <w:tc>
          <w:tcPr>
            <w:tcW w:w="992" w:type="dxa"/>
            <w:tcBorders>
              <w:top w:val="single" w:sz="4" w:space="0" w:color="auto"/>
              <w:left w:val="single" w:sz="4" w:space="0" w:color="auto"/>
              <w:bottom w:val="single" w:sz="4" w:space="0" w:color="auto"/>
              <w:right w:val="single" w:sz="4" w:space="0" w:color="auto"/>
            </w:tcBorders>
            <w:vAlign w:val="center"/>
          </w:tcPr>
          <w:p w14:paraId="4ED725C6" w14:textId="7602F934" w:rsidR="00311F92" w:rsidRDefault="00311F92" w:rsidP="00311F92">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6883239F" w14:textId="312B1E87" w:rsidR="00311F92" w:rsidRPr="002D2253" w:rsidRDefault="00311F92" w:rsidP="00311F92">
            <w:pPr>
              <w:spacing w:line="240" w:lineRule="auto"/>
              <w:jc w:val="right"/>
              <w:rPr>
                <w:rFonts w:cs="Arial"/>
                <w:sz w:val="18"/>
                <w:szCs w:val="18"/>
              </w:rPr>
            </w:pPr>
            <w:r>
              <w:rPr>
                <w:rFonts w:cs="Arial"/>
                <w:sz w:val="18"/>
                <w:szCs w:val="18"/>
              </w:rPr>
              <w:t>50%</w:t>
            </w:r>
          </w:p>
        </w:tc>
      </w:tr>
      <w:tr w:rsidR="00311F92" w:rsidRPr="00D157E2" w14:paraId="714A0FD4" w14:textId="2CDC150F" w:rsidTr="003D3B04">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311F92" w:rsidRPr="00504360" w:rsidRDefault="00311F92" w:rsidP="00311F92">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3FED991" w14:textId="77777777" w:rsidR="00311F92" w:rsidRPr="00733DE0" w:rsidRDefault="00311F92" w:rsidP="00311F92">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220A9BB" w14:textId="5E3EEAC5" w:rsidR="00311F92" w:rsidRPr="002D2253" w:rsidRDefault="00311F92" w:rsidP="00311F92">
            <w:pPr>
              <w:spacing w:line="240" w:lineRule="auto"/>
              <w:rPr>
                <w:rFonts w:cs="Arial"/>
                <w:sz w:val="18"/>
                <w:szCs w:val="18"/>
                <w:lang w:eastAsia="en-AU"/>
              </w:rPr>
            </w:pPr>
            <w:r>
              <w:rPr>
                <w:rFonts w:cs="Arial"/>
                <w:sz w:val="18"/>
                <w:szCs w:val="18"/>
              </w:rPr>
              <w:t> </w:t>
            </w:r>
          </w:p>
        </w:tc>
      </w:tr>
      <w:tr w:rsidR="00311F92" w:rsidRPr="00504360" w14:paraId="148E7FF6" w14:textId="77777777" w:rsidTr="003D3B04">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401685D" w14:textId="77779C44" w:rsidR="00311F92" w:rsidRPr="0041058E" w:rsidRDefault="00311F92" w:rsidP="00311F92">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92" w:type="dxa"/>
            <w:tcBorders>
              <w:top w:val="single" w:sz="4" w:space="0" w:color="auto"/>
              <w:left w:val="single" w:sz="4" w:space="0" w:color="auto"/>
              <w:bottom w:val="single" w:sz="4" w:space="0" w:color="auto"/>
              <w:right w:val="single" w:sz="4" w:space="0" w:color="auto"/>
            </w:tcBorders>
            <w:vAlign w:val="center"/>
          </w:tcPr>
          <w:p w14:paraId="633600D7" w14:textId="77777777" w:rsidR="00311F92" w:rsidRPr="00733DE0" w:rsidRDefault="00311F92" w:rsidP="00311F92">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6CEBF53" w14:textId="2EC17D94" w:rsidR="00311F92" w:rsidRPr="002D2253" w:rsidRDefault="00311F92" w:rsidP="00311F92">
            <w:pPr>
              <w:spacing w:line="240" w:lineRule="auto"/>
              <w:jc w:val="right"/>
              <w:rPr>
                <w:rFonts w:cs="Arial"/>
                <w:sz w:val="18"/>
                <w:szCs w:val="18"/>
              </w:rPr>
            </w:pPr>
            <w:r>
              <w:rPr>
                <w:rFonts w:cs="Arial"/>
                <w:sz w:val="18"/>
                <w:szCs w:val="18"/>
              </w:rPr>
              <w:t> </w:t>
            </w:r>
          </w:p>
        </w:tc>
      </w:tr>
      <w:tr w:rsidR="00311F92" w:rsidRPr="00504360" w14:paraId="71FF2B6B" w14:textId="77777777" w:rsidTr="003D3B04">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EE9FCD2" w14:textId="20DC563B" w:rsidR="00311F92" w:rsidRPr="00B50123" w:rsidRDefault="00311F92" w:rsidP="00311F92">
            <w:pPr>
              <w:spacing w:line="240" w:lineRule="auto"/>
              <w:rPr>
                <w:rFonts w:cs="Arial"/>
                <w:sz w:val="18"/>
                <w:szCs w:val="18"/>
                <w:lang w:eastAsia="en-AU"/>
              </w:rPr>
            </w:pPr>
            <w:bookmarkStart w:id="1" w:name="_Hlk104985503"/>
            <w:r w:rsidRPr="0003283F">
              <w:rPr>
                <w:rFonts w:cs="Arial"/>
                <w:sz w:val="18"/>
                <w:szCs w:val="18"/>
              </w:rPr>
              <w:t>Voluntary agreements for a voluntary case plan</w:t>
            </w:r>
            <w:r>
              <w:rPr>
                <w:rFonts w:cs="Arial"/>
                <w:sz w:val="18"/>
                <w:szCs w:val="18"/>
              </w:rPr>
              <w:t xml:space="preserve"> (VCP)</w:t>
            </w:r>
          </w:p>
        </w:tc>
        <w:tc>
          <w:tcPr>
            <w:tcW w:w="992" w:type="dxa"/>
            <w:tcBorders>
              <w:top w:val="single" w:sz="4" w:space="0" w:color="auto"/>
              <w:left w:val="single" w:sz="4" w:space="0" w:color="auto"/>
              <w:bottom w:val="single" w:sz="4" w:space="0" w:color="auto"/>
              <w:right w:val="single" w:sz="4" w:space="0" w:color="auto"/>
            </w:tcBorders>
            <w:vAlign w:val="center"/>
          </w:tcPr>
          <w:p w14:paraId="6E6B1A5D" w14:textId="6B1F268A" w:rsidR="00311F92" w:rsidRDefault="00311F92" w:rsidP="00311F92">
            <w:pPr>
              <w:spacing w:line="240" w:lineRule="auto"/>
              <w:jc w:val="right"/>
              <w:rPr>
                <w:rFonts w:cs="Arial"/>
                <w:sz w:val="18"/>
                <w:szCs w:val="18"/>
              </w:rPr>
            </w:pPr>
            <w:r>
              <w:rPr>
                <w:rFonts w:cs="Arial"/>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357F5C28" w14:textId="4FFB73D3" w:rsidR="00311F92" w:rsidRPr="002D2253" w:rsidRDefault="00311F92" w:rsidP="00311F92">
            <w:pPr>
              <w:spacing w:line="240" w:lineRule="auto"/>
              <w:jc w:val="right"/>
              <w:rPr>
                <w:rFonts w:cs="Arial"/>
                <w:sz w:val="18"/>
                <w:szCs w:val="18"/>
              </w:rPr>
            </w:pPr>
            <w:r>
              <w:rPr>
                <w:rFonts w:cs="Arial"/>
                <w:sz w:val="18"/>
                <w:szCs w:val="18"/>
              </w:rPr>
              <w:t>19</w:t>
            </w:r>
          </w:p>
        </w:tc>
      </w:tr>
      <w:bookmarkEnd w:id="1"/>
      <w:tr w:rsidR="00311F92" w:rsidRPr="00504360" w14:paraId="16DEBA40" w14:textId="77777777" w:rsidTr="003D3B04">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556783DE" w14:textId="553E3B1A" w:rsidR="00311F92" w:rsidRPr="00B50123" w:rsidRDefault="00311F92" w:rsidP="00311F92">
            <w:pPr>
              <w:spacing w:line="240" w:lineRule="auto"/>
              <w:rPr>
                <w:rFonts w:cs="Arial"/>
                <w:sz w:val="18"/>
                <w:szCs w:val="18"/>
                <w:lang w:eastAsia="en-AU"/>
              </w:rPr>
            </w:pPr>
            <w:r w:rsidRPr="0003283F">
              <w:rPr>
                <w:rFonts w:cs="Arial"/>
                <w:sz w:val="18"/>
                <w:szCs w:val="18"/>
              </w:rPr>
              <w:t>Voluntary referrals to service providers</w:t>
            </w:r>
          </w:p>
        </w:tc>
        <w:tc>
          <w:tcPr>
            <w:tcW w:w="992" w:type="dxa"/>
            <w:tcBorders>
              <w:top w:val="single" w:sz="4" w:space="0" w:color="auto"/>
              <w:left w:val="single" w:sz="4" w:space="0" w:color="auto"/>
              <w:bottom w:val="single" w:sz="4" w:space="0" w:color="auto"/>
              <w:right w:val="single" w:sz="4" w:space="0" w:color="auto"/>
            </w:tcBorders>
            <w:vAlign w:val="center"/>
          </w:tcPr>
          <w:p w14:paraId="1A46C0B2" w14:textId="251676A4" w:rsidR="00311F92" w:rsidRDefault="00311F92" w:rsidP="00311F92">
            <w:pPr>
              <w:spacing w:line="240" w:lineRule="auto"/>
              <w:jc w:val="right"/>
              <w:rPr>
                <w:rFonts w:cs="Arial"/>
                <w:sz w:val="18"/>
                <w:szCs w:val="18"/>
              </w:rPr>
            </w:pPr>
            <w:r>
              <w:rPr>
                <w:rFonts w:cs="Arial"/>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0E1A0281" w14:textId="7C97566B" w:rsidR="00311F92" w:rsidRPr="002D2253" w:rsidRDefault="00311F92" w:rsidP="00311F92">
            <w:pPr>
              <w:spacing w:line="240" w:lineRule="auto"/>
              <w:jc w:val="right"/>
              <w:rPr>
                <w:rFonts w:cs="Arial"/>
                <w:sz w:val="18"/>
                <w:szCs w:val="18"/>
              </w:rPr>
            </w:pPr>
            <w:r>
              <w:rPr>
                <w:rFonts w:cs="Arial"/>
                <w:sz w:val="18"/>
                <w:szCs w:val="18"/>
              </w:rPr>
              <w:t>20</w:t>
            </w:r>
          </w:p>
        </w:tc>
      </w:tr>
      <w:tr w:rsidR="00311F92" w:rsidRPr="00504360" w14:paraId="7EB54823" w14:textId="77777777" w:rsidTr="003D3B04">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02AF3396" w14:textId="1B7D3A96" w:rsidR="00311F92" w:rsidRPr="00B50123" w:rsidRDefault="00311F92" w:rsidP="00311F92">
            <w:pPr>
              <w:spacing w:line="240" w:lineRule="auto"/>
              <w:rPr>
                <w:rFonts w:cs="Arial"/>
                <w:sz w:val="18"/>
                <w:szCs w:val="18"/>
                <w:lang w:eastAsia="en-AU"/>
              </w:rPr>
            </w:pPr>
            <w:r w:rsidRPr="0003283F">
              <w:rPr>
                <w:rFonts w:cs="Arial"/>
                <w:sz w:val="18"/>
                <w:szCs w:val="18"/>
              </w:rPr>
              <w:t xml:space="preserve">Voluntary agreements for </w:t>
            </w:r>
            <w:r>
              <w:rPr>
                <w:rFonts w:cs="Arial"/>
                <w:sz w:val="18"/>
                <w:szCs w:val="18"/>
              </w:rPr>
              <w:t>Voluntary Income Management (</w:t>
            </w:r>
            <w:r w:rsidRPr="0003283F">
              <w:rPr>
                <w:rFonts w:cs="Arial"/>
                <w:sz w:val="18"/>
                <w:szCs w:val="18"/>
              </w:rPr>
              <w:t>VIM</w:t>
            </w:r>
            <w:r>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10ED2AA" w14:textId="69D24AD1" w:rsidR="00311F92" w:rsidRDefault="00311F92" w:rsidP="00311F92">
            <w:pPr>
              <w:spacing w:line="240" w:lineRule="auto"/>
              <w:jc w:val="right"/>
              <w:rPr>
                <w:rFonts w:cs="Arial"/>
                <w:sz w:val="18"/>
                <w:szCs w:val="18"/>
              </w:rPr>
            </w:pPr>
            <w:r>
              <w:rPr>
                <w:rFonts w:cs="Arial"/>
                <w:sz w:val="18"/>
                <w:szCs w:val="18"/>
              </w:rPr>
              <w:t>35</w:t>
            </w:r>
          </w:p>
        </w:tc>
        <w:tc>
          <w:tcPr>
            <w:tcW w:w="992" w:type="dxa"/>
            <w:tcBorders>
              <w:top w:val="single" w:sz="4" w:space="0" w:color="auto"/>
              <w:left w:val="single" w:sz="4" w:space="0" w:color="auto"/>
              <w:bottom w:val="single" w:sz="4" w:space="0" w:color="auto"/>
              <w:right w:val="single" w:sz="4" w:space="0" w:color="auto"/>
            </w:tcBorders>
            <w:vAlign w:val="center"/>
          </w:tcPr>
          <w:p w14:paraId="301708B1" w14:textId="54DB2EDF" w:rsidR="00311F92" w:rsidRPr="002D2253" w:rsidRDefault="00311F92" w:rsidP="00311F92">
            <w:pPr>
              <w:spacing w:line="240" w:lineRule="auto"/>
              <w:jc w:val="right"/>
              <w:rPr>
                <w:rFonts w:cs="Arial"/>
                <w:sz w:val="18"/>
                <w:szCs w:val="18"/>
              </w:rPr>
            </w:pPr>
            <w:r>
              <w:rPr>
                <w:rFonts w:cs="Arial"/>
                <w:sz w:val="18"/>
                <w:szCs w:val="18"/>
              </w:rPr>
              <w:t>28</w:t>
            </w:r>
          </w:p>
        </w:tc>
      </w:tr>
      <w:tr w:rsidR="00311F92" w:rsidRPr="00504360" w14:paraId="52C3F0C4" w14:textId="77777777" w:rsidTr="003D3B04">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34797DFD" w14:textId="77777777" w:rsidR="00311F92" w:rsidRPr="00504360" w:rsidRDefault="00311F92" w:rsidP="00311F92">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1E864E1" w14:textId="77777777" w:rsidR="00311F92" w:rsidRPr="00733DE0" w:rsidRDefault="00311F92" w:rsidP="00311F92">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E2168F3" w14:textId="77A1FF58" w:rsidR="00311F92" w:rsidRPr="002D2253" w:rsidRDefault="00311F92" w:rsidP="00311F92">
            <w:pPr>
              <w:spacing w:line="240" w:lineRule="auto"/>
              <w:jc w:val="right"/>
              <w:rPr>
                <w:rFonts w:cs="Arial"/>
                <w:sz w:val="18"/>
                <w:szCs w:val="18"/>
              </w:rPr>
            </w:pPr>
            <w:r>
              <w:rPr>
                <w:rFonts w:cs="Arial"/>
                <w:sz w:val="18"/>
                <w:szCs w:val="18"/>
              </w:rPr>
              <w:t> </w:t>
            </w:r>
          </w:p>
        </w:tc>
      </w:tr>
      <w:tr w:rsidR="00311F92" w:rsidRPr="00504360" w14:paraId="6E254E7A" w14:textId="77777777" w:rsidTr="003D3B04">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597A5A4" w14:textId="49EF45A9" w:rsidR="00311F92" w:rsidRPr="00E10506" w:rsidRDefault="00311F92" w:rsidP="00311F92">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92" w:type="dxa"/>
            <w:tcBorders>
              <w:top w:val="single" w:sz="4" w:space="0" w:color="auto"/>
              <w:left w:val="single" w:sz="4" w:space="0" w:color="auto"/>
              <w:bottom w:val="single" w:sz="4" w:space="0" w:color="auto"/>
              <w:right w:val="single" w:sz="4" w:space="0" w:color="auto"/>
            </w:tcBorders>
            <w:vAlign w:val="center"/>
          </w:tcPr>
          <w:p w14:paraId="1C3E113B" w14:textId="77777777" w:rsidR="00311F92" w:rsidRPr="00733DE0" w:rsidRDefault="00311F92" w:rsidP="00311F92">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94C45FA" w14:textId="1CCDC71C" w:rsidR="00311F92" w:rsidRPr="002D2253" w:rsidRDefault="00311F92" w:rsidP="00311F92">
            <w:pPr>
              <w:spacing w:line="240" w:lineRule="auto"/>
              <w:jc w:val="right"/>
              <w:rPr>
                <w:rFonts w:cs="Arial"/>
                <w:sz w:val="18"/>
                <w:szCs w:val="18"/>
              </w:rPr>
            </w:pPr>
            <w:r>
              <w:rPr>
                <w:rFonts w:cs="Arial"/>
                <w:sz w:val="18"/>
                <w:szCs w:val="18"/>
              </w:rPr>
              <w:t> </w:t>
            </w:r>
          </w:p>
        </w:tc>
      </w:tr>
      <w:tr w:rsidR="00311F92" w:rsidRPr="00504360" w14:paraId="52E0458B" w14:textId="77777777" w:rsidTr="003D3B04">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20BF5769" w14:textId="74731ED8" w:rsidR="00311F92" w:rsidRDefault="00311F92" w:rsidP="00311F92">
            <w:pPr>
              <w:spacing w:line="240" w:lineRule="auto"/>
              <w:rPr>
                <w:rFonts w:cs="Arial"/>
                <w:sz w:val="18"/>
                <w:szCs w:val="18"/>
                <w:lang w:eastAsia="en-AU"/>
              </w:rPr>
            </w:pPr>
            <w:r>
              <w:rPr>
                <w:rFonts w:cs="Arial"/>
                <w:sz w:val="18"/>
                <w:szCs w:val="18"/>
                <w:lang w:eastAsia="en-AU"/>
              </w:rPr>
              <w:t>Number of amend/end decisions for Voluntary Agreements</w:t>
            </w:r>
          </w:p>
        </w:tc>
        <w:tc>
          <w:tcPr>
            <w:tcW w:w="992" w:type="dxa"/>
            <w:tcBorders>
              <w:top w:val="single" w:sz="4" w:space="0" w:color="auto"/>
              <w:left w:val="single" w:sz="4" w:space="0" w:color="auto"/>
              <w:bottom w:val="single" w:sz="4" w:space="0" w:color="auto"/>
              <w:right w:val="single" w:sz="4" w:space="0" w:color="auto"/>
            </w:tcBorders>
            <w:vAlign w:val="center"/>
          </w:tcPr>
          <w:p w14:paraId="576A61E7" w14:textId="438D1A94" w:rsidR="00311F92" w:rsidRDefault="00311F92" w:rsidP="00311F92">
            <w:pPr>
              <w:spacing w:line="240" w:lineRule="auto"/>
              <w:jc w:val="right"/>
              <w:rPr>
                <w:rFonts w:cs="Arial"/>
                <w:sz w:val="18"/>
                <w:szCs w:val="18"/>
              </w:rPr>
            </w:pPr>
            <w:r>
              <w:rPr>
                <w:rFonts w:cs="Arial"/>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0FBCA3B0" w14:textId="1D5C45A1" w:rsidR="00311F92" w:rsidRDefault="00311F92" w:rsidP="00311F92">
            <w:pPr>
              <w:spacing w:line="240" w:lineRule="auto"/>
              <w:jc w:val="right"/>
              <w:rPr>
                <w:rFonts w:cs="Arial"/>
                <w:sz w:val="18"/>
                <w:szCs w:val="18"/>
              </w:rPr>
            </w:pPr>
            <w:r>
              <w:rPr>
                <w:rFonts w:cs="Arial"/>
                <w:sz w:val="18"/>
                <w:szCs w:val="18"/>
              </w:rPr>
              <w:t>10</w:t>
            </w:r>
          </w:p>
        </w:tc>
      </w:tr>
      <w:tr w:rsidR="00311F92" w:rsidRPr="00504360" w14:paraId="53E5D51F" w14:textId="77777777" w:rsidTr="003D3B04">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2B9F354" w14:textId="63E728CC" w:rsidR="00311F92" w:rsidRPr="00504360" w:rsidRDefault="00311F92" w:rsidP="00311F92">
            <w:pPr>
              <w:spacing w:line="240" w:lineRule="auto"/>
              <w:rPr>
                <w:rFonts w:cs="Arial"/>
                <w:sz w:val="18"/>
                <w:szCs w:val="18"/>
                <w:lang w:eastAsia="en-AU"/>
              </w:rPr>
            </w:pPr>
            <w:r>
              <w:rPr>
                <w:rFonts w:cs="Arial"/>
                <w:sz w:val="18"/>
                <w:szCs w:val="18"/>
                <w:lang w:eastAsia="en-AU"/>
              </w:rPr>
              <w:t>Accepted</w:t>
            </w:r>
          </w:p>
        </w:tc>
        <w:tc>
          <w:tcPr>
            <w:tcW w:w="992" w:type="dxa"/>
            <w:tcBorders>
              <w:top w:val="single" w:sz="4" w:space="0" w:color="auto"/>
              <w:left w:val="single" w:sz="4" w:space="0" w:color="auto"/>
              <w:bottom w:val="single" w:sz="4" w:space="0" w:color="auto"/>
              <w:right w:val="single" w:sz="4" w:space="0" w:color="auto"/>
            </w:tcBorders>
            <w:vAlign w:val="center"/>
          </w:tcPr>
          <w:p w14:paraId="15CA3EE5" w14:textId="174173C3" w:rsidR="00311F92" w:rsidRDefault="00311F92" w:rsidP="00311F92">
            <w:pPr>
              <w:spacing w:line="240" w:lineRule="auto"/>
              <w:jc w:val="right"/>
              <w:rPr>
                <w:rFonts w:cs="Arial"/>
                <w:sz w:val="18"/>
                <w:szCs w:val="18"/>
              </w:rPr>
            </w:pPr>
            <w:r>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86C7588" w14:textId="77E7FDC3" w:rsidR="00311F92" w:rsidRPr="002D2253" w:rsidRDefault="00311F92" w:rsidP="00311F92">
            <w:pPr>
              <w:spacing w:line="240" w:lineRule="auto"/>
              <w:jc w:val="right"/>
              <w:rPr>
                <w:rFonts w:cs="Arial"/>
                <w:sz w:val="18"/>
                <w:szCs w:val="18"/>
              </w:rPr>
            </w:pPr>
            <w:r>
              <w:rPr>
                <w:rFonts w:cs="Arial"/>
                <w:sz w:val="18"/>
                <w:szCs w:val="18"/>
              </w:rPr>
              <w:t>90%</w:t>
            </w:r>
          </w:p>
        </w:tc>
      </w:tr>
      <w:tr w:rsidR="00311F92" w:rsidRPr="00504360" w14:paraId="4859A3E0" w14:textId="77777777" w:rsidTr="003D3B04">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8DFF31E" w14:textId="2609E01B" w:rsidR="00311F92" w:rsidRDefault="00311F92" w:rsidP="00311F92">
            <w:pPr>
              <w:spacing w:line="240" w:lineRule="auto"/>
              <w:rPr>
                <w:rFonts w:cs="Arial"/>
                <w:sz w:val="18"/>
                <w:szCs w:val="18"/>
                <w:lang w:eastAsia="en-AU"/>
              </w:rPr>
            </w:pPr>
            <w:r>
              <w:rPr>
                <w:rFonts w:cs="Arial"/>
                <w:sz w:val="18"/>
                <w:szCs w:val="18"/>
                <w:lang w:eastAsia="en-AU"/>
              </w:rPr>
              <w:t>Refused</w:t>
            </w:r>
          </w:p>
        </w:tc>
        <w:tc>
          <w:tcPr>
            <w:tcW w:w="992" w:type="dxa"/>
            <w:tcBorders>
              <w:top w:val="single" w:sz="4" w:space="0" w:color="auto"/>
              <w:left w:val="single" w:sz="4" w:space="0" w:color="auto"/>
              <w:bottom w:val="single" w:sz="4" w:space="0" w:color="auto"/>
              <w:right w:val="single" w:sz="4" w:space="0" w:color="auto"/>
            </w:tcBorders>
            <w:vAlign w:val="center"/>
          </w:tcPr>
          <w:p w14:paraId="27884413" w14:textId="4502CB11" w:rsidR="00311F92" w:rsidRDefault="00311F92" w:rsidP="00311F92">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10B9F0DA" w14:textId="19FF1E99" w:rsidR="00311F92" w:rsidRPr="002D2253" w:rsidRDefault="00311F92" w:rsidP="00311F92">
            <w:pPr>
              <w:spacing w:line="240" w:lineRule="auto"/>
              <w:jc w:val="right"/>
              <w:rPr>
                <w:rFonts w:cs="Arial"/>
                <w:sz w:val="18"/>
                <w:szCs w:val="18"/>
              </w:rPr>
            </w:pPr>
            <w:r>
              <w:rPr>
                <w:rFonts w:cs="Arial"/>
                <w:sz w:val="18"/>
                <w:szCs w:val="18"/>
              </w:rPr>
              <w:t>10%</w:t>
            </w:r>
          </w:p>
        </w:tc>
      </w:tr>
      <w:tr w:rsidR="00311F92" w:rsidRPr="00504360" w14:paraId="23135AF5" w14:textId="77777777" w:rsidTr="003D3B04">
        <w:trPr>
          <w:trHeight w:val="119"/>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5796FB9" w14:textId="77777777" w:rsidR="00311F92" w:rsidRDefault="00311F92" w:rsidP="00311F92">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0BD23C3" w14:textId="1735331B" w:rsidR="00311F92" w:rsidRPr="00733DE0" w:rsidRDefault="00311F92" w:rsidP="00311F92">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247E79CC" w14:textId="6B4597B1" w:rsidR="00311F92" w:rsidRPr="002D2253" w:rsidRDefault="00311F92" w:rsidP="00311F92">
            <w:pPr>
              <w:spacing w:line="240" w:lineRule="auto"/>
              <w:jc w:val="right"/>
              <w:rPr>
                <w:rFonts w:cs="Arial"/>
                <w:sz w:val="18"/>
                <w:szCs w:val="18"/>
              </w:rPr>
            </w:pPr>
            <w:r>
              <w:rPr>
                <w:rFonts w:cs="Arial"/>
                <w:sz w:val="18"/>
                <w:szCs w:val="18"/>
              </w:rPr>
              <w:t> </w:t>
            </w:r>
          </w:p>
        </w:tc>
      </w:tr>
      <w:tr w:rsidR="00311F92" w:rsidRPr="00504360" w14:paraId="37C0A955" w14:textId="77777777" w:rsidTr="003D3B04">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38FF330" w14:textId="517A773E" w:rsidR="00311F92" w:rsidRDefault="00311F92" w:rsidP="00311F92">
            <w:pPr>
              <w:spacing w:line="240" w:lineRule="auto"/>
              <w:rPr>
                <w:rFonts w:cs="Arial"/>
                <w:sz w:val="18"/>
                <w:szCs w:val="18"/>
                <w:lang w:eastAsia="en-AU"/>
              </w:rPr>
            </w:pPr>
            <w:r w:rsidRPr="00504360">
              <w:rPr>
                <w:rFonts w:cs="Arial"/>
                <w:b/>
                <w:sz w:val="18"/>
                <w:szCs w:val="18"/>
                <w:lang w:eastAsia="en-AU"/>
              </w:rPr>
              <w:t xml:space="preserve">Other activity </w:t>
            </w:r>
          </w:p>
        </w:tc>
        <w:tc>
          <w:tcPr>
            <w:tcW w:w="992" w:type="dxa"/>
            <w:tcBorders>
              <w:top w:val="single" w:sz="4" w:space="0" w:color="auto"/>
              <w:left w:val="single" w:sz="4" w:space="0" w:color="auto"/>
              <w:bottom w:val="single" w:sz="4" w:space="0" w:color="auto"/>
              <w:right w:val="single" w:sz="4" w:space="0" w:color="auto"/>
            </w:tcBorders>
            <w:vAlign w:val="center"/>
          </w:tcPr>
          <w:p w14:paraId="2B1159CB" w14:textId="6EF643CF" w:rsidR="00311F92" w:rsidRPr="00733DE0" w:rsidRDefault="00311F92" w:rsidP="00311F92">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3E900FF3" w14:textId="67D93F69" w:rsidR="00311F92" w:rsidRPr="002D2253" w:rsidRDefault="00311F92" w:rsidP="00311F92">
            <w:pPr>
              <w:spacing w:line="240" w:lineRule="auto"/>
              <w:jc w:val="right"/>
              <w:rPr>
                <w:rFonts w:cs="Arial"/>
                <w:sz w:val="18"/>
                <w:szCs w:val="18"/>
              </w:rPr>
            </w:pPr>
            <w:r>
              <w:rPr>
                <w:rFonts w:cs="Arial"/>
                <w:sz w:val="18"/>
                <w:szCs w:val="18"/>
              </w:rPr>
              <w:t> </w:t>
            </w:r>
          </w:p>
        </w:tc>
      </w:tr>
      <w:tr w:rsidR="00311F92" w:rsidRPr="00504360" w14:paraId="2926F0DE" w14:textId="77777777" w:rsidTr="003D3B04">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EA9CFD1" w14:textId="563D5831" w:rsidR="00311F92" w:rsidRDefault="00311F92" w:rsidP="00311F92">
            <w:pPr>
              <w:spacing w:line="240" w:lineRule="auto"/>
              <w:rPr>
                <w:rFonts w:cs="Arial"/>
                <w:sz w:val="18"/>
                <w:szCs w:val="18"/>
                <w:lang w:eastAsia="en-AU"/>
              </w:rPr>
            </w:pPr>
            <w:r>
              <w:rPr>
                <w:rFonts w:cs="Arial"/>
                <w:sz w:val="18"/>
                <w:szCs w:val="18"/>
                <w:lang w:eastAsia="en-AU"/>
              </w:rPr>
              <w:t>Applications to Amend or End received</w:t>
            </w:r>
          </w:p>
        </w:tc>
        <w:tc>
          <w:tcPr>
            <w:tcW w:w="992" w:type="dxa"/>
            <w:tcBorders>
              <w:top w:val="single" w:sz="4" w:space="0" w:color="auto"/>
              <w:left w:val="single" w:sz="4" w:space="0" w:color="auto"/>
              <w:bottom w:val="single" w:sz="4" w:space="0" w:color="auto"/>
              <w:right w:val="single" w:sz="4" w:space="0" w:color="auto"/>
            </w:tcBorders>
            <w:vAlign w:val="center"/>
          </w:tcPr>
          <w:p w14:paraId="67D5930E" w14:textId="78945475" w:rsidR="00311F92" w:rsidRDefault="00311F92" w:rsidP="00311F92">
            <w:pPr>
              <w:spacing w:line="240" w:lineRule="auto"/>
              <w:jc w:val="right"/>
              <w:rPr>
                <w:rFonts w:cs="Arial"/>
                <w:sz w:val="18"/>
                <w:szCs w:val="18"/>
              </w:rPr>
            </w:pPr>
            <w:r>
              <w:rPr>
                <w:rFonts w:cs="Arial"/>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0CC97F57" w14:textId="34078973" w:rsidR="00311F92" w:rsidRPr="003C7872" w:rsidRDefault="00311F92" w:rsidP="00311F92">
            <w:pPr>
              <w:spacing w:line="240" w:lineRule="auto"/>
              <w:jc w:val="right"/>
              <w:rPr>
                <w:rFonts w:cs="Arial"/>
                <w:sz w:val="18"/>
                <w:szCs w:val="18"/>
                <w:lang w:eastAsia="en-AU"/>
              </w:rPr>
            </w:pPr>
            <w:r>
              <w:rPr>
                <w:rFonts w:cs="Arial"/>
                <w:sz w:val="18"/>
                <w:szCs w:val="18"/>
              </w:rPr>
              <w:t>1</w:t>
            </w:r>
            <w:r w:rsidR="00225148">
              <w:rPr>
                <w:rFonts w:cs="Arial"/>
                <w:sz w:val="18"/>
                <w:szCs w:val="18"/>
              </w:rPr>
              <w:t>2</w:t>
            </w:r>
          </w:p>
        </w:tc>
      </w:tr>
      <w:tr w:rsidR="00311F92" w:rsidRPr="00504360" w14:paraId="09CC1571" w14:textId="77777777" w:rsidTr="003D3B04">
        <w:trPr>
          <w:trHeight w:val="7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4896858" w14:textId="77777777" w:rsidR="00311F92" w:rsidRDefault="00311F92" w:rsidP="00311F92">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E114D9A" w14:textId="6D78FADF" w:rsidR="00311F92" w:rsidRDefault="00311F92" w:rsidP="00311F92">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61335837" w14:textId="219723E9" w:rsidR="00311F92" w:rsidRPr="002D2253" w:rsidRDefault="00311F92" w:rsidP="00311F92">
            <w:pPr>
              <w:spacing w:line="240" w:lineRule="auto"/>
              <w:jc w:val="right"/>
              <w:rPr>
                <w:rFonts w:cs="Arial"/>
                <w:sz w:val="18"/>
                <w:szCs w:val="18"/>
              </w:rPr>
            </w:pPr>
            <w:r>
              <w:rPr>
                <w:rFonts w:cs="Arial"/>
                <w:sz w:val="18"/>
                <w:szCs w:val="18"/>
              </w:rPr>
              <w:t> </w:t>
            </w:r>
          </w:p>
        </w:tc>
      </w:tr>
      <w:tr w:rsidR="00311F92" w:rsidRPr="00504360" w14:paraId="716838D1" w14:textId="77777777" w:rsidTr="003D3B04">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594E536F" w14:textId="13298118" w:rsidR="00311F92" w:rsidRDefault="00311F92" w:rsidP="00311F92">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92" w:type="dxa"/>
            <w:tcBorders>
              <w:top w:val="single" w:sz="4" w:space="0" w:color="auto"/>
              <w:left w:val="single" w:sz="4" w:space="0" w:color="auto"/>
              <w:bottom w:val="single" w:sz="4" w:space="0" w:color="auto"/>
              <w:right w:val="single" w:sz="4" w:space="0" w:color="auto"/>
            </w:tcBorders>
            <w:vAlign w:val="center"/>
          </w:tcPr>
          <w:p w14:paraId="0C1A5524" w14:textId="553D2C47" w:rsidR="00311F92" w:rsidRDefault="00311F92" w:rsidP="00311F92">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33C39642" w14:textId="3E495EDD" w:rsidR="00311F92" w:rsidRPr="002D2253" w:rsidRDefault="00311F92" w:rsidP="00311F92">
            <w:pPr>
              <w:spacing w:line="240" w:lineRule="auto"/>
              <w:jc w:val="right"/>
              <w:rPr>
                <w:rFonts w:cs="Arial"/>
                <w:sz w:val="18"/>
                <w:szCs w:val="18"/>
              </w:rPr>
            </w:pPr>
            <w:r>
              <w:rPr>
                <w:rFonts w:cs="Arial"/>
                <w:sz w:val="18"/>
                <w:szCs w:val="18"/>
              </w:rPr>
              <w:t> </w:t>
            </w:r>
          </w:p>
        </w:tc>
      </w:tr>
      <w:tr w:rsidR="00311F92" w:rsidRPr="00504360" w14:paraId="1562F8F8" w14:textId="77777777" w:rsidTr="003D3B04">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DB4C6D7" w14:textId="3A4A38DB" w:rsidR="00311F92" w:rsidRDefault="00311F92" w:rsidP="00311F92">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92" w:type="dxa"/>
            <w:tcBorders>
              <w:top w:val="single" w:sz="4" w:space="0" w:color="auto"/>
              <w:left w:val="single" w:sz="4" w:space="0" w:color="auto"/>
              <w:bottom w:val="single" w:sz="4" w:space="0" w:color="auto"/>
              <w:right w:val="single" w:sz="4" w:space="0" w:color="auto"/>
            </w:tcBorders>
            <w:vAlign w:val="center"/>
          </w:tcPr>
          <w:p w14:paraId="7DEBE028" w14:textId="26D895F5" w:rsidR="00311F92" w:rsidRDefault="00311F92" w:rsidP="00311F92">
            <w:pPr>
              <w:spacing w:line="240" w:lineRule="auto"/>
              <w:jc w:val="right"/>
              <w:rPr>
                <w:rFonts w:cs="Arial"/>
                <w:sz w:val="18"/>
                <w:szCs w:val="18"/>
              </w:rPr>
            </w:pPr>
            <w:r>
              <w:rPr>
                <w:rFonts w:cs="Arial"/>
                <w:sz w:val="18"/>
                <w:szCs w:val="18"/>
              </w:rPr>
              <w:t>227</w:t>
            </w:r>
          </w:p>
        </w:tc>
        <w:tc>
          <w:tcPr>
            <w:tcW w:w="992" w:type="dxa"/>
            <w:tcBorders>
              <w:top w:val="single" w:sz="4" w:space="0" w:color="auto"/>
              <w:left w:val="single" w:sz="4" w:space="0" w:color="auto"/>
              <w:bottom w:val="single" w:sz="4" w:space="0" w:color="auto"/>
              <w:right w:val="single" w:sz="4" w:space="0" w:color="auto"/>
            </w:tcBorders>
            <w:vAlign w:val="center"/>
          </w:tcPr>
          <w:p w14:paraId="15E1E034" w14:textId="1FC90720" w:rsidR="00311F92" w:rsidRPr="002D2253" w:rsidRDefault="00311F92" w:rsidP="00311F92">
            <w:pPr>
              <w:spacing w:line="240" w:lineRule="auto"/>
              <w:jc w:val="right"/>
              <w:rPr>
                <w:rFonts w:cs="Arial"/>
                <w:sz w:val="18"/>
                <w:szCs w:val="18"/>
              </w:rPr>
            </w:pPr>
            <w:r>
              <w:rPr>
                <w:rFonts w:cs="Arial"/>
                <w:sz w:val="18"/>
                <w:szCs w:val="18"/>
              </w:rPr>
              <w:t>222</w:t>
            </w:r>
          </w:p>
        </w:tc>
      </w:tr>
      <w:tr w:rsidR="00311F92" w:rsidRPr="00504360" w14:paraId="559E0289" w14:textId="77777777" w:rsidTr="003D3B04">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D7EF42B" w14:textId="675293F4" w:rsidR="00311F92" w:rsidRDefault="00311F92" w:rsidP="00311F92">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92" w:type="dxa"/>
            <w:tcBorders>
              <w:top w:val="single" w:sz="4" w:space="0" w:color="auto"/>
              <w:left w:val="single" w:sz="4" w:space="0" w:color="auto"/>
              <w:bottom w:val="single" w:sz="4" w:space="0" w:color="auto"/>
              <w:right w:val="single" w:sz="4" w:space="0" w:color="auto"/>
            </w:tcBorders>
            <w:vAlign w:val="center"/>
          </w:tcPr>
          <w:p w14:paraId="66F1319F" w14:textId="5DFD9CA3" w:rsidR="00311F92" w:rsidRDefault="00311F92" w:rsidP="00311F92">
            <w:pPr>
              <w:spacing w:line="240" w:lineRule="auto"/>
              <w:jc w:val="right"/>
              <w:rPr>
                <w:rFonts w:cs="Arial"/>
                <w:sz w:val="18"/>
                <w:szCs w:val="18"/>
              </w:rPr>
            </w:pPr>
            <w:r>
              <w:rPr>
                <w:rFonts w:cs="Arial"/>
                <w:sz w:val="18"/>
                <w:szCs w:val="18"/>
              </w:rPr>
              <w:t>36</w:t>
            </w:r>
          </w:p>
        </w:tc>
        <w:tc>
          <w:tcPr>
            <w:tcW w:w="992" w:type="dxa"/>
            <w:tcBorders>
              <w:top w:val="single" w:sz="4" w:space="0" w:color="auto"/>
              <w:left w:val="single" w:sz="4" w:space="0" w:color="auto"/>
              <w:bottom w:val="single" w:sz="4" w:space="0" w:color="auto"/>
              <w:right w:val="single" w:sz="4" w:space="0" w:color="auto"/>
            </w:tcBorders>
            <w:vAlign w:val="center"/>
          </w:tcPr>
          <w:p w14:paraId="49657DF5" w14:textId="7E230AFF" w:rsidR="00311F92" w:rsidRPr="002D2253" w:rsidRDefault="00311F92" w:rsidP="00311F92">
            <w:pPr>
              <w:spacing w:line="240" w:lineRule="auto"/>
              <w:jc w:val="right"/>
              <w:rPr>
                <w:rFonts w:cs="Arial"/>
                <w:sz w:val="18"/>
                <w:szCs w:val="18"/>
              </w:rPr>
            </w:pPr>
            <w:r>
              <w:rPr>
                <w:rFonts w:cs="Arial"/>
                <w:sz w:val="18"/>
                <w:szCs w:val="18"/>
              </w:rPr>
              <w:t>33</w:t>
            </w:r>
          </w:p>
        </w:tc>
      </w:tr>
      <w:tr w:rsidR="00311F92" w:rsidRPr="00504360" w14:paraId="3D917EA4" w14:textId="77777777" w:rsidTr="003D3B04">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CE3CBA6" w14:textId="05816300" w:rsidR="00311F92" w:rsidRPr="00504360" w:rsidRDefault="00311F92" w:rsidP="00311F92">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92" w:type="dxa"/>
            <w:tcBorders>
              <w:top w:val="single" w:sz="4" w:space="0" w:color="auto"/>
              <w:left w:val="single" w:sz="4" w:space="0" w:color="auto"/>
              <w:bottom w:val="single" w:sz="4" w:space="0" w:color="auto"/>
              <w:right w:val="single" w:sz="4" w:space="0" w:color="auto"/>
            </w:tcBorders>
            <w:vAlign w:val="center"/>
          </w:tcPr>
          <w:p w14:paraId="6262960C" w14:textId="49CD1924" w:rsidR="00311F92" w:rsidRDefault="00311F92" w:rsidP="00311F92">
            <w:pPr>
              <w:spacing w:line="240" w:lineRule="auto"/>
              <w:jc w:val="right"/>
              <w:rPr>
                <w:rFonts w:cs="Arial"/>
                <w:sz w:val="18"/>
                <w:szCs w:val="18"/>
              </w:rPr>
            </w:pPr>
            <w:r>
              <w:rPr>
                <w:rFonts w:cs="Arial"/>
                <w:sz w:val="18"/>
                <w:szCs w:val="18"/>
              </w:rPr>
              <w:t>8</w:t>
            </w:r>
            <w:r w:rsidR="0053517F">
              <w:rPr>
                <w:rFonts w:cs="Arial"/>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386609C4" w14:textId="06F2DC8A" w:rsidR="00311F92" w:rsidRDefault="00311F92" w:rsidP="00311F92">
            <w:pPr>
              <w:spacing w:line="240" w:lineRule="auto"/>
              <w:jc w:val="right"/>
              <w:rPr>
                <w:rFonts w:cs="Arial"/>
                <w:sz w:val="18"/>
                <w:szCs w:val="18"/>
              </w:rPr>
            </w:pPr>
            <w:r>
              <w:rPr>
                <w:rFonts w:cs="Arial"/>
                <w:sz w:val="18"/>
                <w:szCs w:val="18"/>
              </w:rPr>
              <w:t>8</w:t>
            </w:r>
            <w:r w:rsidR="00354F32">
              <w:rPr>
                <w:rFonts w:cs="Arial"/>
                <w:sz w:val="18"/>
                <w:szCs w:val="18"/>
              </w:rPr>
              <w:t>2</w:t>
            </w:r>
          </w:p>
        </w:tc>
      </w:tr>
      <w:bookmarkEnd w:id="0"/>
    </w:tbl>
    <w:p w14:paraId="350C67ED" w14:textId="77777777" w:rsidR="004B60C0" w:rsidRDefault="004B60C0" w:rsidP="00C92D4E">
      <w:pPr>
        <w:ind w:left="-142" w:right="-425"/>
        <w:jc w:val="both"/>
        <w:rPr>
          <w:rFonts w:cs="Arial"/>
        </w:rPr>
      </w:pPr>
    </w:p>
    <w:p w14:paraId="46E11053" w14:textId="15A4D3F7" w:rsidR="00434C44" w:rsidRPr="00B61ECB" w:rsidRDefault="00434C44" w:rsidP="00A06016">
      <w:pPr>
        <w:ind w:left="-142" w:right="-425"/>
        <w:jc w:val="both"/>
        <w:rPr>
          <w:rFonts w:cs="Arial"/>
          <w:b/>
          <w:bCs/>
          <w:sz w:val="22"/>
          <w:szCs w:val="22"/>
        </w:rPr>
      </w:pPr>
      <w:bookmarkStart w:id="2" w:name="_Hlk143596740"/>
      <w:r w:rsidRPr="00B61ECB">
        <w:rPr>
          <w:rFonts w:cs="Arial"/>
          <w:b/>
          <w:bCs/>
          <w:sz w:val="22"/>
          <w:szCs w:val="22"/>
        </w:rPr>
        <w:t xml:space="preserve">Quarterly </w:t>
      </w:r>
      <w:r w:rsidR="003B2EC9">
        <w:rPr>
          <w:rFonts w:cs="Arial"/>
          <w:b/>
          <w:bCs/>
          <w:sz w:val="22"/>
          <w:szCs w:val="22"/>
        </w:rPr>
        <w:t>t</w:t>
      </w:r>
      <w:r w:rsidRPr="00B61ECB">
        <w:rPr>
          <w:rFonts w:cs="Arial"/>
          <w:b/>
          <w:bCs/>
          <w:sz w:val="22"/>
          <w:szCs w:val="22"/>
        </w:rPr>
        <w:t>rends</w:t>
      </w:r>
    </w:p>
    <w:bookmarkEnd w:id="2"/>
    <w:p w14:paraId="65C15336" w14:textId="0EB1FEE9" w:rsidR="001A3870" w:rsidRPr="001A3870" w:rsidRDefault="008B0772" w:rsidP="00A973F5">
      <w:pPr>
        <w:tabs>
          <w:tab w:val="left" w:pos="1134"/>
        </w:tabs>
        <w:ind w:left="-142" w:right="-425"/>
        <w:jc w:val="both"/>
      </w:pPr>
      <w:r>
        <w:t>The above statistics for quarter 59 reflect an increase in conference attendance compared to quarter 58, increasing from 66% in quarter 58 to 68% in quarter 59</w:t>
      </w:r>
      <w:r w:rsidR="003C70C0">
        <w:t xml:space="preserve">, </w:t>
      </w:r>
      <w:r w:rsidR="00C03325">
        <w:t>indicating</w:t>
      </w:r>
      <w:r w:rsidR="003C70C0">
        <w:t xml:space="preserve"> an increased understanding by clients of the help the FRC can offer through referrals to support services</w:t>
      </w:r>
      <w:r>
        <w:t>. The</w:t>
      </w:r>
      <w:r w:rsidR="001A3870">
        <w:t xml:space="preserve"> Commission </w:t>
      </w:r>
      <w:r>
        <w:t xml:space="preserve">also </w:t>
      </w:r>
      <w:r w:rsidR="001A3870">
        <w:t>saw an increase of 138</w:t>
      </w:r>
      <w:r w:rsidR="00E965BF">
        <w:t>%</w:t>
      </w:r>
      <w:r w:rsidR="001A3870">
        <w:t xml:space="preserve"> in the number of voluntary agreements for a voluntary case plan from quarter 58, reflecting the </w:t>
      </w:r>
      <w:r w:rsidR="00C947F6">
        <w:t>increased awareness by clients of their actions and the proactive measures these clients are making to address the issues they face.</w:t>
      </w:r>
    </w:p>
    <w:p w14:paraId="1BA7CC49" w14:textId="367265A8" w:rsidR="006E1623" w:rsidRDefault="006E1623">
      <w:pPr>
        <w:spacing w:line="240" w:lineRule="auto"/>
        <w:ind w:left="-142"/>
      </w:pPr>
    </w:p>
    <w:p w14:paraId="2F478AD8" w14:textId="5DB2B060" w:rsidR="006E1623" w:rsidRPr="00806421" w:rsidRDefault="006E1623" w:rsidP="00806421">
      <w:pPr>
        <w:ind w:left="-142" w:right="-425"/>
        <w:jc w:val="both"/>
        <w:rPr>
          <w:rFonts w:cs="Arial"/>
          <w:b/>
          <w:bCs/>
          <w:sz w:val="22"/>
          <w:szCs w:val="22"/>
        </w:rPr>
      </w:pPr>
      <w:bookmarkStart w:id="3" w:name="_Hlk143596526"/>
      <w:r w:rsidRPr="00806421">
        <w:rPr>
          <w:rFonts w:cs="Arial"/>
          <w:b/>
          <w:bCs/>
          <w:sz w:val="22"/>
          <w:szCs w:val="22"/>
        </w:rPr>
        <w:t>Strategic planning</w:t>
      </w:r>
    </w:p>
    <w:p w14:paraId="370C078F" w14:textId="1092AEEA" w:rsidR="006E1623" w:rsidRDefault="006E1623" w:rsidP="00DE5335">
      <w:pPr>
        <w:tabs>
          <w:tab w:val="left" w:pos="1134"/>
        </w:tabs>
        <w:ind w:left="-142" w:right="-425"/>
        <w:jc w:val="both"/>
      </w:pPr>
      <w:r>
        <w:t xml:space="preserve">As </w:t>
      </w:r>
      <w:r w:rsidR="00C90D6B">
        <w:t>forecast</w:t>
      </w:r>
      <w:r>
        <w:t xml:space="preserve"> in Quarterly Report No 58</w:t>
      </w:r>
      <w:r w:rsidR="00C90D6B">
        <w:t>,</w:t>
      </w:r>
      <w:r>
        <w:t xml:space="preserve"> work on drafting a new strategic plan commenced in earnest on 17 January 2023 with the first of many workshops conducted </w:t>
      </w:r>
      <w:r w:rsidR="00755028">
        <w:t>for the q</w:t>
      </w:r>
      <w:r>
        <w:t>uarter.</w:t>
      </w:r>
      <w:r w:rsidR="00755028">
        <w:t xml:space="preserve"> Consultation will take place with the Local Commissioners in </w:t>
      </w:r>
      <w:r w:rsidR="00C90D6B">
        <w:t xml:space="preserve">each </w:t>
      </w:r>
      <w:r w:rsidR="00755028">
        <w:t xml:space="preserve">community in May and early June, with the final plan </w:t>
      </w:r>
      <w:r w:rsidR="00C90D6B">
        <w:t xml:space="preserve">to be </w:t>
      </w:r>
      <w:r w:rsidR="00755028">
        <w:t xml:space="preserve">published by </w:t>
      </w:r>
      <w:r w:rsidR="00C90D6B">
        <w:t>1 July</w:t>
      </w:r>
      <w:r w:rsidR="00755028">
        <w:t xml:space="preserve"> 2023.</w:t>
      </w:r>
    </w:p>
    <w:p w14:paraId="1696F68E" w14:textId="77777777" w:rsidR="006E1623" w:rsidRDefault="006E1623">
      <w:pPr>
        <w:spacing w:line="240" w:lineRule="auto"/>
        <w:ind w:left="-142"/>
      </w:pPr>
    </w:p>
    <w:p w14:paraId="5A3ED4B4" w14:textId="4DB99FBF" w:rsidR="00D6600E" w:rsidRPr="00806421" w:rsidRDefault="00D6600E" w:rsidP="00806421">
      <w:pPr>
        <w:ind w:left="-142" w:right="-425"/>
        <w:jc w:val="both"/>
        <w:rPr>
          <w:rFonts w:cs="Arial"/>
          <w:b/>
          <w:bCs/>
          <w:sz w:val="22"/>
          <w:szCs w:val="22"/>
        </w:rPr>
      </w:pPr>
      <w:r w:rsidRPr="00806421">
        <w:rPr>
          <w:rFonts w:cs="Arial"/>
          <w:b/>
          <w:bCs/>
          <w:sz w:val="22"/>
          <w:szCs w:val="22"/>
        </w:rPr>
        <w:t>Visit by NIAA</w:t>
      </w:r>
    </w:p>
    <w:p w14:paraId="4B39AC1B" w14:textId="386B96CB" w:rsidR="00D6600E" w:rsidRPr="00D6600E" w:rsidRDefault="00D6600E" w:rsidP="00DE5335">
      <w:pPr>
        <w:tabs>
          <w:tab w:val="left" w:pos="1134"/>
        </w:tabs>
        <w:ind w:left="-142" w:right="-425"/>
        <w:jc w:val="both"/>
      </w:pPr>
      <w:r>
        <w:t>On 28 February 2023 senior members of the Empowered Communities branch of the National Indigenous Australians Agency</w:t>
      </w:r>
      <w:r w:rsidR="003658E6">
        <w:t xml:space="preserve"> </w:t>
      </w:r>
      <w:r w:rsidR="001D3858">
        <w:t xml:space="preserve">(NIAA) </w:t>
      </w:r>
      <w:r>
        <w:t>flew to Cairns to visit the FRC Registry</w:t>
      </w:r>
      <w:r w:rsidR="007C19AF">
        <w:t xml:space="preserve"> and familiarise themselves with the Executive Management Team</w:t>
      </w:r>
      <w:r w:rsidR="00BB1E26">
        <w:t xml:space="preserve">, </w:t>
      </w:r>
      <w:r w:rsidR="001123A6">
        <w:t>registry staff</w:t>
      </w:r>
      <w:r w:rsidR="00BB1E26">
        <w:t xml:space="preserve"> and FRC operations</w:t>
      </w:r>
      <w:r w:rsidR="007C19AF">
        <w:t xml:space="preserve">. </w:t>
      </w:r>
      <w:r w:rsidR="002D4A0E">
        <w:t>The</w:t>
      </w:r>
      <w:r w:rsidR="007C19AF">
        <w:t xml:space="preserve"> next day NIAA </w:t>
      </w:r>
      <w:r w:rsidR="002D4A0E">
        <w:t>staff</w:t>
      </w:r>
      <w:r w:rsidR="007C19AF">
        <w:t xml:space="preserve"> joined the Commissioner and Registrar </w:t>
      </w:r>
      <w:r w:rsidR="002D4A0E">
        <w:t>in a</w:t>
      </w:r>
      <w:r w:rsidR="007C19AF">
        <w:t xml:space="preserve"> visit </w:t>
      </w:r>
      <w:r w:rsidR="004F7927">
        <w:t xml:space="preserve">to </w:t>
      </w:r>
      <w:r w:rsidR="007C19AF">
        <w:t>Aurukun</w:t>
      </w:r>
      <w:r w:rsidR="002D4A0E">
        <w:t xml:space="preserve"> to</w:t>
      </w:r>
      <w:r w:rsidR="007C19AF">
        <w:t xml:space="preserve"> meet the Local Commissioners, </w:t>
      </w:r>
      <w:r w:rsidR="001123A6">
        <w:t>o</w:t>
      </w:r>
      <w:r w:rsidR="007C19AF">
        <w:t xml:space="preserve">bserve conferencing, and visit with stakeholders in community. </w:t>
      </w:r>
      <w:r w:rsidR="001123A6">
        <w:t xml:space="preserve">The visit was </w:t>
      </w:r>
      <w:r w:rsidR="001123A6">
        <w:lastRenderedPageBreak/>
        <w:t xml:space="preserve">instrumental in cementing a greater knowledge of </w:t>
      </w:r>
      <w:r w:rsidR="002D4A0E">
        <w:t xml:space="preserve">the Aurukun community, </w:t>
      </w:r>
      <w:r w:rsidR="001123A6">
        <w:t>FRC operations</w:t>
      </w:r>
      <w:r w:rsidR="002D4A0E">
        <w:t xml:space="preserve"> and the successes and </w:t>
      </w:r>
      <w:r w:rsidR="001123A6">
        <w:t xml:space="preserve">challenges </w:t>
      </w:r>
      <w:r w:rsidR="002D4A0E">
        <w:t>the Commission faces every day in an FRC community.</w:t>
      </w:r>
    </w:p>
    <w:p w14:paraId="68FE40D2" w14:textId="77777777" w:rsidR="00D6600E" w:rsidRPr="00A973F5" w:rsidRDefault="00D6600E" w:rsidP="006E1623">
      <w:pPr>
        <w:spacing w:line="240" w:lineRule="auto"/>
        <w:ind w:left="-142"/>
      </w:pPr>
    </w:p>
    <w:p w14:paraId="60B8DCFA" w14:textId="2572F9C8" w:rsidR="009029BD" w:rsidRPr="00806421" w:rsidRDefault="004F7F56" w:rsidP="00806421">
      <w:pPr>
        <w:ind w:left="-142" w:right="-425"/>
        <w:jc w:val="both"/>
        <w:rPr>
          <w:rFonts w:cs="Arial"/>
          <w:b/>
          <w:bCs/>
          <w:sz w:val="22"/>
          <w:szCs w:val="22"/>
        </w:rPr>
      </w:pPr>
      <w:bookmarkStart w:id="4" w:name="_Hlk149052800"/>
      <w:r w:rsidRPr="00806421">
        <w:rPr>
          <w:rFonts w:cs="Arial"/>
          <w:b/>
          <w:bCs/>
          <w:sz w:val="22"/>
          <w:szCs w:val="22"/>
        </w:rPr>
        <w:t xml:space="preserve">Transition to </w:t>
      </w:r>
      <w:r w:rsidR="00583E78">
        <w:rPr>
          <w:rFonts w:cs="Arial"/>
          <w:b/>
          <w:bCs/>
          <w:sz w:val="22"/>
          <w:szCs w:val="22"/>
        </w:rPr>
        <w:t>e</w:t>
      </w:r>
      <w:r w:rsidRPr="00806421">
        <w:rPr>
          <w:rFonts w:cs="Arial"/>
          <w:b/>
          <w:bCs/>
          <w:sz w:val="22"/>
          <w:szCs w:val="22"/>
        </w:rPr>
        <w:t>nhanced Income Management (</w:t>
      </w:r>
      <w:r w:rsidR="00583E78">
        <w:rPr>
          <w:rFonts w:cs="Arial"/>
          <w:b/>
          <w:bCs/>
          <w:sz w:val="22"/>
          <w:szCs w:val="22"/>
        </w:rPr>
        <w:t>e</w:t>
      </w:r>
      <w:r w:rsidRPr="00806421">
        <w:rPr>
          <w:rFonts w:cs="Arial"/>
          <w:b/>
          <w:bCs/>
          <w:sz w:val="22"/>
          <w:szCs w:val="22"/>
        </w:rPr>
        <w:t>IM)</w:t>
      </w:r>
    </w:p>
    <w:p w14:paraId="78DD9435" w14:textId="1522E613" w:rsidR="00637DBD" w:rsidRDefault="00712F9D" w:rsidP="00DE5335">
      <w:pPr>
        <w:tabs>
          <w:tab w:val="left" w:pos="1134"/>
        </w:tabs>
        <w:ind w:left="-142" w:right="-425"/>
        <w:jc w:val="both"/>
      </w:pPr>
      <w:r>
        <w:t>In Quarter</w:t>
      </w:r>
      <w:r w:rsidR="006D27C3">
        <w:t>ly</w:t>
      </w:r>
      <w:r>
        <w:t xml:space="preserve"> Report 57 the Commission advised that </w:t>
      </w:r>
      <w:r w:rsidRPr="00DE5335">
        <w:t xml:space="preserve">legislation had been successfully passed through the </w:t>
      </w:r>
      <w:r w:rsidR="001D3858">
        <w:t xml:space="preserve">Australian </w:t>
      </w:r>
      <w:r w:rsidRPr="00DE5335">
        <w:t xml:space="preserve">Parliament to ensure that </w:t>
      </w:r>
      <w:r w:rsidR="001D3858">
        <w:t xml:space="preserve">Cashless Debit Card </w:t>
      </w:r>
      <w:r w:rsidR="003658E6">
        <w:t>(</w:t>
      </w:r>
      <w:r w:rsidRPr="00DE5335">
        <w:t>CDC</w:t>
      </w:r>
      <w:r w:rsidR="003658E6">
        <w:t>)</w:t>
      </w:r>
      <w:r w:rsidRPr="00DE5335">
        <w:t xml:space="preserve"> participants in trial sites (that is, those CDC sites other than the Northern Territory and the FRC communities), c</w:t>
      </w:r>
      <w:r w:rsidR="007A77C3" w:rsidRPr="00DE5335">
        <w:t>ould</w:t>
      </w:r>
      <w:r w:rsidRPr="00DE5335">
        <w:t xml:space="preserve"> opt-out of CDC, or continue voluntarily. </w:t>
      </w:r>
      <w:r w:rsidR="007A77C3" w:rsidRPr="00DE5335">
        <w:t>It was also determined that o</w:t>
      </w:r>
      <w:r w:rsidRPr="00DE5335">
        <w:t>n 6 March 2023</w:t>
      </w:r>
      <w:r w:rsidR="00E45F3E">
        <w:t xml:space="preserve"> </w:t>
      </w:r>
      <w:r w:rsidRPr="00DE5335">
        <w:t>FRC communities w</w:t>
      </w:r>
      <w:r w:rsidR="007A77C3" w:rsidRPr="00DE5335">
        <w:t>ould</w:t>
      </w:r>
      <w:r w:rsidRPr="00DE5335">
        <w:t xml:space="preserve"> transition to </w:t>
      </w:r>
      <w:r w:rsidR="000A36C7">
        <w:t>e</w:t>
      </w:r>
      <w:r w:rsidRPr="00DE5335">
        <w:t>nhanced Income Management (</w:t>
      </w:r>
      <w:r w:rsidR="000A36C7">
        <w:t>e</w:t>
      </w:r>
      <w:r w:rsidRPr="00DE5335">
        <w:t xml:space="preserve">IM). </w:t>
      </w:r>
      <w:r w:rsidR="00611878">
        <w:t xml:space="preserve">Cashless Debit Card participants in FRC communities transitioned to </w:t>
      </w:r>
      <w:r w:rsidR="000A36C7">
        <w:t>e</w:t>
      </w:r>
      <w:r w:rsidR="00611878">
        <w:t xml:space="preserve">IM </w:t>
      </w:r>
      <w:r w:rsidR="007A77C3">
        <w:t xml:space="preserve">(the SmartCard) </w:t>
      </w:r>
      <w:r w:rsidR="00611878">
        <w:t>on 6 March 2023</w:t>
      </w:r>
      <w:r w:rsidR="007A77C3">
        <w:t xml:space="preserve"> as planned</w:t>
      </w:r>
      <w:r w:rsidR="00611878">
        <w:t xml:space="preserve">. Prior to </w:t>
      </w:r>
      <w:r w:rsidR="00D5345D">
        <w:t>March</w:t>
      </w:r>
      <w:r w:rsidR="00611878">
        <w:t xml:space="preserve"> the Commission worked with </w:t>
      </w:r>
      <w:r w:rsidR="007A77C3">
        <w:t xml:space="preserve">the </w:t>
      </w:r>
      <w:r w:rsidR="00611878">
        <w:t>D</w:t>
      </w:r>
      <w:r w:rsidR="007A77C3">
        <w:t xml:space="preserve">epartment of </w:t>
      </w:r>
      <w:r w:rsidR="00611878">
        <w:t>S</w:t>
      </w:r>
      <w:r w:rsidR="007A77C3">
        <w:t xml:space="preserve">ocial </w:t>
      </w:r>
      <w:r w:rsidR="00611878">
        <w:t>S</w:t>
      </w:r>
      <w:r w:rsidR="007A77C3">
        <w:t>ervice</w:t>
      </w:r>
      <w:r w:rsidR="00D64A11">
        <w:t xml:space="preserve">s </w:t>
      </w:r>
      <w:r w:rsidR="001D3858">
        <w:t>(DSS)</w:t>
      </w:r>
      <w:r w:rsidR="00611878">
        <w:t xml:space="preserve"> and Services Australia </w:t>
      </w:r>
      <w:r w:rsidR="00D5345D">
        <w:t>preparing for</w:t>
      </w:r>
      <w:r w:rsidR="00611878">
        <w:t xml:space="preserve"> the </w:t>
      </w:r>
      <w:proofErr w:type="gramStart"/>
      <w:r w:rsidR="00611878">
        <w:t>transition</w:t>
      </w:r>
      <w:r w:rsidR="00BB1E26">
        <w:t>,</w:t>
      </w:r>
      <w:r w:rsidR="00D5345D">
        <w:t xml:space="preserve"> </w:t>
      </w:r>
      <w:r w:rsidR="007A534F">
        <w:t>and</w:t>
      </w:r>
      <w:proofErr w:type="gramEnd"/>
      <w:r w:rsidR="007A534F">
        <w:t xml:space="preserve"> assisted in hosting community engagement and information sessions conducted by Services Australia. The transition </w:t>
      </w:r>
      <w:r w:rsidR="00D5345D">
        <w:t xml:space="preserve">was </w:t>
      </w:r>
      <w:proofErr w:type="gramStart"/>
      <w:r w:rsidR="00D5345D">
        <w:t>effected</w:t>
      </w:r>
      <w:proofErr w:type="gramEnd"/>
      <w:r w:rsidR="00D5345D">
        <w:t xml:space="preserve"> seamlessly across the communities. The Commission continues to monitor the use of the new SmartCard by </w:t>
      </w:r>
      <w:r w:rsidR="007A534F">
        <w:t>FRC</w:t>
      </w:r>
      <w:r w:rsidR="00D5345D">
        <w:t xml:space="preserve"> clients and report</w:t>
      </w:r>
      <w:r w:rsidR="007A534F">
        <w:t>s</w:t>
      </w:r>
      <w:r w:rsidR="00D5345D">
        <w:t xml:space="preserve"> any operational issues to DSS and NIAA during meetings conducted </w:t>
      </w:r>
      <w:proofErr w:type="gramStart"/>
      <w:r w:rsidR="00D5345D">
        <w:t>on a monthly basis</w:t>
      </w:r>
      <w:proofErr w:type="gramEnd"/>
      <w:r w:rsidR="00D5345D">
        <w:t>.</w:t>
      </w:r>
    </w:p>
    <w:bookmarkEnd w:id="4"/>
    <w:p w14:paraId="346BE081" w14:textId="75750B47" w:rsidR="00155176" w:rsidRDefault="00155176" w:rsidP="00611878">
      <w:pPr>
        <w:spacing w:line="240" w:lineRule="auto"/>
        <w:ind w:left="-142"/>
      </w:pPr>
    </w:p>
    <w:p w14:paraId="263E97E8" w14:textId="426B0A22" w:rsidR="007A534F" w:rsidRPr="00806421" w:rsidRDefault="007A534F" w:rsidP="00806421">
      <w:pPr>
        <w:ind w:left="-142" w:right="-425"/>
        <w:jc w:val="both"/>
        <w:rPr>
          <w:rFonts w:cs="Arial"/>
          <w:b/>
          <w:bCs/>
          <w:i/>
          <w:iCs/>
          <w:sz w:val="22"/>
          <w:szCs w:val="22"/>
        </w:rPr>
      </w:pPr>
      <w:r w:rsidRPr="00806421">
        <w:rPr>
          <w:rFonts w:cs="Arial"/>
          <w:b/>
          <w:bCs/>
          <w:i/>
          <w:iCs/>
          <w:sz w:val="22"/>
          <w:szCs w:val="22"/>
        </w:rPr>
        <w:t>Family Responsibilities Commission Act 2008</w:t>
      </w:r>
    </w:p>
    <w:p w14:paraId="1F709551" w14:textId="72F72B9E" w:rsidR="007A534F" w:rsidRDefault="00A25B7D" w:rsidP="00DE5335">
      <w:pPr>
        <w:tabs>
          <w:tab w:val="left" w:pos="1134"/>
        </w:tabs>
        <w:ind w:left="-142" w:right="-425"/>
        <w:jc w:val="both"/>
      </w:pPr>
      <w:r>
        <w:t xml:space="preserve">13 </w:t>
      </w:r>
      <w:r w:rsidR="007A534F">
        <w:t>March</w:t>
      </w:r>
      <w:r w:rsidR="008B0772">
        <w:t xml:space="preserve"> </w:t>
      </w:r>
      <w:r w:rsidR="007A534F">
        <w:t>2023 heralded the 15</w:t>
      </w:r>
      <w:r w:rsidR="007A534F" w:rsidRPr="00DE5335">
        <w:t>th</w:t>
      </w:r>
      <w:r w:rsidR="007A534F">
        <w:t xml:space="preserve"> anniversary of the passing of the FRC Act </w:t>
      </w:r>
      <w:r w:rsidR="006317C4">
        <w:t>through</w:t>
      </w:r>
      <w:r w:rsidR="007A534F">
        <w:t xml:space="preserve"> </w:t>
      </w:r>
      <w:r w:rsidR="008F4238">
        <w:t xml:space="preserve">Queensland </w:t>
      </w:r>
      <w:r w:rsidR="007A534F">
        <w:t>State Parliament</w:t>
      </w:r>
      <w:r w:rsidR="00BE596B">
        <w:t xml:space="preserve"> with bi-partisan support</w:t>
      </w:r>
      <w:r w:rsidR="007A534F">
        <w:t>.</w:t>
      </w:r>
      <w:r w:rsidR="008F4238">
        <w:t xml:space="preserve"> Internally the Commission marked the anniversary by recognising and acknowledging the hard work </w:t>
      </w:r>
      <w:r w:rsidR="005862F4">
        <w:t xml:space="preserve">undertaken by Commissioners and Registry staff in moulding the Commission </w:t>
      </w:r>
      <w:r w:rsidR="006D27C3">
        <w:t>in</w:t>
      </w:r>
      <w:r w:rsidR="005862F4">
        <w:t xml:space="preserve">to </w:t>
      </w:r>
      <w:r w:rsidR="00765D32">
        <w:t>the organisation</w:t>
      </w:r>
      <w:r w:rsidR="005862F4">
        <w:t xml:space="preserve"> it is today</w:t>
      </w:r>
      <w:r w:rsidR="006317C4">
        <w:t>. I</w:t>
      </w:r>
      <w:r w:rsidR="008F4238">
        <w:t xml:space="preserve">t is fitting that the Commission’s </w:t>
      </w:r>
      <w:r w:rsidR="001D3858">
        <w:t xml:space="preserve">2021-2022 </w:t>
      </w:r>
      <w:r w:rsidR="008F4238">
        <w:t>Annual Repor</w:t>
      </w:r>
      <w:r w:rsidR="007A180F">
        <w:t xml:space="preserve">t </w:t>
      </w:r>
      <w:r w:rsidR="008F4238">
        <w:t xml:space="preserve">was tabled in </w:t>
      </w:r>
      <w:r w:rsidR="001D3858">
        <w:t xml:space="preserve">Queensland’s </w:t>
      </w:r>
      <w:r w:rsidR="008F4238">
        <w:t>Parliament</w:t>
      </w:r>
      <w:r w:rsidR="006317C4">
        <w:t xml:space="preserve"> on 13 March 2023 by the Honourable Craig Crawford MP, the </w:t>
      </w:r>
      <w:r w:rsidR="006D27C3">
        <w:t xml:space="preserve">then </w:t>
      </w:r>
      <w:r w:rsidR="006317C4">
        <w:t>Minister for Aboriginal and Torres Strait Islander Partnerships.</w:t>
      </w:r>
    </w:p>
    <w:p w14:paraId="63A0704A" w14:textId="1722A3DA" w:rsidR="006317C4" w:rsidRDefault="006317C4" w:rsidP="007A534F">
      <w:pPr>
        <w:spacing w:line="240" w:lineRule="auto"/>
        <w:ind w:left="-142"/>
      </w:pPr>
    </w:p>
    <w:p w14:paraId="5907F874" w14:textId="0B7F41DE" w:rsidR="00CE6600" w:rsidRPr="00806421" w:rsidRDefault="00CE6600" w:rsidP="00806421">
      <w:pPr>
        <w:ind w:left="-142" w:right="-425"/>
        <w:jc w:val="both"/>
        <w:rPr>
          <w:rFonts w:cs="Arial"/>
          <w:b/>
          <w:bCs/>
          <w:sz w:val="22"/>
          <w:szCs w:val="22"/>
        </w:rPr>
      </w:pPr>
      <w:r w:rsidRPr="00806421">
        <w:rPr>
          <w:rFonts w:cs="Arial"/>
          <w:b/>
          <w:bCs/>
          <w:sz w:val="22"/>
          <w:szCs w:val="22"/>
        </w:rPr>
        <w:t>DSS and FRC workshop</w:t>
      </w:r>
    </w:p>
    <w:p w14:paraId="68702F66" w14:textId="0F513EF8" w:rsidR="00CE6600" w:rsidRDefault="005D3EBB" w:rsidP="00DE5335">
      <w:pPr>
        <w:tabs>
          <w:tab w:val="left" w:pos="1134"/>
        </w:tabs>
        <w:ind w:left="-142" w:right="-425"/>
        <w:jc w:val="both"/>
      </w:pPr>
      <w:r>
        <w:t>On 16 March 2023, a</w:t>
      </w:r>
      <w:r w:rsidR="00CE6600">
        <w:t xml:space="preserve">t the invitation of the Department of Social Services </w:t>
      </w:r>
      <w:r w:rsidR="00CD17E0">
        <w:t>(DSS)</w:t>
      </w:r>
      <w:r>
        <w:t>,</w:t>
      </w:r>
      <w:r w:rsidR="00CD17E0">
        <w:t xml:space="preserve"> </w:t>
      </w:r>
      <w:r w:rsidR="00CE6600">
        <w:t>members of the</w:t>
      </w:r>
      <w:r w:rsidR="00CD17E0">
        <w:t xml:space="preserve"> FRC</w:t>
      </w:r>
      <w:r w:rsidR="00CE6600">
        <w:t xml:space="preserve"> </w:t>
      </w:r>
      <w:r w:rsidR="00CD17E0">
        <w:t>Executive and leadership team</w:t>
      </w:r>
      <w:r w:rsidR="00267C91">
        <w:t>s</w:t>
      </w:r>
      <w:r w:rsidR="00CD17E0">
        <w:t xml:space="preserve"> visited the DSS Canberra office to explore </w:t>
      </w:r>
      <w:r w:rsidR="00C63379">
        <w:t xml:space="preserve">the synchronicity between the </w:t>
      </w:r>
      <w:r w:rsidR="00C63379" w:rsidRPr="007A180F">
        <w:rPr>
          <w:i/>
          <w:iCs/>
        </w:rPr>
        <w:t xml:space="preserve">Social Security </w:t>
      </w:r>
      <w:r w:rsidR="00D100E8" w:rsidRPr="007A180F">
        <w:rPr>
          <w:i/>
          <w:iCs/>
        </w:rPr>
        <w:t>(Administration) Act 1999</w:t>
      </w:r>
      <w:r w:rsidR="00C63379">
        <w:t xml:space="preserve"> and the FRC Act</w:t>
      </w:r>
      <w:r w:rsidR="00D100E8">
        <w:t xml:space="preserve"> in the application of Income Management</w:t>
      </w:r>
      <w:r w:rsidR="00C63379">
        <w:t xml:space="preserve">. </w:t>
      </w:r>
      <w:r w:rsidR="00D100E8">
        <w:t xml:space="preserve">Discussions explored </w:t>
      </w:r>
      <w:r w:rsidR="00CD17E0">
        <w:t xml:space="preserve">data sharing capabilities </w:t>
      </w:r>
      <w:proofErr w:type="gramStart"/>
      <w:r w:rsidR="00CD17E0">
        <w:t>in order to</w:t>
      </w:r>
      <w:proofErr w:type="gramEnd"/>
      <w:r w:rsidR="00CD17E0">
        <w:t xml:space="preserve"> inform </w:t>
      </w:r>
      <w:r w:rsidR="00267C91">
        <w:t xml:space="preserve">on </w:t>
      </w:r>
      <w:r w:rsidR="00CD17E0">
        <w:t xml:space="preserve">the effectiveness of </w:t>
      </w:r>
      <w:r w:rsidR="00D100E8">
        <w:t>I</w:t>
      </w:r>
      <w:r w:rsidR="00CD17E0">
        <w:t xml:space="preserve">ncome </w:t>
      </w:r>
      <w:r w:rsidR="00D100E8">
        <w:t>M</w:t>
      </w:r>
      <w:r w:rsidR="00CD17E0">
        <w:t>anagement, analyse the types of transactions</w:t>
      </w:r>
      <w:r w:rsidR="00267C91">
        <w:t xml:space="preserve"> and what the data might tell us about a participant's journey</w:t>
      </w:r>
      <w:r w:rsidR="00CD17E0">
        <w:t xml:space="preserve">, the efficiency of support services offered by DSS and Services Australia, </w:t>
      </w:r>
      <w:r w:rsidR="00267C91">
        <w:t>and how the partners in Income Management can better service the clients participating in the program. It is hoped the data will inform a future evaluation of the framework in the context of the Welfare Reform program logic and theory of change.</w:t>
      </w:r>
    </w:p>
    <w:p w14:paraId="3B4B5BCD" w14:textId="77777777" w:rsidR="00CE6600" w:rsidRPr="00CE6600" w:rsidRDefault="00CE6600" w:rsidP="007A534F">
      <w:pPr>
        <w:spacing w:line="240" w:lineRule="auto"/>
        <w:ind w:left="-142"/>
      </w:pPr>
    </w:p>
    <w:p w14:paraId="26F4906E" w14:textId="130CADB2" w:rsidR="006317C4" w:rsidRPr="00806421" w:rsidRDefault="00C320D1" w:rsidP="00806421">
      <w:pPr>
        <w:ind w:left="-142" w:right="-425"/>
        <w:jc w:val="both"/>
        <w:rPr>
          <w:rFonts w:cs="Arial"/>
          <w:b/>
          <w:bCs/>
          <w:sz w:val="22"/>
          <w:szCs w:val="22"/>
        </w:rPr>
      </w:pPr>
      <w:r w:rsidRPr="00806421">
        <w:rPr>
          <w:rFonts w:cs="Arial"/>
          <w:b/>
          <w:bCs/>
          <w:sz w:val="22"/>
          <w:szCs w:val="22"/>
        </w:rPr>
        <w:t xml:space="preserve">Community Support and Services </w:t>
      </w:r>
      <w:r w:rsidR="006317C4" w:rsidRPr="00806421">
        <w:rPr>
          <w:rFonts w:cs="Arial"/>
          <w:b/>
          <w:bCs/>
          <w:sz w:val="22"/>
          <w:szCs w:val="22"/>
        </w:rPr>
        <w:t>Committee</w:t>
      </w:r>
    </w:p>
    <w:p w14:paraId="54D63C15" w14:textId="77777777" w:rsidR="00305A05" w:rsidRDefault="00D6549A" w:rsidP="00806421">
      <w:pPr>
        <w:tabs>
          <w:tab w:val="left" w:pos="1134"/>
        </w:tabs>
        <w:ind w:left="-142" w:right="-425"/>
        <w:jc w:val="both"/>
      </w:pPr>
      <w:r w:rsidRPr="00D6549A">
        <w:t>On 2</w:t>
      </w:r>
      <w:r>
        <w:t>7</w:t>
      </w:r>
      <w:r w:rsidRPr="00D6549A">
        <w:t xml:space="preserve"> March 202</w:t>
      </w:r>
      <w:r>
        <w:t>3</w:t>
      </w:r>
      <w:r w:rsidRPr="00D6549A">
        <w:t>, Commissioner Williams, along with Registrar Maxine McLeod and Executive Officer (</w:t>
      </w:r>
      <w:r>
        <w:t>Corporate</w:t>
      </w:r>
      <w:r w:rsidRPr="00D6549A">
        <w:t>) Tracey Paterson, appeared at a Public Briefing of the Community Support and Services Committee of the Queensland State Parliament.</w:t>
      </w:r>
    </w:p>
    <w:p w14:paraId="5D296B28" w14:textId="77777777" w:rsidR="00305A05" w:rsidRDefault="00305A05" w:rsidP="00A973F5">
      <w:pPr>
        <w:tabs>
          <w:tab w:val="left" w:pos="1134"/>
        </w:tabs>
        <w:ind w:left="-142" w:right="-425"/>
        <w:jc w:val="both"/>
      </w:pPr>
    </w:p>
    <w:p w14:paraId="4F916125" w14:textId="39CBDEA6" w:rsidR="00D6549A" w:rsidRPr="00D6549A" w:rsidRDefault="00D6549A" w:rsidP="00A973F5">
      <w:pPr>
        <w:tabs>
          <w:tab w:val="left" w:pos="1134"/>
        </w:tabs>
        <w:ind w:left="-142" w:right="-425"/>
        <w:jc w:val="both"/>
      </w:pPr>
      <w:r w:rsidRPr="00D6549A">
        <w:t>Commissioner Williams reported to the Committee on:</w:t>
      </w:r>
    </w:p>
    <w:p w14:paraId="1748B34B" w14:textId="77777777" w:rsidR="00D6549A" w:rsidRPr="00DE5335" w:rsidRDefault="00D6549A" w:rsidP="00A973F5">
      <w:pPr>
        <w:pStyle w:val="ListParagraph"/>
        <w:numPr>
          <w:ilvl w:val="0"/>
          <w:numId w:val="15"/>
        </w:numPr>
        <w:spacing w:line="288" w:lineRule="auto"/>
        <w:ind w:left="572" w:hanging="357"/>
        <w:rPr>
          <w:rFonts w:ascii="Verdana" w:hAnsi="Verdana"/>
          <w:sz w:val="20"/>
          <w:szCs w:val="20"/>
        </w:rPr>
      </w:pPr>
      <w:r w:rsidRPr="00DE5335">
        <w:rPr>
          <w:rFonts w:ascii="Verdana" w:hAnsi="Verdana"/>
          <w:sz w:val="20"/>
          <w:szCs w:val="20"/>
        </w:rPr>
        <w:t>the operational performance highlights outlined in the recently tabled Annual Report</w:t>
      </w:r>
    </w:p>
    <w:p w14:paraId="5B12F878" w14:textId="77777777" w:rsidR="00D6549A" w:rsidRPr="00DE5335" w:rsidRDefault="00D6549A" w:rsidP="00A973F5">
      <w:pPr>
        <w:pStyle w:val="ListParagraph"/>
        <w:numPr>
          <w:ilvl w:val="0"/>
          <w:numId w:val="15"/>
        </w:numPr>
        <w:spacing w:line="288" w:lineRule="auto"/>
        <w:ind w:left="572" w:hanging="357"/>
        <w:rPr>
          <w:rFonts w:ascii="Verdana" w:hAnsi="Verdana"/>
          <w:sz w:val="20"/>
          <w:szCs w:val="20"/>
        </w:rPr>
      </w:pPr>
      <w:r w:rsidRPr="00DE5335">
        <w:rPr>
          <w:rFonts w:ascii="Verdana" w:hAnsi="Verdana"/>
          <w:sz w:val="20"/>
          <w:szCs w:val="20"/>
        </w:rPr>
        <w:t>the MoU for funding and the impact of successive short-term funding agreements on the Commission’s operations</w:t>
      </w:r>
    </w:p>
    <w:p w14:paraId="13075DA3" w14:textId="77777777" w:rsidR="004F7927" w:rsidRPr="00DE5335" w:rsidRDefault="00D6549A" w:rsidP="00A973F5">
      <w:pPr>
        <w:pStyle w:val="ListParagraph"/>
        <w:numPr>
          <w:ilvl w:val="0"/>
          <w:numId w:val="15"/>
        </w:numPr>
        <w:spacing w:line="288" w:lineRule="auto"/>
        <w:ind w:left="572" w:hanging="357"/>
        <w:rPr>
          <w:rFonts w:ascii="Verdana" w:hAnsi="Verdana"/>
          <w:sz w:val="20"/>
          <w:szCs w:val="20"/>
        </w:rPr>
      </w:pPr>
      <w:r w:rsidRPr="00DE5335">
        <w:rPr>
          <w:rFonts w:ascii="Verdana" w:hAnsi="Verdana"/>
          <w:sz w:val="20"/>
          <w:szCs w:val="20"/>
        </w:rPr>
        <w:t>the importance of operationalising the Childrens Court trigger in the FRC Act</w:t>
      </w:r>
    </w:p>
    <w:p w14:paraId="6F5C2DFC" w14:textId="3AE9593B" w:rsidR="004F7927" w:rsidRPr="00DE5335" w:rsidRDefault="004F7927" w:rsidP="00A973F5">
      <w:pPr>
        <w:pStyle w:val="ListParagraph"/>
        <w:numPr>
          <w:ilvl w:val="0"/>
          <w:numId w:val="15"/>
        </w:numPr>
        <w:spacing w:line="288" w:lineRule="auto"/>
        <w:ind w:left="572" w:hanging="357"/>
        <w:rPr>
          <w:rFonts w:ascii="Verdana" w:hAnsi="Verdana"/>
          <w:sz w:val="20"/>
          <w:szCs w:val="20"/>
        </w:rPr>
      </w:pPr>
      <w:r w:rsidRPr="00DE5335">
        <w:rPr>
          <w:rFonts w:ascii="Verdana" w:hAnsi="Verdana"/>
          <w:sz w:val="20"/>
          <w:szCs w:val="20"/>
        </w:rPr>
        <w:t>school attendance data</w:t>
      </w:r>
    </w:p>
    <w:p w14:paraId="1763C50A" w14:textId="57A578C1" w:rsidR="00D6549A" w:rsidRPr="00DE5335" w:rsidRDefault="00CB390B" w:rsidP="00A973F5">
      <w:pPr>
        <w:pStyle w:val="ListParagraph"/>
        <w:numPr>
          <w:ilvl w:val="0"/>
          <w:numId w:val="15"/>
        </w:numPr>
        <w:spacing w:line="288" w:lineRule="auto"/>
        <w:ind w:left="572" w:hanging="357"/>
        <w:rPr>
          <w:rFonts w:ascii="Verdana" w:hAnsi="Verdana"/>
          <w:sz w:val="20"/>
          <w:szCs w:val="20"/>
        </w:rPr>
      </w:pPr>
      <w:r>
        <w:rPr>
          <w:rFonts w:ascii="Verdana" w:hAnsi="Verdana"/>
          <w:sz w:val="20"/>
          <w:szCs w:val="20"/>
        </w:rPr>
        <w:t>t</w:t>
      </w:r>
      <w:r w:rsidR="004F7927" w:rsidRPr="00DE5335">
        <w:rPr>
          <w:rFonts w:ascii="Verdana" w:hAnsi="Verdana"/>
          <w:sz w:val="20"/>
          <w:szCs w:val="20"/>
        </w:rPr>
        <w:t>he success of Voluntary Income Management</w:t>
      </w:r>
      <w:r w:rsidR="00D6549A" w:rsidRPr="00DE5335">
        <w:rPr>
          <w:rFonts w:ascii="Verdana" w:hAnsi="Verdana"/>
          <w:sz w:val="20"/>
          <w:szCs w:val="20"/>
        </w:rPr>
        <w:t>.</w:t>
      </w:r>
    </w:p>
    <w:bookmarkEnd w:id="3"/>
    <w:p w14:paraId="094C86C3" w14:textId="74CB4F9B" w:rsidR="006317C4" w:rsidRDefault="006317C4" w:rsidP="007A534F">
      <w:pPr>
        <w:spacing w:line="240" w:lineRule="auto"/>
        <w:ind w:left="-142"/>
      </w:pPr>
    </w:p>
    <w:p w14:paraId="36B9E100" w14:textId="1900CA1B" w:rsidR="006317C4" w:rsidRPr="00806421" w:rsidRDefault="006317C4" w:rsidP="00806421">
      <w:pPr>
        <w:ind w:left="-142" w:right="-425"/>
        <w:jc w:val="both"/>
        <w:rPr>
          <w:rFonts w:cs="Arial"/>
          <w:b/>
          <w:bCs/>
          <w:sz w:val="22"/>
          <w:szCs w:val="22"/>
        </w:rPr>
      </w:pPr>
      <w:r w:rsidRPr="00806421">
        <w:rPr>
          <w:rFonts w:cs="Arial"/>
          <w:b/>
          <w:bCs/>
          <w:sz w:val="22"/>
          <w:szCs w:val="22"/>
        </w:rPr>
        <w:t>F</w:t>
      </w:r>
      <w:r w:rsidR="00BE596B" w:rsidRPr="00806421">
        <w:rPr>
          <w:rFonts w:cs="Arial"/>
          <w:b/>
          <w:bCs/>
          <w:sz w:val="22"/>
          <w:szCs w:val="22"/>
        </w:rPr>
        <w:t xml:space="preserve">amily </w:t>
      </w:r>
      <w:r w:rsidRPr="00806421">
        <w:rPr>
          <w:rFonts w:cs="Arial"/>
          <w:b/>
          <w:bCs/>
          <w:sz w:val="22"/>
          <w:szCs w:val="22"/>
        </w:rPr>
        <w:t>R</w:t>
      </w:r>
      <w:r w:rsidR="00BE596B" w:rsidRPr="00806421">
        <w:rPr>
          <w:rFonts w:cs="Arial"/>
          <w:b/>
          <w:bCs/>
          <w:sz w:val="22"/>
          <w:szCs w:val="22"/>
        </w:rPr>
        <w:t>esponsibilities</w:t>
      </w:r>
      <w:r w:rsidRPr="00806421">
        <w:rPr>
          <w:rFonts w:cs="Arial"/>
          <w:b/>
          <w:bCs/>
          <w:sz w:val="22"/>
          <w:szCs w:val="22"/>
        </w:rPr>
        <w:t xml:space="preserve"> Board</w:t>
      </w:r>
    </w:p>
    <w:p w14:paraId="1920DE54" w14:textId="4663DB22" w:rsidR="00BE596B" w:rsidRPr="00611878" w:rsidRDefault="005B6D05" w:rsidP="00A973F5">
      <w:pPr>
        <w:tabs>
          <w:tab w:val="left" w:pos="1134"/>
        </w:tabs>
        <w:ind w:left="-142" w:right="-425"/>
        <w:jc w:val="both"/>
      </w:pPr>
      <w:r>
        <w:t xml:space="preserve">Members of the FRC Executive Management Team travelled to Brisbane to attend an FR Board meeting held on 28 March 2023. A community update report for Aurukun, Coen, Doomadgee, Hope </w:t>
      </w:r>
      <w:proofErr w:type="gramStart"/>
      <w:r>
        <w:t>Vale</w:t>
      </w:r>
      <w:proofErr w:type="gramEnd"/>
      <w:r>
        <w:t xml:space="preserve"> and </w:t>
      </w:r>
      <w:r>
        <w:lastRenderedPageBreak/>
        <w:t xml:space="preserve">Mossman Gorge was provided for the period 1 October to 31 December 2022 including operational highlights, challenges and other significant community news. The Commission prepared and presented a </w:t>
      </w:r>
      <w:r w:rsidRPr="00DE5335">
        <w:t xml:space="preserve">finance </w:t>
      </w:r>
      <w:r w:rsidR="00E45F3E">
        <w:t>p</w:t>
      </w:r>
      <w:r w:rsidRPr="00DE5335">
        <w:t xml:space="preserve">aper including </w:t>
      </w:r>
      <w:r w:rsidR="00765D32" w:rsidRPr="00DE5335">
        <w:t>f</w:t>
      </w:r>
      <w:r w:rsidRPr="00DE5335">
        <w:t xml:space="preserve">orecast for 30 June 2023, and Quarterly Reports No </w:t>
      </w:r>
      <w:r w:rsidR="00645823" w:rsidRPr="00DE5335">
        <w:t>57 and 58 were presented and received the FR Board’s endorsement.</w:t>
      </w:r>
    </w:p>
    <w:p w14:paraId="5E834E77" w14:textId="5ACD74B8" w:rsidR="00E341E5" w:rsidRPr="00351891" w:rsidRDefault="00E341E5">
      <w:pPr>
        <w:spacing w:line="240" w:lineRule="auto"/>
        <w:rPr>
          <w:bCs/>
        </w:rPr>
      </w:pPr>
      <w:r w:rsidRPr="00351891">
        <w:rPr>
          <w:bCs/>
        </w:rPr>
        <w:br w:type="page"/>
      </w:r>
    </w:p>
    <w:p w14:paraId="00DC229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2C692850" w:rsidR="00F058BE"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267D24">
        <w:rPr>
          <w:noProof/>
        </w:rPr>
        <w:t>7</w:t>
      </w:r>
      <w:r w:rsidR="00F058BE">
        <w:rPr>
          <w:noProof/>
        </w:rPr>
        <w:fldChar w:fldCharType="end"/>
      </w:r>
    </w:p>
    <w:p w14:paraId="62DF3D4A" w14:textId="785D0044" w:rsidR="00F058BE" w:rsidRDefault="00F058BE">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267D24">
        <w:rPr>
          <w:noProof/>
        </w:rPr>
        <w:t>21</w:t>
      </w:r>
      <w:r>
        <w:rPr>
          <w:noProof/>
        </w:rPr>
        <w:fldChar w:fldCharType="end"/>
      </w:r>
    </w:p>
    <w:p w14:paraId="293F38D2" w14:textId="0A852B47" w:rsidR="00F058BE" w:rsidRDefault="00F058BE">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267D24">
        <w:rPr>
          <w:noProof/>
        </w:rPr>
        <w:t>24</w:t>
      </w:r>
      <w:r>
        <w:rPr>
          <w:noProof/>
        </w:rPr>
        <w:fldChar w:fldCharType="end"/>
      </w:r>
    </w:p>
    <w:p w14:paraId="79738A35" w14:textId="12679FA1" w:rsidR="00F058BE" w:rsidRDefault="00F058BE">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267D24">
        <w:rPr>
          <w:noProof/>
        </w:rPr>
        <w:t>25</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26CC96AD">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rgbClr val="000000"/>
                          </a:solid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 xml:space="preserve">District Court </w:t>
                            </w:r>
                            <w:proofErr w:type="gramStart"/>
                            <w:r>
                              <w:rPr>
                                <w:sz w:val="18"/>
                                <w:szCs w:val="18"/>
                              </w:rPr>
                              <w:t>notice</w:t>
                            </w:r>
                            <w:proofErr w:type="gramEnd"/>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">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 xml:space="preserve">District Court </w:t>
                      </w:r>
                      <w:proofErr w:type="gramStart"/>
                      <w:r>
                        <w:rPr>
                          <w:sz w:val="18"/>
                          <w:szCs w:val="18"/>
                        </w:rPr>
                        <w:t>notice</w:t>
                      </w:r>
                      <w:proofErr w:type="gramEnd"/>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13F53FA1" w:rsidR="005A5B78" w:rsidRPr="00B04486" w:rsidRDefault="005A5B78" w:rsidP="005A5B78">
      <w:pPr>
        <w:spacing w:after="240" w:line="240" w:lineRule="auto"/>
        <w:ind w:left="-142"/>
        <w:rPr>
          <w:i/>
          <w:sz w:val="24"/>
          <w:szCs w:val="24"/>
        </w:rPr>
      </w:pPr>
      <w:r w:rsidRPr="00B04486">
        <w:rPr>
          <w:i/>
          <w:sz w:val="24"/>
          <w:szCs w:val="24"/>
        </w:rPr>
        <w:t xml:space="preserve">Report to </w:t>
      </w:r>
      <w:r w:rsidR="00DA70CA">
        <w:rPr>
          <w:i/>
          <w:sz w:val="24"/>
          <w:szCs w:val="24"/>
        </w:rPr>
        <w:t>3</w:t>
      </w:r>
      <w:r w:rsidR="007B7E78">
        <w:rPr>
          <w:i/>
          <w:sz w:val="24"/>
          <w:szCs w:val="24"/>
        </w:rPr>
        <w:t>1</w:t>
      </w:r>
      <w:r w:rsidR="00DA70CA">
        <w:rPr>
          <w:i/>
          <w:sz w:val="24"/>
          <w:szCs w:val="24"/>
        </w:rPr>
        <w:t xml:space="preserve"> </w:t>
      </w:r>
      <w:r w:rsidR="00984BBB">
        <w:rPr>
          <w:i/>
          <w:sz w:val="24"/>
          <w:szCs w:val="24"/>
        </w:rPr>
        <w:t>March 2023</w:t>
      </w:r>
      <w:r w:rsidRPr="00B04486">
        <w:rPr>
          <w:i/>
          <w:sz w:val="24"/>
          <w:szCs w:val="24"/>
        </w:rPr>
        <w:t>.</w:t>
      </w:r>
    </w:p>
    <w:p w14:paraId="3B63D598" w14:textId="77777777" w:rsidR="005A5B78" w:rsidRPr="00942B2C" w:rsidRDefault="005A5B78" w:rsidP="005A5B78">
      <w:pPr>
        <w:pStyle w:val="Heading1"/>
        <w:ind w:left="-142" w:right="-426"/>
      </w:pPr>
      <w:bookmarkStart w:id="5" w:name="_Toc222226581"/>
      <w:bookmarkStart w:id="6" w:name="_Toc304386230"/>
      <w:bookmarkStart w:id="7" w:name="_Toc304386307"/>
      <w:bookmarkStart w:id="8" w:name="_Toc306011180"/>
      <w:bookmarkStart w:id="9" w:name="_Toc39657991"/>
      <w:r>
        <w:t>1.  Activities and</w:t>
      </w:r>
      <w:r w:rsidRPr="00942B2C">
        <w:t xml:space="preserve"> </w:t>
      </w:r>
      <w:bookmarkEnd w:id="5"/>
      <w:bookmarkEnd w:id="6"/>
      <w:bookmarkEnd w:id="7"/>
      <w:bookmarkEnd w:id="8"/>
      <w:r>
        <w:t>Trends</w:t>
      </w:r>
      <w:bookmarkEnd w:id="9"/>
    </w:p>
    <w:p w14:paraId="2BAF545E" w14:textId="77E156F5" w:rsidR="009B2EF1" w:rsidRPr="00E6690B" w:rsidRDefault="009B2EF1" w:rsidP="00E6690B">
      <w:pPr>
        <w:tabs>
          <w:tab w:val="left" w:pos="1134"/>
        </w:tabs>
        <w:ind w:left="-142" w:right="-425"/>
        <w:jc w:val="both"/>
      </w:pPr>
    </w:p>
    <w:p w14:paraId="3D98B899" w14:textId="7F0B88B2" w:rsidR="00237AB1" w:rsidRPr="003E2C8D" w:rsidRDefault="00237AB1" w:rsidP="004D5B34">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 xml:space="preserve">The Commission delivers services to communities which are culturally unique and geographically remote. Each community is </w:t>
      </w:r>
      <w:proofErr w:type="gramStart"/>
      <w:r>
        <w:t>different,</w:t>
      </w:r>
      <w:proofErr w:type="gramEnd"/>
      <w:r>
        <w:t xml:space="preserve">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Pr="00351891" w:rsidRDefault="008F63D1" w:rsidP="0024013F">
      <w:pPr>
        <w:tabs>
          <w:tab w:val="left" w:pos="1134"/>
        </w:tabs>
        <w:ind w:left="-142" w:right="-425"/>
        <w:jc w:val="both"/>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2B639C6A"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2522F2">
        <w:t>Table 2</w:t>
      </w:r>
      <w:r w:rsidR="00AA0D00">
        <w:t xml:space="preserve"> </w:t>
      </w:r>
      <w:r w:rsidR="00770C5A">
        <w:t>sets ou</w:t>
      </w:r>
      <w:r w:rsidR="00637C67">
        <w:t>t the different types of agenc</w:t>
      </w:r>
      <w:r w:rsidR="005A6FC1">
        <w:t>y</w:t>
      </w:r>
      <w:r w:rsidR="00637C67">
        <w:t xml:space="preserve"> notices received by </w:t>
      </w:r>
      <w:r w:rsidR="00FC4C4F">
        <w:t>individual clients</w:t>
      </w:r>
      <w:r w:rsidR="00637C67">
        <w:t xml:space="preserve"> during the </w:t>
      </w:r>
      <w:r w:rsidR="005461D1">
        <w:t xml:space="preserve">reporting period. </w:t>
      </w:r>
      <w:r w:rsidR="007B68DE">
        <w:t xml:space="preserve">During quarter </w:t>
      </w:r>
      <w:r w:rsidR="00413FAC">
        <w:t>59</w:t>
      </w:r>
      <w:r w:rsidR="005728FA">
        <w:t>,</w:t>
      </w:r>
      <w:r w:rsidR="007B68DE">
        <w:t xml:space="preserve"> </w:t>
      </w:r>
      <w:r w:rsidR="00311F92">
        <w:t>65</w:t>
      </w:r>
      <w:r w:rsidR="003009DA">
        <w:t>1</w:t>
      </w:r>
      <w:r w:rsidR="00311F92">
        <w:t xml:space="preserve"> </w:t>
      </w:r>
      <w:r w:rsidR="006648A1">
        <w:t xml:space="preserve">clients </w:t>
      </w:r>
      <w:r w:rsidR="00FE5409">
        <w:t>(</w:t>
      </w:r>
      <w:r w:rsidR="00D356CC">
        <w:t>8</w:t>
      </w:r>
      <w:r w:rsidR="00311F92">
        <w:t>3</w:t>
      </w:r>
      <w:r w:rsidR="00E965BF">
        <w:t>%</w:t>
      </w:r>
      <w:r w:rsidR="006648A1">
        <w:t>)</w:t>
      </w:r>
      <w:r w:rsidR="00FE5409">
        <w:t xml:space="preserve"> were notified to the Commission with only one type of trigger notice</w:t>
      </w:r>
      <w:r w:rsidR="003A48E8">
        <w:t>. T</w:t>
      </w:r>
      <w:r w:rsidR="00FE5409">
        <w:t xml:space="preserve">he remaining </w:t>
      </w:r>
      <w:r w:rsidR="00311F92">
        <w:t>13</w:t>
      </w:r>
      <w:r w:rsidR="003009DA">
        <w:t>6</w:t>
      </w:r>
      <w:r w:rsidR="00311F92">
        <w:t xml:space="preserve"> </w:t>
      </w:r>
      <w:r w:rsidR="006648A1">
        <w:t xml:space="preserve">clients </w:t>
      </w:r>
      <w:r w:rsidR="00FE5409">
        <w:t>(</w:t>
      </w:r>
      <w:r w:rsidR="00D356CC">
        <w:t>1</w:t>
      </w:r>
      <w:r w:rsidR="00311F92">
        <w:t>7</w:t>
      </w:r>
      <w:r w:rsidR="00E965BF">
        <w:t>%</w:t>
      </w:r>
      <w:r w:rsidR="00FE5409">
        <w:t>) received more than one type of trigger notice.</w:t>
      </w:r>
    </w:p>
    <w:p w14:paraId="3B2D50C8" w14:textId="77777777" w:rsidR="00DD432B" w:rsidRDefault="00DD432B" w:rsidP="0024013F">
      <w:pPr>
        <w:tabs>
          <w:tab w:val="left" w:pos="1134"/>
        </w:tabs>
        <w:ind w:left="-142" w:right="-425"/>
        <w:jc w:val="both"/>
      </w:pPr>
    </w:p>
    <w:p w14:paraId="186B821C" w14:textId="53E19818" w:rsidR="00DD432B" w:rsidRPr="00DD432B" w:rsidRDefault="00DD432B" w:rsidP="00DD432B">
      <w:pPr>
        <w:spacing w:after="120" w:line="240" w:lineRule="auto"/>
        <w:ind w:left="794" w:hanging="794"/>
        <w:rPr>
          <w:b/>
          <w:sz w:val="16"/>
          <w:szCs w:val="16"/>
        </w:rPr>
      </w:pPr>
      <w:r w:rsidRPr="00DD432B">
        <w:rPr>
          <w:b/>
          <w:sz w:val="16"/>
          <w:szCs w:val="16"/>
        </w:rPr>
        <w:t xml:space="preserve">Table 2: </w:t>
      </w:r>
      <w:r w:rsidRPr="00DD432B">
        <w:rPr>
          <w:bCs/>
          <w:sz w:val="16"/>
          <w:szCs w:val="16"/>
        </w:rPr>
        <w:t xml:space="preserve">Number of clients by number of different types of agency notices received 1 </w:t>
      </w:r>
      <w:r w:rsidR="00413FAC">
        <w:rPr>
          <w:bCs/>
          <w:sz w:val="16"/>
          <w:szCs w:val="16"/>
        </w:rPr>
        <w:t>January 2023</w:t>
      </w:r>
      <w:r w:rsidRPr="00DD432B">
        <w:rPr>
          <w:bCs/>
          <w:sz w:val="16"/>
          <w:szCs w:val="16"/>
        </w:rPr>
        <w:t xml:space="preserve"> to 31 </w:t>
      </w:r>
      <w:r w:rsidR="00984BBB">
        <w:rPr>
          <w:bCs/>
          <w:sz w:val="16"/>
          <w:szCs w:val="16"/>
        </w:rPr>
        <w:t>March 2023</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DD432B" w:rsidRPr="00FE5409" w14:paraId="785D7E62" w14:textId="77777777" w:rsidTr="0088566E">
        <w:trPr>
          <w:trHeight w:val="765"/>
        </w:trPr>
        <w:tc>
          <w:tcPr>
            <w:tcW w:w="2200" w:type="dxa"/>
            <w:shd w:val="clear" w:color="auto" w:fill="auto"/>
            <w:noWrap/>
            <w:vAlign w:val="bottom"/>
            <w:hideMark/>
          </w:tcPr>
          <w:p w14:paraId="621041A2" w14:textId="2B6A9E9B" w:rsidR="00DD432B" w:rsidRPr="00FE5409" w:rsidRDefault="00DD432B" w:rsidP="002522F2">
            <w:pPr>
              <w:spacing w:line="240" w:lineRule="auto"/>
              <w:jc w:val="center"/>
              <w:rPr>
                <w:rFonts w:ascii="Calibri" w:hAnsi="Calibri" w:cs="Calibri"/>
                <w:b/>
                <w:bCs/>
                <w:sz w:val="22"/>
                <w:szCs w:val="22"/>
                <w:lang w:eastAsia="en-AU"/>
              </w:rPr>
            </w:pPr>
            <w:r>
              <w:rPr>
                <w:rFonts w:ascii="Calibri" w:hAnsi="Calibri" w:cs="Calibri"/>
                <w:b/>
                <w:bCs/>
                <w:sz w:val="22"/>
                <w:szCs w:val="22"/>
                <w:lang w:eastAsia="en-AU"/>
              </w:rPr>
              <w:t>Type of Different Types of Agency Notices Received</w:t>
            </w:r>
          </w:p>
        </w:tc>
        <w:tc>
          <w:tcPr>
            <w:tcW w:w="1197" w:type="dxa"/>
            <w:shd w:val="clear" w:color="auto" w:fill="auto"/>
            <w:vAlign w:val="bottom"/>
            <w:hideMark/>
          </w:tcPr>
          <w:p w14:paraId="24B2BF31" w14:textId="77777777" w:rsidR="00DD432B" w:rsidRPr="00FE5409" w:rsidRDefault="00DD432B" w:rsidP="0088566E">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311F92" w:rsidRPr="00FE5409" w14:paraId="2BC71674" w14:textId="77777777" w:rsidTr="0088566E">
        <w:trPr>
          <w:trHeight w:val="300"/>
        </w:trPr>
        <w:tc>
          <w:tcPr>
            <w:tcW w:w="2200" w:type="dxa"/>
            <w:shd w:val="clear" w:color="auto" w:fill="auto"/>
          </w:tcPr>
          <w:p w14:paraId="35C66FA9" w14:textId="6C9CB49D" w:rsidR="00311F92" w:rsidRDefault="00311F92" w:rsidP="00311F92">
            <w:pPr>
              <w:spacing w:line="240" w:lineRule="auto"/>
              <w:jc w:val="center"/>
              <w:rPr>
                <w:rFonts w:cs="Arial"/>
                <w:color w:val="000000"/>
              </w:rPr>
            </w:pPr>
            <w:r>
              <w:rPr>
                <w:rFonts w:cs="Arial"/>
                <w:color w:val="000000"/>
              </w:rPr>
              <w:t>1</w:t>
            </w:r>
          </w:p>
        </w:tc>
        <w:tc>
          <w:tcPr>
            <w:tcW w:w="1197" w:type="dxa"/>
            <w:shd w:val="clear" w:color="auto" w:fill="auto"/>
          </w:tcPr>
          <w:p w14:paraId="18B67C31" w14:textId="524BAC46" w:rsidR="00311F92" w:rsidRDefault="00311F92" w:rsidP="00311F92">
            <w:pPr>
              <w:spacing w:line="240" w:lineRule="auto"/>
              <w:jc w:val="right"/>
              <w:rPr>
                <w:rFonts w:cs="Arial"/>
                <w:color w:val="000000"/>
              </w:rPr>
            </w:pPr>
            <w:r>
              <w:rPr>
                <w:rFonts w:ascii="Arial" w:hAnsi="Arial" w:cs="Arial"/>
              </w:rPr>
              <w:t>65</w:t>
            </w:r>
            <w:r w:rsidR="003009DA">
              <w:rPr>
                <w:rFonts w:ascii="Arial" w:hAnsi="Arial" w:cs="Arial"/>
              </w:rPr>
              <w:t>1</w:t>
            </w:r>
          </w:p>
        </w:tc>
      </w:tr>
      <w:tr w:rsidR="00311F92" w:rsidRPr="00FE5409" w14:paraId="1A7DB5C2" w14:textId="77777777" w:rsidTr="0088566E">
        <w:trPr>
          <w:trHeight w:val="300"/>
        </w:trPr>
        <w:tc>
          <w:tcPr>
            <w:tcW w:w="2200" w:type="dxa"/>
            <w:shd w:val="clear" w:color="auto" w:fill="auto"/>
          </w:tcPr>
          <w:p w14:paraId="0FB531E4" w14:textId="04C6BBCA" w:rsidR="00311F92" w:rsidRDefault="00311F92" w:rsidP="00311F92">
            <w:pPr>
              <w:spacing w:line="240" w:lineRule="auto"/>
              <w:jc w:val="center"/>
              <w:rPr>
                <w:rFonts w:cs="Arial"/>
                <w:color w:val="000000"/>
              </w:rPr>
            </w:pPr>
            <w:r>
              <w:rPr>
                <w:rFonts w:cs="Arial"/>
                <w:color w:val="000000"/>
              </w:rPr>
              <w:t>2</w:t>
            </w:r>
          </w:p>
        </w:tc>
        <w:tc>
          <w:tcPr>
            <w:tcW w:w="1197" w:type="dxa"/>
            <w:shd w:val="clear" w:color="auto" w:fill="auto"/>
          </w:tcPr>
          <w:p w14:paraId="3547B1D3" w14:textId="12636F18" w:rsidR="00311F92" w:rsidRPr="00FE5409" w:rsidRDefault="00311F92" w:rsidP="00311F92">
            <w:pPr>
              <w:spacing w:line="240" w:lineRule="auto"/>
              <w:jc w:val="right"/>
              <w:rPr>
                <w:rFonts w:cs="Calibri"/>
                <w:color w:val="000000"/>
                <w:lang w:eastAsia="en-AU"/>
              </w:rPr>
            </w:pPr>
            <w:r>
              <w:rPr>
                <w:rFonts w:ascii="Arial" w:hAnsi="Arial" w:cs="Arial"/>
              </w:rPr>
              <w:t>11</w:t>
            </w:r>
            <w:r w:rsidR="003009DA">
              <w:rPr>
                <w:rFonts w:ascii="Arial" w:hAnsi="Arial" w:cs="Arial"/>
              </w:rPr>
              <w:t>3</w:t>
            </w:r>
          </w:p>
        </w:tc>
      </w:tr>
      <w:tr w:rsidR="00311F92" w:rsidRPr="00FE5409" w14:paraId="172CBC7C" w14:textId="77777777" w:rsidTr="0088566E">
        <w:trPr>
          <w:trHeight w:val="300"/>
        </w:trPr>
        <w:tc>
          <w:tcPr>
            <w:tcW w:w="2200" w:type="dxa"/>
            <w:shd w:val="clear" w:color="auto" w:fill="auto"/>
          </w:tcPr>
          <w:p w14:paraId="63B29F9A" w14:textId="295E5F8B" w:rsidR="00311F92" w:rsidRDefault="00311F92" w:rsidP="00311F92">
            <w:pPr>
              <w:spacing w:line="240" w:lineRule="auto"/>
              <w:jc w:val="center"/>
              <w:rPr>
                <w:rFonts w:cs="Arial"/>
                <w:color w:val="000000"/>
              </w:rPr>
            </w:pPr>
            <w:r>
              <w:rPr>
                <w:rFonts w:cs="Arial"/>
                <w:color w:val="000000"/>
              </w:rPr>
              <w:t>3</w:t>
            </w:r>
          </w:p>
        </w:tc>
        <w:tc>
          <w:tcPr>
            <w:tcW w:w="1197" w:type="dxa"/>
            <w:shd w:val="clear" w:color="auto" w:fill="auto"/>
          </w:tcPr>
          <w:p w14:paraId="56A1C5C3" w14:textId="016147EB" w:rsidR="00311F92" w:rsidRPr="00FE5409" w:rsidRDefault="00311F92" w:rsidP="00311F92">
            <w:pPr>
              <w:spacing w:line="240" w:lineRule="auto"/>
              <w:jc w:val="right"/>
              <w:rPr>
                <w:rFonts w:cs="Calibri"/>
                <w:color w:val="000000"/>
                <w:lang w:eastAsia="en-AU"/>
              </w:rPr>
            </w:pPr>
            <w:r>
              <w:rPr>
                <w:rFonts w:ascii="Arial" w:hAnsi="Arial" w:cs="Arial"/>
              </w:rPr>
              <w:t>20</w:t>
            </w:r>
          </w:p>
        </w:tc>
      </w:tr>
      <w:tr w:rsidR="00311F92" w:rsidRPr="00FE5409" w14:paraId="5A2EB27F" w14:textId="77777777" w:rsidTr="0088566E">
        <w:trPr>
          <w:trHeight w:val="300"/>
        </w:trPr>
        <w:tc>
          <w:tcPr>
            <w:tcW w:w="2200" w:type="dxa"/>
            <w:shd w:val="clear" w:color="auto" w:fill="auto"/>
          </w:tcPr>
          <w:p w14:paraId="1CA873EF" w14:textId="2882A1C2" w:rsidR="00311F92" w:rsidRDefault="00311F92" w:rsidP="00311F92">
            <w:pPr>
              <w:spacing w:line="240" w:lineRule="auto"/>
              <w:jc w:val="center"/>
              <w:rPr>
                <w:rFonts w:cs="Arial"/>
                <w:color w:val="000000"/>
              </w:rPr>
            </w:pPr>
            <w:r>
              <w:rPr>
                <w:rFonts w:cs="Arial"/>
                <w:color w:val="000000"/>
              </w:rPr>
              <w:t>4</w:t>
            </w:r>
          </w:p>
        </w:tc>
        <w:tc>
          <w:tcPr>
            <w:tcW w:w="1197" w:type="dxa"/>
            <w:shd w:val="clear" w:color="auto" w:fill="auto"/>
          </w:tcPr>
          <w:p w14:paraId="05745006" w14:textId="0C10B879" w:rsidR="00311F92" w:rsidRPr="00FE5409" w:rsidRDefault="00311F92" w:rsidP="00311F92">
            <w:pPr>
              <w:spacing w:line="240" w:lineRule="auto"/>
              <w:jc w:val="right"/>
              <w:rPr>
                <w:rFonts w:cs="Calibri"/>
                <w:color w:val="000000"/>
                <w:lang w:eastAsia="en-AU"/>
              </w:rPr>
            </w:pPr>
            <w:r>
              <w:rPr>
                <w:rFonts w:ascii="Arial" w:hAnsi="Arial" w:cs="Arial"/>
              </w:rPr>
              <w:t>3</w:t>
            </w:r>
          </w:p>
        </w:tc>
      </w:tr>
      <w:tr w:rsidR="00311F92" w:rsidRPr="00FE5409" w14:paraId="3D8BDCCA" w14:textId="77777777" w:rsidTr="0088566E">
        <w:trPr>
          <w:trHeight w:val="300"/>
        </w:trPr>
        <w:tc>
          <w:tcPr>
            <w:tcW w:w="2200" w:type="dxa"/>
            <w:shd w:val="clear" w:color="auto" w:fill="auto"/>
            <w:hideMark/>
          </w:tcPr>
          <w:p w14:paraId="44CD1767" w14:textId="77777777" w:rsidR="00311F92" w:rsidRPr="00FE5409" w:rsidRDefault="00311F92" w:rsidP="00311F92">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0B07992C" w14:textId="7881BE79" w:rsidR="00311F92" w:rsidRPr="00FE5409" w:rsidRDefault="00311F92" w:rsidP="00311F92">
            <w:pPr>
              <w:spacing w:line="240" w:lineRule="auto"/>
              <w:jc w:val="right"/>
              <w:rPr>
                <w:rFonts w:cs="Calibri"/>
                <w:b/>
                <w:bCs/>
                <w:color w:val="000000"/>
                <w:lang w:eastAsia="en-AU"/>
              </w:rPr>
            </w:pPr>
            <w:r>
              <w:rPr>
                <w:rFonts w:ascii="Arial" w:hAnsi="Arial" w:cs="Arial"/>
                <w:b/>
                <w:bCs/>
              </w:rPr>
              <w:t>787</w:t>
            </w:r>
          </w:p>
        </w:tc>
      </w:tr>
    </w:tbl>
    <w:p w14:paraId="2969FCB4" w14:textId="77777777" w:rsidR="00DD432B" w:rsidRDefault="00DD432B" w:rsidP="0024013F">
      <w:pPr>
        <w:tabs>
          <w:tab w:val="left" w:pos="1134"/>
        </w:tabs>
        <w:ind w:left="-142" w:right="-425"/>
        <w:jc w:val="both"/>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6C36ABA8" w14:textId="508441AF" w:rsidR="003317A8" w:rsidRPr="002B14E8" w:rsidRDefault="00FB4106" w:rsidP="005C0A9F">
      <w:pPr>
        <w:tabs>
          <w:tab w:val="decimal" w:pos="720"/>
        </w:tabs>
        <w:ind w:left="-142" w:right="-425"/>
        <w:jc w:val="both"/>
      </w:pPr>
      <w:r>
        <w:tab/>
      </w:r>
      <w:r w:rsidR="00166933">
        <w:t>55</w:t>
      </w:r>
      <w:r w:rsidR="00E965BF">
        <w:t>%</w:t>
      </w:r>
      <w:r w:rsidR="003317A8" w:rsidRPr="002B14E8">
        <w:t xml:space="preserve"> received a school attendance </w:t>
      </w:r>
      <w:r w:rsidR="00546F72" w:rsidRPr="002B14E8">
        <w:t xml:space="preserve">(EQ) </w:t>
      </w:r>
      <w:proofErr w:type="gramStart"/>
      <w:r w:rsidR="003317A8" w:rsidRPr="002B14E8">
        <w:t>notice</w:t>
      </w:r>
      <w:proofErr w:type="gramEnd"/>
    </w:p>
    <w:p w14:paraId="148CD9E5" w14:textId="2A90DC5F" w:rsidR="003317A8" w:rsidRDefault="00FB4106" w:rsidP="005C0A9F">
      <w:pPr>
        <w:tabs>
          <w:tab w:val="decimal" w:pos="720"/>
        </w:tabs>
        <w:ind w:left="-142" w:right="-425"/>
        <w:jc w:val="both"/>
      </w:pPr>
      <w:r w:rsidRPr="002B14E8">
        <w:tab/>
      </w:r>
      <w:r w:rsidR="00166933">
        <w:t>14</w:t>
      </w:r>
      <w:r w:rsidR="00E965BF">
        <w:t>%</w:t>
      </w:r>
      <w:r w:rsidR="00FC7C1D" w:rsidRPr="002B14E8">
        <w:t xml:space="preserve"> </w:t>
      </w:r>
      <w:r w:rsidR="00492241" w:rsidRPr="002B14E8">
        <w:t>received a Magistrate Co</w:t>
      </w:r>
      <w:r w:rsidR="00E364B4" w:rsidRPr="002B14E8">
        <w:t>u</w:t>
      </w:r>
      <w:r w:rsidR="00492241" w:rsidRPr="002B14E8">
        <w:t xml:space="preserve">rt </w:t>
      </w:r>
      <w:r w:rsidR="00546F72" w:rsidRPr="002B14E8">
        <w:t xml:space="preserve">(MAG) </w:t>
      </w:r>
      <w:proofErr w:type="gramStart"/>
      <w:r w:rsidR="00492241" w:rsidRPr="002B14E8">
        <w:t>notice</w:t>
      </w:r>
      <w:proofErr w:type="gramEnd"/>
    </w:p>
    <w:p w14:paraId="4CC669BB" w14:textId="6C8E873B" w:rsidR="005D2783" w:rsidRPr="002B14E8" w:rsidRDefault="005D2783" w:rsidP="005D2783">
      <w:pPr>
        <w:tabs>
          <w:tab w:val="decimal" w:pos="720"/>
        </w:tabs>
        <w:ind w:left="-142" w:right="-425"/>
        <w:jc w:val="both"/>
      </w:pPr>
      <w:r w:rsidRPr="002B14E8">
        <w:tab/>
      </w:r>
      <w:r w:rsidR="00166933">
        <w:t>6</w:t>
      </w:r>
      <w:r w:rsidR="00E965BF">
        <w:t>%</w:t>
      </w:r>
      <w:r w:rsidRPr="002B14E8">
        <w:t xml:space="preserve"> received a domestic violence order (DVO) </w:t>
      </w:r>
      <w:proofErr w:type="gramStart"/>
      <w:r w:rsidRPr="002B14E8">
        <w:t>notice</w:t>
      </w:r>
      <w:proofErr w:type="gramEnd"/>
    </w:p>
    <w:p w14:paraId="763AE713" w14:textId="7459BAD7" w:rsidR="00166933" w:rsidRDefault="00384FFE" w:rsidP="00384FFE">
      <w:pPr>
        <w:tabs>
          <w:tab w:val="decimal" w:pos="720"/>
        </w:tabs>
        <w:ind w:left="-142" w:right="-425"/>
        <w:jc w:val="both"/>
      </w:pPr>
      <w:r w:rsidRPr="002B14E8">
        <w:tab/>
      </w:r>
      <w:r w:rsidR="00166933">
        <w:t>6</w:t>
      </w:r>
      <w:r w:rsidR="00E965BF">
        <w:t>%</w:t>
      </w:r>
      <w:r w:rsidRPr="002B14E8">
        <w:t xml:space="preserve"> received a child safety and welfare (CS) </w:t>
      </w:r>
      <w:proofErr w:type="gramStart"/>
      <w:r w:rsidRPr="002B14E8">
        <w:t>notice</w:t>
      </w:r>
      <w:proofErr w:type="gramEnd"/>
    </w:p>
    <w:p w14:paraId="35B9421A" w14:textId="6CC6A43F" w:rsidR="00384FFE" w:rsidRPr="002B14E8" w:rsidRDefault="00166933" w:rsidP="00384FFE">
      <w:pPr>
        <w:tabs>
          <w:tab w:val="decimal" w:pos="720"/>
        </w:tabs>
        <w:ind w:left="-142" w:right="-425"/>
        <w:jc w:val="both"/>
      </w:pPr>
      <w:r>
        <w:tab/>
        <w:t>2</w:t>
      </w:r>
      <w:r w:rsidR="00E965BF">
        <w:t>%</w:t>
      </w:r>
      <w:r>
        <w:t xml:space="preserve"> received a domestic violence breach (DVB) notice</w:t>
      </w:r>
      <w:r w:rsidR="005D2783">
        <w:t>.</w:t>
      </w:r>
    </w:p>
    <w:p w14:paraId="7E950EE4" w14:textId="77777777" w:rsidR="003C0A9A" w:rsidRDefault="003C0A9A" w:rsidP="005C0A9F">
      <w:pPr>
        <w:tabs>
          <w:tab w:val="decimal" w:pos="720"/>
        </w:tabs>
        <w:ind w:left="-142" w:right="-425"/>
        <w:jc w:val="both"/>
      </w:pPr>
    </w:p>
    <w:p w14:paraId="74CFEB98" w14:textId="54A97489" w:rsidR="002B14E8" w:rsidRDefault="002B14E8" w:rsidP="001E5F23">
      <w:pPr>
        <w:tabs>
          <w:tab w:val="left" w:pos="1134"/>
        </w:tabs>
        <w:ind w:left="-142" w:right="-425"/>
        <w:jc w:val="both"/>
      </w:pPr>
      <w:r>
        <w:t>The remaining sole trigger notices received for Commission client</w:t>
      </w:r>
      <w:r w:rsidR="00804B99">
        <w:t>s</w:t>
      </w:r>
      <w:r>
        <w:t xml:space="preserve"> during the quarter w</w:t>
      </w:r>
      <w:r w:rsidR="00804B99">
        <w:t>ere</w:t>
      </w:r>
      <w:r>
        <w:t xml:space="preserve"> </w:t>
      </w:r>
      <w:r w:rsidR="00166933">
        <w:t>1</w:t>
      </w:r>
      <w:r w:rsidR="003C0A9A">
        <w:t xml:space="preserve"> client with a District court notice (DIS)</w:t>
      </w:r>
      <w:r w:rsidR="00166933">
        <w:t xml:space="preserve"> </w:t>
      </w:r>
      <w:r w:rsidR="005E1684">
        <w:t xml:space="preserve">and </w:t>
      </w:r>
      <w:r w:rsidR="00166933">
        <w:t>1</w:t>
      </w:r>
      <w:r w:rsidR="005E1684">
        <w:t xml:space="preserve"> client with a </w:t>
      </w:r>
      <w:r w:rsidR="003C0A9A">
        <w:t>school enrolment</w:t>
      </w:r>
      <w:r w:rsidR="005E1684">
        <w:t xml:space="preserve"> notice (</w:t>
      </w:r>
      <w:r w:rsidR="003C0A9A">
        <w:t>SEN</w:t>
      </w:r>
      <w:r w:rsidR="005E1684">
        <w:t>)</w:t>
      </w:r>
      <w:r>
        <w:t>.</w:t>
      </w:r>
    </w:p>
    <w:p w14:paraId="45C18E5D" w14:textId="77777777" w:rsidR="00085687" w:rsidRDefault="00085687" w:rsidP="004E36FE">
      <w:pPr>
        <w:tabs>
          <w:tab w:val="left" w:pos="1134"/>
        </w:tabs>
        <w:ind w:left="-142" w:right="-425"/>
        <w:jc w:val="both"/>
      </w:pPr>
    </w:p>
    <w:p w14:paraId="78ABBEEE" w14:textId="577E2570" w:rsidR="004E36FE" w:rsidRDefault="00702AE8" w:rsidP="004E36FE">
      <w:pPr>
        <w:tabs>
          <w:tab w:val="left" w:pos="1134"/>
        </w:tabs>
        <w:ind w:left="-142" w:right="-425"/>
        <w:jc w:val="both"/>
      </w:pPr>
      <w:r>
        <w:t xml:space="preserve">Table </w:t>
      </w:r>
      <w:r w:rsidR="002522F2">
        <w:t>3</w:t>
      </w:r>
      <w:r>
        <w:t xml:space="preserve"> shows t</w:t>
      </w:r>
      <w:r w:rsidR="00D87B74">
        <w:t xml:space="preserve">he </w:t>
      </w:r>
      <w:r w:rsidR="00D87B74" w:rsidRPr="00ED2A82">
        <w:t xml:space="preserve">combination of trigger notices received for </w:t>
      </w:r>
      <w:r w:rsidR="00A430B9">
        <w:t xml:space="preserve">the </w:t>
      </w:r>
      <w:r w:rsidR="00166933">
        <w:t>13</w:t>
      </w:r>
      <w:r w:rsidR="003009DA">
        <w:t>6</w:t>
      </w:r>
      <w:r w:rsidR="00166933" w:rsidRPr="00ED2A82">
        <w:t xml:space="preserve"> </w:t>
      </w:r>
      <w:r w:rsidR="00DB02B5" w:rsidRPr="00ED2A82">
        <w:t xml:space="preserve">clients </w:t>
      </w:r>
      <w:r w:rsidR="006E1ADD" w:rsidRPr="00ED2A82">
        <w:t>w</w:t>
      </w:r>
      <w:r w:rsidR="00266BB4" w:rsidRPr="00ED2A82">
        <w:t xml:space="preserve">ith </w:t>
      </w:r>
      <w:r w:rsidR="00DB02B5" w:rsidRPr="00ED2A82">
        <w:t xml:space="preserve">more than one </w:t>
      </w:r>
      <w:r w:rsidR="00D87B74" w:rsidRPr="00ED2A82">
        <w:t xml:space="preserve">type of </w:t>
      </w:r>
      <w:r w:rsidR="00DB02B5" w:rsidRPr="00ED2A82">
        <w:t xml:space="preserve">trigger </w:t>
      </w:r>
      <w:r w:rsidR="00D87B74" w:rsidRPr="00ED2A82">
        <w:t xml:space="preserve">notice. One can see that predominantly </w:t>
      </w:r>
      <w:r w:rsidR="00E451BA" w:rsidRPr="00712441">
        <w:t>there is a nexus between</w:t>
      </w:r>
      <w:r w:rsidR="00266BB4" w:rsidRPr="00712441">
        <w:t xml:space="preserve"> </w:t>
      </w:r>
      <w:r w:rsidR="00D87B74" w:rsidRPr="00712441">
        <w:t xml:space="preserve">Court convictions </w:t>
      </w:r>
      <w:r w:rsidR="00266BB4" w:rsidRPr="00712441">
        <w:t xml:space="preserve">and domestic violence orders/breaches </w:t>
      </w:r>
      <w:r w:rsidR="00E451BA" w:rsidRPr="00712441">
        <w:t>with</w:t>
      </w:r>
      <w:r w:rsidR="00D87B74" w:rsidRPr="00712441">
        <w:t xml:space="preserve"> education </w:t>
      </w:r>
      <w:r w:rsidR="00E451BA" w:rsidRPr="00712441">
        <w:t xml:space="preserve">notices </w:t>
      </w:r>
      <w:r w:rsidR="00D87B74" w:rsidRPr="00712441">
        <w:t>and child safety issues</w:t>
      </w:r>
      <w:r w:rsidR="00A903B1" w:rsidRPr="00712441">
        <w:t xml:space="preserve">, </w:t>
      </w:r>
      <w:proofErr w:type="gramStart"/>
      <w:r w:rsidR="00A903B1" w:rsidRPr="00712441">
        <w:t xml:space="preserve">and </w:t>
      </w:r>
      <w:r w:rsidR="00E451BA" w:rsidRPr="00712441">
        <w:t>also</w:t>
      </w:r>
      <w:proofErr w:type="gramEnd"/>
      <w:r w:rsidR="00E451BA" w:rsidRPr="00712441">
        <w:t xml:space="preserve"> </w:t>
      </w:r>
      <w:r w:rsidR="00A903B1" w:rsidRPr="00712441">
        <w:t>a strong nexus between child safety issues and education notices</w:t>
      </w:r>
      <w:r w:rsidR="00266BB4" w:rsidRPr="00712441">
        <w:t>.</w:t>
      </w:r>
    </w:p>
    <w:p w14:paraId="4DF56508" w14:textId="6FC8AD83" w:rsidR="0030587D" w:rsidRDefault="0030587D" w:rsidP="00106EA8">
      <w:pPr>
        <w:tabs>
          <w:tab w:val="left" w:pos="1134"/>
        </w:tabs>
        <w:ind w:left="-142" w:right="-425"/>
        <w:jc w:val="both"/>
      </w:pPr>
    </w:p>
    <w:p w14:paraId="1F2400EB" w14:textId="77777777" w:rsidR="002522F2" w:rsidRDefault="002522F2">
      <w:pPr>
        <w:spacing w:line="240" w:lineRule="auto"/>
        <w:rPr>
          <w:b/>
          <w:sz w:val="16"/>
          <w:szCs w:val="16"/>
        </w:rPr>
      </w:pPr>
      <w:r>
        <w:rPr>
          <w:b/>
          <w:sz w:val="16"/>
          <w:szCs w:val="16"/>
        </w:rPr>
        <w:br w:type="page"/>
      </w:r>
    </w:p>
    <w:p w14:paraId="545211AE" w14:textId="470C0356" w:rsidR="0030587D" w:rsidRPr="00352CA2" w:rsidRDefault="0030587D" w:rsidP="00352CA2">
      <w:pPr>
        <w:spacing w:after="120" w:line="240" w:lineRule="auto"/>
        <w:ind w:left="794" w:hanging="794"/>
        <w:rPr>
          <w:b/>
          <w:sz w:val="16"/>
          <w:szCs w:val="16"/>
        </w:rPr>
      </w:pPr>
      <w:r w:rsidRPr="00352CA2">
        <w:rPr>
          <w:b/>
          <w:sz w:val="16"/>
          <w:szCs w:val="16"/>
        </w:rPr>
        <w:lastRenderedPageBreak/>
        <w:t xml:space="preserve">Table </w:t>
      </w:r>
      <w:r w:rsidR="002522F2">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w:t>
      </w:r>
      <w:r w:rsidR="00324D3F">
        <w:rPr>
          <w:bCs/>
          <w:sz w:val="16"/>
          <w:szCs w:val="16"/>
        </w:rPr>
        <w:t xml:space="preserve">a combination of different types of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w:t>
      </w:r>
      <w:r w:rsidR="007B7E78">
        <w:rPr>
          <w:bCs/>
          <w:sz w:val="16"/>
          <w:szCs w:val="16"/>
        </w:rPr>
        <w:t xml:space="preserve">1 </w:t>
      </w:r>
      <w:r w:rsidR="00413FAC">
        <w:rPr>
          <w:bCs/>
          <w:sz w:val="16"/>
          <w:szCs w:val="16"/>
        </w:rPr>
        <w:t>January 2023</w:t>
      </w:r>
      <w:r w:rsidR="00352CA2" w:rsidRPr="00352CA2">
        <w:rPr>
          <w:bCs/>
          <w:sz w:val="16"/>
          <w:szCs w:val="16"/>
        </w:rPr>
        <w:t xml:space="preserve"> to </w:t>
      </w:r>
      <w:r w:rsidR="007B7E78">
        <w:rPr>
          <w:bCs/>
          <w:sz w:val="16"/>
          <w:szCs w:val="16"/>
        </w:rPr>
        <w:t xml:space="preserve">31 </w:t>
      </w:r>
      <w:r w:rsidR="00984BBB">
        <w:rPr>
          <w:bCs/>
          <w:sz w:val="16"/>
          <w:szCs w:val="16"/>
        </w:rPr>
        <w:t>March 2023</w:t>
      </w:r>
      <w:r w:rsidR="00993F41" w:rsidRPr="008F6888">
        <w:rPr>
          <w:rStyle w:val="FootnoteReference"/>
          <w:bCs/>
          <w:sz w:val="16"/>
          <w:szCs w:val="16"/>
        </w:rPr>
        <w:footnoteReference w:id="5"/>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87466C" w:rsidRPr="00FE5409" w14:paraId="43A6684F" w14:textId="77777777" w:rsidTr="00C33B2C">
        <w:trPr>
          <w:trHeight w:val="300"/>
        </w:trPr>
        <w:tc>
          <w:tcPr>
            <w:tcW w:w="2200" w:type="dxa"/>
            <w:shd w:val="clear" w:color="auto" w:fill="auto"/>
          </w:tcPr>
          <w:p w14:paraId="2207F67D" w14:textId="79D07E2B" w:rsidR="0087466C" w:rsidRDefault="00166933" w:rsidP="00C33B2C">
            <w:pPr>
              <w:spacing w:line="240" w:lineRule="auto"/>
              <w:rPr>
                <w:rFonts w:cs="Arial"/>
                <w:color w:val="000000"/>
              </w:rPr>
            </w:pPr>
            <w:proofErr w:type="gramStart"/>
            <w:r w:rsidRPr="00166933">
              <w:rPr>
                <w:rFonts w:cs="Arial"/>
                <w:color w:val="000000"/>
              </w:rPr>
              <w:t>CS,DVB</w:t>
            </w:r>
            <w:proofErr w:type="gramEnd"/>
            <w:r w:rsidRPr="00166933">
              <w:rPr>
                <w:rFonts w:cs="Arial"/>
                <w:color w:val="000000"/>
              </w:rPr>
              <w:t>,DVO,MAG</w:t>
            </w:r>
          </w:p>
        </w:tc>
        <w:tc>
          <w:tcPr>
            <w:tcW w:w="1197" w:type="dxa"/>
            <w:shd w:val="clear" w:color="auto" w:fill="auto"/>
          </w:tcPr>
          <w:p w14:paraId="2687D295" w14:textId="12C46128" w:rsidR="0087466C" w:rsidRDefault="002444A4" w:rsidP="00C33B2C">
            <w:pPr>
              <w:spacing w:line="240" w:lineRule="auto"/>
              <w:jc w:val="right"/>
              <w:rPr>
                <w:rFonts w:cs="Arial"/>
                <w:color w:val="000000"/>
              </w:rPr>
            </w:pPr>
            <w:r>
              <w:rPr>
                <w:rFonts w:cs="Arial"/>
                <w:color w:val="000000"/>
              </w:rPr>
              <w:t>1</w:t>
            </w:r>
          </w:p>
        </w:tc>
      </w:tr>
      <w:tr w:rsidR="00C33B2C" w:rsidRPr="00FE5409" w14:paraId="4CC5A88B" w14:textId="77777777" w:rsidTr="00C33B2C">
        <w:trPr>
          <w:trHeight w:val="300"/>
        </w:trPr>
        <w:tc>
          <w:tcPr>
            <w:tcW w:w="2200" w:type="dxa"/>
            <w:shd w:val="clear" w:color="auto" w:fill="auto"/>
          </w:tcPr>
          <w:p w14:paraId="61A9D4A5" w14:textId="15E367FD" w:rsidR="00C33B2C" w:rsidRDefault="00166933" w:rsidP="00C33B2C">
            <w:pPr>
              <w:spacing w:line="240" w:lineRule="auto"/>
              <w:rPr>
                <w:rFonts w:cs="Arial"/>
                <w:color w:val="000000"/>
              </w:rPr>
            </w:pPr>
            <w:proofErr w:type="gramStart"/>
            <w:r w:rsidRPr="00166933">
              <w:rPr>
                <w:rFonts w:cs="Arial"/>
                <w:color w:val="000000"/>
              </w:rPr>
              <w:t>CS,DVB</w:t>
            </w:r>
            <w:proofErr w:type="gramEnd"/>
            <w:r w:rsidRPr="00166933">
              <w:rPr>
                <w:rFonts w:cs="Arial"/>
                <w:color w:val="000000"/>
              </w:rPr>
              <w:t>,MAG</w:t>
            </w:r>
          </w:p>
        </w:tc>
        <w:tc>
          <w:tcPr>
            <w:tcW w:w="1197" w:type="dxa"/>
            <w:shd w:val="clear" w:color="auto" w:fill="auto"/>
          </w:tcPr>
          <w:p w14:paraId="4B4FBAFF" w14:textId="34A62B83" w:rsidR="00C33B2C" w:rsidRPr="00FE5409" w:rsidRDefault="002444A4" w:rsidP="00C33B2C">
            <w:pPr>
              <w:spacing w:line="240" w:lineRule="auto"/>
              <w:jc w:val="right"/>
              <w:rPr>
                <w:rFonts w:cs="Calibri"/>
                <w:color w:val="000000"/>
                <w:lang w:eastAsia="en-AU"/>
              </w:rPr>
            </w:pPr>
            <w:r>
              <w:rPr>
                <w:rFonts w:cs="Calibri"/>
                <w:color w:val="000000"/>
                <w:lang w:eastAsia="en-AU"/>
              </w:rPr>
              <w:t>1</w:t>
            </w:r>
          </w:p>
        </w:tc>
      </w:tr>
      <w:tr w:rsidR="00C33B2C" w:rsidRPr="00FE5409" w14:paraId="37C0D2CE" w14:textId="77777777" w:rsidTr="00C33B2C">
        <w:trPr>
          <w:trHeight w:val="300"/>
        </w:trPr>
        <w:tc>
          <w:tcPr>
            <w:tcW w:w="2200" w:type="dxa"/>
            <w:shd w:val="clear" w:color="auto" w:fill="auto"/>
          </w:tcPr>
          <w:p w14:paraId="0B6C9CC2" w14:textId="2BD2066B" w:rsidR="00C33B2C" w:rsidRDefault="00166933" w:rsidP="00C33B2C">
            <w:pPr>
              <w:spacing w:line="240" w:lineRule="auto"/>
              <w:rPr>
                <w:rFonts w:cs="Arial"/>
                <w:color w:val="000000"/>
              </w:rPr>
            </w:pPr>
            <w:proofErr w:type="gramStart"/>
            <w:r w:rsidRPr="00166933">
              <w:rPr>
                <w:rFonts w:cs="Arial"/>
                <w:color w:val="000000"/>
              </w:rPr>
              <w:t>CS,DVO</w:t>
            </w:r>
            <w:proofErr w:type="gramEnd"/>
          </w:p>
        </w:tc>
        <w:tc>
          <w:tcPr>
            <w:tcW w:w="1197" w:type="dxa"/>
            <w:shd w:val="clear" w:color="auto" w:fill="auto"/>
          </w:tcPr>
          <w:p w14:paraId="60C66FED" w14:textId="65ED7680" w:rsidR="00C33B2C" w:rsidRPr="00FE5409" w:rsidRDefault="002444A4" w:rsidP="00C33B2C">
            <w:pPr>
              <w:spacing w:line="240" w:lineRule="auto"/>
              <w:jc w:val="right"/>
              <w:rPr>
                <w:rFonts w:cs="Calibri"/>
                <w:color w:val="000000"/>
                <w:lang w:eastAsia="en-AU"/>
              </w:rPr>
            </w:pPr>
            <w:r>
              <w:rPr>
                <w:rFonts w:cs="Calibri"/>
                <w:color w:val="000000"/>
                <w:lang w:eastAsia="en-AU"/>
              </w:rPr>
              <w:t>7</w:t>
            </w:r>
          </w:p>
        </w:tc>
      </w:tr>
      <w:tr w:rsidR="00C33B2C" w:rsidRPr="00FE5409" w14:paraId="492A9CC8" w14:textId="77777777" w:rsidTr="00C33B2C">
        <w:trPr>
          <w:trHeight w:val="300"/>
        </w:trPr>
        <w:tc>
          <w:tcPr>
            <w:tcW w:w="2200" w:type="dxa"/>
            <w:shd w:val="clear" w:color="auto" w:fill="auto"/>
          </w:tcPr>
          <w:p w14:paraId="13AE3B26" w14:textId="61F0AB96" w:rsidR="00C33B2C" w:rsidRPr="00FE5409" w:rsidRDefault="00166933" w:rsidP="00C33B2C">
            <w:pPr>
              <w:spacing w:line="240" w:lineRule="auto"/>
              <w:rPr>
                <w:rFonts w:cs="Calibri"/>
                <w:color w:val="000000"/>
                <w:lang w:eastAsia="en-AU"/>
              </w:rPr>
            </w:pPr>
            <w:proofErr w:type="gramStart"/>
            <w:r w:rsidRPr="00166933">
              <w:rPr>
                <w:rFonts w:cs="Calibri"/>
                <w:color w:val="000000"/>
                <w:lang w:eastAsia="en-AU"/>
              </w:rPr>
              <w:t>CS,DVO</w:t>
            </w:r>
            <w:proofErr w:type="gramEnd"/>
            <w:r w:rsidRPr="00166933">
              <w:rPr>
                <w:rFonts w:cs="Calibri"/>
                <w:color w:val="000000"/>
                <w:lang w:eastAsia="en-AU"/>
              </w:rPr>
              <w:t>,EQ</w:t>
            </w:r>
          </w:p>
        </w:tc>
        <w:tc>
          <w:tcPr>
            <w:tcW w:w="1197" w:type="dxa"/>
            <w:shd w:val="clear" w:color="auto" w:fill="auto"/>
          </w:tcPr>
          <w:p w14:paraId="1E1FE897" w14:textId="489381B5" w:rsidR="00C33B2C" w:rsidRPr="00FE5409" w:rsidRDefault="002444A4" w:rsidP="00C33B2C">
            <w:pPr>
              <w:spacing w:line="240" w:lineRule="auto"/>
              <w:jc w:val="right"/>
              <w:rPr>
                <w:rFonts w:cs="Calibri"/>
                <w:color w:val="000000"/>
                <w:lang w:eastAsia="en-AU"/>
              </w:rPr>
            </w:pPr>
            <w:r>
              <w:rPr>
                <w:rFonts w:cs="Calibri"/>
                <w:color w:val="000000"/>
                <w:lang w:eastAsia="en-AU"/>
              </w:rPr>
              <w:t>1</w:t>
            </w:r>
          </w:p>
        </w:tc>
      </w:tr>
      <w:tr w:rsidR="00C33B2C" w:rsidRPr="00FE5409" w14:paraId="5DD4E31E" w14:textId="77777777" w:rsidTr="00C33B2C">
        <w:trPr>
          <w:trHeight w:val="300"/>
        </w:trPr>
        <w:tc>
          <w:tcPr>
            <w:tcW w:w="2200" w:type="dxa"/>
            <w:shd w:val="clear" w:color="auto" w:fill="auto"/>
          </w:tcPr>
          <w:p w14:paraId="4CAD65B0" w14:textId="764B4A1F" w:rsidR="00C33B2C" w:rsidRDefault="00166933" w:rsidP="00C33B2C">
            <w:pPr>
              <w:spacing w:line="240" w:lineRule="auto"/>
              <w:rPr>
                <w:rFonts w:cs="Calibri"/>
                <w:color w:val="000000"/>
              </w:rPr>
            </w:pPr>
            <w:proofErr w:type="gramStart"/>
            <w:r w:rsidRPr="00166933">
              <w:rPr>
                <w:rFonts w:cs="Calibri"/>
                <w:color w:val="000000"/>
              </w:rPr>
              <w:t>CS,DVO</w:t>
            </w:r>
            <w:proofErr w:type="gramEnd"/>
            <w:r w:rsidRPr="00166933">
              <w:rPr>
                <w:rFonts w:cs="Calibri"/>
                <w:color w:val="000000"/>
              </w:rPr>
              <w:t>,EQ,MAG</w:t>
            </w:r>
          </w:p>
        </w:tc>
        <w:tc>
          <w:tcPr>
            <w:tcW w:w="1197" w:type="dxa"/>
            <w:shd w:val="clear" w:color="auto" w:fill="auto"/>
          </w:tcPr>
          <w:p w14:paraId="3322EC6D" w14:textId="61C272A8" w:rsidR="00C33B2C" w:rsidRDefault="002444A4" w:rsidP="00C33B2C">
            <w:pPr>
              <w:spacing w:line="240" w:lineRule="auto"/>
              <w:jc w:val="right"/>
              <w:rPr>
                <w:rFonts w:cs="Calibri"/>
                <w:color w:val="000000"/>
                <w:lang w:eastAsia="en-AU"/>
              </w:rPr>
            </w:pPr>
            <w:r>
              <w:rPr>
                <w:rFonts w:cs="Calibri"/>
                <w:color w:val="000000"/>
                <w:lang w:eastAsia="en-AU"/>
              </w:rPr>
              <w:t>2</w:t>
            </w:r>
          </w:p>
        </w:tc>
      </w:tr>
      <w:tr w:rsidR="00C33B2C" w:rsidRPr="00FE5409" w14:paraId="6FF59BF7" w14:textId="77777777" w:rsidTr="00C33B2C">
        <w:trPr>
          <w:trHeight w:val="300"/>
        </w:trPr>
        <w:tc>
          <w:tcPr>
            <w:tcW w:w="2200" w:type="dxa"/>
            <w:shd w:val="clear" w:color="auto" w:fill="auto"/>
          </w:tcPr>
          <w:p w14:paraId="46C178A4" w14:textId="0A803C90" w:rsidR="00C33B2C" w:rsidRDefault="00EB4998" w:rsidP="00C33B2C">
            <w:pPr>
              <w:spacing w:line="240" w:lineRule="auto"/>
              <w:rPr>
                <w:rFonts w:cs="Calibri"/>
                <w:color w:val="000000"/>
                <w:lang w:eastAsia="en-AU"/>
              </w:rPr>
            </w:pPr>
            <w:proofErr w:type="gramStart"/>
            <w:r w:rsidRPr="00EB4998">
              <w:rPr>
                <w:rFonts w:cs="Calibri"/>
                <w:color w:val="000000"/>
                <w:lang w:eastAsia="en-AU"/>
              </w:rPr>
              <w:t>CS,DVO</w:t>
            </w:r>
            <w:proofErr w:type="gramEnd"/>
            <w:r w:rsidRPr="00EB4998">
              <w:rPr>
                <w:rFonts w:cs="Calibri"/>
                <w:color w:val="000000"/>
                <w:lang w:eastAsia="en-AU"/>
              </w:rPr>
              <w:t>,MAG</w:t>
            </w:r>
          </w:p>
        </w:tc>
        <w:tc>
          <w:tcPr>
            <w:tcW w:w="1197" w:type="dxa"/>
            <w:shd w:val="clear" w:color="auto" w:fill="auto"/>
          </w:tcPr>
          <w:p w14:paraId="073DFBE8" w14:textId="51722507" w:rsidR="00C33B2C" w:rsidRDefault="002444A4" w:rsidP="00C33B2C">
            <w:pPr>
              <w:spacing w:line="240" w:lineRule="auto"/>
              <w:jc w:val="right"/>
              <w:rPr>
                <w:rFonts w:cs="Calibri"/>
                <w:color w:val="000000"/>
                <w:lang w:eastAsia="en-AU"/>
              </w:rPr>
            </w:pPr>
            <w:r>
              <w:rPr>
                <w:rFonts w:cs="Calibri"/>
                <w:color w:val="000000"/>
                <w:lang w:eastAsia="en-AU"/>
              </w:rPr>
              <w:t>1</w:t>
            </w:r>
          </w:p>
        </w:tc>
      </w:tr>
      <w:tr w:rsidR="0087466C" w:rsidRPr="00FE5409" w14:paraId="3B8F98C7" w14:textId="77777777" w:rsidTr="00C33B2C">
        <w:trPr>
          <w:trHeight w:val="300"/>
        </w:trPr>
        <w:tc>
          <w:tcPr>
            <w:tcW w:w="2200" w:type="dxa"/>
            <w:shd w:val="clear" w:color="auto" w:fill="auto"/>
          </w:tcPr>
          <w:p w14:paraId="01ACEBCD" w14:textId="7BE4963F" w:rsidR="0087466C" w:rsidRDefault="00EB4998" w:rsidP="00C33B2C">
            <w:pPr>
              <w:spacing w:line="240" w:lineRule="auto"/>
              <w:rPr>
                <w:rFonts w:cs="Arial"/>
                <w:color w:val="000000"/>
              </w:rPr>
            </w:pPr>
            <w:proofErr w:type="gramStart"/>
            <w:r w:rsidRPr="00EB4998">
              <w:rPr>
                <w:rFonts w:cs="Arial"/>
                <w:color w:val="000000"/>
              </w:rPr>
              <w:t>CS,EQ</w:t>
            </w:r>
            <w:proofErr w:type="gramEnd"/>
          </w:p>
        </w:tc>
        <w:tc>
          <w:tcPr>
            <w:tcW w:w="1197" w:type="dxa"/>
            <w:shd w:val="clear" w:color="auto" w:fill="auto"/>
          </w:tcPr>
          <w:p w14:paraId="61DECDF2" w14:textId="122B1BC3" w:rsidR="0087466C" w:rsidRDefault="002444A4" w:rsidP="00C33B2C">
            <w:pPr>
              <w:spacing w:line="240" w:lineRule="auto"/>
              <w:jc w:val="right"/>
              <w:rPr>
                <w:rFonts w:cs="Arial"/>
                <w:color w:val="000000"/>
              </w:rPr>
            </w:pPr>
            <w:r>
              <w:rPr>
                <w:rFonts w:cs="Arial"/>
                <w:color w:val="000000"/>
              </w:rPr>
              <w:t>3</w:t>
            </w:r>
            <w:r w:rsidR="003009DA">
              <w:rPr>
                <w:rFonts w:cs="Arial"/>
                <w:color w:val="000000"/>
              </w:rPr>
              <w:t>7</w:t>
            </w:r>
          </w:p>
        </w:tc>
      </w:tr>
      <w:tr w:rsidR="00C33B2C" w:rsidRPr="00FE5409" w14:paraId="1F7BFD3E" w14:textId="77777777" w:rsidTr="00C33B2C">
        <w:trPr>
          <w:trHeight w:val="300"/>
        </w:trPr>
        <w:tc>
          <w:tcPr>
            <w:tcW w:w="2200" w:type="dxa"/>
            <w:shd w:val="clear" w:color="auto" w:fill="auto"/>
          </w:tcPr>
          <w:p w14:paraId="7F0F7750" w14:textId="42567CE4" w:rsidR="00C33B2C" w:rsidRPr="00FE5409" w:rsidRDefault="00EB4998" w:rsidP="00C33B2C">
            <w:pPr>
              <w:spacing w:line="240" w:lineRule="auto"/>
              <w:rPr>
                <w:rFonts w:cs="Calibri"/>
                <w:color w:val="000000"/>
                <w:lang w:eastAsia="en-AU"/>
              </w:rPr>
            </w:pPr>
            <w:proofErr w:type="gramStart"/>
            <w:r w:rsidRPr="00EB4998">
              <w:rPr>
                <w:rFonts w:cs="Calibri"/>
                <w:color w:val="000000"/>
                <w:lang w:eastAsia="en-AU"/>
              </w:rPr>
              <w:t>CS,EQ</w:t>
            </w:r>
            <w:proofErr w:type="gramEnd"/>
            <w:r w:rsidRPr="00EB4998">
              <w:rPr>
                <w:rFonts w:cs="Calibri"/>
                <w:color w:val="000000"/>
                <w:lang w:eastAsia="en-AU"/>
              </w:rPr>
              <w:t>,MAG</w:t>
            </w:r>
          </w:p>
        </w:tc>
        <w:tc>
          <w:tcPr>
            <w:tcW w:w="1197" w:type="dxa"/>
            <w:shd w:val="clear" w:color="auto" w:fill="auto"/>
          </w:tcPr>
          <w:p w14:paraId="0F6136B2" w14:textId="750070BF" w:rsidR="00C33B2C" w:rsidRPr="00FE5409" w:rsidRDefault="002444A4" w:rsidP="00C33B2C">
            <w:pPr>
              <w:spacing w:line="240" w:lineRule="auto"/>
              <w:jc w:val="right"/>
              <w:rPr>
                <w:rFonts w:cs="Calibri"/>
                <w:color w:val="000000"/>
                <w:lang w:eastAsia="en-AU"/>
              </w:rPr>
            </w:pPr>
            <w:r>
              <w:rPr>
                <w:rFonts w:cs="Calibri"/>
                <w:color w:val="000000"/>
                <w:lang w:eastAsia="en-AU"/>
              </w:rPr>
              <w:t>1</w:t>
            </w:r>
          </w:p>
        </w:tc>
      </w:tr>
      <w:tr w:rsidR="00C33B2C" w:rsidRPr="00FE5409" w14:paraId="7473681C" w14:textId="77777777" w:rsidTr="00C33B2C">
        <w:trPr>
          <w:trHeight w:val="300"/>
        </w:trPr>
        <w:tc>
          <w:tcPr>
            <w:tcW w:w="2200" w:type="dxa"/>
            <w:shd w:val="clear" w:color="auto" w:fill="auto"/>
          </w:tcPr>
          <w:p w14:paraId="1EC80D89" w14:textId="457F4C9B" w:rsidR="00C33B2C" w:rsidRPr="00FE5409" w:rsidRDefault="00EB4998" w:rsidP="00C33B2C">
            <w:pPr>
              <w:spacing w:line="240" w:lineRule="auto"/>
              <w:rPr>
                <w:rFonts w:cs="Calibri"/>
                <w:color w:val="000000"/>
                <w:lang w:eastAsia="en-AU"/>
              </w:rPr>
            </w:pPr>
            <w:proofErr w:type="gramStart"/>
            <w:r w:rsidRPr="00EB4998">
              <w:rPr>
                <w:rFonts w:cs="Calibri"/>
                <w:color w:val="000000"/>
                <w:lang w:eastAsia="en-AU"/>
              </w:rPr>
              <w:t>CS,MAG</w:t>
            </w:r>
            <w:proofErr w:type="gramEnd"/>
          </w:p>
        </w:tc>
        <w:tc>
          <w:tcPr>
            <w:tcW w:w="1197" w:type="dxa"/>
            <w:shd w:val="clear" w:color="auto" w:fill="auto"/>
          </w:tcPr>
          <w:p w14:paraId="7BBBF358" w14:textId="78143D78" w:rsidR="00C33B2C" w:rsidRPr="00FE5409" w:rsidRDefault="002444A4" w:rsidP="00C33B2C">
            <w:pPr>
              <w:spacing w:line="240" w:lineRule="auto"/>
              <w:jc w:val="right"/>
              <w:rPr>
                <w:rFonts w:cs="Calibri"/>
                <w:color w:val="000000"/>
                <w:lang w:eastAsia="en-AU"/>
              </w:rPr>
            </w:pPr>
            <w:r>
              <w:rPr>
                <w:rFonts w:cs="Calibri"/>
                <w:color w:val="000000"/>
                <w:lang w:eastAsia="en-AU"/>
              </w:rPr>
              <w:t>7</w:t>
            </w:r>
          </w:p>
        </w:tc>
      </w:tr>
      <w:tr w:rsidR="00C33B2C" w:rsidRPr="00FE5409" w14:paraId="0ACB3A1E" w14:textId="77777777" w:rsidTr="00C33B2C">
        <w:trPr>
          <w:trHeight w:val="300"/>
        </w:trPr>
        <w:tc>
          <w:tcPr>
            <w:tcW w:w="2200" w:type="dxa"/>
            <w:shd w:val="clear" w:color="auto" w:fill="auto"/>
          </w:tcPr>
          <w:p w14:paraId="067DD967" w14:textId="535992B6" w:rsidR="00C33B2C" w:rsidRPr="00FE5409" w:rsidRDefault="003B2306" w:rsidP="00C33B2C">
            <w:pPr>
              <w:spacing w:line="240" w:lineRule="auto"/>
              <w:rPr>
                <w:rFonts w:cs="Calibri"/>
                <w:color w:val="000000"/>
                <w:lang w:eastAsia="en-AU"/>
              </w:rPr>
            </w:pPr>
            <w:proofErr w:type="gramStart"/>
            <w:r w:rsidRPr="003B2306">
              <w:rPr>
                <w:rFonts w:cs="Calibri"/>
                <w:color w:val="000000"/>
                <w:lang w:eastAsia="en-AU"/>
              </w:rPr>
              <w:t>DIS,DVB</w:t>
            </w:r>
            <w:proofErr w:type="gramEnd"/>
          </w:p>
        </w:tc>
        <w:tc>
          <w:tcPr>
            <w:tcW w:w="1197" w:type="dxa"/>
            <w:shd w:val="clear" w:color="auto" w:fill="auto"/>
          </w:tcPr>
          <w:p w14:paraId="2509FA12" w14:textId="46305D20" w:rsidR="00C33B2C" w:rsidRPr="00FE5409" w:rsidRDefault="003B2306" w:rsidP="00C33B2C">
            <w:pPr>
              <w:spacing w:line="240" w:lineRule="auto"/>
              <w:jc w:val="right"/>
              <w:rPr>
                <w:rFonts w:cs="Calibri"/>
                <w:color w:val="000000"/>
                <w:lang w:eastAsia="en-AU"/>
              </w:rPr>
            </w:pPr>
            <w:r>
              <w:rPr>
                <w:rFonts w:cs="Calibri"/>
                <w:color w:val="000000"/>
                <w:lang w:eastAsia="en-AU"/>
              </w:rPr>
              <w:t>1</w:t>
            </w:r>
          </w:p>
        </w:tc>
      </w:tr>
      <w:tr w:rsidR="00C33B2C" w:rsidRPr="00FE5409" w14:paraId="1787C4F7" w14:textId="77777777" w:rsidTr="00C33B2C">
        <w:trPr>
          <w:trHeight w:val="300"/>
        </w:trPr>
        <w:tc>
          <w:tcPr>
            <w:tcW w:w="2200" w:type="dxa"/>
            <w:shd w:val="clear" w:color="auto" w:fill="auto"/>
          </w:tcPr>
          <w:p w14:paraId="4FDE344B" w14:textId="40AD2A3A" w:rsidR="00C33B2C" w:rsidRPr="00FE5409" w:rsidRDefault="003B2306" w:rsidP="00C33B2C">
            <w:pPr>
              <w:spacing w:line="240" w:lineRule="auto"/>
              <w:rPr>
                <w:rFonts w:cs="Calibri"/>
                <w:color w:val="000000"/>
                <w:lang w:eastAsia="en-AU"/>
              </w:rPr>
            </w:pPr>
            <w:proofErr w:type="gramStart"/>
            <w:r w:rsidRPr="003B2306">
              <w:rPr>
                <w:rFonts w:cs="Calibri"/>
                <w:color w:val="000000"/>
                <w:lang w:eastAsia="en-AU"/>
              </w:rPr>
              <w:t>DVB,DVO</w:t>
            </w:r>
            <w:proofErr w:type="gramEnd"/>
          </w:p>
        </w:tc>
        <w:tc>
          <w:tcPr>
            <w:tcW w:w="1197" w:type="dxa"/>
            <w:shd w:val="clear" w:color="auto" w:fill="auto"/>
          </w:tcPr>
          <w:p w14:paraId="1A891217" w14:textId="633F2921" w:rsidR="00C33B2C" w:rsidRPr="00FE5409" w:rsidRDefault="003B2306" w:rsidP="00C33B2C">
            <w:pPr>
              <w:spacing w:line="240" w:lineRule="auto"/>
              <w:jc w:val="right"/>
              <w:rPr>
                <w:rFonts w:cs="Calibri"/>
                <w:color w:val="000000"/>
                <w:lang w:eastAsia="en-AU"/>
              </w:rPr>
            </w:pPr>
            <w:r>
              <w:rPr>
                <w:rFonts w:cs="Calibri"/>
                <w:color w:val="000000"/>
                <w:lang w:eastAsia="en-AU"/>
              </w:rPr>
              <w:t>3</w:t>
            </w:r>
          </w:p>
        </w:tc>
      </w:tr>
      <w:tr w:rsidR="00C33B2C" w:rsidRPr="00FE5409" w14:paraId="3740FA89" w14:textId="77777777" w:rsidTr="00C33B2C">
        <w:trPr>
          <w:trHeight w:val="300"/>
        </w:trPr>
        <w:tc>
          <w:tcPr>
            <w:tcW w:w="2200" w:type="dxa"/>
            <w:shd w:val="clear" w:color="auto" w:fill="auto"/>
          </w:tcPr>
          <w:p w14:paraId="51D24033" w14:textId="18A9F234" w:rsidR="00C33B2C" w:rsidRDefault="003B2306" w:rsidP="00C33B2C">
            <w:pPr>
              <w:spacing w:line="240" w:lineRule="auto"/>
              <w:rPr>
                <w:rFonts w:cs="Calibri"/>
                <w:color w:val="000000"/>
                <w:lang w:eastAsia="en-AU"/>
              </w:rPr>
            </w:pPr>
            <w:proofErr w:type="gramStart"/>
            <w:r w:rsidRPr="003B2306">
              <w:rPr>
                <w:rFonts w:cs="Calibri"/>
                <w:color w:val="000000"/>
                <w:lang w:eastAsia="en-AU"/>
              </w:rPr>
              <w:t>DVB,DVO</w:t>
            </w:r>
            <w:proofErr w:type="gramEnd"/>
            <w:r w:rsidRPr="003B2306">
              <w:rPr>
                <w:rFonts w:cs="Calibri"/>
                <w:color w:val="000000"/>
                <w:lang w:eastAsia="en-AU"/>
              </w:rPr>
              <w:t>,MAG</w:t>
            </w:r>
          </w:p>
        </w:tc>
        <w:tc>
          <w:tcPr>
            <w:tcW w:w="1197" w:type="dxa"/>
            <w:shd w:val="clear" w:color="auto" w:fill="auto"/>
          </w:tcPr>
          <w:p w14:paraId="09F5D6E0" w14:textId="473314AC" w:rsidR="00C33B2C" w:rsidRPr="00FE5409" w:rsidRDefault="003B2306" w:rsidP="00C33B2C">
            <w:pPr>
              <w:spacing w:line="240" w:lineRule="auto"/>
              <w:jc w:val="right"/>
              <w:rPr>
                <w:rFonts w:cs="Calibri"/>
                <w:color w:val="000000"/>
                <w:lang w:eastAsia="en-AU"/>
              </w:rPr>
            </w:pPr>
            <w:r>
              <w:rPr>
                <w:rFonts w:cs="Calibri"/>
                <w:color w:val="000000"/>
                <w:lang w:eastAsia="en-AU"/>
              </w:rPr>
              <w:t>7</w:t>
            </w:r>
          </w:p>
        </w:tc>
      </w:tr>
      <w:tr w:rsidR="00AE477B" w:rsidRPr="00FE5409" w14:paraId="3B5DB2AE" w14:textId="77777777" w:rsidTr="00C33B2C">
        <w:trPr>
          <w:trHeight w:val="300"/>
        </w:trPr>
        <w:tc>
          <w:tcPr>
            <w:tcW w:w="2200" w:type="dxa"/>
            <w:shd w:val="clear" w:color="auto" w:fill="auto"/>
          </w:tcPr>
          <w:p w14:paraId="5AFBBD46" w14:textId="497C86A7" w:rsidR="00AE477B" w:rsidRDefault="003B2306" w:rsidP="00C33B2C">
            <w:pPr>
              <w:spacing w:line="240" w:lineRule="auto"/>
              <w:rPr>
                <w:rFonts w:cs="Arial"/>
                <w:color w:val="000000"/>
              </w:rPr>
            </w:pPr>
            <w:proofErr w:type="gramStart"/>
            <w:r w:rsidRPr="003B2306">
              <w:rPr>
                <w:rFonts w:cs="Arial"/>
                <w:color w:val="000000"/>
              </w:rPr>
              <w:t>DVB,EQ</w:t>
            </w:r>
            <w:proofErr w:type="gramEnd"/>
          </w:p>
        </w:tc>
        <w:tc>
          <w:tcPr>
            <w:tcW w:w="1197" w:type="dxa"/>
            <w:shd w:val="clear" w:color="auto" w:fill="auto"/>
          </w:tcPr>
          <w:p w14:paraId="06991F98" w14:textId="1BB1FD67" w:rsidR="00AE477B" w:rsidRDefault="003B2306" w:rsidP="00C33B2C">
            <w:pPr>
              <w:spacing w:line="240" w:lineRule="auto"/>
              <w:jc w:val="right"/>
              <w:rPr>
                <w:rFonts w:cs="Arial"/>
                <w:color w:val="000000"/>
              </w:rPr>
            </w:pPr>
            <w:r>
              <w:rPr>
                <w:rFonts w:cs="Arial"/>
                <w:color w:val="000000"/>
              </w:rPr>
              <w:t>1</w:t>
            </w:r>
          </w:p>
        </w:tc>
      </w:tr>
      <w:tr w:rsidR="00C33B2C" w:rsidRPr="00FE5409" w14:paraId="1CA3553C" w14:textId="77777777" w:rsidTr="00C33B2C">
        <w:trPr>
          <w:trHeight w:val="300"/>
        </w:trPr>
        <w:tc>
          <w:tcPr>
            <w:tcW w:w="2200" w:type="dxa"/>
            <w:shd w:val="clear" w:color="auto" w:fill="auto"/>
          </w:tcPr>
          <w:p w14:paraId="2F839C82" w14:textId="5D707BB1" w:rsidR="00C33B2C" w:rsidRDefault="003B2306" w:rsidP="00C33B2C">
            <w:pPr>
              <w:spacing w:line="240" w:lineRule="auto"/>
              <w:rPr>
                <w:rFonts w:cs="Calibri"/>
                <w:color w:val="000000"/>
                <w:lang w:eastAsia="en-AU"/>
              </w:rPr>
            </w:pPr>
            <w:proofErr w:type="gramStart"/>
            <w:r w:rsidRPr="003B2306">
              <w:rPr>
                <w:rFonts w:cs="Calibri"/>
                <w:color w:val="000000"/>
                <w:lang w:eastAsia="en-AU"/>
              </w:rPr>
              <w:t>DVB,EQ</w:t>
            </w:r>
            <w:proofErr w:type="gramEnd"/>
            <w:r w:rsidRPr="003B2306">
              <w:rPr>
                <w:rFonts w:cs="Calibri"/>
                <w:color w:val="000000"/>
                <w:lang w:eastAsia="en-AU"/>
              </w:rPr>
              <w:t>,MAG</w:t>
            </w:r>
          </w:p>
        </w:tc>
        <w:tc>
          <w:tcPr>
            <w:tcW w:w="1197" w:type="dxa"/>
            <w:shd w:val="clear" w:color="auto" w:fill="auto"/>
          </w:tcPr>
          <w:p w14:paraId="6717F1C7" w14:textId="6AF86A62" w:rsidR="00C33B2C" w:rsidRPr="00FE5409" w:rsidRDefault="003B2306" w:rsidP="00C33B2C">
            <w:pPr>
              <w:spacing w:line="240" w:lineRule="auto"/>
              <w:jc w:val="right"/>
              <w:rPr>
                <w:rFonts w:cs="Calibri"/>
                <w:color w:val="000000"/>
                <w:lang w:eastAsia="en-AU"/>
              </w:rPr>
            </w:pPr>
            <w:r>
              <w:rPr>
                <w:rFonts w:cs="Calibri"/>
                <w:color w:val="000000"/>
                <w:lang w:eastAsia="en-AU"/>
              </w:rPr>
              <w:t>6</w:t>
            </w:r>
          </w:p>
        </w:tc>
      </w:tr>
      <w:tr w:rsidR="00166933" w:rsidRPr="00FE5409" w14:paraId="21624647" w14:textId="77777777" w:rsidTr="00C33B2C">
        <w:trPr>
          <w:trHeight w:val="300"/>
        </w:trPr>
        <w:tc>
          <w:tcPr>
            <w:tcW w:w="2200" w:type="dxa"/>
            <w:shd w:val="clear" w:color="auto" w:fill="auto"/>
          </w:tcPr>
          <w:p w14:paraId="294F9D6D" w14:textId="23AF41F3" w:rsidR="00166933" w:rsidRDefault="003B2306" w:rsidP="00C33B2C">
            <w:pPr>
              <w:spacing w:line="240" w:lineRule="auto"/>
              <w:rPr>
                <w:rFonts w:cs="Calibri"/>
                <w:color w:val="000000"/>
                <w:lang w:eastAsia="en-AU"/>
              </w:rPr>
            </w:pPr>
            <w:proofErr w:type="gramStart"/>
            <w:r w:rsidRPr="003B2306">
              <w:rPr>
                <w:rFonts w:cs="Calibri"/>
                <w:color w:val="000000"/>
                <w:lang w:eastAsia="en-AU"/>
              </w:rPr>
              <w:t>DVB,MAG</w:t>
            </w:r>
            <w:proofErr w:type="gramEnd"/>
          </w:p>
        </w:tc>
        <w:tc>
          <w:tcPr>
            <w:tcW w:w="1197" w:type="dxa"/>
            <w:shd w:val="clear" w:color="auto" w:fill="auto"/>
          </w:tcPr>
          <w:p w14:paraId="6E572CE5" w14:textId="14500008" w:rsidR="00166933" w:rsidRPr="00FE5409" w:rsidRDefault="003B2306" w:rsidP="00C33B2C">
            <w:pPr>
              <w:spacing w:line="240" w:lineRule="auto"/>
              <w:jc w:val="right"/>
              <w:rPr>
                <w:rFonts w:cs="Calibri"/>
                <w:color w:val="000000"/>
                <w:lang w:eastAsia="en-AU"/>
              </w:rPr>
            </w:pPr>
            <w:r>
              <w:rPr>
                <w:rFonts w:cs="Calibri"/>
                <w:color w:val="000000"/>
                <w:lang w:eastAsia="en-AU"/>
              </w:rPr>
              <w:t>15</w:t>
            </w:r>
          </w:p>
        </w:tc>
      </w:tr>
      <w:tr w:rsidR="00166933" w:rsidRPr="00FE5409" w14:paraId="11A6D743" w14:textId="77777777" w:rsidTr="00C33B2C">
        <w:trPr>
          <w:trHeight w:val="300"/>
        </w:trPr>
        <w:tc>
          <w:tcPr>
            <w:tcW w:w="2200" w:type="dxa"/>
            <w:shd w:val="clear" w:color="auto" w:fill="auto"/>
          </w:tcPr>
          <w:p w14:paraId="15C0D7F0" w14:textId="3C89A94D" w:rsidR="00166933" w:rsidRDefault="003B2306" w:rsidP="00C33B2C">
            <w:pPr>
              <w:spacing w:line="240" w:lineRule="auto"/>
              <w:rPr>
                <w:rFonts w:cs="Calibri"/>
                <w:color w:val="000000"/>
                <w:lang w:eastAsia="en-AU"/>
              </w:rPr>
            </w:pPr>
            <w:proofErr w:type="gramStart"/>
            <w:r w:rsidRPr="003B2306">
              <w:rPr>
                <w:rFonts w:cs="Calibri"/>
                <w:color w:val="000000"/>
                <w:lang w:eastAsia="en-AU"/>
              </w:rPr>
              <w:t>DVO,EQ</w:t>
            </w:r>
            <w:proofErr w:type="gramEnd"/>
          </w:p>
        </w:tc>
        <w:tc>
          <w:tcPr>
            <w:tcW w:w="1197" w:type="dxa"/>
            <w:shd w:val="clear" w:color="auto" w:fill="auto"/>
          </w:tcPr>
          <w:p w14:paraId="2228C8AA" w14:textId="3B690F0D" w:rsidR="00166933" w:rsidRPr="00FE5409" w:rsidRDefault="003B2306" w:rsidP="00C33B2C">
            <w:pPr>
              <w:spacing w:line="240" w:lineRule="auto"/>
              <w:jc w:val="right"/>
              <w:rPr>
                <w:rFonts w:cs="Calibri"/>
                <w:color w:val="000000"/>
                <w:lang w:eastAsia="en-AU"/>
              </w:rPr>
            </w:pPr>
            <w:r>
              <w:rPr>
                <w:rFonts w:cs="Calibri"/>
                <w:color w:val="000000"/>
                <w:lang w:eastAsia="en-AU"/>
              </w:rPr>
              <w:t>13</w:t>
            </w:r>
          </w:p>
        </w:tc>
      </w:tr>
      <w:tr w:rsidR="00166933" w:rsidRPr="00FE5409" w14:paraId="61A13792" w14:textId="77777777" w:rsidTr="00C33B2C">
        <w:trPr>
          <w:trHeight w:val="300"/>
        </w:trPr>
        <w:tc>
          <w:tcPr>
            <w:tcW w:w="2200" w:type="dxa"/>
            <w:shd w:val="clear" w:color="auto" w:fill="auto"/>
          </w:tcPr>
          <w:p w14:paraId="0AD62CE3" w14:textId="7E07D62C" w:rsidR="00166933" w:rsidRDefault="003B2306" w:rsidP="00C33B2C">
            <w:pPr>
              <w:spacing w:line="240" w:lineRule="auto"/>
              <w:rPr>
                <w:rFonts w:cs="Calibri"/>
                <w:color w:val="000000"/>
                <w:lang w:eastAsia="en-AU"/>
              </w:rPr>
            </w:pPr>
            <w:proofErr w:type="gramStart"/>
            <w:r w:rsidRPr="003B2306">
              <w:rPr>
                <w:rFonts w:cs="Calibri"/>
                <w:color w:val="000000"/>
                <w:lang w:eastAsia="en-AU"/>
              </w:rPr>
              <w:t>DVO,EQ</w:t>
            </w:r>
            <w:proofErr w:type="gramEnd"/>
            <w:r w:rsidRPr="003B2306">
              <w:rPr>
                <w:rFonts w:cs="Calibri"/>
                <w:color w:val="000000"/>
                <w:lang w:eastAsia="en-AU"/>
              </w:rPr>
              <w:t>,MAG</w:t>
            </w:r>
          </w:p>
        </w:tc>
        <w:tc>
          <w:tcPr>
            <w:tcW w:w="1197" w:type="dxa"/>
            <w:shd w:val="clear" w:color="auto" w:fill="auto"/>
          </w:tcPr>
          <w:p w14:paraId="5584C5B3" w14:textId="3A0C078D" w:rsidR="00166933" w:rsidRPr="00FE5409" w:rsidRDefault="003B2306" w:rsidP="00C33B2C">
            <w:pPr>
              <w:spacing w:line="240" w:lineRule="auto"/>
              <w:jc w:val="right"/>
              <w:rPr>
                <w:rFonts w:cs="Calibri"/>
                <w:color w:val="000000"/>
                <w:lang w:eastAsia="en-AU"/>
              </w:rPr>
            </w:pPr>
            <w:r>
              <w:rPr>
                <w:rFonts w:cs="Calibri"/>
                <w:color w:val="000000"/>
                <w:lang w:eastAsia="en-AU"/>
              </w:rPr>
              <w:t>2</w:t>
            </w:r>
          </w:p>
        </w:tc>
      </w:tr>
      <w:tr w:rsidR="00166933" w:rsidRPr="00FE5409" w14:paraId="13D608B1" w14:textId="77777777" w:rsidTr="00C33B2C">
        <w:trPr>
          <w:trHeight w:val="300"/>
        </w:trPr>
        <w:tc>
          <w:tcPr>
            <w:tcW w:w="2200" w:type="dxa"/>
            <w:shd w:val="clear" w:color="auto" w:fill="auto"/>
          </w:tcPr>
          <w:p w14:paraId="583E22A5" w14:textId="2F707FBC" w:rsidR="00166933" w:rsidRDefault="003B2306" w:rsidP="00C33B2C">
            <w:pPr>
              <w:spacing w:line="240" w:lineRule="auto"/>
              <w:rPr>
                <w:rFonts w:cs="Calibri"/>
                <w:color w:val="000000"/>
                <w:lang w:eastAsia="en-AU"/>
              </w:rPr>
            </w:pPr>
            <w:proofErr w:type="gramStart"/>
            <w:r w:rsidRPr="003B2306">
              <w:rPr>
                <w:rFonts w:cs="Calibri"/>
                <w:color w:val="000000"/>
                <w:lang w:eastAsia="en-AU"/>
              </w:rPr>
              <w:t>DVO,MAG</w:t>
            </w:r>
            <w:proofErr w:type="gramEnd"/>
          </w:p>
        </w:tc>
        <w:tc>
          <w:tcPr>
            <w:tcW w:w="1197" w:type="dxa"/>
            <w:shd w:val="clear" w:color="auto" w:fill="auto"/>
          </w:tcPr>
          <w:p w14:paraId="62C3FD37" w14:textId="6F49C6B6" w:rsidR="00166933" w:rsidRPr="00FE5409" w:rsidRDefault="003B2306" w:rsidP="00C33B2C">
            <w:pPr>
              <w:spacing w:line="240" w:lineRule="auto"/>
              <w:jc w:val="right"/>
              <w:rPr>
                <w:rFonts w:cs="Calibri"/>
                <w:color w:val="000000"/>
                <w:lang w:eastAsia="en-AU"/>
              </w:rPr>
            </w:pPr>
            <w:r>
              <w:rPr>
                <w:rFonts w:cs="Calibri"/>
                <w:color w:val="000000"/>
                <w:lang w:eastAsia="en-AU"/>
              </w:rPr>
              <w:t>16</w:t>
            </w:r>
          </w:p>
        </w:tc>
      </w:tr>
      <w:tr w:rsidR="00166933" w:rsidRPr="00FE5409" w14:paraId="7A9C20FE" w14:textId="77777777" w:rsidTr="00C33B2C">
        <w:trPr>
          <w:trHeight w:val="300"/>
        </w:trPr>
        <w:tc>
          <w:tcPr>
            <w:tcW w:w="2200" w:type="dxa"/>
            <w:shd w:val="clear" w:color="auto" w:fill="auto"/>
          </w:tcPr>
          <w:p w14:paraId="58CE8884" w14:textId="64647B69" w:rsidR="00166933" w:rsidRDefault="003B2306" w:rsidP="00C33B2C">
            <w:pPr>
              <w:spacing w:line="240" w:lineRule="auto"/>
              <w:rPr>
                <w:rFonts w:cs="Calibri"/>
                <w:color w:val="000000"/>
                <w:lang w:eastAsia="en-AU"/>
              </w:rPr>
            </w:pPr>
            <w:proofErr w:type="gramStart"/>
            <w:r w:rsidRPr="003B2306">
              <w:rPr>
                <w:rFonts w:cs="Calibri"/>
                <w:color w:val="000000"/>
                <w:lang w:eastAsia="en-AU"/>
              </w:rPr>
              <w:t>EQ,HT</w:t>
            </w:r>
            <w:proofErr w:type="gramEnd"/>
          </w:p>
        </w:tc>
        <w:tc>
          <w:tcPr>
            <w:tcW w:w="1197" w:type="dxa"/>
            <w:shd w:val="clear" w:color="auto" w:fill="auto"/>
          </w:tcPr>
          <w:p w14:paraId="06580A9F" w14:textId="23738422" w:rsidR="00166933" w:rsidRPr="00FE5409" w:rsidRDefault="003B2306" w:rsidP="00C33B2C">
            <w:pPr>
              <w:spacing w:line="240" w:lineRule="auto"/>
              <w:jc w:val="right"/>
              <w:rPr>
                <w:rFonts w:cs="Calibri"/>
                <w:color w:val="000000"/>
                <w:lang w:eastAsia="en-AU"/>
              </w:rPr>
            </w:pPr>
            <w:r>
              <w:rPr>
                <w:rFonts w:cs="Calibri"/>
                <w:color w:val="000000"/>
                <w:lang w:eastAsia="en-AU"/>
              </w:rPr>
              <w:t>2</w:t>
            </w:r>
          </w:p>
        </w:tc>
      </w:tr>
      <w:tr w:rsidR="00166933" w:rsidRPr="00FE5409" w14:paraId="6520DEF2" w14:textId="77777777" w:rsidTr="00C33B2C">
        <w:trPr>
          <w:trHeight w:val="300"/>
        </w:trPr>
        <w:tc>
          <w:tcPr>
            <w:tcW w:w="2200" w:type="dxa"/>
            <w:shd w:val="clear" w:color="auto" w:fill="auto"/>
          </w:tcPr>
          <w:p w14:paraId="769CA0AE" w14:textId="337709A6" w:rsidR="00166933" w:rsidRDefault="003B2306" w:rsidP="00C33B2C">
            <w:pPr>
              <w:spacing w:line="240" w:lineRule="auto"/>
              <w:rPr>
                <w:rFonts w:cs="Calibri"/>
                <w:color w:val="000000"/>
                <w:lang w:eastAsia="en-AU"/>
              </w:rPr>
            </w:pPr>
            <w:proofErr w:type="gramStart"/>
            <w:r w:rsidRPr="003B2306">
              <w:rPr>
                <w:rFonts w:cs="Calibri"/>
                <w:color w:val="000000"/>
                <w:lang w:eastAsia="en-AU"/>
              </w:rPr>
              <w:t>EQ,MAG</w:t>
            </w:r>
            <w:proofErr w:type="gramEnd"/>
          </w:p>
        </w:tc>
        <w:tc>
          <w:tcPr>
            <w:tcW w:w="1197" w:type="dxa"/>
            <w:shd w:val="clear" w:color="auto" w:fill="auto"/>
          </w:tcPr>
          <w:p w14:paraId="71CD1EBB" w14:textId="366A9C53" w:rsidR="00166933" w:rsidRPr="00FE5409" w:rsidRDefault="003B2306" w:rsidP="00C33B2C">
            <w:pPr>
              <w:spacing w:line="240" w:lineRule="auto"/>
              <w:jc w:val="right"/>
              <w:rPr>
                <w:rFonts w:cs="Calibri"/>
                <w:color w:val="000000"/>
                <w:lang w:eastAsia="en-AU"/>
              </w:rPr>
            </w:pPr>
            <w:r>
              <w:rPr>
                <w:rFonts w:cs="Calibri"/>
                <w:color w:val="000000"/>
                <w:lang w:eastAsia="en-AU"/>
              </w:rPr>
              <w:t>11</w:t>
            </w:r>
          </w:p>
        </w:tc>
      </w:tr>
      <w:tr w:rsidR="00166933" w:rsidRPr="00FE5409" w14:paraId="027ECA0A" w14:textId="77777777" w:rsidTr="00C33B2C">
        <w:trPr>
          <w:trHeight w:val="300"/>
        </w:trPr>
        <w:tc>
          <w:tcPr>
            <w:tcW w:w="2200" w:type="dxa"/>
            <w:shd w:val="clear" w:color="auto" w:fill="auto"/>
          </w:tcPr>
          <w:p w14:paraId="33D8350E" w14:textId="43EB1A72" w:rsidR="00166933" w:rsidRDefault="003B2306" w:rsidP="00C33B2C">
            <w:pPr>
              <w:spacing w:line="240" w:lineRule="auto"/>
              <w:rPr>
                <w:rFonts w:cs="Calibri"/>
                <w:color w:val="000000"/>
                <w:lang w:eastAsia="en-AU"/>
              </w:rPr>
            </w:pPr>
            <w:proofErr w:type="gramStart"/>
            <w:r w:rsidRPr="003B2306">
              <w:rPr>
                <w:rFonts w:cs="Calibri"/>
                <w:color w:val="000000"/>
                <w:lang w:eastAsia="en-AU"/>
              </w:rPr>
              <w:t>EQ,MAG</w:t>
            </w:r>
            <w:proofErr w:type="gramEnd"/>
            <w:r w:rsidRPr="003B2306">
              <w:rPr>
                <w:rFonts w:cs="Calibri"/>
                <w:color w:val="000000"/>
                <w:lang w:eastAsia="en-AU"/>
              </w:rPr>
              <w:t>,SEN</w:t>
            </w:r>
          </w:p>
        </w:tc>
        <w:tc>
          <w:tcPr>
            <w:tcW w:w="1197" w:type="dxa"/>
            <w:shd w:val="clear" w:color="auto" w:fill="auto"/>
          </w:tcPr>
          <w:p w14:paraId="087819B4" w14:textId="4A5F7935" w:rsidR="00166933" w:rsidRPr="00FE5409" w:rsidRDefault="003B2306" w:rsidP="00C33B2C">
            <w:pPr>
              <w:spacing w:line="240" w:lineRule="auto"/>
              <w:jc w:val="right"/>
              <w:rPr>
                <w:rFonts w:cs="Calibri"/>
                <w:color w:val="000000"/>
                <w:lang w:eastAsia="en-AU"/>
              </w:rPr>
            </w:pPr>
            <w:r>
              <w:rPr>
                <w:rFonts w:cs="Calibri"/>
                <w:color w:val="000000"/>
                <w:lang w:eastAsia="en-AU"/>
              </w:rPr>
              <w:t>1</w:t>
            </w:r>
          </w:p>
        </w:tc>
      </w:tr>
      <w:tr w:rsidR="00277E4B" w:rsidRPr="00FE5409" w14:paraId="50E20029" w14:textId="77777777" w:rsidTr="0063787B">
        <w:trPr>
          <w:trHeight w:val="300"/>
        </w:trPr>
        <w:tc>
          <w:tcPr>
            <w:tcW w:w="2200" w:type="dxa"/>
            <w:shd w:val="clear" w:color="auto" w:fill="auto"/>
            <w:hideMark/>
          </w:tcPr>
          <w:p w14:paraId="53704947" w14:textId="77777777" w:rsidR="00277E4B" w:rsidRPr="00FE5409" w:rsidRDefault="00277E4B" w:rsidP="00277E4B">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15B80D46" w14:textId="5EB619F5" w:rsidR="00277E4B" w:rsidRPr="00FE5409" w:rsidRDefault="003B2306" w:rsidP="00277E4B">
            <w:pPr>
              <w:spacing w:line="240" w:lineRule="auto"/>
              <w:jc w:val="right"/>
              <w:rPr>
                <w:rFonts w:cs="Calibri"/>
                <w:b/>
                <w:bCs/>
                <w:color w:val="000000"/>
                <w:lang w:eastAsia="en-AU"/>
              </w:rPr>
            </w:pPr>
            <w:r>
              <w:rPr>
                <w:rFonts w:cs="Calibri"/>
                <w:b/>
                <w:bCs/>
                <w:color w:val="000000"/>
                <w:lang w:eastAsia="en-AU"/>
              </w:rPr>
              <w:t>13</w:t>
            </w:r>
            <w:r w:rsidR="003009DA">
              <w:rPr>
                <w:rFonts w:cs="Calibri"/>
                <w:b/>
                <w:bCs/>
                <w:color w:val="000000"/>
                <w:lang w:eastAsia="en-AU"/>
              </w:rPr>
              <w:t>6</w:t>
            </w:r>
          </w:p>
        </w:tc>
      </w:tr>
    </w:tbl>
    <w:p w14:paraId="2ADD0DB0" w14:textId="77777777" w:rsidR="00FE5409" w:rsidRDefault="00FE5409" w:rsidP="00106EA8">
      <w:pPr>
        <w:tabs>
          <w:tab w:val="left" w:pos="1134"/>
        </w:tabs>
        <w:ind w:left="-142" w:right="-425"/>
        <w:jc w:val="both"/>
      </w:pPr>
    </w:p>
    <w:p w14:paraId="01DC83BC" w14:textId="37034037"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6F788B29" w:rsidR="0056316C" w:rsidRDefault="00A73CA0" w:rsidP="00C16F20">
      <w:pPr>
        <w:ind w:left="-142" w:right="-425"/>
        <w:jc w:val="both"/>
        <w:rPr>
          <w:rFonts w:cs="Arial"/>
        </w:rPr>
      </w:pPr>
      <w:r>
        <w:rPr>
          <w:rFonts w:cs="Arial"/>
        </w:rPr>
        <w:t>The following data</w:t>
      </w:r>
      <w:r w:rsidR="00D85018">
        <w:rPr>
          <w:rFonts w:cs="Arial"/>
        </w:rPr>
        <w:t xml:space="preserve"> (tables </w:t>
      </w:r>
      <w:r w:rsidR="002522F2">
        <w:rPr>
          <w:rFonts w:cs="Arial"/>
        </w:rPr>
        <w:t>4</w:t>
      </w:r>
      <w:r w:rsidR="00D85018">
        <w:rPr>
          <w:rFonts w:cs="Arial"/>
        </w:rPr>
        <w:t xml:space="preserve"> to </w:t>
      </w:r>
      <w:r w:rsidR="002522F2">
        <w:rPr>
          <w:rFonts w:cs="Arial"/>
        </w:rPr>
        <w:t>8</w:t>
      </w:r>
      <w:r w:rsidR="00D85018">
        <w:rPr>
          <w:rFonts w:cs="Arial"/>
        </w:rPr>
        <w:t>)</w:t>
      </w:r>
      <w:r>
        <w:rPr>
          <w:rFonts w:cs="Arial"/>
        </w:rPr>
        <w:t xml:space="preserve"> provides an overview of interactions that have taken place with clients during this reporting period</w:t>
      </w:r>
      <w:r w:rsidR="008D0261">
        <w:rPr>
          <w:rFonts w:cs="Arial"/>
        </w:rPr>
        <w:t>,</w:t>
      </w:r>
      <w:r>
        <w:rPr>
          <w:rFonts w:cs="Arial"/>
        </w:rPr>
        <w:t xml:space="preserve"> </w:t>
      </w:r>
      <w:r w:rsidR="00190C1B">
        <w:rPr>
          <w:rFonts w:cs="Arial"/>
        </w:rPr>
        <w:t>consists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proofErr w:type="gramStart"/>
      <w:r w:rsidR="00DA38EC">
        <w:rPr>
          <w:rFonts w:cs="Arial"/>
        </w:rPr>
        <w:t xml:space="preserve">making </w:t>
      </w:r>
      <w:r w:rsidR="00342EBC">
        <w:rPr>
          <w:rFonts w:cs="Arial"/>
        </w:rPr>
        <w:t>a determination</w:t>
      </w:r>
      <w:proofErr w:type="gramEnd"/>
      <w:r w:rsidR="00881438">
        <w:rPr>
          <w:rFonts w:cs="Arial"/>
        </w:rPr>
        <w:t>.</w:t>
      </w:r>
    </w:p>
    <w:p w14:paraId="33BB1B04" w14:textId="2C083555" w:rsidR="002D75CB" w:rsidRDefault="002D75CB" w:rsidP="00C16F20">
      <w:pPr>
        <w:ind w:left="-142" w:right="-425"/>
        <w:jc w:val="both"/>
        <w:rPr>
          <w:rFonts w:cs="Arial"/>
        </w:rPr>
      </w:pPr>
    </w:p>
    <w:p w14:paraId="68A169AC" w14:textId="769442F9" w:rsidR="002D75CB" w:rsidRPr="00264A2C" w:rsidRDefault="002D75CB" w:rsidP="002D75CB">
      <w:pPr>
        <w:tabs>
          <w:tab w:val="left" w:pos="1134"/>
        </w:tabs>
        <w:ind w:left="-142" w:right="-425"/>
        <w:jc w:val="both"/>
      </w:pPr>
      <w:r>
        <w:t xml:space="preserve">The role of the FRC is to work with the most vulnerable, disadvantaged group who engage in anti-social behaviours. Of this extremely vulnerable cohort who engage in anti-social behaviours there are a range of clients who fall within a spectrum of willingness to take personal accountability for </w:t>
      </w:r>
      <w:r w:rsidR="00414B67">
        <w:t xml:space="preserve">their </w:t>
      </w:r>
      <w:r>
        <w:t>actions and accept support to address behaviours</w:t>
      </w:r>
      <w:r w:rsidR="00414B67">
        <w:t>. T</w:t>
      </w:r>
      <w:r>
        <w:t>he vast majority are prepared to accept support and demonstrate a degree of insight into their behaviours</w:t>
      </w:r>
      <w:r w:rsidR="00425DDB">
        <w:t>,</w:t>
      </w:r>
      <w:r>
        <w:t xml:space="preserve"> however</w:t>
      </w:r>
      <w:r w:rsidR="0087406D">
        <w:t>,</w:t>
      </w:r>
      <w:r>
        <w:t xml:space="preserve"> </w:t>
      </w:r>
      <w:r w:rsidR="00425DDB">
        <w:t xml:space="preserve">there is </w:t>
      </w:r>
      <w:r>
        <w:t xml:space="preserve">a small cohort of clients who are </w:t>
      </w:r>
      <w:r w:rsidR="000440CF">
        <w:t>resistant</w:t>
      </w:r>
      <w:r w:rsidR="00425DDB">
        <w:t xml:space="preserve"> to chang</w:t>
      </w:r>
      <w:r w:rsidR="0087406D">
        <w:t>e</w:t>
      </w:r>
      <w:r w:rsidR="00425DDB">
        <w:t>.</w:t>
      </w:r>
    </w:p>
    <w:p w14:paraId="51F2BF4A" w14:textId="77777777" w:rsidR="002D75CB" w:rsidRDefault="002D75CB" w:rsidP="00C16F20">
      <w:pPr>
        <w:ind w:left="-142" w:right="-425"/>
        <w:jc w:val="both"/>
        <w:rPr>
          <w:rFonts w:cs="Arial"/>
        </w:rPr>
      </w:pPr>
    </w:p>
    <w:p w14:paraId="65D3405D" w14:textId="54127D19" w:rsidR="00237AB1" w:rsidRDefault="00696B4E" w:rsidP="0091685B">
      <w:pPr>
        <w:ind w:left="-142" w:right="-425"/>
        <w:jc w:val="both"/>
        <w:rPr>
          <w:rFonts w:cs="Arial"/>
        </w:rPr>
      </w:pPr>
      <w:r>
        <w:rPr>
          <w:rFonts w:cs="Arial"/>
        </w:rPr>
        <w:t>Show</w:t>
      </w:r>
      <w:r w:rsidR="00F305F2">
        <w:rPr>
          <w:rFonts w:cs="Arial"/>
        </w:rPr>
        <w:t>n</w:t>
      </w:r>
      <w:r>
        <w:rPr>
          <w:rFonts w:cs="Arial"/>
        </w:rPr>
        <w:t xml:space="preserve"> below 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sidRPr="00BD03F1">
        <w:rPr>
          <w:rFonts w:cs="Arial"/>
        </w:rPr>
        <w:t xml:space="preserve">. </w:t>
      </w:r>
      <w:r w:rsidR="0030673F" w:rsidRPr="00BD03F1">
        <w:rPr>
          <w:rFonts w:cs="Arial"/>
        </w:rPr>
        <w:t xml:space="preserve">The Commission is still seeing </w:t>
      </w:r>
      <w:proofErr w:type="gramStart"/>
      <w:r w:rsidR="0030673F" w:rsidRPr="00BD03F1">
        <w:rPr>
          <w:rFonts w:cs="Arial"/>
        </w:rPr>
        <w:t>a number</w:t>
      </w:r>
      <w:r w:rsidR="00237AB1" w:rsidRPr="00BD03F1">
        <w:rPr>
          <w:rFonts w:cs="Arial"/>
        </w:rPr>
        <w:t xml:space="preserve"> of</w:t>
      </w:r>
      <w:proofErr w:type="gramEnd"/>
      <w:r w:rsidR="00237AB1" w:rsidRPr="00BD03F1">
        <w:rPr>
          <w:rFonts w:cs="Arial"/>
        </w:rPr>
        <w:t xml:space="preserve"> </w:t>
      </w:r>
      <w:r w:rsidR="00B23523" w:rsidRPr="00BD03F1">
        <w:rPr>
          <w:rFonts w:cs="Arial"/>
        </w:rPr>
        <w:t>i</w:t>
      </w:r>
      <w:r w:rsidR="00237AB1" w:rsidRPr="00BD03F1">
        <w:rPr>
          <w:rFonts w:cs="Arial"/>
        </w:rPr>
        <w:t>nteractions by client</w:t>
      </w:r>
      <w:r w:rsidR="0030673F" w:rsidRPr="00BD03F1">
        <w:rPr>
          <w:rFonts w:cs="Arial"/>
        </w:rPr>
        <w:t>s</w:t>
      </w:r>
      <w:r w:rsidR="00237AB1" w:rsidRPr="00BD03F1">
        <w:rPr>
          <w:rFonts w:cs="Arial"/>
        </w:rPr>
        <w:t xml:space="preserve"> on a less intrusive and more proactive basis</w:t>
      </w:r>
      <w:r w:rsidR="00701EFB" w:rsidRPr="00BD03F1">
        <w:rPr>
          <w:rFonts w:cs="Arial"/>
        </w:rPr>
        <w:t>,</w:t>
      </w:r>
      <w:r w:rsidR="00B23523" w:rsidRPr="00BD03F1">
        <w:rPr>
          <w:rFonts w:cs="Arial"/>
        </w:rPr>
        <w:t xml:space="preserve"> </w:t>
      </w:r>
      <w:r w:rsidR="00237AB1" w:rsidRPr="00BD03F1">
        <w:rPr>
          <w:rFonts w:cs="Arial"/>
        </w:rPr>
        <w:t xml:space="preserve">i.e. where engagement is on a voluntary basis </w:t>
      </w:r>
      <w:r w:rsidR="00237AB1" w:rsidRPr="00BD03F1">
        <w:rPr>
          <w:rFonts w:cs="Arial"/>
        </w:rPr>
        <w:lastRenderedPageBreak/>
        <w:t xml:space="preserve">(Table </w:t>
      </w:r>
      <w:r w:rsidR="002522F2">
        <w:rPr>
          <w:rFonts w:cs="Arial"/>
        </w:rPr>
        <w:t>4</w:t>
      </w:r>
      <w:r w:rsidR="00237AB1" w:rsidRPr="00BD03F1">
        <w:rPr>
          <w:rFonts w:cs="Arial"/>
        </w:rPr>
        <w:t>)</w:t>
      </w:r>
      <w:r w:rsidR="00AE549C" w:rsidRPr="00BD03F1">
        <w:rPr>
          <w:rFonts w:cs="Arial"/>
        </w:rPr>
        <w:t>,</w:t>
      </w:r>
      <w:r w:rsidR="00237AB1" w:rsidRPr="00BD03F1">
        <w:rPr>
          <w:rFonts w:cs="Arial"/>
        </w:rPr>
        <w:t xml:space="preserve"> or where acceptance of the Commission’s decision for a referral to </w:t>
      </w:r>
      <w:r w:rsidR="009D568A" w:rsidRPr="00BD03F1">
        <w:rPr>
          <w:rFonts w:cs="Arial"/>
        </w:rPr>
        <w:t xml:space="preserve">a </w:t>
      </w:r>
      <w:r w:rsidR="00237AB1" w:rsidRPr="00BD03F1">
        <w:rPr>
          <w:rFonts w:cs="Arial"/>
        </w:rPr>
        <w:t xml:space="preserve">support service or income management is by agreement with the client (Table </w:t>
      </w:r>
      <w:r w:rsidR="002522F2">
        <w:rPr>
          <w:rFonts w:cs="Arial"/>
        </w:rPr>
        <w:t>5</w:t>
      </w:r>
      <w:r w:rsidR="00237AB1" w:rsidRPr="00BD03F1">
        <w:rPr>
          <w:rFonts w:cs="Arial"/>
        </w:rPr>
        <w:t>). The</w:t>
      </w:r>
      <w:r w:rsidR="00B23523" w:rsidRPr="00BD03F1">
        <w:rPr>
          <w:rFonts w:cs="Arial"/>
        </w:rPr>
        <w:t xml:space="preserve">se proactive interactions </w:t>
      </w:r>
      <w:proofErr w:type="gramStart"/>
      <w:r w:rsidR="00B23523" w:rsidRPr="00BD03F1">
        <w:rPr>
          <w:rFonts w:cs="Arial"/>
        </w:rPr>
        <w:t xml:space="preserve">are </w:t>
      </w:r>
      <w:r w:rsidR="00D505F2" w:rsidRPr="00BD03F1">
        <w:rPr>
          <w:rFonts w:cs="Arial"/>
        </w:rPr>
        <w:t>c</w:t>
      </w:r>
      <w:r w:rsidR="00237AB1" w:rsidRPr="00BD03F1">
        <w:rPr>
          <w:rFonts w:cs="Arial"/>
        </w:rPr>
        <w:t>onsider</w:t>
      </w:r>
      <w:r w:rsidR="00B23523" w:rsidRPr="00BD03F1">
        <w:rPr>
          <w:rFonts w:cs="Arial"/>
        </w:rPr>
        <w:t>ed</w:t>
      </w:r>
      <w:r w:rsidR="00237AB1" w:rsidRPr="00BD03F1">
        <w:rPr>
          <w:rFonts w:cs="Arial"/>
        </w:rPr>
        <w:t xml:space="preserve"> to be</w:t>
      </w:r>
      <w:proofErr w:type="gramEnd"/>
      <w:r w:rsidR="00237AB1" w:rsidRPr="00BD03F1">
        <w:rPr>
          <w:rFonts w:cs="Arial"/>
        </w:rPr>
        <w:t xml:space="preserve"> a positive indication that community members have developed a consciousness of their actions and are demonstrating early insight into the </w:t>
      </w:r>
      <w:r w:rsidR="008D0261">
        <w:rPr>
          <w:rFonts w:cs="Arial"/>
        </w:rPr>
        <w:t>a</w:t>
      </w:r>
      <w:r w:rsidR="00237AB1" w:rsidRPr="00BD03F1">
        <w:rPr>
          <w:rFonts w:cs="Arial"/>
        </w:rPr>
        <w:t>ffect those actions have on others.</w:t>
      </w:r>
    </w:p>
    <w:p w14:paraId="7459190E" w14:textId="77777777" w:rsidR="00237AB1" w:rsidRDefault="00237AB1" w:rsidP="00237AB1">
      <w:pPr>
        <w:ind w:left="-142" w:right="-425"/>
        <w:jc w:val="both"/>
        <w:rPr>
          <w:rFonts w:cs="Arial"/>
        </w:rPr>
      </w:pPr>
    </w:p>
    <w:p w14:paraId="19233629" w14:textId="699750C5"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10"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10"/>
      <w:proofErr w:type="gramStart"/>
      <w:r w:rsidRPr="00656C56">
        <w:rPr>
          <w:sz w:val="16"/>
          <w:szCs w:val="16"/>
        </w:rPr>
        <w:t>entered into</w:t>
      </w:r>
      <w:proofErr w:type="gramEnd"/>
      <w:r>
        <w:rPr>
          <w:sz w:val="16"/>
          <w:szCs w:val="16"/>
        </w:rPr>
        <w:t xml:space="preserve"> </w:t>
      </w:r>
      <w:r w:rsidR="00397BFC">
        <w:rPr>
          <w:sz w:val="16"/>
          <w:szCs w:val="16"/>
        </w:rPr>
        <w:t xml:space="preserve">from </w:t>
      </w:r>
      <w:r w:rsidR="007B7E78">
        <w:rPr>
          <w:sz w:val="16"/>
          <w:szCs w:val="16"/>
        </w:rPr>
        <w:t xml:space="preserve">1 </w:t>
      </w:r>
      <w:r w:rsidR="00413FAC">
        <w:rPr>
          <w:sz w:val="16"/>
          <w:szCs w:val="16"/>
        </w:rPr>
        <w:t>January 2023</w:t>
      </w:r>
      <w:r>
        <w:rPr>
          <w:sz w:val="16"/>
          <w:szCs w:val="16"/>
        </w:rPr>
        <w:t xml:space="preserve"> to </w:t>
      </w:r>
      <w:bookmarkStart w:id="11" w:name="_Ref74754019"/>
      <w:r w:rsidR="007B7E78">
        <w:rPr>
          <w:sz w:val="16"/>
          <w:szCs w:val="16"/>
        </w:rPr>
        <w:t xml:space="preserve">31 </w:t>
      </w:r>
      <w:r w:rsidR="00984BBB">
        <w:rPr>
          <w:sz w:val="16"/>
          <w:szCs w:val="16"/>
        </w:rPr>
        <w:t>March 2023</w:t>
      </w:r>
      <w:r w:rsidR="00604429" w:rsidRPr="008F6888">
        <w:rPr>
          <w:rStyle w:val="FootnoteReference"/>
          <w:sz w:val="16"/>
          <w:szCs w:val="16"/>
        </w:rPr>
        <w:footnoteReference w:id="6"/>
      </w:r>
      <w:bookmarkEnd w:id="11"/>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34073B" w:rsidRPr="00776C26" w14:paraId="23E8C631" w14:textId="77777777" w:rsidTr="0034073B">
        <w:tc>
          <w:tcPr>
            <w:tcW w:w="1555" w:type="dxa"/>
          </w:tcPr>
          <w:p w14:paraId="08DA178D" w14:textId="77777777" w:rsidR="0034073B" w:rsidRPr="00776C26" w:rsidRDefault="0034073B" w:rsidP="0034073B">
            <w:pPr>
              <w:ind w:right="-425"/>
              <w:jc w:val="both"/>
              <w:rPr>
                <w:rFonts w:cs="Arial"/>
                <w:b/>
                <w:bCs/>
              </w:rPr>
            </w:pPr>
            <w:r w:rsidRPr="00776C26">
              <w:rPr>
                <w:rFonts w:cs="Arial"/>
                <w:b/>
                <w:bCs/>
              </w:rPr>
              <w:t>Total</w:t>
            </w:r>
          </w:p>
        </w:tc>
        <w:tc>
          <w:tcPr>
            <w:tcW w:w="992" w:type="dxa"/>
            <w:vAlign w:val="bottom"/>
          </w:tcPr>
          <w:p w14:paraId="31C63D09" w14:textId="273F749C" w:rsidR="0034073B" w:rsidRPr="00776C26" w:rsidRDefault="003808DE" w:rsidP="0034073B">
            <w:pPr>
              <w:jc w:val="right"/>
              <w:rPr>
                <w:b/>
                <w:bCs/>
              </w:rPr>
            </w:pPr>
            <w:r>
              <w:rPr>
                <w:b/>
                <w:bCs/>
              </w:rPr>
              <w:t>19</w:t>
            </w:r>
          </w:p>
        </w:tc>
        <w:tc>
          <w:tcPr>
            <w:tcW w:w="1134" w:type="dxa"/>
            <w:vAlign w:val="bottom"/>
          </w:tcPr>
          <w:p w14:paraId="1D2060AE" w14:textId="3E7C4374" w:rsidR="0034073B" w:rsidRPr="00776C26" w:rsidRDefault="003808DE" w:rsidP="0034073B">
            <w:pPr>
              <w:jc w:val="right"/>
              <w:rPr>
                <w:b/>
                <w:bCs/>
              </w:rPr>
            </w:pPr>
            <w:r>
              <w:rPr>
                <w:b/>
                <w:bCs/>
              </w:rPr>
              <w:t>28</w:t>
            </w:r>
          </w:p>
        </w:tc>
        <w:tc>
          <w:tcPr>
            <w:tcW w:w="992" w:type="dxa"/>
            <w:vAlign w:val="bottom"/>
          </w:tcPr>
          <w:p w14:paraId="7E29C7F4" w14:textId="2A62EC0A" w:rsidR="0034073B" w:rsidRPr="00776C26" w:rsidRDefault="003808DE" w:rsidP="0034073B">
            <w:pPr>
              <w:jc w:val="right"/>
              <w:rPr>
                <w:b/>
                <w:bCs/>
              </w:rPr>
            </w:pPr>
            <w:r>
              <w:rPr>
                <w:b/>
                <w:bCs/>
              </w:rPr>
              <w:t>47</w:t>
            </w:r>
          </w:p>
        </w:tc>
      </w:tr>
    </w:tbl>
    <w:p w14:paraId="340804AB" w14:textId="2011C4C9" w:rsidR="00C64787" w:rsidRDefault="00C64787" w:rsidP="00237AB1">
      <w:pPr>
        <w:ind w:left="-142" w:right="-425"/>
        <w:jc w:val="both"/>
        <w:rPr>
          <w:rFonts w:cs="Arial"/>
        </w:rPr>
      </w:pPr>
    </w:p>
    <w:p w14:paraId="32A7D6CF" w14:textId="1C2720E8"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3"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3"/>
      <w:proofErr w:type="gramStart"/>
      <w:r w:rsidRPr="00656C56">
        <w:rPr>
          <w:sz w:val="16"/>
          <w:szCs w:val="16"/>
        </w:rPr>
        <w:t>entered into</w:t>
      </w:r>
      <w:proofErr w:type="gramEnd"/>
      <w:r>
        <w:rPr>
          <w:sz w:val="16"/>
          <w:szCs w:val="16"/>
        </w:rPr>
        <w:t xml:space="preserve"> </w:t>
      </w:r>
      <w:r w:rsidR="00397BFC">
        <w:rPr>
          <w:sz w:val="16"/>
          <w:szCs w:val="16"/>
        </w:rPr>
        <w:t xml:space="preserve">from </w:t>
      </w:r>
      <w:r w:rsidR="007B7E78">
        <w:rPr>
          <w:sz w:val="16"/>
          <w:szCs w:val="16"/>
        </w:rPr>
        <w:t xml:space="preserve">1 </w:t>
      </w:r>
      <w:r w:rsidR="00413FAC">
        <w:rPr>
          <w:sz w:val="16"/>
          <w:szCs w:val="16"/>
        </w:rPr>
        <w:t>January 2023</w:t>
      </w:r>
      <w:r>
        <w:rPr>
          <w:sz w:val="16"/>
          <w:szCs w:val="16"/>
        </w:rPr>
        <w:t xml:space="preserve"> to </w:t>
      </w:r>
      <w:r w:rsidR="007B7E78">
        <w:rPr>
          <w:sz w:val="16"/>
          <w:szCs w:val="16"/>
        </w:rPr>
        <w:t xml:space="preserve">31 </w:t>
      </w:r>
      <w:r w:rsidR="00984BBB">
        <w:rPr>
          <w:sz w:val="16"/>
          <w:szCs w:val="16"/>
        </w:rPr>
        <w:t>March 2023</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267D24">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3808DE" w14:paraId="604BDE97" w14:textId="77777777" w:rsidTr="00237AB1">
        <w:tc>
          <w:tcPr>
            <w:tcW w:w="1555" w:type="dxa"/>
          </w:tcPr>
          <w:p w14:paraId="16D39C9C" w14:textId="77777777" w:rsidR="003808DE" w:rsidRPr="00490B40" w:rsidRDefault="003808DE" w:rsidP="003808DE">
            <w:pPr>
              <w:ind w:right="-425"/>
              <w:jc w:val="both"/>
              <w:rPr>
                <w:rFonts w:cs="Arial"/>
              </w:rPr>
            </w:pPr>
            <w:r w:rsidRPr="00490B40">
              <w:rPr>
                <w:rFonts w:cs="Arial"/>
              </w:rPr>
              <w:t>AU</w:t>
            </w:r>
          </w:p>
        </w:tc>
        <w:tc>
          <w:tcPr>
            <w:tcW w:w="992" w:type="dxa"/>
            <w:vAlign w:val="bottom"/>
          </w:tcPr>
          <w:p w14:paraId="4F2BC6E4" w14:textId="776986E9" w:rsidR="003808DE" w:rsidRPr="00900EA0" w:rsidRDefault="003808DE" w:rsidP="003808DE">
            <w:pPr>
              <w:jc w:val="right"/>
            </w:pPr>
            <w:r>
              <w:t>37</w:t>
            </w:r>
          </w:p>
        </w:tc>
        <w:tc>
          <w:tcPr>
            <w:tcW w:w="1134" w:type="dxa"/>
            <w:vAlign w:val="bottom"/>
          </w:tcPr>
          <w:p w14:paraId="5D79F7D6" w14:textId="759CE002" w:rsidR="003808DE" w:rsidRPr="00900EA0" w:rsidRDefault="003808DE" w:rsidP="003808DE">
            <w:pPr>
              <w:jc w:val="right"/>
            </w:pPr>
            <w:r>
              <w:rPr>
                <w:rFonts w:cs="Arial"/>
              </w:rPr>
              <w:t>0</w:t>
            </w:r>
          </w:p>
        </w:tc>
        <w:tc>
          <w:tcPr>
            <w:tcW w:w="992" w:type="dxa"/>
            <w:vAlign w:val="bottom"/>
          </w:tcPr>
          <w:p w14:paraId="2B25B2DF" w14:textId="66CD925D" w:rsidR="003808DE" w:rsidRPr="00900EA0" w:rsidRDefault="003808DE" w:rsidP="003808DE">
            <w:pPr>
              <w:jc w:val="right"/>
              <w:rPr>
                <w:b/>
                <w:bCs/>
              </w:rPr>
            </w:pPr>
            <w:r>
              <w:t>37</w:t>
            </w:r>
          </w:p>
        </w:tc>
      </w:tr>
      <w:tr w:rsidR="003808DE" w14:paraId="1A905600" w14:textId="77777777" w:rsidTr="00237AB1">
        <w:tc>
          <w:tcPr>
            <w:tcW w:w="1555" w:type="dxa"/>
          </w:tcPr>
          <w:p w14:paraId="59A72EEE" w14:textId="77777777" w:rsidR="003808DE" w:rsidRPr="00490B40" w:rsidRDefault="003808DE" w:rsidP="003808DE">
            <w:pPr>
              <w:ind w:right="-425"/>
              <w:jc w:val="both"/>
              <w:rPr>
                <w:rFonts w:cs="Arial"/>
              </w:rPr>
            </w:pPr>
            <w:r w:rsidRPr="00490B40">
              <w:rPr>
                <w:rFonts w:cs="Arial"/>
              </w:rPr>
              <w:t>CO</w:t>
            </w:r>
          </w:p>
        </w:tc>
        <w:tc>
          <w:tcPr>
            <w:tcW w:w="992" w:type="dxa"/>
            <w:vAlign w:val="bottom"/>
          </w:tcPr>
          <w:p w14:paraId="7DC045C3" w14:textId="178BD733" w:rsidR="003808DE" w:rsidRPr="00900EA0" w:rsidRDefault="003808DE" w:rsidP="003808DE">
            <w:pPr>
              <w:jc w:val="right"/>
            </w:pPr>
            <w:r>
              <w:t>3</w:t>
            </w:r>
          </w:p>
        </w:tc>
        <w:tc>
          <w:tcPr>
            <w:tcW w:w="1134" w:type="dxa"/>
            <w:vAlign w:val="bottom"/>
          </w:tcPr>
          <w:p w14:paraId="544139DB" w14:textId="58B200F9" w:rsidR="003808DE" w:rsidRPr="00900EA0" w:rsidRDefault="003808DE" w:rsidP="003808DE">
            <w:pPr>
              <w:jc w:val="right"/>
            </w:pPr>
            <w:r>
              <w:rPr>
                <w:rFonts w:cs="Arial"/>
              </w:rPr>
              <w:t>0</w:t>
            </w:r>
          </w:p>
        </w:tc>
        <w:tc>
          <w:tcPr>
            <w:tcW w:w="992" w:type="dxa"/>
            <w:vAlign w:val="bottom"/>
          </w:tcPr>
          <w:p w14:paraId="655575AD" w14:textId="7774EB39" w:rsidR="003808DE" w:rsidRPr="00900EA0" w:rsidRDefault="003808DE" w:rsidP="003808DE">
            <w:pPr>
              <w:jc w:val="right"/>
              <w:rPr>
                <w:b/>
                <w:bCs/>
              </w:rPr>
            </w:pPr>
            <w:r>
              <w:t>3</w:t>
            </w:r>
          </w:p>
        </w:tc>
      </w:tr>
      <w:tr w:rsidR="003808DE" w14:paraId="577F7E12" w14:textId="77777777" w:rsidTr="00237AB1">
        <w:tc>
          <w:tcPr>
            <w:tcW w:w="1555" w:type="dxa"/>
          </w:tcPr>
          <w:p w14:paraId="2E4003E9" w14:textId="77777777" w:rsidR="003808DE" w:rsidRPr="00490B40" w:rsidRDefault="003808DE" w:rsidP="003808DE">
            <w:pPr>
              <w:ind w:right="-425"/>
              <w:jc w:val="both"/>
              <w:rPr>
                <w:rFonts w:cs="Arial"/>
              </w:rPr>
            </w:pPr>
            <w:r w:rsidRPr="00490B40">
              <w:rPr>
                <w:rFonts w:cs="Arial"/>
              </w:rPr>
              <w:t>DM</w:t>
            </w:r>
          </w:p>
        </w:tc>
        <w:tc>
          <w:tcPr>
            <w:tcW w:w="992" w:type="dxa"/>
            <w:vAlign w:val="bottom"/>
          </w:tcPr>
          <w:p w14:paraId="68E2C72D" w14:textId="2F13C5B3" w:rsidR="003808DE" w:rsidRPr="00900EA0" w:rsidRDefault="003808DE" w:rsidP="003808DE">
            <w:pPr>
              <w:jc w:val="right"/>
            </w:pPr>
            <w:r>
              <w:t>6</w:t>
            </w:r>
          </w:p>
        </w:tc>
        <w:tc>
          <w:tcPr>
            <w:tcW w:w="1134" w:type="dxa"/>
            <w:vAlign w:val="bottom"/>
          </w:tcPr>
          <w:p w14:paraId="5EFFF8C4" w14:textId="6E139663" w:rsidR="003808DE" w:rsidRPr="00900EA0" w:rsidRDefault="003808DE" w:rsidP="003808DE">
            <w:pPr>
              <w:jc w:val="right"/>
            </w:pPr>
            <w:r>
              <w:rPr>
                <w:rFonts w:cs="Arial"/>
              </w:rPr>
              <w:t>0</w:t>
            </w:r>
          </w:p>
        </w:tc>
        <w:tc>
          <w:tcPr>
            <w:tcW w:w="992" w:type="dxa"/>
            <w:vAlign w:val="bottom"/>
          </w:tcPr>
          <w:p w14:paraId="1CF754DE" w14:textId="5B70EA0F" w:rsidR="003808DE" w:rsidRPr="00900EA0" w:rsidRDefault="003808DE" w:rsidP="003808DE">
            <w:pPr>
              <w:jc w:val="right"/>
              <w:rPr>
                <w:b/>
                <w:bCs/>
              </w:rPr>
            </w:pPr>
            <w:r>
              <w:t>6</w:t>
            </w:r>
          </w:p>
        </w:tc>
      </w:tr>
      <w:tr w:rsidR="003808DE" w14:paraId="55AC2A32" w14:textId="77777777" w:rsidTr="00237AB1">
        <w:tc>
          <w:tcPr>
            <w:tcW w:w="1555" w:type="dxa"/>
          </w:tcPr>
          <w:p w14:paraId="511465EF" w14:textId="77777777" w:rsidR="003808DE" w:rsidRPr="00490B40" w:rsidRDefault="003808DE" w:rsidP="003808DE">
            <w:pPr>
              <w:ind w:right="-425"/>
              <w:jc w:val="both"/>
              <w:rPr>
                <w:rFonts w:cs="Arial"/>
              </w:rPr>
            </w:pPr>
            <w:r w:rsidRPr="00490B40">
              <w:rPr>
                <w:rFonts w:cs="Arial"/>
              </w:rPr>
              <w:t>HV</w:t>
            </w:r>
          </w:p>
        </w:tc>
        <w:tc>
          <w:tcPr>
            <w:tcW w:w="992" w:type="dxa"/>
            <w:vAlign w:val="bottom"/>
          </w:tcPr>
          <w:p w14:paraId="16976329" w14:textId="4A0C764C" w:rsidR="003808DE" w:rsidRPr="00900EA0" w:rsidRDefault="003808DE" w:rsidP="003808DE">
            <w:pPr>
              <w:jc w:val="right"/>
            </w:pPr>
            <w:r>
              <w:t>3</w:t>
            </w:r>
          </w:p>
        </w:tc>
        <w:tc>
          <w:tcPr>
            <w:tcW w:w="1134" w:type="dxa"/>
            <w:vAlign w:val="bottom"/>
          </w:tcPr>
          <w:p w14:paraId="48C3CD7F" w14:textId="645E2592" w:rsidR="003808DE" w:rsidRPr="00900EA0" w:rsidRDefault="003808DE" w:rsidP="003808DE">
            <w:pPr>
              <w:jc w:val="right"/>
            </w:pPr>
            <w:r>
              <w:rPr>
                <w:rFonts w:cs="Arial"/>
              </w:rPr>
              <w:t>0</w:t>
            </w:r>
          </w:p>
        </w:tc>
        <w:tc>
          <w:tcPr>
            <w:tcW w:w="992" w:type="dxa"/>
            <w:vAlign w:val="bottom"/>
          </w:tcPr>
          <w:p w14:paraId="1AAF646B" w14:textId="15D02123" w:rsidR="003808DE" w:rsidRPr="00900EA0" w:rsidRDefault="003808DE" w:rsidP="003808DE">
            <w:pPr>
              <w:jc w:val="right"/>
              <w:rPr>
                <w:b/>
                <w:bCs/>
              </w:rPr>
            </w:pPr>
            <w:r>
              <w:t>3</w:t>
            </w:r>
          </w:p>
        </w:tc>
      </w:tr>
      <w:tr w:rsidR="003808DE" w14:paraId="50F69E1F" w14:textId="77777777" w:rsidTr="00237AB1">
        <w:tc>
          <w:tcPr>
            <w:tcW w:w="1555" w:type="dxa"/>
          </w:tcPr>
          <w:p w14:paraId="48DBAB63" w14:textId="77777777" w:rsidR="003808DE" w:rsidRPr="00490B40" w:rsidRDefault="003808DE" w:rsidP="003808DE">
            <w:pPr>
              <w:ind w:right="-425"/>
              <w:jc w:val="both"/>
              <w:rPr>
                <w:rFonts w:cs="Arial"/>
              </w:rPr>
            </w:pPr>
            <w:r w:rsidRPr="00490B40">
              <w:rPr>
                <w:rFonts w:cs="Arial"/>
              </w:rPr>
              <w:t>MG</w:t>
            </w:r>
          </w:p>
        </w:tc>
        <w:tc>
          <w:tcPr>
            <w:tcW w:w="992" w:type="dxa"/>
            <w:vAlign w:val="bottom"/>
          </w:tcPr>
          <w:p w14:paraId="2E4ACC08" w14:textId="5DEF20B2" w:rsidR="003808DE" w:rsidRPr="00900EA0" w:rsidRDefault="003808DE" w:rsidP="003808DE">
            <w:pPr>
              <w:jc w:val="right"/>
            </w:pPr>
            <w:r>
              <w:t>7</w:t>
            </w:r>
          </w:p>
        </w:tc>
        <w:tc>
          <w:tcPr>
            <w:tcW w:w="1134" w:type="dxa"/>
            <w:vAlign w:val="bottom"/>
          </w:tcPr>
          <w:p w14:paraId="06822B4C" w14:textId="1883FE17" w:rsidR="003808DE" w:rsidRPr="00900EA0" w:rsidRDefault="003808DE" w:rsidP="003808DE">
            <w:pPr>
              <w:jc w:val="right"/>
            </w:pPr>
            <w:r>
              <w:rPr>
                <w:rFonts w:cs="Arial"/>
              </w:rPr>
              <w:t>0</w:t>
            </w:r>
          </w:p>
        </w:tc>
        <w:tc>
          <w:tcPr>
            <w:tcW w:w="992" w:type="dxa"/>
            <w:vAlign w:val="bottom"/>
          </w:tcPr>
          <w:p w14:paraId="4AC3B4A9" w14:textId="6C93ED77" w:rsidR="003808DE" w:rsidRPr="00900EA0" w:rsidRDefault="003808DE" w:rsidP="003808DE">
            <w:pPr>
              <w:jc w:val="right"/>
              <w:rPr>
                <w:b/>
                <w:bCs/>
              </w:rPr>
            </w:pPr>
            <w:r>
              <w:t>7</w:t>
            </w:r>
          </w:p>
        </w:tc>
      </w:tr>
      <w:tr w:rsidR="003808DE" w14:paraId="7BC56D75" w14:textId="77777777" w:rsidTr="00237AB1">
        <w:tc>
          <w:tcPr>
            <w:tcW w:w="1555" w:type="dxa"/>
          </w:tcPr>
          <w:p w14:paraId="201CE63A" w14:textId="77777777" w:rsidR="003808DE" w:rsidRPr="00776C26" w:rsidRDefault="003808DE" w:rsidP="003808DE">
            <w:pPr>
              <w:ind w:right="-425"/>
              <w:jc w:val="both"/>
              <w:rPr>
                <w:rFonts w:cs="Arial"/>
                <w:b/>
                <w:bCs/>
              </w:rPr>
            </w:pPr>
            <w:r w:rsidRPr="00776C26">
              <w:rPr>
                <w:rFonts w:cs="Arial"/>
                <w:b/>
                <w:bCs/>
              </w:rPr>
              <w:t>Total</w:t>
            </w:r>
          </w:p>
        </w:tc>
        <w:tc>
          <w:tcPr>
            <w:tcW w:w="992" w:type="dxa"/>
            <w:vAlign w:val="bottom"/>
          </w:tcPr>
          <w:p w14:paraId="0FB9062E" w14:textId="4CFFB91F" w:rsidR="003808DE" w:rsidRPr="00900EA0" w:rsidRDefault="003808DE" w:rsidP="003808DE">
            <w:pPr>
              <w:jc w:val="right"/>
              <w:rPr>
                <w:b/>
                <w:bCs/>
              </w:rPr>
            </w:pPr>
            <w:r>
              <w:rPr>
                <w:b/>
                <w:bCs/>
              </w:rPr>
              <w:t>56</w:t>
            </w:r>
          </w:p>
        </w:tc>
        <w:tc>
          <w:tcPr>
            <w:tcW w:w="1134" w:type="dxa"/>
            <w:vAlign w:val="bottom"/>
          </w:tcPr>
          <w:p w14:paraId="482ED4A6" w14:textId="7111F5CC" w:rsidR="003808DE" w:rsidRPr="00900EA0" w:rsidRDefault="003808DE" w:rsidP="003808DE">
            <w:pPr>
              <w:jc w:val="right"/>
              <w:rPr>
                <w:b/>
                <w:bCs/>
              </w:rPr>
            </w:pPr>
            <w:r>
              <w:rPr>
                <w:rFonts w:cs="Arial"/>
                <w:b/>
                <w:bCs/>
              </w:rPr>
              <w:t>0</w:t>
            </w:r>
          </w:p>
        </w:tc>
        <w:tc>
          <w:tcPr>
            <w:tcW w:w="992" w:type="dxa"/>
            <w:vAlign w:val="bottom"/>
          </w:tcPr>
          <w:p w14:paraId="47A0B826" w14:textId="0209DF74" w:rsidR="003808DE" w:rsidRPr="00900EA0" w:rsidRDefault="003808DE" w:rsidP="003808DE">
            <w:pPr>
              <w:jc w:val="right"/>
              <w:rPr>
                <w:b/>
                <w:bCs/>
              </w:rPr>
            </w:pPr>
            <w:r>
              <w:rPr>
                <w:b/>
                <w:bCs/>
              </w:rPr>
              <w:t>56</w:t>
            </w:r>
          </w:p>
        </w:tc>
      </w:tr>
    </w:tbl>
    <w:p w14:paraId="600511AC" w14:textId="77777777" w:rsidR="00237AB1" w:rsidRDefault="00237AB1" w:rsidP="00237AB1">
      <w:pPr>
        <w:ind w:left="-142" w:right="-425"/>
        <w:jc w:val="both"/>
        <w:rPr>
          <w:rFonts w:cs="Arial"/>
        </w:rPr>
      </w:pPr>
    </w:p>
    <w:p w14:paraId="07242880" w14:textId="688EEF6D" w:rsidR="00237AB1" w:rsidRPr="0002195A" w:rsidRDefault="00237AB1" w:rsidP="0002195A">
      <w:pPr>
        <w:spacing w:after="120" w:line="240" w:lineRule="auto"/>
        <w:ind w:left="794" w:hanging="794"/>
        <w:rPr>
          <w:b/>
          <w:sz w:val="16"/>
          <w:szCs w:val="16"/>
        </w:rPr>
      </w:pPr>
      <w:r w:rsidRPr="004B6F52">
        <w:rPr>
          <w:b/>
          <w:sz w:val="16"/>
          <w:szCs w:val="16"/>
        </w:rPr>
        <w:t xml:space="preserve">Table </w:t>
      </w:r>
      <w:r w:rsidR="002522F2">
        <w:rPr>
          <w:b/>
          <w:sz w:val="16"/>
          <w:szCs w:val="16"/>
        </w:rPr>
        <w:t>6</w:t>
      </w:r>
      <w:r w:rsidRPr="004B6F52">
        <w:rPr>
          <w:b/>
          <w:sz w:val="16"/>
          <w:szCs w:val="16"/>
        </w:rPr>
        <w:t>:</w:t>
      </w:r>
      <w:r w:rsidRPr="0002195A">
        <w:rPr>
          <w:bCs/>
          <w:sz w:val="16"/>
          <w:szCs w:val="16"/>
        </w:rPr>
        <w:t xml:space="preserve"> Number of decisions by order</w:t>
      </w:r>
      <w:bookmarkStart w:id="14"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4"/>
      <w:r w:rsidRPr="0002195A">
        <w:rPr>
          <w:bCs/>
          <w:sz w:val="16"/>
          <w:szCs w:val="16"/>
        </w:rPr>
        <w:t xml:space="preserve">from </w:t>
      </w:r>
      <w:r w:rsidR="007B7E78">
        <w:rPr>
          <w:bCs/>
          <w:sz w:val="16"/>
          <w:szCs w:val="16"/>
        </w:rPr>
        <w:t xml:space="preserve">1 </w:t>
      </w:r>
      <w:r w:rsidR="00413FAC">
        <w:rPr>
          <w:bCs/>
          <w:sz w:val="16"/>
          <w:szCs w:val="16"/>
        </w:rPr>
        <w:t>January 2023</w:t>
      </w:r>
      <w:r w:rsidRPr="0002195A">
        <w:rPr>
          <w:bCs/>
          <w:sz w:val="16"/>
          <w:szCs w:val="16"/>
        </w:rPr>
        <w:t xml:space="preserve"> to </w:t>
      </w:r>
      <w:r w:rsidR="007B7E78">
        <w:rPr>
          <w:bCs/>
          <w:sz w:val="16"/>
          <w:szCs w:val="16"/>
        </w:rPr>
        <w:t xml:space="preserve">31 </w:t>
      </w:r>
      <w:r w:rsidR="00984BBB">
        <w:rPr>
          <w:bCs/>
          <w:sz w:val="16"/>
          <w:szCs w:val="16"/>
        </w:rPr>
        <w:t>March 2023</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267D24">
        <w:rPr>
          <w:sz w:val="16"/>
          <w:szCs w:val="16"/>
          <w:vertAlign w:val="superscript"/>
        </w:rPr>
        <w:t>5</w:t>
      </w:r>
      <w:r w:rsidR="0002195A" w:rsidRPr="00152D32">
        <w:rPr>
          <w:sz w:val="16"/>
          <w:szCs w:val="16"/>
          <w:vertAlign w:val="superscript"/>
        </w:rPr>
        <w:fldChar w:fldCharType="end"/>
      </w:r>
    </w:p>
    <w:tbl>
      <w:tblPr>
        <w:tblStyle w:val="TableGrid"/>
        <w:tblW w:w="8455" w:type="dxa"/>
        <w:tblInd w:w="108" w:type="dxa"/>
        <w:tblLook w:val="04A0" w:firstRow="1" w:lastRow="0" w:firstColumn="1" w:lastColumn="0" w:noHBand="0" w:noVBand="1"/>
      </w:tblPr>
      <w:tblGrid>
        <w:gridCol w:w="997"/>
        <w:gridCol w:w="444"/>
        <w:gridCol w:w="1098"/>
        <w:gridCol w:w="1083"/>
        <w:gridCol w:w="488"/>
        <w:gridCol w:w="1071"/>
        <w:gridCol w:w="719"/>
        <w:gridCol w:w="1046"/>
        <w:gridCol w:w="951"/>
        <w:gridCol w:w="558"/>
      </w:tblGrid>
      <w:tr w:rsidR="00862DC4" w:rsidRPr="00FD5669" w14:paraId="209C6712" w14:textId="77777777" w:rsidTr="00862DC4">
        <w:tc>
          <w:tcPr>
            <w:tcW w:w="8455" w:type="dxa"/>
            <w:gridSpan w:val="10"/>
          </w:tcPr>
          <w:p w14:paraId="3AD53699" w14:textId="42653331" w:rsidR="00862DC4" w:rsidRPr="00FD5669" w:rsidRDefault="00862DC4" w:rsidP="00862DC4">
            <w:pPr>
              <w:jc w:val="center"/>
              <w:rPr>
                <w:rFonts w:cs="Arial"/>
                <w:b/>
                <w:bCs/>
                <w:sz w:val="12"/>
                <w:szCs w:val="12"/>
              </w:rPr>
            </w:pPr>
            <w:r w:rsidRPr="006D207F">
              <w:rPr>
                <w:rFonts w:cs="Arial"/>
                <w:b/>
                <w:bCs/>
                <w:sz w:val="12"/>
                <w:szCs w:val="12"/>
              </w:rPr>
              <w:t>Decision by Order</w:t>
            </w:r>
          </w:p>
        </w:tc>
      </w:tr>
      <w:tr w:rsidR="00862DC4" w:rsidRPr="00FD5669" w14:paraId="00D64F33" w14:textId="77777777" w:rsidTr="00862DC4">
        <w:tc>
          <w:tcPr>
            <w:tcW w:w="997" w:type="dxa"/>
          </w:tcPr>
          <w:p w14:paraId="4D5DE928" w14:textId="77777777" w:rsidR="00862DC4" w:rsidRPr="00FD5669" w:rsidRDefault="00862DC4" w:rsidP="00FD5669">
            <w:pPr>
              <w:ind w:right="-425"/>
              <w:jc w:val="both"/>
              <w:rPr>
                <w:rFonts w:cs="Arial"/>
                <w:b/>
                <w:bCs/>
                <w:sz w:val="12"/>
                <w:szCs w:val="12"/>
              </w:rPr>
            </w:pPr>
            <w:r w:rsidRPr="00FD5669">
              <w:rPr>
                <w:rFonts w:cs="Arial"/>
                <w:b/>
                <w:bCs/>
                <w:sz w:val="12"/>
                <w:szCs w:val="12"/>
              </w:rPr>
              <w:t>Community</w:t>
            </w:r>
          </w:p>
        </w:tc>
        <w:tc>
          <w:tcPr>
            <w:tcW w:w="444" w:type="dxa"/>
          </w:tcPr>
          <w:p w14:paraId="26C6768E" w14:textId="2E14333C" w:rsidR="00862DC4" w:rsidRPr="00FD5669" w:rsidRDefault="00862DC4" w:rsidP="00FD5669">
            <w:pPr>
              <w:jc w:val="center"/>
              <w:rPr>
                <w:rFonts w:cs="Arial"/>
                <w:b/>
                <w:bCs/>
                <w:sz w:val="12"/>
                <w:szCs w:val="12"/>
              </w:rPr>
            </w:pPr>
            <w:r w:rsidRPr="00FD5669">
              <w:rPr>
                <w:rFonts w:cs="Arial"/>
                <w:b/>
                <w:bCs/>
                <w:sz w:val="12"/>
                <w:szCs w:val="12"/>
              </w:rPr>
              <w:t>CP</w:t>
            </w:r>
          </w:p>
        </w:tc>
        <w:tc>
          <w:tcPr>
            <w:tcW w:w="1098" w:type="dxa"/>
          </w:tcPr>
          <w:p w14:paraId="26BEE2F4" w14:textId="3559A601" w:rsidR="00862DC4" w:rsidRPr="00FD5669" w:rsidRDefault="00862DC4" w:rsidP="00FD5669">
            <w:pPr>
              <w:jc w:val="center"/>
              <w:rPr>
                <w:rFonts w:cs="Arial"/>
                <w:b/>
                <w:bCs/>
                <w:sz w:val="12"/>
                <w:szCs w:val="12"/>
              </w:rPr>
            </w:pPr>
            <w:r w:rsidRPr="00FD5669">
              <w:rPr>
                <w:rFonts w:cs="Arial"/>
                <w:b/>
                <w:bCs/>
                <w:sz w:val="12"/>
                <w:szCs w:val="12"/>
              </w:rPr>
              <w:t xml:space="preserve">CP &amp; CIM Concurrently </w:t>
            </w:r>
          </w:p>
        </w:tc>
        <w:tc>
          <w:tcPr>
            <w:tcW w:w="1083" w:type="dxa"/>
          </w:tcPr>
          <w:p w14:paraId="04157B6B" w14:textId="76113084" w:rsidR="00862DC4" w:rsidRPr="00FD5669" w:rsidRDefault="00862DC4" w:rsidP="00FD5669">
            <w:pPr>
              <w:jc w:val="center"/>
              <w:rPr>
                <w:rFonts w:cs="Arial"/>
                <w:b/>
                <w:bCs/>
                <w:sz w:val="12"/>
                <w:szCs w:val="12"/>
              </w:rPr>
            </w:pPr>
            <w:r w:rsidRPr="00FD5669">
              <w:rPr>
                <w:rFonts w:cs="Arial"/>
                <w:b/>
                <w:bCs/>
                <w:sz w:val="12"/>
                <w:szCs w:val="12"/>
              </w:rPr>
              <w:t>CCP, CIM, Rescheduled</w:t>
            </w:r>
          </w:p>
        </w:tc>
        <w:tc>
          <w:tcPr>
            <w:tcW w:w="488" w:type="dxa"/>
          </w:tcPr>
          <w:p w14:paraId="02F458D5" w14:textId="3F87D2FD" w:rsidR="00862DC4" w:rsidRPr="00FD5669" w:rsidRDefault="00862DC4" w:rsidP="00FD5669">
            <w:pPr>
              <w:jc w:val="center"/>
              <w:rPr>
                <w:rFonts w:cs="Arial"/>
                <w:b/>
                <w:bCs/>
                <w:sz w:val="12"/>
                <w:szCs w:val="12"/>
              </w:rPr>
            </w:pPr>
            <w:r w:rsidRPr="00FD5669">
              <w:rPr>
                <w:rFonts w:cs="Arial"/>
                <w:b/>
                <w:bCs/>
                <w:sz w:val="12"/>
                <w:szCs w:val="12"/>
              </w:rPr>
              <w:t>CIM</w:t>
            </w:r>
          </w:p>
        </w:tc>
        <w:tc>
          <w:tcPr>
            <w:tcW w:w="1071" w:type="dxa"/>
          </w:tcPr>
          <w:p w14:paraId="0D0553AE" w14:textId="3F1ACC2C" w:rsidR="00862DC4" w:rsidRPr="00FD5669" w:rsidRDefault="00862DC4" w:rsidP="00FD5669">
            <w:pPr>
              <w:jc w:val="center"/>
              <w:rPr>
                <w:rFonts w:cs="Arial"/>
                <w:b/>
                <w:bCs/>
                <w:sz w:val="12"/>
                <w:szCs w:val="12"/>
              </w:rPr>
            </w:pPr>
            <w:r w:rsidRPr="00FD5669">
              <w:rPr>
                <w:rFonts w:cs="Arial"/>
                <w:b/>
                <w:bCs/>
                <w:sz w:val="12"/>
                <w:szCs w:val="12"/>
              </w:rPr>
              <w:t>CIM, Rescheduled</w:t>
            </w:r>
          </w:p>
        </w:tc>
        <w:tc>
          <w:tcPr>
            <w:tcW w:w="719" w:type="dxa"/>
          </w:tcPr>
          <w:p w14:paraId="20680178" w14:textId="6BB01735" w:rsidR="00862DC4" w:rsidRPr="00FD5669" w:rsidRDefault="00862DC4" w:rsidP="00FD5669">
            <w:pPr>
              <w:jc w:val="center"/>
              <w:rPr>
                <w:rFonts w:cs="Arial"/>
                <w:b/>
                <w:bCs/>
                <w:sz w:val="12"/>
                <w:szCs w:val="12"/>
              </w:rPr>
            </w:pPr>
            <w:r w:rsidRPr="00FD5669">
              <w:rPr>
                <w:rFonts w:cs="Arial"/>
                <w:b/>
                <w:bCs/>
                <w:sz w:val="12"/>
                <w:szCs w:val="12"/>
              </w:rPr>
              <w:t>No Further Action</w:t>
            </w:r>
          </w:p>
        </w:tc>
        <w:tc>
          <w:tcPr>
            <w:tcW w:w="1046" w:type="dxa"/>
          </w:tcPr>
          <w:p w14:paraId="2F640541" w14:textId="16D47D4F" w:rsidR="00862DC4" w:rsidRPr="00FD5669" w:rsidRDefault="00862DC4" w:rsidP="00FD5669">
            <w:pPr>
              <w:jc w:val="right"/>
              <w:rPr>
                <w:rFonts w:cs="Arial"/>
                <w:b/>
                <w:bCs/>
                <w:sz w:val="12"/>
                <w:szCs w:val="12"/>
              </w:rPr>
            </w:pPr>
            <w:r w:rsidRPr="00FD5669">
              <w:rPr>
                <w:rFonts w:cs="Arial"/>
                <w:b/>
                <w:bCs/>
                <w:sz w:val="12"/>
                <w:szCs w:val="12"/>
              </w:rPr>
              <w:t>Recommend Support Service</w:t>
            </w:r>
          </w:p>
        </w:tc>
        <w:tc>
          <w:tcPr>
            <w:tcW w:w="951" w:type="dxa"/>
          </w:tcPr>
          <w:p w14:paraId="733FB272" w14:textId="70D80AC6" w:rsidR="00862DC4" w:rsidRPr="00FD5669" w:rsidRDefault="00862DC4" w:rsidP="00FD5669">
            <w:pPr>
              <w:jc w:val="right"/>
              <w:rPr>
                <w:rFonts w:cs="Arial"/>
                <w:b/>
                <w:bCs/>
                <w:sz w:val="12"/>
                <w:szCs w:val="12"/>
              </w:rPr>
            </w:pPr>
            <w:r w:rsidRPr="00FD5669">
              <w:rPr>
                <w:rFonts w:cs="Arial"/>
                <w:b/>
                <w:bCs/>
                <w:sz w:val="12"/>
                <w:szCs w:val="12"/>
              </w:rPr>
              <w:t>Reprimand</w:t>
            </w:r>
          </w:p>
        </w:tc>
        <w:tc>
          <w:tcPr>
            <w:tcW w:w="558" w:type="dxa"/>
          </w:tcPr>
          <w:p w14:paraId="510D2877" w14:textId="34D89101" w:rsidR="00862DC4" w:rsidRPr="00FD5669" w:rsidRDefault="00862DC4" w:rsidP="00FD5669">
            <w:pPr>
              <w:jc w:val="right"/>
              <w:rPr>
                <w:rFonts w:cs="Arial"/>
                <w:b/>
                <w:bCs/>
                <w:sz w:val="12"/>
                <w:szCs w:val="12"/>
              </w:rPr>
            </w:pPr>
            <w:r w:rsidRPr="00FD5669">
              <w:rPr>
                <w:rFonts w:cs="Arial"/>
                <w:b/>
                <w:bCs/>
                <w:sz w:val="12"/>
                <w:szCs w:val="12"/>
              </w:rPr>
              <w:t>Total</w:t>
            </w:r>
          </w:p>
        </w:tc>
      </w:tr>
      <w:tr w:rsidR="00862DC4" w:rsidRPr="00FD5669" w14:paraId="1020AB47" w14:textId="77777777" w:rsidTr="00862DC4">
        <w:tc>
          <w:tcPr>
            <w:tcW w:w="997" w:type="dxa"/>
          </w:tcPr>
          <w:p w14:paraId="38A91592" w14:textId="77777777" w:rsidR="00862DC4" w:rsidRPr="00FD5669" w:rsidRDefault="00862DC4" w:rsidP="006D207F">
            <w:pPr>
              <w:ind w:right="-425"/>
              <w:jc w:val="both"/>
              <w:rPr>
                <w:rFonts w:cs="Arial"/>
                <w:sz w:val="12"/>
                <w:szCs w:val="12"/>
              </w:rPr>
            </w:pPr>
            <w:r w:rsidRPr="00FD5669">
              <w:rPr>
                <w:rFonts w:cs="Arial"/>
                <w:sz w:val="12"/>
                <w:szCs w:val="12"/>
              </w:rPr>
              <w:t>AU</w:t>
            </w:r>
          </w:p>
        </w:tc>
        <w:tc>
          <w:tcPr>
            <w:tcW w:w="444" w:type="dxa"/>
          </w:tcPr>
          <w:p w14:paraId="49AD44CD" w14:textId="2D52A88D" w:rsidR="00862DC4" w:rsidRPr="006D207F" w:rsidRDefault="00862DC4" w:rsidP="006D207F">
            <w:pPr>
              <w:jc w:val="right"/>
              <w:rPr>
                <w:sz w:val="16"/>
                <w:szCs w:val="16"/>
              </w:rPr>
            </w:pPr>
            <w:r>
              <w:rPr>
                <w:sz w:val="16"/>
                <w:szCs w:val="16"/>
              </w:rPr>
              <w:t>0</w:t>
            </w:r>
          </w:p>
        </w:tc>
        <w:tc>
          <w:tcPr>
            <w:tcW w:w="1098" w:type="dxa"/>
          </w:tcPr>
          <w:p w14:paraId="17354BB6" w14:textId="12A056DE" w:rsidR="00862DC4" w:rsidRPr="006D207F" w:rsidRDefault="00862DC4" w:rsidP="006D207F">
            <w:pPr>
              <w:jc w:val="right"/>
              <w:rPr>
                <w:sz w:val="16"/>
                <w:szCs w:val="16"/>
              </w:rPr>
            </w:pPr>
            <w:r>
              <w:rPr>
                <w:sz w:val="16"/>
                <w:szCs w:val="16"/>
              </w:rPr>
              <w:t>0</w:t>
            </w:r>
          </w:p>
        </w:tc>
        <w:tc>
          <w:tcPr>
            <w:tcW w:w="1083" w:type="dxa"/>
          </w:tcPr>
          <w:p w14:paraId="72A6336C" w14:textId="5CDCED79" w:rsidR="00862DC4" w:rsidRPr="006D207F" w:rsidRDefault="00862DC4" w:rsidP="006D207F">
            <w:pPr>
              <w:jc w:val="right"/>
              <w:rPr>
                <w:sz w:val="16"/>
                <w:szCs w:val="16"/>
              </w:rPr>
            </w:pPr>
            <w:r>
              <w:rPr>
                <w:sz w:val="16"/>
                <w:szCs w:val="16"/>
              </w:rPr>
              <w:t>0</w:t>
            </w:r>
          </w:p>
        </w:tc>
        <w:tc>
          <w:tcPr>
            <w:tcW w:w="488" w:type="dxa"/>
          </w:tcPr>
          <w:p w14:paraId="7AF566B8" w14:textId="6B3C394B" w:rsidR="00862DC4" w:rsidRPr="006D207F" w:rsidRDefault="00862DC4" w:rsidP="006D207F">
            <w:pPr>
              <w:jc w:val="right"/>
              <w:rPr>
                <w:sz w:val="16"/>
                <w:szCs w:val="16"/>
              </w:rPr>
            </w:pPr>
            <w:r>
              <w:rPr>
                <w:sz w:val="16"/>
                <w:szCs w:val="16"/>
              </w:rPr>
              <w:t>5</w:t>
            </w:r>
          </w:p>
        </w:tc>
        <w:tc>
          <w:tcPr>
            <w:tcW w:w="1071" w:type="dxa"/>
          </w:tcPr>
          <w:p w14:paraId="0A8CA9D7" w14:textId="06428390" w:rsidR="00862DC4" w:rsidRPr="006D207F" w:rsidRDefault="00862DC4" w:rsidP="006D207F">
            <w:pPr>
              <w:jc w:val="right"/>
              <w:rPr>
                <w:sz w:val="16"/>
                <w:szCs w:val="16"/>
              </w:rPr>
            </w:pPr>
            <w:r>
              <w:rPr>
                <w:sz w:val="16"/>
                <w:szCs w:val="16"/>
              </w:rPr>
              <w:t>1</w:t>
            </w:r>
          </w:p>
        </w:tc>
        <w:tc>
          <w:tcPr>
            <w:tcW w:w="719" w:type="dxa"/>
          </w:tcPr>
          <w:p w14:paraId="515C5886" w14:textId="7849EFA5" w:rsidR="00862DC4" w:rsidRPr="006D207F" w:rsidRDefault="00862DC4" w:rsidP="006D207F">
            <w:pPr>
              <w:jc w:val="right"/>
              <w:rPr>
                <w:sz w:val="16"/>
                <w:szCs w:val="16"/>
              </w:rPr>
            </w:pPr>
            <w:r>
              <w:rPr>
                <w:sz w:val="16"/>
                <w:szCs w:val="16"/>
              </w:rPr>
              <w:t>32</w:t>
            </w:r>
          </w:p>
        </w:tc>
        <w:tc>
          <w:tcPr>
            <w:tcW w:w="1046" w:type="dxa"/>
          </w:tcPr>
          <w:p w14:paraId="148E8079" w14:textId="00E62DD8" w:rsidR="00862DC4" w:rsidRPr="003808DE" w:rsidRDefault="00862DC4" w:rsidP="006D207F">
            <w:pPr>
              <w:jc w:val="right"/>
              <w:rPr>
                <w:sz w:val="16"/>
                <w:szCs w:val="16"/>
              </w:rPr>
            </w:pPr>
            <w:r w:rsidRPr="003808DE">
              <w:rPr>
                <w:sz w:val="16"/>
                <w:szCs w:val="16"/>
              </w:rPr>
              <w:t>1</w:t>
            </w:r>
          </w:p>
        </w:tc>
        <w:tc>
          <w:tcPr>
            <w:tcW w:w="951" w:type="dxa"/>
          </w:tcPr>
          <w:p w14:paraId="3ABFE30D" w14:textId="410428D0" w:rsidR="00862DC4" w:rsidRPr="003808DE" w:rsidRDefault="00862DC4" w:rsidP="006D207F">
            <w:pPr>
              <w:jc w:val="right"/>
              <w:rPr>
                <w:sz w:val="16"/>
                <w:szCs w:val="16"/>
              </w:rPr>
            </w:pPr>
            <w:r w:rsidRPr="003808DE">
              <w:rPr>
                <w:sz w:val="16"/>
                <w:szCs w:val="16"/>
              </w:rPr>
              <w:t>0</w:t>
            </w:r>
          </w:p>
        </w:tc>
        <w:tc>
          <w:tcPr>
            <w:tcW w:w="558" w:type="dxa"/>
            <w:vAlign w:val="bottom"/>
          </w:tcPr>
          <w:p w14:paraId="5EBCE817" w14:textId="59DAC88A" w:rsidR="00862DC4" w:rsidRPr="006D207F" w:rsidRDefault="00862DC4" w:rsidP="006D207F">
            <w:pPr>
              <w:jc w:val="right"/>
              <w:rPr>
                <w:b/>
                <w:bCs/>
                <w:sz w:val="16"/>
                <w:szCs w:val="16"/>
              </w:rPr>
            </w:pPr>
            <w:r>
              <w:rPr>
                <w:b/>
                <w:bCs/>
                <w:sz w:val="16"/>
                <w:szCs w:val="16"/>
              </w:rPr>
              <w:t>39</w:t>
            </w:r>
          </w:p>
        </w:tc>
      </w:tr>
      <w:tr w:rsidR="00862DC4" w:rsidRPr="00FD5669" w14:paraId="301C6385" w14:textId="77777777" w:rsidTr="00862DC4">
        <w:tc>
          <w:tcPr>
            <w:tcW w:w="997" w:type="dxa"/>
          </w:tcPr>
          <w:p w14:paraId="50576C01" w14:textId="77777777" w:rsidR="00862DC4" w:rsidRPr="00FD5669" w:rsidRDefault="00862DC4" w:rsidP="006D207F">
            <w:pPr>
              <w:ind w:right="-425"/>
              <w:jc w:val="both"/>
              <w:rPr>
                <w:rFonts w:cs="Arial"/>
                <w:sz w:val="12"/>
                <w:szCs w:val="12"/>
              </w:rPr>
            </w:pPr>
            <w:r w:rsidRPr="00FD5669">
              <w:rPr>
                <w:rFonts w:cs="Arial"/>
                <w:sz w:val="12"/>
                <w:szCs w:val="12"/>
              </w:rPr>
              <w:t>CO</w:t>
            </w:r>
          </w:p>
        </w:tc>
        <w:tc>
          <w:tcPr>
            <w:tcW w:w="444" w:type="dxa"/>
          </w:tcPr>
          <w:p w14:paraId="44D73875" w14:textId="796A4F73" w:rsidR="00862DC4" w:rsidRPr="006D207F" w:rsidRDefault="00862DC4" w:rsidP="006D207F">
            <w:pPr>
              <w:jc w:val="right"/>
              <w:rPr>
                <w:sz w:val="16"/>
                <w:szCs w:val="16"/>
              </w:rPr>
            </w:pPr>
            <w:r>
              <w:rPr>
                <w:sz w:val="16"/>
                <w:szCs w:val="16"/>
              </w:rPr>
              <w:t>6</w:t>
            </w:r>
          </w:p>
        </w:tc>
        <w:tc>
          <w:tcPr>
            <w:tcW w:w="1098" w:type="dxa"/>
          </w:tcPr>
          <w:p w14:paraId="0F9DAF08" w14:textId="5F129370" w:rsidR="00862DC4" w:rsidRPr="006D207F" w:rsidRDefault="00862DC4" w:rsidP="006D207F">
            <w:pPr>
              <w:jc w:val="right"/>
              <w:rPr>
                <w:sz w:val="16"/>
                <w:szCs w:val="16"/>
              </w:rPr>
            </w:pPr>
            <w:r>
              <w:rPr>
                <w:sz w:val="16"/>
                <w:szCs w:val="16"/>
              </w:rPr>
              <w:t>0</w:t>
            </w:r>
          </w:p>
        </w:tc>
        <w:tc>
          <w:tcPr>
            <w:tcW w:w="1083" w:type="dxa"/>
          </w:tcPr>
          <w:p w14:paraId="2F50872C" w14:textId="39F923C9" w:rsidR="00862DC4" w:rsidRPr="006D207F" w:rsidRDefault="00862DC4" w:rsidP="006D207F">
            <w:pPr>
              <w:jc w:val="right"/>
              <w:rPr>
                <w:sz w:val="16"/>
                <w:szCs w:val="16"/>
              </w:rPr>
            </w:pPr>
            <w:r>
              <w:rPr>
                <w:sz w:val="16"/>
                <w:szCs w:val="16"/>
              </w:rPr>
              <w:t>0</w:t>
            </w:r>
          </w:p>
        </w:tc>
        <w:tc>
          <w:tcPr>
            <w:tcW w:w="488" w:type="dxa"/>
          </w:tcPr>
          <w:p w14:paraId="4D1AF7D1" w14:textId="034790AB" w:rsidR="00862DC4" w:rsidRPr="006D207F" w:rsidRDefault="00862DC4" w:rsidP="006D207F">
            <w:pPr>
              <w:jc w:val="right"/>
              <w:rPr>
                <w:sz w:val="16"/>
                <w:szCs w:val="16"/>
              </w:rPr>
            </w:pPr>
            <w:r>
              <w:rPr>
                <w:sz w:val="16"/>
                <w:szCs w:val="16"/>
              </w:rPr>
              <w:t>0</w:t>
            </w:r>
          </w:p>
        </w:tc>
        <w:tc>
          <w:tcPr>
            <w:tcW w:w="1071" w:type="dxa"/>
          </w:tcPr>
          <w:p w14:paraId="225B50B4" w14:textId="4EB3C375" w:rsidR="00862DC4" w:rsidRPr="006D207F" w:rsidRDefault="00862DC4" w:rsidP="006D207F">
            <w:pPr>
              <w:jc w:val="right"/>
              <w:rPr>
                <w:sz w:val="16"/>
                <w:szCs w:val="16"/>
              </w:rPr>
            </w:pPr>
            <w:r>
              <w:rPr>
                <w:sz w:val="16"/>
                <w:szCs w:val="16"/>
              </w:rPr>
              <w:t>0</w:t>
            </w:r>
          </w:p>
        </w:tc>
        <w:tc>
          <w:tcPr>
            <w:tcW w:w="719" w:type="dxa"/>
          </w:tcPr>
          <w:p w14:paraId="2433CFD3" w14:textId="0C45897C" w:rsidR="00862DC4" w:rsidRPr="006D207F" w:rsidRDefault="00862DC4" w:rsidP="006D207F">
            <w:pPr>
              <w:jc w:val="right"/>
              <w:rPr>
                <w:sz w:val="16"/>
                <w:szCs w:val="16"/>
              </w:rPr>
            </w:pPr>
            <w:r>
              <w:rPr>
                <w:sz w:val="16"/>
                <w:szCs w:val="16"/>
              </w:rPr>
              <w:t>0</w:t>
            </w:r>
          </w:p>
        </w:tc>
        <w:tc>
          <w:tcPr>
            <w:tcW w:w="1046" w:type="dxa"/>
          </w:tcPr>
          <w:p w14:paraId="607C9E91" w14:textId="55BF3994" w:rsidR="00862DC4" w:rsidRPr="003808DE" w:rsidRDefault="00862DC4" w:rsidP="006D207F">
            <w:pPr>
              <w:jc w:val="right"/>
              <w:rPr>
                <w:sz w:val="16"/>
                <w:szCs w:val="16"/>
              </w:rPr>
            </w:pPr>
            <w:r w:rsidRPr="003808DE">
              <w:rPr>
                <w:sz w:val="16"/>
                <w:szCs w:val="16"/>
              </w:rPr>
              <w:t>0</w:t>
            </w:r>
          </w:p>
        </w:tc>
        <w:tc>
          <w:tcPr>
            <w:tcW w:w="951" w:type="dxa"/>
          </w:tcPr>
          <w:p w14:paraId="467E65DA" w14:textId="117DE3DE" w:rsidR="00862DC4" w:rsidRPr="003808DE" w:rsidRDefault="00862DC4" w:rsidP="006D207F">
            <w:pPr>
              <w:jc w:val="right"/>
              <w:rPr>
                <w:sz w:val="16"/>
                <w:szCs w:val="16"/>
              </w:rPr>
            </w:pPr>
            <w:r w:rsidRPr="003808DE">
              <w:rPr>
                <w:sz w:val="16"/>
                <w:szCs w:val="16"/>
              </w:rPr>
              <w:t>0</w:t>
            </w:r>
          </w:p>
        </w:tc>
        <w:tc>
          <w:tcPr>
            <w:tcW w:w="558" w:type="dxa"/>
            <w:vAlign w:val="bottom"/>
          </w:tcPr>
          <w:p w14:paraId="72B8A199" w14:textId="67B444BA" w:rsidR="00862DC4" w:rsidRPr="006D207F" w:rsidRDefault="00862DC4" w:rsidP="006D207F">
            <w:pPr>
              <w:jc w:val="right"/>
              <w:rPr>
                <w:b/>
                <w:bCs/>
                <w:sz w:val="16"/>
                <w:szCs w:val="16"/>
              </w:rPr>
            </w:pPr>
            <w:r>
              <w:rPr>
                <w:b/>
                <w:bCs/>
                <w:sz w:val="16"/>
                <w:szCs w:val="16"/>
              </w:rPr>
              <w:t>6</w:t>
            </w:r>
          </w:p>
        </w:tc>
      </w:tr>
      <w:tr w:rsidR="00862DC4" w:rsidRPr="00FD5669" w14:paraId="1AF88ED4" w14:textId="77777777" w:rsidTr="00862DC4">
        <w:tc>
          <w:tcPr>
            <w:tcW w:w="997" w:type="dxa"/>
          </w:tcPr>
          <w:p w14:paraId="4C229F63" w14:textId="77777777" w:rsidR="00862DC4" w:rsidRPr="00FD5669" w:rsidRDefault="00862DC4" w:rsidP="006D207F">
            <w:pPr>
              <w:ind w:right="-425"/>
              <w:jc w:val="both"/>
              <w:rPr>
                <w:rFonts w:cs="Arial"/>
                <w:sz w:val="12"/>
                <w:szCs w:val="12"/>
              </w:rPr>
            </w:pPr>
            <w:r w:rsidRPr="00FD5669">
              <w:rPr>
                <w:rFonts w:cs="Arial"/>
                <w:sz w:val="12"/>
                <w:szCs w:val="12"/>
              </w:rPr>
              <w:t>DM</w:t>
            </w:r>
          </w:p>
        </w:tc>
        <w:tc>
          <w:tcPr>
            <w:tcW w:w="444" w:type="dxa"/>
          </w:tcPr>
          <w:p w14:paraId="67496A09" w14:textId="4CEEA636" w:rsidR="00862DC4" w:rsidRPr="006D207F" w:rsidRDefault="00862DC4" w:rsidP="006D207F">
            <w:pPr>
              <w:jc w:val="right"/>
              <w:rPr>
                <w:sz w:val="16"/>
                <w:szCs w:val="16"/>
              </w:rPr>
            </w:pPr>
            <w:r>
              <w:rPr>
                <w:sz w:val="16"/>
                <w:szCs w:val="16"/>
              </w:rPr>
              <w:t>22</w:t>
            </w:r>
          </w:p>
        </w:tc>
        <w:tc>
          <w:tcPr>
            <w:tcW w:w="1098" w:type="dxa"/>
          </w:tcPr>
          <w:p w14:paraId="0675C9A5" w14:textId="3231B43A" w:rsidR="00862DC4" w:rsidRPr="006D207F" w:rsidRDefault="00862DC4" w:rsidP="006D207F">
            <w:pPr>
              <w:jc w:val="right"/>
              <w:rPr>
                <w:sz w:val="16"/>
                <w:szCs w:val="16"/>
              </w:rPr>
            </w:pPr>
            <w:r>
              <w:rPr>
                <w:sz w:val="16"/>
                <w:szCs w:val="16"/>
              </w:rPr>
              <w:t>1</w:t>
            </w:r>
          </w:p>
        </w:tc>
        <w:tc>
          <w:tcPr>
            <w:tcW w:w="1083" w:type="dxa"/>
          </w:tcPr>
          <w:p w14:paraId="6FC56168" w14:textId="34EEB2B2" w:rsidR="00862DC4" w:rsidRPr="006D207F" w:rsidRDefault="00862DC4" w:rsidP="006D207F">
            <w:pPr>
              <w:jc w:val="right"/>
              <w:rPr>
                <w:sz w:val="16"/>
                <w:szCs w:val="16"/>
              </w:rPr>
            </w:pPr>
            <w:r>
              <w:rPr>
                <w:sz w:val="16"/>
                <w:szCs w:val="16"/>
              </w:rPr>
              <w:t>1</w:t>
            </w:r>
          </w:p>
        </w:tc>
        <w:tc>
          <w:tcPr>
            <w:tcW w:w="488" w:type="dxa"/>
          </w:tcPr>
          <w:p w14:paraId="44389DB6" w14:textId="73B84CF3" w:rsidR="00862DC4" w:rsidRPr="006D207F" w:rsidRDefault="00862DC4" w:rsidP="006D207F">
            <w:pPr>
              <w:jc w:val="right"/>
              <w:rPr>
                <w:sz w:val="16"/>
                <w:szCs w:val="16"/>
              </w:rPr>
            </w:pPr>
            <w:r>
              <w:rPr>
                <w:sz w:val="16"/>
                <w:szCs w:val="16"/>
              </w:rPr>
              <w:t>0</w:t>
            </w:r>
          </w:p>
        </w:tc>
        <w:tc>
          <w:tcPr>
            <w:tcW w:w="1071" w:type="dxa"/>
          </w:tcPr>
          <w:p w14:paraId="09B97CC9" w14:textId="65FBFC3C" w:rsidR="00862DC4" w:rsidRPr="006D207F" w:rsidRDefault="00862DC4" w:rsidP="006D207F">
            <w:pPr>
              <w:jc w:val="right"/>
              <w:rPr>
                <w:sz w:val="16"/>
                <w:szCs w:val="16"/>
              </w:rPr>
            </w:pPr>
            <w:r>
              <w:rPr>
                <w:sz w:val="16"/>
                <w:szCs w:val="16"/>
              </w:rPr>
              <w:t>2</w:t>
            </w:r>
          </w:p>
        </w:tc>
        <w:tc>
          <w:tcPr>
            <w:tcW w:w="719" w:type="dxa"/>
          </w:tcPr>
          <w:p w14:paraId="2BF4D189" w14:textId="70567731" w:rsidR="00862DC4" w:rsidRPr="006D207F" w:rsidRDefault="00862DC4" w:rsidP="006D207F">
            <w:pPr>
              <w:jc w:val="right"/>
              <w:rPr>
                <w:sz w:val="16"/>
                <w:szCs w:val="16"/>
              </w:rPr>
            </w:pPr>
            <w:r>
              <w:rPr>
                <w:sz w:val="16"/>
                <w:szCs w:val="16"/>
              </w:rPr>
              <w:t>10</w:t>
            </w:r>
          </w:p>
        </w:tc>
        <w:tc>
          <w:tcPr>
            <w:tcW w:w="1046" w:type="dxa"/>
          </w:tcPr>
          <w:p w14:paraId="3CCA6FC4" w14:textId="5093B34A" w:rsidR="00862DC4" w:rsidRPr="003808DE" w:rsidRDefault="00862DC4" w:rsidP="006D207F">
            <w:pPr>
              <w:jc w:val="right"/>
              <w:rPr>
                <w:sz w:val="16"/>
                <w:szCs w:val="16"/>
              </w:rPr>
            </w:pPr>
            <w:r w:rsidRPr="003808DE">
              <w:rPr>
                <w:sz w:val="16"/>
                <w:szCs w:val="16"/>
              </w:rPr>
              <w:t>6</w:t>
            </w:r>
          </w:p>
        </w:tc>
        <w:tc>
          <w:tcPr>
            <w:tcW w:w="951" w:type="dxa"/>
          </w:tcPr>
          <w:p w14:paraId="40C7CD15" w14:textId="5E094655" w:rsidR="00862DC4" w:rsidRPr="003808DE" w:rsidRDefault="00862DC4" w:rsidP="006D207F">
            <w:pPr>
              <w:jc w:val="right"/>
              <w:rPr>
                <w:sz w:val="16"/>
                <w:szCs w:val="16"/>
              </w:rPr>
            </w:pPr>
            <w:r w:rsidRPr="003808DE">
              <w:rPr>
                <w:sz w:val="16"/>
                <w:szCs w:val="16"/>
              </w:rPr>
              <w:t>6</w:t>
            </w:r>
          </w:p>
        </w:tc>
        <w:tc>
          <w:tcPr>
            <w:tcW w:w="558" w:type="dxa"/>
            <w:vAlign w:val="bottom"/>
          </w:tcPr>
          <w:p w14:paraId="6A174D2C" w14:textId="416AE5F3" w:rsidR="00862DC4" w:rsidRPr="006D207F" w:rsidRDefault="00862DC4" w:rsidP="006D207F">
            <w:pPr>
              <w:jc w:val="right"/>
              <w:rPr>
                <w:b/>
                <w:bCs/>
                <w:sz w:val="16"/>
                <w:szCs w:val="16"/>
              </w:rPr>
            </w:pPr>
            <w:r>
              <w:rPr>
                <w:b/>
                <w:bCs/>
                <w:sz w:val="16"/>
                <w:szCs w:val="16"/>
              </w:rPr>
              <w:t>48</w:t>
            </w:r>
          </w:p>
        </w:tc>
      </w:tr>
      <w:tr w:rsidR="00862DC4" w:rsidRPr="00FD5669" w14:paraId="0B079D3E" w14:textId="77777777" w:rsidTr="00862DC4">
        <w:tc>
          <w:tcPr>
            <w:tcW w:w="997" w:type="dxa"/>
          </w:tcPr>
          <w:p w14:paraId="4C8C2425" w14:textId="77777777" w:rsidR="00862DC4" w:rsidRPr="00FD5669" w:rsidRDefault="00862DC4" w:rsidP="006D207F">
            <w:pPr>
              <w:ind w:right="-425"/>
              <w:jc w:val="both"/>
              <w:rPr>
                <w:rFonts w:cs="Arial"/>
                <w:sz w:val="12"/>
                <w:szCs w:val="12"/>
              </w:rPr>
            </w:pPr>
            <w:r w:rsidRPr="00FD5669">
              <w:rPr>
                <w:rFonts w:cs="Arial"/>
                <w:sz w:val="12"/>
                <w:szCs w:val="12"/>
              </w:rPr>
              <w:t>HV</w:t>
            </w:r>
          </w:p>
        </w:tc>
        <w:tc>
          <w:tcPr>
            <w:tcW w:w="444" w:type="dxa"/>
          </w:tcPr>
          <w:p w14:paraId="37538412" w14:textId="7C1C9E64" w:rsidR="00862DC4" w:rsidRPr="006D207F" w:rsidRDefault="00862DC4" w:rsidP="006D207F">
            <w:pPr>
              <w:jc w:val="right"/>
              <w:rPr>
                <w:sz w:val="16"/>
                <w:szCs w:val="16"/>
              </w:rPr>
            </w:pPr>
            <w:r>
              <w:rPr>
                <w:sz w:val="16"/>
                <w:szCs w:val="16"/>
              </w:rPr>
              <w:t>2</w:t>
            </w:r>
          </w:p>
        </w:tc>
        <w:tc>
          <w:tcPr>
            <w:tcW w:w="1098" w:type="dxa"/>
          </w:tcPr>
          <w:p w14:paraId="19FE7E35" w14:textId="449AA3BB" w:rsidR="00862DC4" w:rsidRPr="006D207F" w:rsidRDefault="00862DC4" w:rsidP="006D207F">
            <w:pPr>
              <w:jc w:val="right"/>
              <w:rPr>
                <w:sz w:val="16"/>
                <w:szCs w:val="16"/>
              </w:rPr>
            </w:pPr>
            <w:r>
              <w:rPr>
                <w:sz w:val="16"/>
                <w:szCs w:val="16"/>
              </w:rPr>
              <w:t>1</w:t>
            </w:r>
          </w:p>
        </w:tc>
        <w:tc>
          <w:tcPr>
            <w:tcW w:w="1083" w:type="dxa"/>
          </w:tcPr>
          <w:p w14:paraId="533C7EA9" w14:textId="7AD9CDF7" w:rsidR="00862DC4" w:rsidRPr="006D207F" w:rsidRDefault="00862DC4" w:rsidP="006D207F">
            <w:pPr>
              <w:jc w:val="right"/>
              <w:rPr>
                <w:sz w:val="16"/>
                <w:szCs w:val="16"/>
              </w:rPr>
            </w:pPr>
            <w:r>
              <w:rPr>
                <w:sz w:val="16"/>
                <w:szCs w:val="16"/>
              </w:rPr>
              <w:t>0</w:t>
            </w:r>
          </w:p>
        </w:tc>
        <w:tc>
          <w:tcPr>
            <w:tcW w:w="488" w:type="dxa"/>
          </w:tcPr>
          <w:p w14:paraId="6CDAAF40" w14:textId="3A3C6D44" w:rsidR="00862DC4" w:rsidRPr="006D207F" w:rsidRDefault="00862DC4" w:rsidP="006D207F">
            <w:pPr>
              <w:jc w:val="right"/>
              <w:rPr>
                <w:sz w:val="16"/>
                <w:szCs w:val="16"/>
              </w:rPr>
            </w:pPr>
            <w:r>
              <w:rPr>
                <w:sz w:val="16"/>
                <w:szCs w:val="16"/>
              </w:rPr>
              <w:t>0</w:t>
            </w:r>
          </w:p>
        </w:tc>
        <w:tc>
          <w:tcPr>
            <w:tcW w:w="1071" w:type="dxa"/>
          </w:tcPr>
          <w:p w14:paraId="28BF6F9E" w14:textId="6C0F58D9" w:rsidR="00862DC4" w:rsidRPr="006D207F" w:rsidRDefault="00862DC4" w:rsidP="006D207F">
            <w:pPr>
              <w:jc w:val="right"/>
              <w:rPr>
                <w:sz w:val="16"/>
                <w:szCs w:val="16"/>
              </w:rPr>
            </w:pPr>
            <w:r>
              <w:rPr>
                <w:sz w:val="16"/>
                <w:szCs w:val="16"/>
              </w:rPr>
              <w:t>0</w:t>
            </w:r>
          </w:p>
        </w:tc>
        <w:tc>
          <w:tcPr>
            <w:tcW w:w="719" w:type="dxa"/>
          </w:tcPr>
          <w:p w14:paraId="5329BF30" w14:textId="6E441787" w:rsidR="00862DC4" w:rsidRPr="006D207F" w:rsidRDefault="00862DC4" w:rsidP="006D207F">
            <w:pPr>
              <w:jc w:val="right"/>
              <w:rPr>
                <w:sz w:val="16"/>
                <w:szCs w:val="16"/>
              </w:rPr>
            </w:pPr>
            <w:r>
              <w:rPr>
                <w:sz w:val="16"/>
                <w:szCs w:val="16"/>
              </w:rPr>
              <w:t>14</w:t>
            </w:r>
          </w:p>
        </w:tc>
        <w:tc>
          <w:tcPr>
            <w:tcW w:w="1046" w:type="dxa"/>
          </w:tcPr>
          <w:p w14:paraId="3A7239B1" w14:textId="2D88B7A7" w:rsidR="00862DC4" w:rsidRPr="003808DE" w:rsidRDefault="00862DC4" w:rsidP="006D207F">
            <w:pPr>
              <w:jc w:val="right"/>
              <w:rPr>
                <w:sz w:val="16"/>
                <w:szCs w:val="16"/>
              </w:rPr>
            </w:pPr>
            <w:r w:rsidRPr="003808DE">
              <w:rPr>
                <w:sz w:val="16"/>
                <w:szCs w:val="16"/>
              </w:rPr>
              <w:t>1</w:t>
            </w:r>
          </w:p>
        </w:tc>
        <w:tc>
          <w:tcPr>
            <w:tcW w:w="951" w:type="dxa"/>
          </w:tcPr>
          <w:p w14:paraId="1EBA0B08" w14:textId="17D1BE72" w:rsidR="00862DC4" w:rsidRPr="003808DE" w:rsidRDefault="00862DC4" w:rsidP="006D207F">
            <w:pPr>
              <w:jc w:val="right"/>
              <w:rPr>
                <w:sz w:val="16"/>
                <w:szCs w:val="16"/>
              </w:rPr>
            </w:pPr>
            <w:r w:rsidRPr="003808DE">
              <w:rPr>
                <w:sz w:val="16"/>
                <w:szCs w:val="16"/>
              </w:rPr>
              <w:t>0</w:t>
            </w:r>
          </w:p>
        </w:tc>
        <w:tc>
          <w:tcPr>
            <w:tcW w:w="558" w:type="dxa"/>
            <w:vAlign w:val="bottom"/>
          </w:tcPr>
          <w:p w14:paraId="03987686" w14:textId="5EDB12C1" w:rsidR="00862DC4" w:rsidRPr="006D207F" w:rsidRDefault="00862DC4" w:rsidP="006D207F">
            <w:pPr>
              <w:jc w:val="right"/>
              <w:rPr>
                <w:b/>
                <w:bCs/>
                <w:sz w:val="16"/>
                <w:szCs w:val="16"/>
              </w:rPr>
            </w:pPr>
            <w:r>
              <w:rPr>
                <w:b/>
                <w:bCs/>
                <w:sz w:val="16"/>
                <w:szCs w:val="16"/>
              </w:rPr>
              <w:t>18</w:t>
            </w:r>
          </w:p>
        </w:tc>
      </w:tr>
      <w:tr w:rsidR="00862DC4" w:rsidRPr="00FD5669" w14:paraId="1A110982" w14:textId="77777777" w:rsidTr="00862DC4">
        <w:tc>
          <w:tcPr>
            <w:tcW w:w="997" w:type="dxa"/>
          </w:tcPr>
          <w:p w14:paraId="3E280D98" w14:textId="77777777" w:rsidR="00862DC4" w:rsidRPr="00FD5669" w:rsidRDefault="00862DC4" w:rsidP="006D207F">
            <w:pPr>
              <w:ind w:right="-425"/>
              <w:jc w:val="both"/>
              <w:rPr>
                <w:rFonts w:cs="Arial"/>
                <w:sz w:val="12"/>
                <w:szCs w:val="12"/>
              </w:rPr>
            </w:pPr>
            <w:r w:rsidRPr="00FD5669">
              <w:rPr>
                <w:rFonts w:cs="Arial"/>
                <w:sz w:val="12"/>
                <w:szCs w:val="12"/>
              </w:rPr>
              <w:t>MG</w:t>
            </w:r>
          </w:p>
        </w:tc>
        <w:tc>
          <w:tcPr>
            <w:tcW w:w="444" w:type="dxa"/>
          </w:tcPr>
          <w:p w14:paraId="219E514B" w14:textId="7148A6E5" w:rsidR="00862DC4" w:rsidRPr="006D207F" w:rsidRDefault="00862DC4" w:rsidP="006D207F">
            <w:pPr>
              <w:jc w:val="right"/>
              <w:rPr>
                <w:sz w:val="16"/>
                <w:szCs w:val="16"/>
              </w:rPr>
            </w:pPr>
            <w:r>
              <w:rPr>
                <w:sz w:val="16"/>
                <w:szCs w:val="16"/>
              </w:rPr>
              <w:t>3</w:t>
            </w:r>
          </w:p>
        </w:tc>
        <w:tc>
          <w:tcPr>
            <w:tcW w:w="1098" w:type="dxa"/>
          </w:tcPr>
          <w:p w14:paraId="51A17240" w14:textId="5E47AC65" w:rsidR="00862DC4" w:rsidRPr="006D207F" w:rsidRDefault="00862DC4" w:rsidP="006D207F">
            <w:pPr>
              <w:jc w:val="right"/>
              <w:rPr>
                <w:sz w:val="16"/>
                <w:szCs w:val="16"/>
              </w:rPr>
            </w:pPr>
            <w:r>
              <w:rPr>
                <w:sz w:val="16"/>
                <w:szCs w:val="16"/>
              </w:rPr>
              <w:t>2</w:t>
            </w:r>
          </w:p>
        </w:tc>
        <w:tc>
          <w:tcPr>
            <w:tcW w:w="1083" w:type="dxa"/>
          </w:tcPr>
          <w:p w14:paraId="39A8F072" w14:textId="28EC5D68" w:rsidR="00862DC4" w:rsidRPr="006D207F" w:rsidRDefault="00862DC4" w:rsidP="006D207F">
            <w:pPr>
              <w:jc w:val="right"/>
              <w:rPr>
                <w:sz w:val="16"/>
                <w:szCs w:val="16"/>
              </w:rPr>
            </w:pPr>
            <w:r>
              <w:rPr>
                <w:sz w:val="16"/>
                <w:szCs w:val="16"/>
              </w:rPr>
              <w:t>0</w:t>
            </w:r>
          </w:p>
        </w:tc>
        <w:tc>
          <w:tcPr>
            <w:tcW w:w="488" w:type="dxa"/>
          </w:tcPr>
          <w:p w14:paraId="4786E29E" w14:textId="2F19A0E9" w:rsidR="00862DC4" w:rsidRPr="006D207F" w:rsidRDefault="00862DC4" w:rsidP="006D207F">
            <w:pPr>
              <w:jc w:val="right"/>
              <w:rPr>
                <w:sz w:val="16"/>
                <w:szCs w:val="16"/>
              </w:rPr>
            </w:pPr>
            <w:r>
              <w:rPr>
                <w:sz w:val="16"/>
                <w:szCs w:val="16"/>
              </w:rPr>
              <w:t>0</w:t>
            </w:r>
          </w:p>
        </w:tc>
        <w:tc>
          <w:tcPr>
            <w:tcW w:w="1071" w:type="dxa"/>
          </w:tcPr>
          <w:p w14:paraId="72B56FC5" w14:textId="6A4BADAA" w:rsidR="00862DC4" w:rsidRPr="006D207F" w:rsidRDefault="00862DC4" w:rsidP="006D207F">
            <w:pPr>
              <w:jc w:val="right"/>
              <w:rPr>
                <w:sz w:val="16"/>
                <w:szCs w:val="16"/>
              </w:rPr>
            </w:pPr>
            <w:r>
              <w:rPr>
                <w:sz w:val="16"/>
                <w:szCs w:val="16"/>
              </w:rPr>
              <w:t>0</w:t>
            </w:r>
          </w:p>
        </w:tc>
        <w:tc>
          <w:tcPr>
            <w:tcW w:w="719" w:type="dxa"/>
          </w:tcPr>
          <w:p w14:paraId="358DC4D7" w14:textId="186678A2" w:rsidR="00862DC4" w:rsidRPr="006D207F" w:rsidRDefault="00862DC4" w:rsidP="006D207F">
            <w:pPr>
              <w:jc w:val="right"/>
              <w:rPr>
                <w:sz w:val="16"/>
                <w:szCs w:val="16"/>
              </w:rPr>
            </w:pPr>
            <w:r>
              <w:rPr>
                <w:sz w:val="16"/>
                <w:szCs w:val="16"/>
              </w:rPr>
              <w:t>2</w:t>
            </w:r>
          </w:p>
        </w:tc>
        <w:tc>
          <w:tcPr>
            <w:tcW w:w="1046" w:type="dxa"/>
          </w:tcPr>
          <w:p w14:paraId="0CEB7435" w14:textId="7C2DED5A" w:rsidR="00862DC4" w:rsidRPr="003808DE" w:rsidRDefault="00862DC4" w:rsidP="006D207F">
            <w:pPr>
              <w:jc w:val="right"/>
              <w:rPr>
                <w:sz w:val="16"/>
                <w:szCs w:val="16"/>
              </w:rPr>
            </w:pPr>
            <w:r w:rsidRPr="003808DE">
              <w:rPr>
                <w:sz w:val="16"/>
                <w:szCs w:val="16"/>
              </w:rPr>
              <w:t>0</w:t>
            </w:r>
          </w:p>
        </w:tc>
        <w:tc>
          <w:tcPr>
            <w:tcW w:w="951" w:type="dxa"/>
          </w:tcPr>
          <w:p w14:paraId="3088DABD" w14:textId="027BEAB3" w:rsidR="00862DC4" w:rsidRPr="003808DE" w:rsidRDefault="00862DC4" w:rsidP="006D207F">
            <w:pPr>
              <w:jc w:val="right"/>
              <w:rPr>
                <w:sz w:val="16"/>
                <w:szCs w:val="16"/>
              </w:rPr>
            </w:pPr>
            <w:r w:rsidRPr="003808DE">
              <w:rPr>
                <w:sz w:val="16"/>
                <w:szCs w:val="16"/>
              </w:rPr>
              <w:t>0</w:t>
            </w:r>
          </w:p>
        </w:tc>
        <w:tc>
          <w:tcPr>
            <w:tcW w:w="558" w:type="dxa"/>
            <w:vAlign w:val="bottom"/>
          </w:tcPr>
          <w:p w14:paraId="1AC531B7" w14:textId="6F552722" w:rsidR="00862DC4" w:rsidRPr="006D207F" w:rsidRDefault="00862DC4" w:rsidP="006D207F">
            <w:pPr>
              <w:jc w:val="right"/>
              <w:rPr>
                <w:b/>
                <w:bCs/>
                <w:sz w:val="16"/>
                <w:szCs w:val="16"/>
              </w:rPr>
            </w:pPr>
            <w:r>
              <w:rPr>
                <w:b/>
                <w:bCs/>
                <w:sz w:val="16"/>
                <w:szCs w:val="16"/>
              </w:rPr>
              <w:t>7</w:t>
            </w:r>
          </w:p>
        </w:tc>
      </w:tr>
      <w:tr w:rsidR="00862DC4" w:rsidRPr="00FD5669" w14:paraId="7D295E1A" w14:textId="77777777" w:rsidTr="00862DC4">
        <w:tc>
          <w:tcPr>
            <w:tcW w:w="997" w:type="dxa"/>
          </w:tcPr>
          <w:p w14:paraId="1AA67368" w14:textId="77777777" w:rsidR="00862DC4" w:rsidRPr="00FD5669" w:rsidRDefault="00862DC4" w:rsidP="006D207F">
            <w:pPr>
              <w:ind w:right="-425"/>
              <w:jc w:val="both"/>
              <w:rPr>
                <w:rFonts w:cs="Arial"/>
                <w:b/>
                <w:bCs/>
                <w:sz w:val="12"/>
                <w:szCs w:val="12"/>
              </w:rPr>
            </w:pPr>
            <w:r w:rsidRPr="00FD5669">
              <w:rPr>
                <w:rFonts w:cs="Arial"/>
                <w:b/>
                <w:bCs/>
                <w:sz w:val="12"/>
                <w:szCs w:val="12"/>
              </w:rPr>
              <w:t>Total</w:t>
            </w:r>
          </w:p>
        </w:tc>
        <w:tc>
          <w:tcPr>
            <w:tcW w:w="444" w:type="dxa"/>
            <w:vAlign w:val="bottom"/>
          </w:tcPr>
          <w:p w14:paraId="7EA61294" w14:textId="4CDC0F99" w:rsidR="00862DC4" w:rsidRPr="006D207F" w:rsidRDefault="00862DC4" w:rsidP="006D207F">
            <w:pPr>
              <w:jc w:val="right"/>
              <w:rPr>
                <w:b/>
                <w:bCs/>
                <w:sz w:val="16"/>
                <w:szCs w:val="16"/>
              </w:rPr>
            </w:pPr>
            <w:r>
              <w:rPr>
                <w:b/>
                <w:bCs/>
                <w:sz w:val="16"/>
                <w:szCs w:val="16"/>
              </w:rPr>
              <w:t>33</w:t>
            </w:r>
          </w:p>
        </w:tc>
        <w:tc>
          <w:tcPr>
            <w:tcW w:w="1098" w:type="dxa"/>
            <w:vAlign w:val="bottom"/>
          </w:tcPr>
          <w:p w14:paraId="4423A1A4" w14:textId="076FF8D3" w:rsidR="00862DC4" w:rsidRPr="006D207F" w:rsidRDefault="00862DC4" w:rsidP="006D207F">
            <w:pPr>
              <w:jc w:val="right"/>
              <w:rPr>
                <w:b/>
                <w:bCs/>
                <w:sz w:val="16"/>
                <w:szCs w:val="16"/>
              </w:rPr>
            </w:pPr>
            <w:r>
              <w:rPr>
                <w:b/>
                <w:bCs/>
                <w:sz w:val="16"/>
                <w:szCs w:val="16"/>
              </w:rPr>
              <w:t>4</w:t>
            </w:r>
          </w:p>
        </w:tc>
        <w:tc>
          <w:tcPr>
            <w:tcW w:w="1083" w:type="dxa"/>
            <w:vAlign w:val="bottom"/>
          </w:tcPr>
          <w:p w14:paraId="25FCDD62" w14:textId="5618B85C" w:rsidR="00862DC4" w:rsidRPr="006D207F" w:rsidRDefault="00862DC4" w:rsidP="006D207F">
            <w:pPr>
              <w:jc w:val="right"/>
              <w:rPr>
                <w:b/>
                <w:bCs/>
                <w:sz w:val="16"/>
                <w:szCs w:val="16"/>
              </w:rPr>
            </w:pPr>
            <w:r>
              <w:rPr>
                <w:b/>
                <w:bCs/>
                <w:sz w:val="16"/>
                <w:szCs w:val="16"/>
              </w:rPr>
              <w:t>1</w:t>
            </w:r>
          </w:p>
        </w:tc>
        <w:tc>
          <w:tcPr>
            <w:tcW w:w="488" w:type="dxa"/>
            <w:vAlign w:val="bottom"/>
          </w:tcPr>
          <w:p w14:paraId="3CFBABCB" w14:textId="51417719" w:rsidR="00862DC4" w:rsidRPr="006D207F" w:rsidRDefault="00862DC4" w:rsidP="006D207F">
            <w:pPr>
              <w:jc w:val="right"/>
              <w:rPr>
                <w:b/>
                <w:bCs/>
                <w:sz w:val="16"/>
                <w:szCs w:val="16"/>
              </w:rPr>
            </w:pPr>
            <w:r>
              <w:rPr>
                <w:b/>
                <w:bCs/>
                <w:sz w:val="16"/>
                <w:szCs w:val="16"/>
              </w:rPr>
              <w:t>5</w:t>
            </w:r>
          </w:p>
        </w:tc>
        <w:tc>
          <w:tcPr>
            <w:tcW w:w="1071" w:type="dxa"/>
            <w:vAlign w:val="bottom"/>
          </w:tcPr>
          <w:p w14:paraId="6B72A0E8" w14:textId="47FE7C66" w:rsidR="00862DC4" w:rsidRPr="006D207F" w:rsidRDefault="00862DC4" w:rsidP="006D207F">
            <w:pPr>
              <w:jc w:val="right"/>
              <w:rPr>
                <w:b/>
                <w:bCs/>
                <w:sz w:val="16"/>
                <w:szCs w:val="16"/>
              </w:rPr>
            </w:pPr>
            <w:r>
              <w:rPr>
                <w:b/>
                <w:bCs/>
                <w:sz w:val="16"/>
                <w:szCs w:val="16"/>
              </w:rPr>
              <w:t>3</w:t>
            </w:r>
          </w:p>
        </w:tc>
        <w:tc>
          <w:tcPr>
            <w:tcW w:w="719" w:type="dxa"/>
            <w:vAlign w:val="bottom"/>
          </w:tcPr>
          <w:p w14:paraId="2793E47C" w14:textId="4769D940" w:rsidR="00862DC4" w:rsidRPr="006D207F" w:rsidRDefault="00862DC4" w:rsidP="006D207F">
            <w:pPr>
              <w:jc w:val="right"/>
              <w:rPr>
                <w:b/>
                <w:bCs/>
                <w:sz w:val="16"/>
                <w:szCs w:val="16"/>
              </w:rPr>
            </w:pPr>
            <w:r>
              <w:rPr>
                <w:b/>
                <w:bCs/>
                <w:sz w:val="16"/>
                <w:szCs w:val="16"/>
              </w:rPr>
              <w:t>58</w:t>
            </w:r>
          </w:p>
        </w:tc>
        <w:tc>
          <w:tcPr>
            <w:tcW w:w="1046" w:type="dxa"/>
            <w:vAlign w:val="bottom"/>
          </w:tcPr>
          <w:p w14:paraId="0554D8B3" w14:textId="4F3FD3F8" w:rsidR="00862DC4" w:rsidRPr="006D207F" w:rsidRDefault="00862DC4" w:rsidP="006D207F">
            <w:pPr>
              <w:jc w:val="right"/>
              <w:rPr>
                <w:b/>
                <w:bCs/>
                <w:sz w:val="16"/>
                <w:szCs w:val="16"/>
              </w:rPr>
            </w:pPr>
            <w:r>
              <w:rPr>
                <w:b/>
                <w:bCs/>
                <w:sz w:val="16"/>
                <w:szCs w:val="16"/>
              </w:rPr>
              <w:t>8</w:t>
            </w:r>
          </w:p>
        </w:tc>
        <w:tc>
          <w:tcPr>
            <w:tcW w:w="951" w:type="dxa"/>
            <w:vAlign w:val="bottom"/>
          </w:tcPr>
          <w:p w14:paraId="5CC64B6B" w14:textId="31AF558C" w:rsidR="00862DC4" w:rsidRPr="006D207F" w:rsidRDefault="00862DC4" w:rsidP="006D207F">
            <w:pPr>
              <w:jc w:val="right"/>
              <w:rPr>
                <w:b/>
                <w:bCs/>
                <w:sz w:val="16"/>
                <w:szCs w:val="16"/>
              </w:rPr>
            </w:pPr>
            <w:r>
              <w:rPr>
                <w:b/>
                <w:bCs/>
                <w:sz w:val="16"/>
                <w:szCs w:val="16"/>
              </w:rPr>
              <w:t>6</w:t>
            </w:r>
          </w:p>
        </w:tc>
        <w:tc>
          <w:tcPr>
            <w:tcW w:w="558" w:type="dxa"/>
            <w:vAlign w:val="bottom"/>
          </w:tcPr>
          <w:p w14:paraId="6FB13ACB" w14:textId="65BC7585" w:rsidR="00862DC4" w:rsidRPr="006D207F" w:rsidRDefault="00862DC4" w:rsidP="006D207F">
            <w:pPr>
              <w:jc w:val="right"/>
              <w:rPr>
                <w:b/>
                <w:bCs/>
                <w:sz w:val="16"/>
                <w:szCs w:val="16"/>
              </w:rPr>
            </w:pPr>
            <w:r>
              <w:rPr>
                <w:b/>
                <w:bCs/>
                <w:sz w:val="16"/>
                <w:szCs w:val="16"/>
              </w:rPr>
              <w:t>118</w:t>
            </w:r>
          </w:p>
        </w:tc>
      </w:tr>
    </w:tbl>
    <w:p w14:paraId="370BFC10" w14:textId="6394BA5A" w:rsidR="00D505F2" w:rsidRDefault="00D505F2" w:rsidP="00237AB1">
      <w:pPr>
        <w:ind w:left="-142" w:right="-425"/>
        <w:jc w:val="both"/>
        <w:rPr>
          <w:rFonts w:cs="Arial"/>
        </w:rPr>
      </w:pPr>
    </w:p>
    <w:p w14:paraId="1C006F71" w14:textId="3B60DD36" w:rsidR="00270A6D" w:rsidRPr="004B6F52" w:rsidRDefault="00270A6D" w:rsidP="00270A6D">
      <w:pPr>
        <w:spacing w:after="120" w:line="240" w:lineRule="auto"/>
        <w:ind w:left="794" w:hanging="794"/>
      </w:pPr>
      <w:r w:rsidRPr="004B6F52">
        <w:rPr>
          <w:b/>
          <w:sz w:val="16"/>
          <w:szCs w:val="16"/>
        </w:rPr>
        <w:t xml:space="preserve">Table </w:t>
      </w:r>
      <w:r w:rsidR="002522F2">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5"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5"/>
      <w:r w:rsidRPr="004B6F52">
        <w:rPr>
          <w:sz w:val="16"/>
          <w:szCs w:val="16"/>
        </w:rPr>
        <w:t xml:space="preserve">from </w:t>
      </w:r>
      <w:r w:rsidR="007B7E78">
        <w:rPr>
          <w:sz w:val="16"/>
          <w:szCs w:val="16"/>
        </w:rPr>
        <w:t xml:space="preserve">1 </w:t>
      </w:r>
      <w:r w:rsidR="00413FAC">
        <w:rPr>
          <w:sz w:val="16"/>
          <w:szCs w:val="16"/>
        </w:rPr>
        <w:t>January 2023</w:t>
      </w:r>
      <w:r w:rsidRPr="004B6F52">
        <w:rPr>
          <w:sz w:val="16"/>
          <w:szCs w:val="16"/>
        </w:rPr>
        <w:t xml:space="preserve"> to </w:t>
      </w:r>
      <w:r w:rsidR="007B7E78">
        <w:rPr>
          <w:sz w:val="16"/>
          <w:szCs w:val="16"/>
        </w:rPr>
        <w:t xml:space="preserve">31 </w:t>
      </w:r>
      <w:r w:rsidR="00984BBB">
        <w:rPr>
          <w:sz w:val="16"/>
          <w:szCs w:val="16"/>
        </w:rPr>
        <w:t>March 2023</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267D24">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1134"/>
        <w:gridCol w:w="850"/>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rsidRPr="00BD03F1" w14:paraId="3B7805EC" w14:textId="77777777" w:rsidTr="00BD03F1">
        <w:trPr>
          <w:trHeight w:val="458"/>
        </w:trPr>
        <w:tc>
          <w:tcPr>
            <w:tcW w:w="1588" w:type="dxa"/>
            <w:vAlign w:val="bottom"/>
          </w:tcPr>
          <w:p w14:paraId="2C3BEFA7" w14:textId="77777777" w:rsidR="002D2253" w:rsidRPr="00BD03F1" w:rsidRDefault="002D2253" w:rsidP="00BD03F1">
            <w:pPr>
              <w:ind w:right="-425"/>
              <w:rPr>
                <w:rFonts w:cs="Arial"/>
                <w:b/>
                <w:bCs/>
              </w:rPr>
            </w:pPr>
            <w:r w:rsidRPr="00BD03F1">
              <w:rPr>
                <w:rFonts w:cs="Arial"/>
                <w:b/>
                <w:bCs/>
              </w:rPr>
              <w:t>Community</w:t>
            </w:r>
          </w:p>
        </w:tc>
        <w:tc>
          <w:tcPr>
            <w:tcW w:w="992" w:type="dxa"/>
            <w:vAlign w:val="bottom"/>
          </w:tcPr>
          <w:p w14:paraId="0EC72F94" w14:textId="5CE669EE" w:rsidR="002D2253" w:rsidRPr="00BD03F1" w:rsidRDefault="002D2253" w:rsidP="00BD03F1">
            <w:pPr>
              <w:jc w:val="center"/>
              <w:rPr>
                <w:rFonts w:cs="Arial"/>
                <w:b/>
                <w:bCs/>
              </w:rPr>
            </w:pPr>
            <w:r w:rsidRPr="00BD03F1">
              <w:rPr>
                <w:rFonts w:cs="Arial"/>
                <w:b/>
                <w:bCs/>
              </w:rPr>
              <w:t>CCP End</w:t>
            </w:r>
          </w:p>
        </w:tc>
        <w:tc>
          <w:tcPr>
            <w:tcW w:w="1418" w:type="dxa"/>
            <w:vAlign w:val="bottom"/>
          </w:tcPr>
          <w:p w14:paraId="12659BD5" w14:textId="13C9149F" w:rsidR="002D2253" w:rsidRPr="00BD03F1" w:rsidRDefault="002D2253" w:rsidP="00BD03F1">
            <w:pPr>
              <w:jc w:val="center"/>
              <w:rPr>
                <w:rFonts w:cs="Arial"/>
                <w:b/>
                <w:bCs/>
              </w:rPr>
            </w:pPr>
            <w:r w:rsidRPr="00BD03F1">
              <w:rPr>
                <w:rFonts w:cs="Arial"/>
                <w:b/>
                <w:bCs/>
              </w:rPr>
              <w:t>CCP End &amp; CIM End</w:t>
            </w:r>
          </w:p>
        </w:tc>
        <w:tc>
          <w:tcPr>
            <w:tcW w:w="1134" w:type="dxa"/>
            <w:vAlign w:val="bottom"/>
          </w:tcPr>
          <w:p w14:paraId="5F17FCC4" w14:textId="4C06D4F6" w:rsidR="002D2253" w:rsidRPr="00BD03F1" w:rsidRDefault="002D2253" w:rsidP="00BD03F1">
            <w:pPr>
              <w:jc w:val="center"/>
              <w:rPr>
                <w:rFonts w:cs="Arial"/>
                <w:b/>
                <w:bCs/>
              </w:rPr>
            </w:pPr>
            <w:r w:rsidRPr="00BD03F1">
              <w:rPr>
                <w:rFonts w:cs="Arial"/>
                <w:b/>
                <w:bCs/>
              </w:rPr>
              <w:t>CIM Amend</w:t>
            </w:r>
          </w:p>
        </w:tc>
        <w:tc>
          <w:tcPr>
            <w:tcW w:w="850" w:type="dxa"/>
            <w:vAlign w:val="bottom"/>
          </w:tcPr>
          <w:p w14:paraId="3648C27F" w14:textId="45BB8B97" w:rsidR="002D2253" w:rsidRPr="00BD03F1" w:rsidRDefault="002D2253" w:rsidP="00BD03F1">
            <w:pPr>
              <w:jc w:val="center"/>
              <w:rPr>
                <w:rFonts w:cs="Arial"/>
                <w:b/>
                <w:bCs/>
              </w:rPr>
            </w:pPr>
            <w:r w:rsidRPr="00BD03F1">
              <w:rPr>
                <w:rFonts w:cs="Arial"/>
                <w:b/>
                <w:bCs/>
              </w:rPr>
              <w:t>CIM End</w:t>
            </w:r>
          </w:p>
        </w:tc>
        <w:tc>
          <w:tcPr>
            <w:tcW w:w="1276" w:type="dxa"/>
            <w:vAlign w:val="bottom"/>
          </w:tcPr>
          <w:p w14:paraId="7D3258B0" w14:textId="46E6EF21" w:rsidR="002D2253" w:rsidRPr="00BD03F1" w:rsidRDefault="002D2253" w:rsidP="00BD03F1">
            <w:pPr>
              <w:jc w:val="center"/>
              <w:rPr>
                <w:rFonts w:cs="Arial"/>
                <w:b/>
                <w:bCs/>
              </w:rPr>
            </w:pPr>
            <w:r w:rsidRPr="00BD03F1">
              <w:rPr>
                <w:rFonts w:cs="Arial"/>
                <w:b/>
                <w:bCs/>
              </w:rPr>
              <w:t>No Further Action</w:t>
            </w:r>
          </w:p>
        </w:tc>
        <w:tc>
          <w:tcPr>
            <w:tcW w:w="851" w:type="dxa"/>
            <w:vAlign w:val="bottom"/>
          </w:tcPr>
          <w:p w14:paraId="434B513A" w14:textId="5D54118E" w:rsidR="002D2253" w:rsidRPr="00BD03F1" w:rsidRDefault="002D2253" w:rsidP="00BD03F1">
            <w:pPr>
              <w:jc w:val="center"/>
              <w:rPr>
                <w:rFonts w:cs="Arial"/>
                <w:b/>
                <w:bCs/>
              </w:rPr>
            </w:pPr>
            <w:r w:rsidRPr="00BD03F1">
              <w:rPr>
                <w:rFonts w:cs="Arial"/>
                <w:b/>
                <w:bCs/>
              </w:rPr>
              <w:t>Total</w:t>
            </w:r>
          </w:p>
        </w:tc>
      </w:tr>
      <w:tr w:rsidR="00E30AA7" w14:paraId="5A3BBB23" w14:textId="77777777" w:rsidTr="00BD03F1">
        <w:trPr>
          <w:trHeight w:val="222"/>
        </w:trPr>
        <w:tc>
          <w:tcPr>
            <w:tcW w:w="1588" w:type="dxa"/>
          </w:tcPr>
          <w:p w14:paraId="0687FF23" w14:textId="77777777" w:rsidR="00E30AA7" w:rsidRPr="00294D17" w:rsidRDefault="00E30AA7" w:rsidP="00E30AA7">
            <w:pPr>
              <w:ind w:right="-425"/>
              <w:jc w:val="both"/>
              <w:rPr>
                <w:rFonts w:cs="Arial"/>
                <w:b/>
                <w:bCs/>
              </w:rPr>
            </w:pPr>
            <w:r w:rsidRPr="00294D17">
              <w:rPr>
                <w:rFonts w:cs="Arial"/>
                <w:b/>
                <w:bCs/>
              </w:rPr>
              <w:t>Total</w:t>
            </w:r>
          </w:p>
        </w:tc>
        <w:tc>
          <w:tcPr>
            <w:tcW w:w="992" w:type="dxa"/>
            <w:vAlign w:val="bottom"/>
          </w:tcPr>
          <w:p w14:paraId="5B6FF504" w14:textId="766D52AC" w:rsidR="00E30AA7" w:rsidRPr="008742B2" w:rsidRDefault="00C33174" w:rsidP="00E30AA7">
            <w:pPr>
              <w:jc w:val="right"/>
              <w:rPr>
                <w:b/>
                <w:bCs/>
              </w:rPr>
            </w:pPr>
            <w:r>
              <w:rPr>
                <w:b/>
                <w:bCs/>
              </w:rPr>
              <w:t>0</w:t>
            </w:r>
          </w:p>
        </w:tc>
        <w:tc>
          <w:tcPr>
            <w:tcW w:w="1418" w:type="dxa"/>
            <w:vAlign w:val="bottom"/>
          </w:tcPr>
          <w:p w14:paraId="2A53915F" w14:textId="1E0738E3" w:rsidR="00E30AA7" w:rsidRPr="008742B2" w:rsidRDefault="00C33174" w:rsidP="00E30AA7">
            <w:pPr>
              <w:jc w:val="right"/>
              <w:rPr>
                <w:b/>
                <w:bCs/>
              </w:rPr>
            </w:pPr>
            <w:r>
              <w:rPr>
                <w:b/>
                <w:bCs/>
              </w:rPr>
              <w:t>0</w:t>
            </w:r>
          </w:p>
        </w:tc>
        <w:tc>
          <w:tcPr>
            <w:tcW w:w="1134" w:type="dxa"/>
            <w:vAlign w:val="bottom"/>
          </w:tcPr>
          <w:p w14:paraId="62FCB111" w14:textId="2DD1C4C2" w:rsidR="00E30AA7" w:rsidRPr="008742B2" w:rsidRDefault="00C33174" w:rsidP="00E30AA7">
            <w:pPr>
              <w:jc w:val="right"/>
              <w:rPr>
                <w:b/>
                <w:bCs/>
              </w:rPr>
            </w:pPr>
            <w:r>
              <w:rPr>
                <w:b/>
                <w:bCs/>
              </w:rPr>
              <w:t>0</w:t>
            </w:r>
          </w:p>
        </w:tc>
        <w:tc>
          <w:tcPr>
            <w:tcW w:w="850" w:type="dxa"/>
            <w:vAlign w:val="bottom"/>
          </w:tcPr>
          <w:p w14:paraId="1321C4ED" w14:textId="2EDF0975" w:rsidR="00E30AA7" w:rsidRPr="008742B2" w:rsidRDefault="00C33174" w:rsidP="00E30AA7">
            <w:pPr>
              <w:jc w:val="right"/>
              <w:rPr>
                <w:b/>
                <w:bCs/>
              </w:rPr>
            </w:pPr>
            <w:r>
              <w:rPr>
                <w:b/>
                <w:bCs/>
              </w:rPr>
              <w:t>1</w:t>
            </w:r>
          </w:p>
        </w:tc>
        <w:tc>
          <w:tcPr>
            <w:tcW w:w="1276" w:type="dxa"/>
            <w:vAlign w:val="bottom"/>
          </w:tcPr>
          <w:p w14:paraId="70642BB8" w14:textId="2EBC0972" w:rsidR="00E30AA7" w:rsidRPr="008742B2" w:rsidRDefault="00C33174" w:rsidP="00E30AA7">
            <w:pPr>
              <w:jc w:val="right"/>
              <w:rPr>
                <w:b/>
                <w:bCs/>
              </w:rPr>
            </w:pPr>
            <w:r>
              <w:rPr>
                <w:b/>
                <w:bCs/>
              </w:rPr>
              <w:t>1</w:t>
            </w:r>
          </w:p>
        </w:tc>
        <w:tc>
          <w:tcPr>
            <w:tcW w:w="851" w:type="dxa"/>
            <w:vAlign w:val="bottom"/>
          </w:tcPr>
          <w:p w14:paraId="542CEAE2" w14:textId="393A94B2" w:rsidR="00E30AA7" w:rsidRPr="008742B2" w:rsidRDefault="00C33174" w:rsidP="00E30AA7">
            <w:pPr>
              <w:jc w:val="right"/>
              <w:rPr>
                <w:b/>
                <w:bCs/>
              </w:rPr>
            </w:pPr>
            <w:r>
              <w:rPr>
                <w:b/>
                <w:bCs/>
              </w:rPr>
              <w:t>2</w:t>
            </w:r>
          </w:p>
        </w:tc>
      </w:tr>
    </w:tbl>
    <w:p w14:paraId="5681D27B" w14:textId="77777777" w:rsidR="00B23CEA" w:rsidRPr="00351891" w:rsidRDefault="00B23CEA" w:rsidP="00351891">
      <w:pPr>
        <w:ind w:left="-142" w:right="-425"/>
        <w:jc w:val="both"/>
        <w:rPr>
          <w:rFonts w:cs="Arial"/>
        </w:rPr>
      </w:pPr>
      <w:bookmarkStart w:id="16" w:name="_Hlk69483860"/>
    </w:p>
    <w:p w14:paraId="1B8999AA" w14:textId="71EA80B2" w:rsidR="00CA7C48" w:rsidRPr="004B6F52" w:rsidRDefault="00CA7C48" w:rsidP="00CA7C48">
      <w:pPr>
        <w:spacing w:after="120" w:line="240" w:lineRule="auto"/>
        <w:ind w:left="794" w:hanging="794"/>
      </w:pPr>
      <w:r w:rsidRPr="004B6F52">
        <w:rPr>
          <w:b/>
          <w:sz w:val="16"/>
          <w:szCs w:val="16"/>
        </w:rPr>
        <w:t xml:space="preserve">Table </w:t>
      </w:r>
      <w:r w:rsidR="002522F2">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7B7E78">
        <w:rPr>
          <w:sz w:val="16"/>
          <w:szCs w:val="16"/>
        </w:rPr>
        <w:t xml:space="preserve">1 </w:t>
      </w:r>
      <w:r w:rsidR="00413FAC">
        <w:rPr>
          <w:sz w:val="16"/>
          <w:szCs w:val="16"/>
        </w:rPr>
        <w:t>January 2023</w:t>
      </w:r>
      <w:r w:rsidRPr="004B6F52">
        <w:rPr>
          <w:sz w:val="16"/>
          <w:szCs w:val="16"/>
        </w:rPr>
        <w:t xml:space="preserve"> to </w:t>
      </w:r>
      <w:r w:rsidR="007B7E78">
        <w:rPr>
          <w:sz w:val="16"/>
          <w:szCs w:val="16"/>
        </w:rPr>
        <w:t xml:space="preserve">31 </w:t>
      </w:r>
      <w:r w:rsidR="00984BBB">
        <w:rPr>
          <w:sz w:val="16"/>
          <w:szCs w:val="16"/>
        </w:rPr>
        <w:t>March 2023</w:t>
      </w:r>
      <w:r w:rsidR="00560109">
        <w:rPr>
          <w:rStyle w:val="FootnoteReference"/>
          <w:sz w:val="16"/>
          <w:szCs w:val="16"/>
        </w:rPr>
        <w:footnoteReference w:id="7"/>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E30AA7" w14:paraId="16A64130" w14:textId="77777777" w:rsidTr="00E65E47">
        <w:tc>
          <w:tcPr>
            <w:tcW w:w="1496" w:type="dxa"/>
          </w:tcPr>
          <w:p w14:paraId="11A0DFEF" w14:textId="77777777" w:rsidR="00E30AA7" w:rsidRPr="00294D17" w:rsidRDefault="00E30AA7" w:rsidP="00E30AA7">
            <w:pPr>
              <w:ind w:right="-425"/>
              <w:jc w:val="both"/>
              <w:rPr>
                <w:rFonts w:cs="Arial"/>
                <w:b/>
                <w:bCs/>
              </w:rPr>
            </w:pPr>
            <w:r w:rsidRPr="00294D17">
              <w:rPr>
                <w:rFonts w:cs="Arial"/>
                <w:b/>
                <w:bCs/>
              </w:rPr>
              <w:t>Total</w:t>
            </w:r>
          </w:p>
        </w:tc>
        <w:tc>
          <w:tcPr>
            <w:tcW w:w="1793" w:type="dxa"/>
            <w:vAlign w:val="bottom"/>
          </w:tcPr>
          <w:p w14:paraId="171714C6" w14:textId="65DEF30F" w:rsidR="00E30AA7" w:rsidRPr="00900EA0" w:rsidRDefault="00C33174" w:rsidP="00E30AA7">
            <w:pPr>
              <w:jc w:val="right"/>
              <w:rPr>
                <w:b/>
                <w:bCs/>
              </w:rPr>
            </w:pPr>
            <w:r>
              <w:rPr>
                <w:b/>
                <w:bCs/>
              </w:rPr>
              <w:t>4</w:t>
            </w:r>
          </w:p>
        </w:tc>
        <w:tc>
          <w:tcPr>
            <w:tcW w:w="1227" w:type="dxa"/>
            <w:vAlign w:val="bottom"/>
          </w:tcPr>
          <w:p w14:paraId="3DCD9CB4" w14:textId="1F42D195" w:rsidR="00E30AA7" w:rsidRPr="00900EA0" w:rsidRDefault="00C33174" w:rsidP="00E30AA7">
            <w:pPr>
              <w:jc w:val="right"/>
              <w:rPr>
                <w:b/>
                <w:bCs/>
              </w:rPr>
            </w:pPr>
            <w:r>
              <w:rPr>
                <w:b/>
                <w:bCs/>
              </w:rPr>
              <w:t>5</w:t>
            </w:r>
          </w:p>
        </w:tc>
        <w:tc>
          <w:tcPr>
            <w:tcW w:w="2742" w:type="dxa"/>
            <w:vAlign w:val="bottom"/>
          </w:tcPr>
          <w:p w14:paraId="1EDA8F9D" w14:textId="5DCA5CB0" w:rsidR="00E30AA7" w:rsidRPr="00900EA0" w:rsidRDefault="00C33174" w:rsidP="00E30AA7">
            <w:pPr>
              <w:jc w:val="right"/>
              <w:rPr>
                <w:b/>
                <w:bCs/>
              </w:rPr>
            </w:pPr>
            <w:r>
              <w:rPr>
                <w:b/>
                <w:bCs/>
              </w:rPr>
              <w:t>1</w:t>
            </w:r>
          </w:p>
        </w:tc>
        <w:tc>
          <w:tcPr>
            <w:tcW w:w="851" w:type="dxa"/>
            <w:vAlign w:val="bottom"/>
          </w:tcPr>
          <w:p w14:paraId="14017305" w14:textId="17CBE194" w:rsidR="00E30AA7" w:rsidRPr="00900EA0" w:rsidRDefault="00C33174" w:rsidP="00E30AA7">
            <w:pPr>
              <w:jc w:val="right"/>
              <w:rPr>
                <w:b/>
                <w:bCs/>
              </w:rPr>
            </w:pPr>
            <w:r>
              <w:rPr>
                <w:b/>
                <w:bCs/>
              </w:rPr>
              <w:t>10</w:t>
            </w:r>
          </w:p>
        </w:tc>
      </w:tr>
    </w:tbl>
    <w:p w14:paraId="466F9F6E" w14:textId="77777777" w:rsidR="002522F2" w:rsidRDefault="002522F2" w:rsidP="00A42818">
      <w:pPr>
        <w:ind w:left="-142" w:right="-425"/>
        <w:jc w:val="both"/>
        <w:rPr>
          <w:rFonts w:cs="Arial"/>
        </w:rPr>
      </w:pPr>
    </w:p>
    <w:p w14:paraId="27F37C5D" w14:textId="5DA93F90" w:rsidR="00152C1E" w:rsidRDefault="00237AB1" w:rsidP="00A42818">
      <w:pPr>
        <w:ind w:left="-142" w:right="-425"/>
        <w:jc w:val="both"/>
        <w:rPr>
          <w:rFonts w:cs="Arial"/>
        </w:rPr>
      </w:pPr>
      <w:r w:rsidRPr="00CE1294">
        <w:rPr>
          <w:rFonts w:cs="Arial"/>
        </w:rPr>
        <w:lastRenderedPageBreak/>
        <w:t xml:space="preserve">During quarter </w:t>
      </w:r>
      <w:r w:rsidR="00413FAC">
        <w:rPr>
          <w:rFonts w:cs="Arial"/>
        </w:rPr>
        <w:t>59</w:t>
      </w:r>
      <w:r w:rsidRPr="00CE1294">
        <w:rPr>
          <w:rFonts w:cs="Arial"/>
        </w:rPr>
        <w:t xml:space="preserve"> the number of interactions highlighted in tables </w:t>
      </w:r>
      <w:r w:rsidR="00A42818">
        <w:rPr>
          <w:rFonts w:cs="Arial"/>
        </w:rPr>
        <w:t>4</w:t>
      </w:r>
      <w:r w:rsidR="008D0261">
        <w:rPr>
          <w:rFonts w:cs="Arial"/>
        </w:rPr>
        <w:t xml:space="preserve"> to </w:t>
      </w:r>
      <w:r w:rsidR="002522F2">
        <w:rPr>
          <w:rFonts w:cs="Arial"/>
        </w:rPr>
        <w:t>8</w:t>
      </w:r>
      <w:r w:rsidR="0077183E">
        <w:rPr>
          <w:rFonts w:cs="Arial"/>
        </w:rPr>
        <w:t xml:space="preserve"> </w:t>
      </w:r>
      <w:r w:rsidRPr="00CE1294">
        <w:rPr>
          <w:rFonts w:cs="Arial"/>
        </w:rPr>
        <w:t xml:space="preserve">related to a total </w:t>
      </w:r>
      <w:r w:rsidRPr="00EF268C">
        <w:rPr>
          <w:rFonts w:cs="Arial"/>
        </w:rPr>
        <w:t xml:space="preserve">of </w:t>
      </w:r>
      <w:r w:rsidR="00B50139">
        <w:rPr>
          <w:rFonts w:cs="Arial"/>
        </w:rPr>
        <w:t>207</w:t>
      </w:r>
      <w:r w:rsidR="00B50139" w:rsidRPr="00EF268C">
        <w:rPr>
          <w:rFonts w:cs="Arial"/>
        </w:rPr>
        <w:t xml:space="preserve"> </w:t>
      </w:r>
      <w:r w:rsidRPr="00EF268C">
        <w:rPr>
          <w:rFonts w:cs="Arial"/>
        </w:rPr>
        <w:t>clients (</w:t>
      </w:r>
      <w:r w:rsidR="00B50139">
        <w:rPr>
          <w:rFonts w:cs="Arial"/>
        </w:rPr>
        <w:t>143</w:t>
      </w:r>
      <w:r w:rsidR="00B50139" w:rsidRPr="00EF268C">
        <w:rPr>
          <w:rFonts w:cs="Arial"/>
        </w:rPr>
        <w:t xml:space="preserve"> </w:t>
      </w:r>
      <w:r w:rsidRPr="00EF268C">
        <w:rPr>
          <w:rFonts w:cs="Arial"/>
        </w:rPr>
        <w:t xml:space="preserve">female and </w:t>
      </w:r>
      <w:r w:rsidR="00B50139">
        <w:rPr>
          <w:rFonts w:cs="Arial"/>
        </w:rPr>
        <w:t>64</w:t>
      </w:r>
      <w:r w:rsidR="00B50139" w:rsidRPr="00EF268C">
        <w:rPr>
          <w:rFonts w:cs="Arial"/>
        </w:rPr>
        <w:t xml:space="preserve"> </w:t>
      </w:r>
      <w:r w:rsidRPr="00EF268C">
        <w:rPr>
          <w:rFonts w:cs="Arial"/>
        </w:rPr>
        <w:t>male)</w:t>
      </w:r>
      <w:r w:rsidR="00A42818" w:rsidRPr="00EF268C">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144F6A80" w14:textId="77777777" w:rsidR="00152C1E" w:rsidRDefault="00152C1E" w:rsidP="00A42818">
      <w:pPr>
        <w:ind w:left="-142" w:right="-425"/>
        <w:jc w:val="both"/>
        <w:rPr>
          <w:rFonts w:cs="Arial"/>
        </w:rPr>
      </w:pP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15D3076C"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A42818" w:rsidRPr="00B106D4">
        <w:rPr>
          <w:rFonts w:ascii="Verdana" w:hAnsi="Verdana" w:cs="Arial"/>
          <w:sz w:val="20"/>
          <w:szCs w:val="20"/>
        </w:rPr>
        <w:t xml:space="preserve"> client may be placed on a CIM order </w:t>
      </w:r>
      <w:r w:rsidR="001E2E11">
        <w:rPr>
          <w:rFonts w:ascii="Verdana" w:hAnsi="Verdana" w:cs="Arial"/>
          <w:sz w:val="20"/>
          <w:szCs w:val="20"/>
        </w:rPr>
        <w:t>quarantining</w:t>
      </w:r>
      <w:r w:rsidR="001E2E11" w:rsidRPr="00B106D4">
        <w:rPr>
          <w:rFonts w:ascii="Verdana" w:hAnsi="Verdana" w:cs="Arial"/>
          <w:sz w:val="20"/>
          <w:szCs w:val="20"/>
        </w:rPr>
        <w:t xml:space="preserve"> </w:t>
      </w:r>
      <w:r w:rsidR="00A42818" w:rsidRPr="00B106D4">
        <w:rPr>
          <w:rFonts w:ascii="Verdana" w:hAnsi="Verdana" w:cs="Arial"/>
          <w:sz w:val="20"/>
          <w:szCs w:val="20"/>
        </w:rPr>
        <w:t xml:space="preserve">60%, 75% or 90% </w:t>
      </w:r>
      <w:r w:rsidR="001E2E11">
        <w:rPr>
          <w:rFonts w:ascii="Verdana" w:hAnsi="Verdana" w:cs="Arial"/>
          <w:sz w:val="20"/>
          <w:szCs w:val="20"/>
        </w:rPr>
        <w:t xml:space="preserve">of their welfare payments </w:t>
      </w:r>
      <w:r w:rsidR="00A42818" w:rsidRPr="00B106D4">
        <w:rPr>
          <w:rFonts w:ascii="Verdana" w:hAnsi="Verdana" w:cs="Arial"/>
          <w:sz w:val="20"/>
          <w:szCs w:val="20"/>
        </w:rPr>
        <w:t>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CB80725" w:rsidR="008F63D1" w:rsidRDefault="00BC1779" w:rsidP="00237AB1">
      <w:pPr>
        <w:ind w:left="-142" w:right="-425"/>
        <w:jc w:val="both"/>
      </w:pPr>
      <w:r w:rsidRPr="008F63D1">
        <w:rPr>
          <w:b/>
          <w:bCs/>
        </w:rPr>
        <w:t>The nuanced decision</w:t>
      </w:r>
      <w:r w:rsidR="0087406D" w:rsidRPr="008F63D1">
        <w:rPr>
          <w:b/>
          <w:bCs/>
        </w:rPr>
        <w:t>-</w:t>
      </w:r>
      <w:r w:rsidRPr="008F63D1">
        <w:rPr>
          <w:b/>
          <w:bCs/>
        </w:rPr>
        <w:t>making of Commissioners at conference is reflective of each client’s individual circumstances.</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 xml:space="preserve">a more informative, culturally </w:t>
      </w:r>
      <w:proofErr w:type="gramStart"/>
      <w:r w:rsidR="00F10787">
        <w:t>relevant</w:t>
      </w:r>
      <w:proofErr w:type="gramEnd"/>
      <w:r w:rsidR="00F10787">
        <w:t xml:space="preserve">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43EBE3A9" w:rsidR="00B9722A" w:rsidRPr="001B0466" w:rsidRDefault="00B9722A" w:rsidP="00C34899">
      <w:pPr>
        <w:tabs>
          <w:tab w:val="left" w:pos="1134"/>
        </w:tabs>
        <w:ind w:left="-142" w:right="-425"/>
        <w:jc w:val="both"/>
      </w:pPr>
      <w:r w:rsidRPr="001B0466">
        <w:t xml:space="preserve">The types of client interactions evident during quarter </w:t>
      </w:r>
      <w:r w:rsidR="00413FAC">
        <w:t>59</w:t>
      </w:r>
      <w:r w:rsidRPr="001B0466">
        <w:t xml:space="preserve"> reinforce the Commission’s belief that our clients are displaying a willingness to change</w:t>
      </w:r>
      <w:r w:rsidR="005B7F9C" w:rsidRPr="001B0466">
        <w:t xml:space="preserve"> and taking personal responsibility for their wellbeing and </w:t>
      </w:r>
      <w:r w:rsidR="00B301F1" w:rsidRPr="001B0466">
        <w:t xml:space="preserve">the wellbeing of their </w:t>
      </w:r>
      <w:r w:rsidR="002872AF" w:rsidRPr="001B0466">
        <w:t>families</w:t>
      </w:r>
      <w:r w:rsidRPr="001B0466">
        <w:t xml:space="preserve">. The following highlights for the period </w:t>
      </w:r>
      <w:r w:rsidR="007B7E78">
        <w:t xml:space="preserve">1 </w:t>
      </w:r>
      <w:r w:rsidR="00413FAC">
        <w:t>January 2023</w:t>
      </w:r>
      <w:r w:rsidRPr="001B0466">
        <w:t xml:space="preserve"> to </w:t>
      </w:r>
      <w:r w:rsidR="007B7E78">
        <w:t xml:space="preserve">31 </w:t>
      </w:r>
      <w:r w:rsidR="00984BBB">
        <w:t>March 2023</w:t>
      </w:r>
      <w:r w:rsidRPr="001B0466">
        <w:t xml:space="preserve"> support our assertion:</w:t>
      </w:r>
    </w:p>
    <w:p w14:paraId="689B3599" w14:textId="77777777" w:rsidR="00C34899" w:rsidRPr="001B0466" w:rsidRDefault="00C34899" w:rsidP="0099478F">
      <w:pPr>
        <w:ind w:left="-142" w:right="-425"/>
        <w:jc w:val="both"/>
        <w:rPr>
          <w:rFonts w:cs="Arial"/>
        </w:rPr>
      </w:pPr>
    </w:p>
    <w:p w14:paraId="2EAF0566" w14:textId="311E20D0" w:rsidR="00B9722A" w:rsidRPr="001B0466" w:rsidRDefault="00A4765D"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4</w:t>
      </w:r>
      <w:r w:rsidR="001E2059">
        <w:rPr>
          <w:rFonts w:ascii="Verdana" w:hAnsi="Verdana" w:cs="Arial"/>
          <w:sz w:val="20"/>
          <w:szCs w:val="20"/>
        </w:rPr>
        <w:t>3.0</w:t>
      </w:r>
      <w:r w:rsidR="00E965BF">
        <w:rPr>
          <w:rFonts w:ascii="Verdana" w:hAnsi="Verdana" w:cs="Arial"/>
          <w:sz w:val="20"/>
          <w:szCs w:val="20"/>
        </w:rPr>
        <w:t>%</w:t>
      </w:r>
      <w:r w:rsidR="00B9722A" w:rsidRPr="001B0466">
        <w:rPr>
          <w:rFonts w:ascii="Verdana" w:hAnsi="Verdana" w:cs="Arial"/>
          <w:sz w:val="20"/>
          <w:szCs w:val="20"/>
        </w:rPr>
        <w:t xml:space="preserve"> of clients </w:t>
      </w:r>
      <w:r w:rsidR="00887699" w:rsidRPr="001B0466">
        <w:t xml:space="preserve">at some point during the quarter </w:t>
      </w:r>
      <w:r w:rsidR="0031338E" w:rsidRPr="001B0466">
        <w:t xml:space="preserve">may have done one or more of the following: </w:t>
      </w:r>
      <w:r w:rsidR="00DE0E94" w:rsidRPr="001B0466">
        <w:rPr>
          <w:rFonts w:ascii="Verdana" w:hAnsi="Verdana" w:cs="Arial"/>
          <w:sz w:val="20"/>
          <w:szCs w:val="20"/>
        </w:rPr>
        <w:t>self-referr</w:t>
      </w:r>
      <w:r w:rsidR="0031338E" w:rsidRPr="001B0466">
        <w:rPr>
          <w:rFonts w:ascii="Verdana" w:hAnsi="Verdana" w:cs="Arial"/>
          <w:sz w:val="20"/>
          <w:szCs w:val="20"/>
        </w:rPr>
        <w:t>ed</w:t>
      </w:r>
      <w:r w:rsidR="00DE0E94" w:rsidRPr="001B0466">
        <w:rPr>
          <w:rFonts w:ascii="Verdana" w:hAnsi="Verdana" w:cs="Arial"/>
          <w:sz w:val="20"/>
          <w:szCs w:val="20"/>
        </w:rPr>
        <w:t xml:space="preserve"> to the FRC</w:t>
      </w:r>
      <w:r w:rsidR="0031338E" w:rsidRPr="001B0466">
        <w:rPr>
          <w:rFonts w:ascii="Verdana" w:hAnsi="Verdana" w:cs="Arial"/>
          <w:sz w:val="20"/>
          <w:szCs w:val="20"/>
        </w:rPr>
        <w:t xml:space="preserve"> </w:t>
      </w:r>
      <w:r w:rsidR="00F76774" w:rsidRPr="001B0466">
        <w:rPr>
          <w:rFonts w:ascii="Verdana" w:hAnsi="Verdana" w:cs="Arial"/>
          <w:sz w:val="20"/>
          <w:szCs w:val="20"/>
        </w:rPr>
        <w:t xml:space="preserve">for a VCP or a </w:t>
      </w:r>
      <w:r w:rsidR="0031338E" w:rsidRPr="001B0466">
        <w:rPr>
          <w:rFonts w:ascii="Verdana" w:hAnsi="Verdana" w:cs="Arial"/>
          <w:sz w:val="20"/>
          <w:szCs w:val="20"/>
        </w:rPr>
        <w:t>VIM</w:t>
      </w:r>
      <w:r w:rsidR="00177928" w:rsidRPr="001B0466">
        <w:rPr>
          <w:rFonts w:ascii="Verdana" w:hAnsi="Verdana" w:cs="Arial"/>
          <w:sz w:val="20"/>
          <w:szCs w:val="20"/>
        </w:rPr>
        <w:t xml:space="preserve">; </w:t>
      </w:r>
      <w:r w:rsidR="00B9722A" w:rsidRPr="001B0466">
        <w:rPr>
          <w:rFonts w:ascii="Verdana" w:hAnsi="Verdana" w:cs="Arial"/>
          <w:sz w:val="20"/>
          <w:szCs w:val="20"/>
        </w:rPr>
        <w:t>enter</w:t>
      </w:r>
      <w:r w:rsidR="0031338E" w:rsidRPr="001B0466">
        <w:rPr>
          <w:rFonts w:ascii="Verdana" w:hAnsi="Verdana" w:cs="Arial"/>
          <w:sz w:val="20"/>
          <w:szCs w:val="20"/>
        </w:rPr>
        <w:t>ed</w:t>
      </w:r>
      <w:r w:rsidR="00B9722A" w:rsidRPr="001B0466">
        <w:rPr>
          <w:rFonts w:ascii="Verdana" w:hAnsi="Verdana" w:cs="Arial"/>
          <w:sz w:val="20"/>
          <w:szCs w:val="20"/>
        </w:rPr>
        <w:t xml:space="preserve"> into a Family Responsibilities Agreement</w:t>
      </w:r>
      <w:r w:rsidR="00177928" w:rsidRPr="001B0466">
        <w:rPr>
          <w:rFonts w:ascii="Verdana" w:hAnsi="Verdana" w:cs="Arial"/>
          <w:sz w:val="20"/>
          <w:szCs w:val="20"/>
        </w:rPr>
        <w:t>;</w:t>
      </w:r>
      <w:r w:rsidR="005B7F9C" w:rsidRPr="001B0466">
        <w:rPr>
          <w:rFonts w:ascii="Verdana" w:hAnsi="Verdana" w:cs="Arial"/>
          <w:sz w:val="20"/>
          <w:szCs w:val="20"/>
        </w:rPr>
        <w:t xml:space="preserve"> </w:t>
      </w:r>
      <w:r w:rsidR="00DE0E94" w:rsidRPr="001B0466">
        <w:rPr>
          <w:rFonts w:ascii="Verdana" w:hAnsi="Verdana" w:cs="Arial"/>
          <w:sz w:val="20"/>
          <w:szCs w:val="20"/>
        </w:rPr>
        <w:t>successfully appl</w:t>
      </w:r>
      <w:r w:rsidR="0031338E" w:rsidRPr="001B0466">
        <w:rPr>
          <w:rFonts w:ascii="Verdana" w:hAnsi="Verdana" w:cs="Arial"/>
          <w:sz w:val="20"/>
          <w:szCs w:val="20"/>
        </w:rPr>
        <w:t>ied</w:t>
      </w:r>
      <w:r w:rsidR="00DE0E94" w:rsidRPr="001B0466">
        <w:rPr>
          <w:rFonts w:ascii="Verdana" w:hAnsi="Verdana" w:cs="Arial"/>
          <w:sz w:val="20"/>
          <w:szCs w:val="20"/>
        </w:rPr>
        <w:t xml:space="preserve"> to end or amend their decision by order or </w:t>
      </w:r>
      <w:proofErr w:type="gramStart"/>
      <w:r w:rsidR="00DE0E94" w:rsidRPr="001B0466">
        <w:rPr>
          <w:rFonts w:ascii="Verdana" w:hAnsi="Verdana" w:cs="Arial"/>
          <w:sz w:val="20"/>
          <w:szCs w:val="20"/>
        </w:rPr>
        <w:t>a</w:t>
      </w:r>
      <w:r w:rsidR="002A33C4" w:rsidRPr="001B0466">
        <w:rPr>
          <w:rFonts w:ascii="Verdana" w:hAnsi="Verdana" w:cs="Arial"/>
          <w:sz w:val="20"/>
          <w:szCs w:val="20"/>
        </w:rPr>
        <w:t>greement</w:t>
      </w:r>
      <w:r w:rsidR="00C34899" w:rsidRPr="001B0466">
        <w:rPr>
          <w:rFonts w:ascii="Verdana" w:hAnsi="Verdana" w:cs="Arial"/>
          <w:sz w:val="20"/>
          <w:szCs w:val="20"/>
        </w:rPr>
        <w:t>;</w:t>
      </w:r>
      <w:proofErr w:type="gramEnd"/>
    </w:p>
    <w:p w14:paraId="0B6EF2B3" w14:textId="6D0798E8" w:rsidR="00B9722A" w:rsidRPr="001B0466" w:rsidRDefault="000E0C2F" w:rsidP="00D552BE">
      <w:pPr>
        <w:pStyle w:val="ListParagraph"/>
        <w:numPr>
          <w:ilvl w:val="1"/>
          <w:numId w:val="10"/>
        </w:numPr>
        <w:spacing w:after="120"/>
        <w:ind w:left="709" w:right="-425"/>
        <w:jc w:val="both"/>
        <w:rPr>
          <w:rFonts w:ascii="Verdana" w:hAnsi="Verdana" w:cs="Arial"/>
          <w:sz w:val="20"/>
          <w:szCs w:val="20"/>
        </w:rPr>
      </w:pPr>
      <w:r w:rsidRPr="001B0466">
        <w:rPr>
          <w:rFonts w:ascii="Verdana" w:hAnsi="Verdana" w:cs="Arial"/>
          <w:sz w:val="20"/>
          <w:szCs w:val="20"/>
        </w:rPr>
        <w:t>A</w:t>
      </w:r>
      <w:r w:rsidR="00B9722A" w:rsidRPr="001B0466">
        <w:rPr>
          <w:rFonts w:ascii="Verdana" w:hAnsi="Verdana" w:cs="Arial"/>
          <w:sz w:val="20"/>
          <w:szCs w:val="20"/>
        </w:rPr>
        <w:t xml:space="preserve">s a subset of the above, </w:t>
      </w:r>
      <w:r w:rsidR="00B50139">
        <w:rPr>
          <w:rFonts w:ascii="Verdana" w:hAnsi="Verdana" w:cs="Arial"/>
          <w:sz w:val="20"/>
          <w:szCs w:val="20"/>
        </w:rPr>
        <w:t>35</w:t>
      </w:r>
      <w:r w:rsidR="00E965BF">
        <w:rPr>
          <w:rFonts w:ascii="Verdana" w:hAnsi="Verdana" w:cs="Arial"/>
          <w:sz w:val="20"/>
          <w:szCs w:val="20"/>
        </w:rPr>
        <w:t>%</w:t>
      </w:r>
      <w:r w:rsidR="00B9722A" w:rsidRPr="001B0466">
        <w:rPr>
          <w:rFonts w:ascii="Verdana" w:hAnsi="Verdana" w:cs="Arial"/>
          <w:sz w:val="20"/>
          <w:szCs w:val="20"/>
        </w:rPr>
        <w:t xml:space="preserve"> of clients specifically entered into a </w:t>
      </w:r>
      <w:r w:rsidR="00AC48DA" w:rsidRPr="001B0466">
        <w:rPr>
          <w:rFonts w:ascii="Verdana" w:hAnsi="Verdana" w:cs="Arial"/>
          <w:sz w:val="20"/>
          <w:szCs w:val="20"/>
        </w:rPr>
        <w:t>v</w:t>
      </w:r>
      <w:r w:rsidR="00B9722A" w:rsidRPr="001B0466">
        <w:rPr>
          <w:rFonts w:ascii="Verdana" w:hAnsi="Verdana" w:cs="Arial"/>
          <w:sz w:val="20"/>
          <w:szCs w:val="20"/>
        </w:rPr>
        <w:t xml:space="preserve">oluntary </w:t>
      </w:r>
      <w:proofErr w:type="gramStart"/>
      <w:r w:rsidR="00AC48DA" w:rsidRPr="001B0466">
        <w:rPr>
          <w:rFonts w:ascii="Verdana" w:hAnsi="Verdana" w:cs="Arial"/>
          <w:sz w:val="20"/>
          <w:szCs w:val="20"/>
        </w:rPr>
        <w:t>a</w:t>
      </w:r>
      <w:r w:rsidR="00B9722A" w:rsidRPr="001B0466">
        <w:rPr>
          <w:rFonts w:ascii="Verdana" w:hAnsi="Verdana" w:cs="Arial"/>
          <w:sz w:val="20"/>
          <w:szCs w:val="20"/>
        </w:rPr>
        <w:t>greement</w:t>
      </w:r>
      <w:r w:rsidR="00177928" w:rsidRPr="001B0466">
        <w:rPr>
          <w:rFonts w:ascii="Verdana" w:hAnsi="Verdana" w:cs="Arial"/>
          <w:sz w:val="20"/>
          <w:szCs w:val="20"/>
        </w:rPr>
        <w:t>;</w:t>
      </w:r>
      <w:proofErr w:type="gramEnd"/>
    </w:p>
    <w:p w14:paraId="3A616BEF" w14:textId="6753C416" w:rsidR="00B9722A" w:rsidRPr="001B0466" w:rsidRDefault="00A4765D"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2</w:t>
      </w:r>
      <w:r w:rsidR="00B50139">
        <w:rPr>
          <w:rFonts w:ascii="Verdana" w:hAnsi="Verdana" w:cs="Arial"/>
          <w:sz w:val="20"/>
          <w:szCs w:val="20"/>
        </w:rPr>
        <w:t>9.5</w:t>
      </w:r>
      <w:r w:rsidR="00E965BF">
        <w:rPr>
          <w:rFonts w:ascii="Verdana" w:hAnsi="Verdana" w:cs="Arial"/>
          <w:sz w:val="20"/>
          <w:szCs w:val="20"/>
        </w:rPr>
        <w:t>%</w:t>
      </w:r>
      <w:r w:rsidR="00B9722A" w:rsidRPr="001B0466">
        <w:rPr>
          <w:rFonts w:ascii="Verdana" w:hAnsi="Verdana" w:cs="Arial"/>
          <w:sz w:val="20"/>
          <w:szCs w:val="20"/>
        </w:rPr>
        <w:t xml:space="preserve"> of clients </w:t>
      </w:r>
      <w:r w:rsidR="009C14B5" w:rsidRPr="001B0466">
        <w:rPr>
          <w:rFonts w:ascii="Verdana" w:hAnsi="Verdana" w:cs="Arial"/>
          <w:sz w:val="20"/>
          <w:szCs w:val="20"/>
        </w:rPr>
        <w:t xml:space="preserve">were issued with a no </w:t>
      </w:r>
      <w:r w:rsidR="00B9722A" w:rsidRPr="001B0466">
        <w:rPr>
          <w:rFonts w:ascii="Verdana" w:hAnsi="Verdana" w:cs="Arial"/>
          <w:sz w:val="20"/>
          <w:szCs w:val="20"/>
        </w:rPr>
        <w:t xml:space="preserve">further action on their matter/s, </w:t>
      </w:r>
      <w:r w:rsidR="005551E4" w:rsidRPr="001B0466">
        <w:rPr>
          <w:rFonts w:ascii="Verdana" w:hAnsi="Verdana" w:cs="Arial"/>
          <w:sz w:val="20"/>
          <w:szCs w:val="20"/>
        </w:rPr>
        <w:t xml:space="preserve">or they were recommended to attend a support service with no </w:t>
      </w:r>
      <w:r w:rsidR="00E6519A" w:rsidRPr="001B0466">
        <w:rPr>
          <w:rFonts w:ascii="Verdana" w:hAnsi="Verdana" w:cs="Arial"/>
          <w:sz w:val="20"/>
          <w:szCs w:val="20"/>
        </w:rPr>
        <w:t>other</w:t>
      </w:r>
      <w:r w:rsidR="005551E4" w:rsidRPr="001B0466">
        <w:rPr>
          <w:rFonts w:ascii="Verdana" w:hAnsi="Verdana" w:cs="Arial"/>
          <w:sz w:val="20"/>
          <w:szCs w:val="20"/>
        </w:rPr>
        <w:t xml:space="preserve"> action</w:t>
      </w:r>
      <w:r w:rsidR="00E6519A" w:rsidRPr="001B0466">
        <w:rPr>
          <w:rFonts w:ascii="Verdana" w:hAnsi="Verdana" w:cs="Arial"/>
          <w:sz w:val="20"/>
          <w:szCs w:val="20"/>
        </w:rPr>
        <w:t xml:space="preserve"> </w:t>
      </w:r>
      <w:proofErr w:type="gramStart"/>
      <w:r w:rsidR="00E6519A" w:rsidRPr="001B0466">
        <w:rPr>
          <w:rFonts w:ascii="Verdana" w:hAnsi="Verdana" w:cs="Arial"/>
          <w:sz w:val="20"/>
          <w:szCs w:val="20"/>
        </w:rPr>
        <w:t>types</w:t>
      </w:r>
      <w:r w:rsidR="00C34899" w:rsidRPr="001B0466">
        <w:rPr>
          <w:rFonts w:ascii="Verdana" w:hAnsi="Verdana" w:cs="Arial"/>
          <w:sz w:val="20"/>
          <w:szCs w:val="20"/>
        </w:rPr>
        <w:t>;</w:t>
      </w:r>
      <w:proofErr w:type="gramEnd"/>
    </w:p>
    <w:p w14:paraId="46767E6D" w14:textId="299BD5F7" w:rsidR="00B9722A" w:rsidRPr="001B0466" w:rsidRDefault="00505590"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2.9</w:t>
      </w:r>
      <w:r w:rsidR="00E965BF">
        <w:rPr>
          <w:rFonts w:ascii="Verdana" w:hAnsi="Verdana" w:cs="Arial"/>
          <w:sz w:val="20"/>
          <w:szCs w:val="20"/>
        </w:rPr>
        <w:t>%</w:t>
      </w:r>
      <w:r w:rsidR="00B9722A" w:rsidRPr="001B0466">
        <w:rPr>
          <w:rFonts w:ascii="Verdana" w:hAnsi="Verdana" w:cs="Arial"/>
          <w:sz w:val="20"/>
          <w:szCs w:val="20"/>
        </w:rPr>
        <w:t xml:space="preserve"> of clients were </w:t>
      </w:r>
      <w:r w:rsidR="005551E4" w:rsidRPr="001B0466">
        <w:rPr>
          <w:rFonts w:ascii="Verdana" w:hAnsi="Verdana" w:cs="Arial"/>
          <w:sz w:val="20"/>
          <w:szCs w:val="20"/>
        </w:rPr>
        <w:t>issued with</w:t>
      </w:r>
      <w:r w:rsidR="00B9722A" w:rsidRPr="001B0466">
        <w:rPr>
          <w:rFonts w:ascii="Verdana" w:hAnsi="Verdana" w:cs="Arial"/>
          <w:sz w:val="20"/>
          <w:szCs w:val="20"/>
        </w:rPr>
        <w:t xml:space="preserve"> a reprimand </w:t>
      </w:r>
      <w:r w:rsidR="00E6519A" w:rsidRPr="001B0466">
        <w:rPr>
          <w:rFonts w:ascii="Verdana" w:hAnsi="Verdana" w:cs="Arial"/>
          <w:sz w:val="20"/>
          <w:szCs w:val="20"/>
        </w:rPr>
        <w:t>with or without</w:t>
      </w:r>
      <w:r w:rsidR="005551E4" w:rsidRPr="001B0466">
        <w:rPr>
          <w:rFonts w:ascii="Verdana" w:hAnsi="Verdana" w:cs="Arial"/>
          <w:sz w:val="20"/>
          <w:szCs w:val="20"/>
        </w:rPr>
        <w:t xml:space="preserve"> a </w:t>
      </w:r>
      <w:r w:rsidR="00E6519A" w:rsidRPr="001B0466">
        <w:rPr>
          <w:rFonts w:ascii="Verdana" w:hAnsi="Verdana" w:cs="Arial"/>
          <w:sz w:val="20"/>
          <w:szCs w:val="20"/>
        </w:rPr>
        <w:t xml:space="preserve">decision for </w:t>
      </w:r>
      <w:r w:rsidR="005551E4" w:rsidRPr="001B0466">
        <w:rPr>
          <w:rFonts w:ascii="Verdana" w:hAnsi="Verdana" w:cs="Arial"/>
          <w:sz w:val="20"/>
          <w:szCs w:val="20"/>
        </w:rPr>
        <w:t>no further action or recommend</w:t>
      </w:r>
      <w:r w:rsidR="00E6519A" w:rsidRPr="001B0466">
        <w:rPr>
          <w:rFonts w:ascii="Verdana" w:hAnsi="Verdana" w:cs="Arial"/>
          <w:sz w:val="20"/>
          <w:szCs w:val="20"/>
        </w:rPr>
        <w:t>ation</w:t>
      </w:r>
      <w:r w:rsidR="005551E4" w:rsidRPr="001B0466">
        <w:rPr>
          <w:rFonts w:ascii="Verdana" w:hAnsi="Verdana" w:cs="Arial"/>
          <w:sz w:val="20"/>
          <w:szCs w:val="20"/>
        </w:rPr>
        <w:t xml:space="preserve"> to attend a support service</w:t>
      </w:r>
      <w:r w:rsidR="00C34899" w:rsidRPr="001B0466">
        <w:rPr>
          <w:rFonts w:ascii="Verdana" w:hAnsi="Verdana" w:cs="Arial"/>
          <w:sz w:val="20"/>
          <w:szCs w:val="20"/>
        </w:rPr>
        <w:t>.</w:t>
      </w:r>
    </w:p>
    <w:p w14:paraId="52967A18" w14:textId="77777777" w:rsidR="00926217" w:rsidRPr="001B0466" w:rsidRDefault="00926217" w:rsidP="005D6EF0">
      <w:pPr>
        <w:tabs>
          <w:tab w:val="decimal" w:pos="284"/>
        </w:tabs>
        <w:ind w:left="-142" w:right="-425"/>
        <w:jc w:val="both"/>
        <w:rPr>
          <w:rFonts w:cs="Arial"/>
        </w:rPr>
      </w:pPr>
    </w:p>
    <w:p w14:paraId="728780F2" w14:textId="77777777" w:rsidR="00505590" w:rsidRDefault="00505590">
      <w:pPr>
        <w:spacing w:line="240" w:lineRule="auto"/>
        <w:rPr>
          <w:rFonts w:cs="Arial"/>
        </w:rPr>
      </w:pPr>
      <w:bookmarkStart w:id="17" w:name="_Hlk97302962"/>
      <w:r>
        <w:rPr>
          <w:rFonts w:cs="Arial"/>
        </w:rPr>
        <w:br w:type="page"/>
      </w:r>
    </w:p>
    <w:p w14:paraId="78EF6562" w14:textId="0A477606" w:rsidR="00240AAF" w:rsidRPr="001B0466" w:rsidRDefault="00106839" w:rsidP="002522F2">
      <w:pPr>
        <w:tabs>
          <w:tab w:val="decimal" w:pos="284"/>
        </w:tabs>
        <w:ind w:left="-142" w:right="-425"/>
        <w:jc w:val="both"/>
      </w:pPr>
      <w:r w:rsidRPr="001B0466">
        <w:rPr>
          <w:rFonts w:cs="Arial"/>
        </w:rPr>
        <w:lastRenderedPageBreak/>
        <w:t xml:space="preserve">There </w:t>
      </w:r>
      <w:r w:rsidR="0032035F" w:rsidRPr="001B0466">
        <w:rPr>
          <w:rFonts w:cs="Arial"/>
        </w:rPr>
        <w:t>remains</w:t>
      </w:r>
      <w:r w:rsidRPr="001B0466">
        <w:rPr>
          <w:rFonts w:cs="Arial"/>
        </w:rPr>
        <w:t xml:space="preserve"> a </w:t>
      </w:r>
      <w:r w:rsidR="005D6EF0" w:rsidRPr="001B0466">
        <w:rPr>
          <w:rFonts w:cs="Arial"/>
        </w:rPr>
        <w:t xml:space="preserve">small </w:t>
      </w:r>
      <w:r w:rsidRPr="001B0466">
        <w:rPr>
          <w:rFonts w:cs="Arial"/>
        </w:rPr>
        <w:t xml:space="preserve">cohort of clients who come before the Commission </w:t>
      </w:r>
      <w:r w:rsidR="005D6EF0" w:rsidRPr="001B0466">
        <w:rPr>
          <w:rFonts w:cs="Arial"/>
        </w:rPr>
        <w:t xml:space="preserve">who </w:t>
      </w:r>
      <w:r w:rsidR="008A2A64" w:rsidRPr="001B0466">
        <w:rPr>
          <w:rFonts w:cs="Arial"/>
        </w:rPr>
        <w:t>struggle to</w:t>
      </w:r>
      <w:r w:rsidR="004A6E0F" w:rsidRPr="001B0466">
        <w:rPr>
          <w:rFonts w:cs="Arial"/>
        </w:rPr>
        <w:t xml:space="preserve"> develop insight into their actions and are less incline</w:t>
      </w:r>
      <w:r w:rsidR="00AC48DA" w:rsidRPr="001B0466">
        <w:rPr>
          <w:rFonts w:cs="Arial"/>
        </w:rPr>
        <w:t>d</w:t>
      </w:r>
      <w:r w:rsidRPr="001B0466">
        <w:rPr>
          <w:rFonts w:cs="Arial"/>
        </w:rPr>
        <w:t xml:space="preserve"> to change their behaviours</w:t>
      </w:r>
      <w:r w:rsidR="00CD0A5A" w:rsidRPr="001B0466">
        <w:rPr>
          <w:rFonts w:cs="Arial"/>
        </w:rPr>
        <w:t xml:space="preserve">. </w:t>
      </w:r>
      <w:r w:rsidR="00926217" w:rsidRPr="001B0466">
        <w:rPr>
          <w:rFonts w:cs="Arial"/>
        </w:rPr>
        <w:t>The nuanced decision</w:t>
      </w:r>
      <w:r w:rsidR="005D3FB2" w:rsidRPr="001B0466">
        <w:rPr>
          <w:rFonts w:cs="Arial"/>
        </w:rPr>
        <w:t>-</w:t>
      </w:r>
      <w:r w:rsidR="00926217" w:rsidRPr="001B0466">
        <w:rPr>
          <w:rFonts w:cs="Arial"/>
        </w:rPr>
        <w:t xml:space="preserve">making of Commissioners </w:t>
      </w:r>
      <w:r w:rsidR="00B32DC9" w:rsidRPr="001B0466">
        <w:rPr>
          <w:rFonts w:cs="Arial"/>
        </w:rPr>
        <w:t xml:space="preserve">for these clients may include </w:t>
      </w:r>
      <w:r w:rsidR="00660953" w:rsidRPr="001B0466">
        <w:rPr>
          <w:rFonts w:cs="Arial"/>
        </w:rPr>
        <w:t>(</w:t>
      </w:r>
      <w:r w:rsidR="00CC5894" w:rsidRPr="001B0466">
        <w:rPr>
          <w:rFonts w:cs="Arial"/>
        </w:rPr>
        <w:t>as an option of last resort</w:t>
      </w:r>
      <w:r w:rsidR="00660953" w:rsidRPr="001B0466">
        <w:rPr>
          <w:rFonts w:cs="Arial"/>
        </w:rPr>
        <w:t>)</w:t>
      </w:r>
      <w:r w:rsidR="00CC5894" w:rsidRPr="001B0466">
        <w:rPr>
          <w:rFonts w:cs="Arial"/>
        </w:rPr>
        <w:t xml:space="preserve"> </w:t>
      </w:r>
      <w:r w:rsidR="00926217" w:rsidRPr="001B0466">
        <w:t xml:space="preserve">a decision </w:t>
      </w:r>
      <w:r w:rsidR="00B32DC9" w:rsidRPr="001B0466">
        <w:t>to income manage the client</w:t>
      </w:r>
      <w:r w:rsidR="00660953" w:rsidRPr="001B0466">
        <w:t>. These orders are issued</w:t>
      </w:r>
      <w:r w:rsidR="00B32DC9" w:rsidRPr="001B0466">
        <w:t xml:space="preserve"> </w:t>
      </w:r>
      <w:r w:rsidR="00926217" w:rsidRPr="001B0466">
        <w:t xml:space="preserve">as a </w:t>
      </w:r>
      <w:r w:rsidR="00B32DC9" w:rsidRPr="001B0466">
        <w:t xml:space="preserve">means of </w:t>
      </w:r>
      <w:r w:rsidR="00926217" w:rsidRPr="001B0466">
        <w:t>hold</w:t>
      </w:r>
      <w:r w:rsidR="00B32DC9" w:rsidRPr="001B0466">
        <w:t>ing</w:t>
      </w:r>
      <w:r w:rsidR="00926217" w:rsidRPr="001B0466">
        <w:t xml:space="preserve"> the clients to account (and </w:t>
      </w:r>
      <w:r w:rsidR="00B32DC9" w:rsidRPr="001B0466">
        <w:t xml:space="preserve">to create some </w:t>
      </w:r>
      <w:r w:rsidR="00926217" w:rsidRPr="001B0466">
        <w:t>stabili</w:t>
      </w:r>
      <w:r w:rsidR="00B32DC9" w:rsidRPr="001B0466">
        <w:t>ty in</w:t>
      </w:r>
      <w:r w:rsidR="00926217" w:rsidRPr="001B0466">
        <w:t xml:space="preserve"> their lives, </w:t>
      </w:r>
      <w:r w:rsidR="00B32DC9" w:rsidRPr="001B0466">
        <w:t xml:space="preserve">particularly </w:t>
      </w:r>
      <w:r w:rsidR="00926217" w:rsidRPr="001B0466">
        <w:t>if they are responsible for children).</w:t>
      </w:r>
      <w:bookmarkEnd w:id="17"/>
      <w:r w:rsidR="002522F2">
        <w:t xml:space="preserve"> </w:t>
      </w:r>
      <w:r w:rsidR="00CD0A5A" w:rsidRPr="001B0466">
        <w:rPr>
          <w:rFonts w:cs="Arial"/>
        </w:rPr>
        <w:t>T</w:t>
      </w:r>
      <w:r w:rsidR="005F330D" w:rsidRPr="001B0466">
        <w:rPr>
          <w:rFonts w:cs="Arial"/>
        </w:rPr>
        <w:t xml:space="preserve">he Commissioners have made the following </w:t>
      </w:r>
      <w:r w:rsidR="001E3C39" w:rsidRPr="001B0466">
        <w:rPr>
          <w:rFonts w:cs="Arial"/>
        </w:rPr>
        <w:t xml:space="preserve">decisions </w:t>
      </w:r>
      <w:r w:rsidR="005F330D" w:rsidRPr="001B0466">
        <w:rPr>
          <w:rFonts w:cs="Arial"/>
        </w:rPr>
        <w:t xml:space="preserve">in </w:t>
      </w:r>
      <w:r w:rsidR="004D5CBF" w:rsidRPr="001B0466">
        <w:rPr>
          <w:rFonts w:cs="Arial"/>
        </w:rPr>
        <w:t xml:space="preserve">conference for </w:t>
      </w:r>
      <w:r w:rsidR="005F330D" w:rsidRPr="001B0466">
        <w:rPr>
          <w:rFonts w:cs="Arial"/>
        </w:rPr>
        <w:t xml:space="preserve">those </w:t>
      </w:r>
      <w:r w:rsidR="004D5CBF" w:rsidRPr="001B0466">
        <w:t xml:space="preserve">recalcitrant </w:t>
      </w:r>
      <w:r w:rsidR="004D5CBF" w:rsidRPr="001B0466">
        <w:rPr>
          <w:rFonts w:cs="Arial"/>
        </w:rPr>
        <w:t>clients who refuse to change their behaviour</w:t>
      </w:r>
      <w:r w:rsidR="005F330D" w:rsidRPr="001B0466">
        <w:rPr>
          <w:rFonts w:cs="Arial"/>
        </w:rPr>
        <w:t>:</w:t>
      </w:r>
    </w:p>
    <w:p w14:paraId="0D7D4F20" w14:textId="3084A686" w:rsidR="0099478F" w:rsidRPr="001B0466" w:rsidRDefault="0099478F" w:rsidP="005D6EF0">
      <w:pPr>
        <w:tabs>
          <w:tab w:val="decimal" w:pos="284"/>
        </w:tabs>
        <w:ind w:left="-142" w:right="-425"/>
        <w:jc w:val="both"/>
        <w:rPr>
          <w:rFonts w:cs="Arial"/>
        </w:rPr>
      </w:pPr>
    </w:p>
    <w:p w14:paraId="431EED9F" w14:textId="5BF5CB8F" w:rsidR="007B1F5A" w:rsidRPr="001B0466" w:rsidRDefault="00B43DA5" w:rsidP="007B1F5A">
      <w:pPr>
        <w:tabs>
          <w:tab w:val="decimal" w:pos="720"/>
        </w:tabs>
        <w:ind w:left="-142" w:right="-425"/>
        <w:jc w:val="both"/>
        <w:rPr>
          <w:rFonts w:cs="Arial"/>
        </w:rPr>
      </w:pPr>
      <w:r w:rsidRPr="001B0466">
        <w:rPr>
          <w:rFonts w:cs="Arial"/>
        </w:rPr>
        <w:tab/>
      </w:r>
      <w:r w:rsidR="00B53B44">
        <w:rPr>
          <w:rFonts w:cs="Arial"/>
        </w:rPr>
        <w:t>1</w:t>
      </w:r>
      <w:r w:rsidR="00505590">
        <w:rPr>
          <w:rFonts w:cs="Arial"/>
        </w:rPr>
        <w:t>5.5</w:t>
      </w:r>
      <w:r w:rsidR="00E965BF">
        <w:rPr>
          <w:rFonts w:cs="Arial"/>
        </w:rPr>
        <w:t>%</w:t>
      </w:r>
      <w:r w:rsidR="007B1F5A" w:rsidRPr="001B0466">
        <w:rPr>
          <w:rFonts w:cs="Arial"/>
        </w:rPr>
        <w:t xml:space="preserve"> of clients </w:t>
      </w:r>
      <w:r w:rsidR="007B1F5A" w:rsidRPr="001B0466">
        <w:rPr>
          <w:lang w:val="en-US"/>
        </w:rPr>
        <w:t xml:space="preserve">were ordered to attend a support service under a case </w:t>
      </w:r>
      <w:proofErr w:type="gramStart"/>
      <w:r w:rsidR="007B1F5A" w:rsidRPr="001B0466">
        <w:rPr>
          <w:lang w:val="en-US"/>
        </w:rPr>
        <w:t>plan;</w:t>
      </w:r>
      <w:proofErr w:type="gramEnd"/>
    </w:p>
    <w:p w14:paraId="039AEB9E" w14:textId="139674E2" w:rsidR="00EB52B2" w:rsidRPr="001B0466" w:rsidRDefault="007B1F5A" w:rsidP="00EB52B2">
      <w:pPr>
        <w:tabs>
          <w:tab w:val="decimal" w:pos="720"/>
        </w:tabs>
        <w:ind w:left="-142" w:right="-425"/>
        <w:jc w:val="both"/>
        <w:rPr>
          <w:rFonts w:cs="Arial"/>
        </w:rPr>
      </w:pPr>
      <w:r w:rsidRPr="001B0466">
        <w:rPr>
          <w:rFonts w:cs="Arial"/>
        </w:rPr>
        <w:tab/>
      </w:r>
      <w:r w:rsidR="00505590">
        <w:rPr>
          <w:rFonts w:cs="Arial"/>
        </w:rPr>
        <w:t>3.9</w:t>
      </w:r>
      <w:r w:rsidR="00E965BF">
        <w:rPr>
          <w:rFonts w:cs="Arial"/>
        </w:rPr>
        <w:t>%</w:t>
      </w:r>
      <w:r w:rsidR="00EB52B2" w:rsidRPr="001B0466">
        <w:rPr>
          <w:rFonts w:cs="Arial"/>
        </w:rPr>
        <w:t xml:space="preserve"> of clients </w:t>
      </w:r>
      <w:r w:rsidR="00EB52B2" w:rsidRPr="001B0466">
        <w:rPr>
          <w:lang w:val="en-US"/>
        </w:rPr>
        <w:t xml:space="preserve">were placed on a CIM </w:t>
      </w:r>
      <w:proofErr w:type="gramStart"/>
      <w:r w:rsidR="00EB52B2" w:rsidRPr="001B0466">
        <w:rPr>
          <w:lang w:val="en-US"/>
        </w:rPr>
        <w:t>order</w:t>
      </w:r>
      <w:r w:rsidR="00EB52B2" w:rsidRPr="001B0466">
        <w:rPr>
          <w:rFonts w:cs="Arial"/>
        </w:rPr>
        <w:t>;</w:t>
      </w:r>
      <w:proofErr w:type="gramEnd"/>
    </w:p>
    <w:p w14:paraId="19F8E19F" w14:textId="556180CC" w:rsidR="00334048" w:rsidRPr="005C0A9F" w:rsidRDefault="001B3846" w:rsidP="00334048">
      <w:pPr>
        <w:tabs>
          <w:tab w:val="decimal" w:pos="720"/>
        </w:tabs>
        <w:ind w:left="-142" w:right="-425"/>
        <w:jc w:val="both"/>
        <w:rPr>
          <w:rFonts w:cs="Arial"/>
        </w:rPr>
      </w:pPr>
      <w:r w:rsidRPr="001B0466">
        <w:rPr>
          <w:rFonts w:cs="Arial"/>
        </w:rPr>
        <w:tab/>
      </w:r>
      <w:r w:rsidR="00505590">
        <w:rPr>
          <w:rFonts w:cs="Arial"/>
        </w:rPr>
        <w:t>1.4</w:t>
      </w:r>
      <w:r w:rsidR="00E965BF">
        <w:rPr>
          <w:rFonts w:cs="Arial"/>
        </w:rPr>
        <w:t>%</w:t>
      </w:r>
      <w:r w:rsidR="00334048" w:rsidRPr="001B0466">
        <w:rPr>
          <w:rFonts w:cs="Arial"/>
        </w:rPr>
        <w:t xml:space="preserve"> of clients </w:t>
      </w:r>
      <w:r w:rsidR="00334048" w:rsidRPr="001B0466">
        <w:rPr>
          <w:lang w:val="en-US"/>
        </w:rPr>
        <w:t>were placed on a CIM order and ordered to attend a support service</w:t>
      </w:r>
      <w:r w:rsidR="00B43DA5" w:rsidRPr="001B0466">
        <w:rPr>
          <w:lang w:val="en-US"/>
        </w:rPr>
        <w:t>.</w:t>
      </w:r>
    </w:p>
    <w:p w14:paraId="218C2B05" w14:textId="50F7BA61" w:rsidR="00334048" w:rsidRPr="009C6D45" w:rsidRDefault="00334048" w:rsidP="009F26E9">
      <w:pPr>
        <w:tabs>
          <w:tab w:val="decimal" w:pos="284"/>
        </w:tabs>
        <w:ind w:left="-142" w:right="-425"/>
        <w:jc w:val="both"/>
        <w:rPr>
          <w:rFonts w:cs="Arial"/>
        </w:rPr>
      </w:pPr>
    </w:p>
    <w:bookmarkEnd w:id="16"/>
    <w:p w14:paraId="01840B62" w14:textId="0D7AB33E" w:rsidR="00986092" w:rsidRPr="00143FBB" w:rsidRDefault="00986092" w:rsidP="004D5B34">
      <w:pPr>
        <w:pStyle w:val="Heading2"/>
      </w:pPr>
      <w:r w:rsidRPr="00143FBB">
        <w:t>Notices</w:t>
      </w:r>
    </w:p>
    <w:p w14:paraId="41B569DF" w14:textId="51D94BEC"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413FAC">
        <w:rPr>
          <w:rFonts w:cs="Arial"/>
        </w:rPr>
        <w:t>59</w:t>
      </w:r>
      <w:r w:rsidR="00F15C75"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3D78AF">
        <w:rPr>
          <w:rFonts w:cs="Arial"/>
        </w:rPr>
        <w:t>2,</w:t>
      </w:r>
      <w:r w:rsidR="00505590">
        <w:rPr>
          <w:rFonts w:cs="Arial"/>
        </w:rPr>
        <w:t>3</w:t>
      </w:r>
      <w:r w:rsidR="004275D1">
        <w:rPr>
          <w:rFonts w:cs="Arial"/>
        </w:rPr>
        <w:t>90</w:t>
      </w:r>
      <w:r w:rsidR="00E31BD5" w:rsidRPr="006042AF">
        <w:rPr>
          <w:rFonts w:cs="Arial"/>
        </w:rPr>
        <w:t xml:space="preserve"> </w:t>
      </w:r>
      <w:r w:rsidRPr="006042AF">
        <w:rPr>
          <w:rFonts w:cs="Arial"/>
        </w:rPr>
        <w:t>agency notices</w:t>
      </w:r>
      <w:r w:rsidRPr="006042AF">
        <w:rPr>
          <w:rFonts w:cs="Arial"/>
          <w:vertAlign w:val="superscript"/>
        </w:rPr>
        <w:footnoteReference w:id="8"/>
      </w:r>
      <w:r w:rsidR="00CE6E33" w:rsidRPr="006042AF">
        <w:rPr>
          <w:rFonts w:cs="Arial"/>
        </w:rPr>
        <w:t xml:space="preserve">. </w:t>
      </w:r>
      <w:r w:rsidRPr="006042AF">
        <w:rPr>
          <w:rFonts w:cs="Arial"/>
        </w:rPr>
        <w:t xml:space="preserve">Some individuals may have been the subject of more than one agency notice. Of that figure </w:t>
      </w:r>
      <w:r w:rsidR="003D78AF">
        <w:rPr>
          <w:rFonts w:cs="Arial"/>
        </w:rPr>
        <w:t>1,</w:t>
      </w:r>
      <w:r w:rsidR="00505590">
        <w:rPr>
          <w:rFonts w:cs="Arial"/>
        </w:rPr>
        <w:t>61</w:t>
      </w:r>
      <w:r w:rsidR="004275D1">
        <w:rPr>
          <w:rFonts w:cs="Arial"/>
        </w:rPr>
        <w:t>4</w:t>
      </w:r>
      <w:r w:rsidR="005174DF" w:rsidRPr="006042AF">
        <w:rPr>
          <w:rFonts w:cs="Arial"/>
        </w:rPr>
        <w:t xml:space="preserve"> </w:t>
      </w:r>
      <w:r w:rsidRPr="006042AF">
        <w:rPr>
          <w:rFonts w:cs="Arial"/>
        </w:rPr>
        <w:t>notices (</w:t>
      </w:r>
      <w:r w:rsidR="00505590">
        <w:rPr>
          <w:rFonts w:cs="Arial"/>
        </w:rPr>
        <w:t>68</w:t>
      </w:r>
      <w:r w:rsidR="00E965BF">
        <w:rPr>
          <w:rFonts w:cs="Arial"/>
        </w:rPr>
        <w:t>%</w:t>
      </w:r>
      <w:r w:rsidRPr="006042AF">
        <w:rPr>
          <w:rFonts w:cs="Arial"/>
        </w:rPr>
        <w:t>)</w:t>
      </w:r>
      <w:r w:rsidR="00F257B3" w:rsidRPr="006042AF">
        <w:rPr>
          <w:rFonts w:cs="Arial"/>
        </w:rPr>
        <w:t xml:space="preserve"> relating to </w:t>
      </w:r>
      <w:r w:rsidR="00505590">
        <w:rPr>
          <w:rFonts w:cs="Arial"/>
        </w:rPr>
        <w:t>787</w:t>
      </w:r>
      <w:r w:rsidR="00505590"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505590">
        <w:rPr>
          <w:rFonts w:cs="Arial"/>
        </w:rPr>
        <w:t>77</w:t>
      </w:r>
      <w:r w:rsidR="00AC5E51">
        <w:rPr>
          <w:rFonts w:cs="Arial"/>
        </w:rPr>
        <w:t>6</w:t>
      </w:r>
      <w:r w:rsidR="00505590">
        <w:rPr>
          <w:rFonts w:cs="Arial"/>
        </w:rPr>
        <w:t xml:space="preserve"> </w:t>
      </w:r>
      <w:r w:rsidRPr="006042AF">
        <w:rPr>
          <w:rFonts w:cs="Arial"/>
        </w:rPr>
        <w:t>notices (</w:t>
      </w:r>
      <w:r w:rsidR="00505590">
        <w:rPr>
          <w:rFonts w:cs="Arial"/>
        </w:rPr>
        <w:t>32</w:t>
      </w:r>
      <w:r w:rsidR="00E965BF">
        <w:rPr>
          <w:rFonts w:cs="Arial"/>
        </w:rPr>
        <w: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510F0CEB" w:rsidR="005A5B78" w:rsidRDefault="00C7128D" w:rsidP="00C7128D">
      <w:pPr>
        <w:spacing w:after="120" w:line="240" w:lineRule="auto"/>
        <w:ind w:right="-425"/>
        <w:rPr>
          <w:rFonts w:cs="Arial"/>
          <w:b/>
        </w:rPr>
      </w:pPr>
      <w:r>
        <w:rPr>
          <w:b/>
          <w:sz w:val="16"/>
          <w:szCs w:val="16"/>
        </w:rPr>
        <w:t xml:space="preserve">Table </w:t>
      </w:r>
      <w:r w:rsidR="00DC6388">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7B7E78">
        <w:rPr>
          <w:sz w:val="16"/>
          <w:szCs w:val="16"/>
        </w:rPr>
        <w:t xml:space="preserve">1 </w:t>
      </w:r>
      <w:r w:rsidR="00413FAC">
        <w:rPr>
          <w:sz w:val="16"/>
          <w:szCs w:val="16"/>
        </w:rPr>
        <w:t>January 2023</w:t>
      </w:r>
      <w:r w:rsidR="00A41820">
        <w:rPr>
          <w:sz w:val="16"/>
          <w:szCs w:val="16"/>
        </w:rPr>
        <w:t xml:space="preserve"> to </w:t>
      </w:r>
      <w:r w:rsidR="007B7E78">
        <w:rPr>
          <w:sz w:val="16"/>
          <w:szCs w:val="16"/>
        </w:rPr>
        <w:t xml:space="preserve">31 </w:t>
      </w:r>
      <w:r w:rsidR="00984BBB">
        <w:rPr>
          <w:sz w:val="16"/>
          <w:szCs w:val="16"/>
        </w:rPr>
        <w:t>March 2023</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9"/>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505590" w:rsidRPr="00650B45" w14:paraId="34AFEA3C"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505590" w:rsidRPr="005E0531" w:rsidRDefault="00505590" w:rsidP="00505590">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3A67D7CC" w:rsidR="00505590" w:rsidRPr="003D78AF" w:rsidRDefault="00505590" w:rsidP="00505590">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3CCE7C62" w:rsidR="00505590" w:rsidRPr="003D78AF" w:rsidRDefault="00505590" w:rsidP="00505590">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58869C2F" w:rsidR="00505590" w:rsidRPr="003D78AF" w:rsidRDefault="00505590" w:rsidP="00505590">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3F229615" w:rsidR="00505590" w:rsidRPr="003D78AF" w:rsidRDefault="00505590" w:rsidP="00505590">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2CE489C2" w:rsidR="00505590" w:rsidRPr="003D78AF" w:rsidRDefault="00505590" w:rsidP="00505590">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5685A10E" w:rsidR="00505590" w:rsidRPr="003D78AF" w:rsidRDefault="00505590" w:rsidP="00505590">
            <w:pPr>
              <w:spacing w:line="240" w:lineRule="auto"/>
              <w:jc w:val="right"/>
              <w:rPr>
                <w:rFonts w:cs="Arial"/>
                <w:b/>
                <w:bCs/>
                <w:lang w:eastAsia="en-AU"/>
              </w:rPr>
            </w:pPr>
            <w:r>
              <w:rPr>
                <w:rFonts w:cs="Arial"/>
                <w:b/>
                <w:bCs/>
              </w:rPr>
              <w:t>0</w:t>
            </w:r>
          </w:p>
        </w:tc>
      </w:tr>
      <w:tr w:rsidR="00505590" w:rsidRPr="00650B45" w14:paraId="440532E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505590" w:rsidRPr="0040594D" w:rsidRDefault="00505590" w:rsidP="00505590">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5F807E29" w:rsidR="00505590" w:rsidRPr="003D78AF" w:rsidRDefault="00505590" w:rsidP="00505590">
            <w:pPr>
              <w:spacing w:line="240" w:lineRule="auto"/>
              <w:jc w:val="right"/>
              <w:rPr>
                <w:rFonts w:cs="Arial"/>
                <w:lang w:eastAsia="en-AU"/>
              </w:rPr>
            </w:pPr>
            <w:r>
              <w:rPr>
                <w:rFonts w:cs="Arial"/>
              </w:rPr>
              <w:t>4</w:t>
            </w:r>
          </w:p>
        </w:tc>
        <w:tc>
          <w:tcPr>
            <w:tcW w:w="850" w:type="dxa"/>
            <w:tcBorders>
              <w:top w:val="nil"/>
              <w:left w:val="nil"/>
              <w:bottom w:val="single" w:sz="4" w:space="0" w:color="auto"/>
              <w:right w:val="single" w:sz="4" w:space="0" w:color="auto"/>
            </w:tcBorders>
            <w:shd w:val="clear" w:color="auto" w:fill="auto"/>
            <w:vAlign w:val="center"/>
          </w:tcPr>
          <w:p w14:paraId="2545D481" w14:textId="5F74D032" w:rsidR="00505590" w:rsidRPr="003D78AF" w:rsidRDefault="00505590" w:rsidP="00505590">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1F63FE2F" w:rsidR="00505590" w:rsidRPr="003D78AF" w:rsidRDefault="00505590" w:rsidP="00505590">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5A1B19C1" w:rsidR="00505590" w:rsidRPr="003D78AF" w:rsidRDefault="00505590" w:rsidP="00505590">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5CB7E24B" w:rsidR="00505590" w:rsidRPr="003D78AF" w:rsidRDefault="00505590" w:rsidP="00505590">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31692A8" w14:textId="157147A4" w:rsidR="00505590" w:rsidRPr="003D78AF" w:rsidRDefault="00505590" w:rsidP="00505590">
            <w:pPr>
              <w:spacing w:line="240" w:lineRule="auto"/>
              <w:jc w:val="right"/>
              <w:rPr>
                <w:rFonts w:cs="Arial"/>
                <w:b/>
                <w:lang w:eastAsia="en-AU"/>
              </w:rPr>
            </w:pPr>
            <w:r>
              <w:rPr>
                <w:rFonts w:cs="Arial"/>
                <w:b/>
                <w:bCs/>
              </w:rPr>
              <w:t>4</w:t>
            </w:r>
          </w:p>
        </w:tc>
      </w:tr>
      <w:tr w:rsidR="00505590" w:rsidRPr="00650B45" w14:paraId="606D952D"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505590" w:rsidRDefault="00505590" w:rsidP="00505590">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35D623BD" w:rsidR="00505590" w:rsidRPr="003D78AF" w:rsidRDefault="00505590" w:rsidP="00505590">
            <w:pPr>
              <w:spacing w:line="240" w:lineRule="auto"/>
              <w:jc w:val="right"/>
              <w:rPr>
                <w:rFonts w:cs="Arial"/>
                <w:lang w:eastAsia="en-AU"/>
              </w:rPr>
            </w:pPr>
            <w:r>
              <w:rPr>
                <w:rFonts w:cs="Arial"/>
              </w:rPr>
              <w:t>405</w:t>
            </w:r>
          </w:p>
        </w:tc>
        <w:tc>
          <w:tcPr>
            <w:tcW w:w="850" w:type="dxa"/>
            <w:tcBorders>
              <w:top w:val="nil"/>
              <w:left w:val="nil"/>
              <w:bottom w:val="single" w:sz="4" w:space="0" w:color="auto"/>
              <w:right w:val="single" w:sz="4" w:space="0" w:color="auto"/>
            </w:tcBorders>
            <w:shd w:val="clear" w:color="auto" w:fill="auto"/>
            <w:vAlign w:val="center"/>
          </w:tcPr>
          <w:p w14:paraId="42DE6DE7" w14:textId="7325D63C" w:rsidR="00505590" w:rsidRPr="003D78AF" w:rsidRDefault="00505590" w:rsidP="00505590">
            <w:pPr>
              <w:spacing w:line="240" w:lineRule="auto"/>
              <w:jc w:val="right"/>
              <w:rPr>
                <w:rFonts w:cs="Arial"/>
                <w:lang w:eastAsia="en-AU"/>
              </w:rPr>
            </w:pPr>
            <w:r>
              <w:rPr>
                <w:rFonts w:cs="Arial"/>
              </w:rPr>
              <w:t>12</w:t>
            </w:r>
          </w:p>
        </w:tc>
        <w:tc>
          <w:tcPr>
            <w:tcW w:w="779" w:type="dxa"/>
            <w:tcBorders>
              <w:top w:val="nil"/>
              <w:left w:val="nil"/>
              <w:bottom w:val="single" w:sz="4" w:space="0" w:color="auto"/>
              <w:right w:val="single" w:sz="4" w:space="0" w:color="auto"/>
            </w:tcBorders>
            <w:vAlign w:val="center"/>
          </w:tcPr>
          <w:p w14:paraId="6A2B0F8E" w14:textId="0D98AE11" w:rsidR="00505590" w:rsidRPr="003D78AF" w:rsidRDefault="00505590" w:rsidP="00505590">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355A75CD" w:rsidR="00505590" w:rsidRPr="003D78AF" w:rsidRDefault="00505590" w:rsidP="00505590">
            <w:pPr>
              <w:spacing w:line="240" w:lineRule="auto"/>
              <w:jc w:val="right"/>
              <w:rPr>
                <w:rFonts w:cs="Arial"/>
                <w:lang w:eastAsia="en-AU"/>
              </w:rPr>
            </w:pPr>
            <w:r>
              <w:rPr>
                <w:rFonts w:cs="Arial"/>
              </w:rPr>
              <w:t>117</w:t>
            </w:r>
          </w:p>
        </w:tc>
        <w:tc>
          <w:tcPr>
            <w:tcW w:w="706" w:type="dxa"/>
            <w:tcBorders>
              <w:top w:val="nil"/>
              <w:left w:val="nil"/>
              <w:bottom w:val="single" w:sz="4" w:space="0" w:color="auto"/>
              <w:right w:val="single" w:sz="4" w:space="0" w:color="auto"/>
            </w:tcBorders>
            <w:vAlign w:val="center"/>
          </w:tcPr>
          <w:p w14:paraId="635B50F1" w14:textId="6A661914" w:rsidR="00505590" w:rsidRPr="003D78AF" w:rsidRDefault="00505590" w:rsidP="00505590">
            <w:pPr>
              <w:spacing w:line="240" w:lineRule="auto"/>
              <w:jc w:val="right"/>
              <w:rPr>
                <w:rFonts w:cs="Arial"/>
                <w:lang w:eastAsia="en-AU"/>
              </w:rPr>
            </w:pPr>
            <w:r>
              <w:rPr>
                <w:rFonts w:cs="Arial"/>
              </w:rPr>
              <w:t>20</w:t>
            </w:r>
          </w:p>
        </w:tc>
        <w:tc>
          <w:tcPr>
            <w:tcW w:w="849" w:type="dxa"/>
            <w:tcBorders>
              <w:top w:val="nil"/>
              <w:left w:val="nil"/>
              <w:bottom w:val="single" w:sz="4" w:space="0" w:color="auto"/>
              <w:right w:val="single" w:sz="4" w:space="0" w:color="auto"/>
            </w:tcBorders>
            <w:vAlign w:val="center"/>
          </w:tcPr>
          <w:p w14:paraId="413D1C25" w14:textId="69DD0BC6" w:rsidR="00505590" w:rsidRPr="003D78AF" w:rsidRDefault="00505590" w:rsidP="00505590">
            <w:pPr>
              <w:spacing w:line="240" w:lineRule="auto"/>
              <w:jc w:val="right"/>
              <w:rPr>
                <w:rFonts w:cs="Arial"/>
                <w:b/>
                <w:lang w:eastAsia="en-AU"/>
              </w:rPr>
            </w:pPr>
            <w:r>
              <w:rPr>
                <w:rFonts w:cs="Arial"/>
                <w:b/>
                <w:bCs/>
              </w:rPr>
              <w:t>554</w:t>
            </w:r>
          </w:p>
        </w:tc>
      </w:tr>
      <w:tr w:rsidR="00505590" w:rsidRPr="00650B45" w14:paraId="326E9032"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505590" w:rsidRDefault="00505590" w:rsidP="00505590">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6019A044" w:rsidR="00505590" w:rsidRPr="003D78AF" w:rsidRDefault="00505590" w:rsidP="00505590">
            <w:pPr>
              <w:spacing w:line="240" w:lineRule="auto"/>
              <w:jc w:val="right"/>
              <w:rPr>
                <w:rFonts w:cs="Arial"/>
                <w:lang w:eastAsia="en-AU"/>
              </w:rPr>
            </w:pPr>
            <w:r>
              <w:rPr>
                <w:rFonts w:cs="Arial"/>
              </w:rPr>
              <w:t>31</w:t>
            </w:r>
          </w:p>
        </w:tc>
        <w:tc>
          <w:tcPr>
            <w:tcW w:w="850" w:type="dxa"/>
            <w:tcBorders>
              <w:top w:val="nil"/>
              <w:left w:val="nil"/>
              <w:bottom w:val="single" w:sz="4" w:space="0" w:color="auto"/>
              <w:right w:val="single" w:sz="4" w:space="0" w:color="auto"/>
            </w:tcBorders>
            <w:shd w:val="clear" w:color="auto" w:fill="auto"/>
            <w:vAlign w:val="center"/>
          </w:tcPr>
          <w:p w14:paraId="1BA99C8E" w14:textId="52263BC6" w:rsidR="00505590" w:rsidRPr="003D78AF" w:rsidRDefault="00505590" w:rsidP="00505590">
            <w:pPr>
              <w:spacing w:line="240" w:lineRule="auto"/>
              <w:jc w:val="right"/>
              <w:rPr>
                <w:rFonts w:cs="Arial"/>
                <w:lang w:eastAsia="en-AU"/>
              </w:rPr>
            </w:pPr>
            <w:r>
              <w:rPr>
                <w:rFonts w:cs="Arial"/>
              </w:rPr>
              <w:t>10</w:t>
            </w:r>
          </w:p>
        </w:tc>
        <w:tc>
          <w:tcPr>
            <w:tcW w:w="779" w:type="dxa"/>
            <w:tcBorders>
              <w:top w:val="nil"/>
              <w:left w:val="nil"/>
              <w:bottom w:val="single" w:sz="4" w:space="0" w:color="auto"/>
              <w:right w:val="single" w:sz="4" w:space="0" w:color="auto"/>
            </w:tcBorders>
            <w:vAlign w:val="center"/>
          </w:tcPr>
          <w:p w14:paraId="54E7A1AA" w14:textId="1FD00A6D" w:rsidR="00505590" w:rsidRPr="003D78AF" w:rsidRDefault="00505590" w:rsidP="00505590">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0B2CB5DE" w:rsidR="00505590" w:rsidRPr="003D78AF" w:rsidRDefault="00505590" w:rsidP="00505590">
            <w:pPr>
              <w:spacing w:line="240" w:lineRule="auto"/>
              <w:jc w:val="right"/>
              <w:rPr>
                <w:rFonts w:cs="Arial"/>
                <w:lang w:eastAsia="en-AU"/>
              </w:rPr>
            </w:pPr>
            <w:r>
              <w:rPr>
                <w:rFonts w:cs="Arial"/>
              </w:rPr>
              <w:t>30</w:t>
            </w:r>
          </w:p>
        </w:tc>
        <w:tc>
          <w:tcPr>
            <w:tcW w:w="706" w:type="dxa"/>
            <w:tcBorders>
              <w:top w:val="nil"/>
              <w:left w:val="nil"/>
              <w:bottom w:val="single" w:sz="4" w:space="0" w:color="auto"/>
              <w:right w:val="single" w:sz="4" w:space="0" w:color="auto"/>
            </w:tcBorders>
            <w:vAlign w:val="center"/>
          </w:tcPr>
          <w:p w14:paraId="772FC04E" w14:textId="4D49B6F3" w:rsidR="00505590" w:rsidRPr="003D78AF" w:rsidRDefault="00505590" w:rsidP="00505590">
            <w:pPr>
              <w:spacing w:line="240" w:lineRule="auto"/>
              <w:jc w:val="right"/>
              <w:rPr>
                <w:rFonts w:cs="Arial"/>
                <w:lang w:eastAsia="en-AU"/>
              </w:rPr>
            </w:pPr>
            <w:r>
              <w:rPr>
                <w:rFonts w:cs="Arial"/>
              </w:rPr>
              <w:t>9</w:t>
            </w:r>
          </w:p>
        </w:tc>
        <w:tc>
          <w:tcPr>
            <w:tcW w:w="849" w:type="dxa"/>
            <w:tcBorders>
              <w:top w:val="nil"/>
              <w:left w:val="nil"/>
              <w:bottom w:val="single" w:sz="4" w:space="0" w:color="auto"/>
              <w:right w:val="single" w:sz="4" w:space="0" w:color="auto"/>
            </w:tcBorders>
            <w:vAlign w:val="center"/>
          </w:tcPr>
          <w:p w14:paraId="7DF1704F" w14:textId="1FFC760D" w:rsidR="00505590" w:rsidRPr="003D78AF" w:rsidRDefault="00505590" w:rsidP="00505590">
            <w:pPr>
              <w:spacing w:line="240" w:lineRule="auto"/>
              <w:jc w:val="right"/>
              <w:rPr>
                <w:rFonts w:cs="Arial"/>
                <w:b/>
                <w:lang w:eastAsia="en-AU"/>
              </w:rPr>
            </w:pPr>
            <w:r>
              <w:rPr>
                <w:rFonts w:cs="Arial"/>
                <w:b/>
                <w:bCs/>
              </w:rPr>
              <w:t>80</w:t>
            </w:r>
          </w:p>
        </w:tc>
      </w:tr>
      <w:tr w:rsidR="00505590" w:rsidRPr="00650B45" w14:paraId="4D04E998"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505590" w:rsidRDefault="00505590" w:rsidP="00505590">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3349882C" w:rsidR="00505590" w:rsidRPr="003D78AF" w:rsidRDefault="00505590" w:rsidP="00505590">
            <w:pPr>
              <w:spacing w:line="240" w:lineRule="auto"/>
              <w:jc w:val="right"/>
              <w:rPr>
                <w:rFonts w:cs="Arial"/>
                <w:lang w:eastAsia="en-AU"/>
              </w:rPr>
            </w:pPr>
            <w:r>
              <w:rPr>
                <w:rFonts w:cs="Arial"/>
              </w:rPr>
              <w:t>63</w:t>
            </w:r>
          </w:p>
        </w:tc>
        <w:tc>
          <w:tcPr>
            <w:tcW w:w="850" w:type="dxa"/>
            <w:tcBorders>
              <w:top w:val="nil"/>
              <w:left w:val="nil"/>
              <w:bottom w:val="single" w:sz="4" w:space="0" w:color="auto"/>
              <w:right w:val="single" w:sz="4" w:space="0" w:color="auto"/>
            </w:tcBorders>
            <w:shd w:val="clear" w:color="auto" w:fill="auto"/>
            <w:vAlign w:val="center"/>
          </w:tcPr>
          <w:p w14:paraId="375C9925" w14:textId="26F9C359" w:rsidR="00505590" w:rsidRPr="003D78AF" w:rsidRDefault="00505590" w:rsidP="00505590">
            <w:pPr>
              <w:spacing w:line="240" w:lineRule="auto"/>
              <w:jc w:val="right"/>
              <w:rPr>
                <w:rFonts w:cs="Arial"/>
                <w:lang w:eastAsia="en-AU"/>
              </w:rPr>
            </w:pPr>
            <w:r>
              <w:rPr>
                <w:rFonts w:cs="Arial"/>
              </w:rPr>
              <w:t>11</w:t>
            </w:r>
          </w:p>
        </w:tc>
        <w:tc>
          <w:tcPr>
            <w:tcW w:w="779" w:type="dxa"/>
            <w:tcBorders>
              <w:top w:val="nil"/>
              <w:left w:val="nil"/>
              <w:bottom w:val="single" w:sz="4" w:space="0" w:color="auto"/>
              <w:right w:val="single" w:sz="4" w:space="0" w:color="auto"/>
            </w:tcBorders>
            <w:vAlign w:val="center"/>
          </w:tcPr>
          <w:p w14:paraId="766C043E" w14:textId="56C7EC1F" w:rsidR="00505590" w:rsidRPr="003D78AF" w:rsidRDefault="00505590" w:rsidP="00505590">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4EBA4358" w:rsidR="00505590" w:rsidRPr="003D78AF" w:rsidRDefault="00505590" w:rsidP="00505590">
            <w:pPr>
              <w:spacing w:line="240" w:lineRule="auto"/>
              <w:jc w:val="right"/>
              <w:rPr>
                <w:rFonts w:cs="Arial"/>
                <w:lang w:eastAsia="en-AU"/>
              </w:rPr>
            </w:pPr>
            <w:r>
              <w:rPr>
                <w:rFonts w:cs="Arial"/>
              </w:rPr>
              <w:t>23</w:t>
            </w:r>
          </w:p>
        </w:tc>
        <w:tc>
          <w:tcPr>
            <w:tcW w:w="706" w:type="dxa"/>
            <w:tcBorders>
              <w:top w:val="nil"/>
              <w:left w:val="nil"/>
              <w:bottom w:val="single" w:sz="4" w:space="0" w:color="auto"/>
              <w:right w:val="single" w:sz="4" w:space="0" w:color="auto"/>
            </w:tcBorders>
            <w:vAlign w:val="center"/>
          </w:tcPr>
          <w:p w14:paraId="76B03AEF" w14:textId="5AB657E4" w:rsidR="00505590" w:rsidRPr="003D78AF" w:rsidRDefault="00505590" w:rsidP="00505590">
            <w:pPr>
              <w:spacing w:line="240" w:lineRule="auto"/>
              <w:jc w:val="right"/>
              <w:rPr>
                <w:rFonts w:cs="Arial"/>
                <w:lang w:eastAsia="en-AU"/>
              </w:rPr>
            </w:pPr>
            <w:r>
              <w:rPr>
                <w:rFonts w:cs="Arial"/>
              </w:rPr>
              <w:t>7</w:t>
            </w:r>
          </w:p>
        </w:tc>
        <w:tc>
          <w:tcPr>
            <w:tcW w:w="849" w:type="dxa"/>
            <w:tcBorders>
              <w:top w:val="nil"/>
              <w:left w:val="nil"/>
              <w:bottom w:val="single" w:sz="4" w:space="0" w:color="auto"/>
              <w:right w:val="single" w:sz="4" w:space="0" w:color="auto"/>
            </w:tcBorders>
            <w:vAlign w:val="center"/>
          </w:tcPr>
          <w:p w14:paraId="61D1E9D8" w14:textId="2056A643" w:rsidR="00505590" w:rsidRPr="003D78AF" w:rsidRDefault="00505590" w:rsidP="00505590">
            <w:pPr>
              <w:spacing w:line="240" w:lineRule="auto"/>
              <w:jc w:val="right"/>
              <w:rPr>
                <w:rFonts w:cs="Arial"/>
                <w:b/>
                <w:lang w:eastAsia="en-AU"/>
              </w:rPr>
            </w:pPr>
            <w:r>
              <w:rPr>
                <w:rFonts w:cs="Arial"/>
                <w:b/>
                <w:bCs/>
              </w:rPr>
              <w:t>104</w:t>
            </w:r>
          </w:p>
        </w:tc>
      </w:tr>
      <w:tr w:rsidR="00505590" w:rsidRPr="00650B45" w14:paraId="725BA5E1"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505590" w:rsidRPr="0040594D" w:rsidRDefault="00505590" w:rsidP="00505590">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3735296A" w:rsidR="00505590" w:rsidRPr="003D78AF" w:rsidRDefault="00505590" w:rsidP="00505590">
            <w:pPr>
              <w:spacing w:line="240" w:lineRule="auto"/>
              <w:jc w:val="right"/>
              <w:rPr>
                <w:rFonts w:cs="Arial"/>
                <w:lang w:eastAsia="en-AU"/>
              </w:rPr>
            </w:pPr>
            <w:r>
              <w:rPr>
                <w:rFonts w:cs="Arial"/>
              </w:rPr>
              <w:t>242</w:t>
            </w:r>
          </w:p>
        </w:tc>
        <w:tc>
          <w:tcPr>
            <w:tcW w:w="850" w:type="dxa"/>
            <w:tcBorders>
              <w:top w:val="nil"/>
              <w:left w:val="nil"/>
              <w:bottom w:val="single" w:sz="4" w:space="0" w:color="auto"/>
              <w:right w:val="single" w:sz="4" w:space="0" w:color="auto"/>
            </w:tcBorders>
            <w:shd w:val="clear" w:color="auto" w:fill="auto"/>
            <w:vAlign w:val="center"/>
          </w:tcPr>
          <w:p w14:paraId="5D2BA765" w14:textId="0D828F84" w:rsidR="00505590" w:rsidRPr="003D78AF" w:rsidRDefault="00505590" w:rsidP="00505590">
            <w:pPr>
              <w:spacing w:line="240" w:lineRule="auto"/>
              <w:jc w:val="right"/>
              <w:rPr>
                <w:rFonts w:cs="Arial"/>
                <w:lang w:eastAsia="en-AU"/>
              </w:rPr>
            </w:pPr>
            <w:r>
              <w:rPr>
                <w:rFonts w:cs="Arial"/>
              </w:rPr>
              <w:t>3</w:t>
            </w:r>
          </w:p>
        </w:tc>
        <w:tc>
          <w:tcPr>
            <w:tcW w:w="779" w:type="dxa"/>
            <w:tcBorders>
              <w:top w:val="nil"/>
              <w:left w:val="nil"/>
              <w:bottom w:val="single" w:sz="4" w:space="0" w:color="auto"/>
              <w:right w:val="single" w:sz="4" w:space="0" w:color="auto"/>
            </w:tcBorders>
            <w:vAlign w:val="center"/>
          </w:tcPr>
          <w:p w14:paraId="6EC1BDB5" w14:textId="64C883C8" w:rsidR="00505590" w:rsidRPr="003D78AF" w:rsidRDefault="00505590" w:rsidP="00505590">
            <w:pPr>
              <w:spacing w:line="240" w:lineRule="auto"/>
              <w:jc w:val="right"/>
              <w:rPr>
                <w:rFonts w:cs="Arial"/>
                <w:lang w:eastAsia="en-AU"/>
              </w:rPr>
            </w:pPr>
            <w:r>
              <w:rPr>
                <w:rFonts w:cs="Arial"/>
              </w:rPr>
              <w:t>347</w:t>
            </w:r>
          </w:p>
        </w:tc>
        <w:tc>
          <w:tcPr>
            <w:tcW w:w="643" w:type="dxa"/>
            <w:tcBorders>
              <w:top w:val="nil"/>
              <w:left w:val="nil"/>
              <w:bottom w:val="single" w:sz="4" w:space="0" w:color="auto"/>
              <w:right w:val="single" w:sz="4" w:space="0" w:color="auto"/>
            </w:tcBorders>
            <w:vAlign w:val="center"/>
          </w:tcPr>
          <w:p w14:paraId="1997B7CD" w14:textId="7B747EC6" w:rsidR="00505590" w:rsidRPr="003D78AF" w:rsidRDefault="00505590" w:rsidP="00505590">
            <w:pPr>
              <w:spacing w:line="240" w:lineRule="auto"/>
              <w:jc w:val="right"/>
              <w:rPr>
                <w:rFonts w:cs="Arial"/>
                <w:lang w:eastAsia="en-AU"/>
              </w:rPr>
            </w:pPr>
            <w:r>
              <w:rPr>
                <w:rFonts w:cs="Arial"/>
              </w:rPr>
              <w:t>128</w:t>
            </w:r>
          </w:p>
        </w:tc>
        <w:tc>
          <w:tcPr>
            <w:tcW w:w="706" w:type="dxa"/>
            <w:tcBorders>
              <w:top w:val="nil"/>
              <w:left w:val="nil"/>
              <w:bottom w:val="single" w:sz="4" w:space="0" w:color="auto"/>
              <w:right w:val="single" w:sz="4" w:space="0" w:color="auto"/>
            </w:tcBorders>
            <w:vAlign w:val="center"/>
          </w:tcPr>
          <w:p w14:paraId="6C72EE70" w14:textId="3F305A15" w:rsidR="00505590" w:rsidRPr="003D78AF" w:rsidRDefault="00505590" w:rsidP="00505590">
            <w:pPr>
              <w:spacing w:line="240" w:lineRule="auto"/>
              <w:jc w:val="right"/>
              <w:rPr>
                <w:rFonts w:cs="Arial"/>
                <w:lang w:eastAsia="en-AU"/>
              </w:rPr>
            </w:pPr>
            <w:r>
              <w:rPr>
                <w:rFonts w:cs="Arial"/>
              </w:rPr>
              <w:t>31</w:t>
            </w:r>
          </w:p>
        </w:tc>
        <w:tc>
          <w:tcPr>
            <w:tcW w:w="849" w:type="dxa"/>
            <w:tcBorders>
              <w:top w:val="nil"/>
              <w:left w:val="nil"/>
              <w:bottom w:val="single" w:sz="4" w:space="0" w:color="auto"/>
              <w:right w:val="single" w:sz="4" w:space="0" w:color="auto"/>
            </w:tcBorders>
            <w:vAlign w:val="center"/>
          </w:tcPr>
          <w:p w14:paraId="10323D05" w14:textId="3CFC9DB0" w:rsidR="00505590" w:rsidRPr="003D78AF" w:rsidRDefault="00505590" w:rsidP="00505590">
            <w:pPr>
              <w:spacing w:line="240" w:lineRule="auto"/>
              <w:jc w:val="right"/>
              <w:rPr>
                <w:rFonts w:cs="Arial"/>
                <w:b/>
                <w:lang w:eastAsia="en-AU"/>
              </w:rPr>
            </w:pPr>
            <w:r>
              <w:rPr>
                <w:rFonts w:cs="Arial"/>
                <w:b/>
                <w:bCs/>
              </w:rPr>
              <w:t>751</w:t>
            </w:r>
          </w:p>
        </w:tc>
      </w:tr>
      <w:tr w:rsidR="00505590" w:rsidRPr="00650B45" w14:paraId="427883C4"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505590" w:rsidRPr="0040594D" w:rsidRDefault="00505590" w:rsidP="00505590">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423A3C68" w:rsidR="00505590" w:rsidRPr="003D78AF" w:rsidRDefault="00505590" w:rsidP="00505590">
            <w:pPr>
              <w:spacing w:line="240" w:lineRule="auto"/>
              <w:jc w:val="right"/>
              <w:rPr>
                <w:rFonts w:cs="Arial"/>
                <w:lang w:eastAsia="en-AU"/>
              </w:rPr>
            </w:pPr>
            <w:r>
              <w:rPr>
                <w:rFonts w:cs="Arial"/>
              </w:rPr>
              <w:t>2</w:t>
            </w:r>
          </w:p>
        </w:tc>
        <w:tc>
          <w:tcPr>
            <w:tcW w:w="850" w:type="dxa"/>
            <w:tcBorders>
              <w:top w:val="nil"/>
              <w:left w:val="nil"/>
              <w:bottom w:val="single" w:sz="4" w:space="0" w:color="auto"/>
              <w:right w:val="single" w:sz="4" w:space="0" w:color="auto"/>
            </w:tcBorders>
            <w:shd w:val="clear" w:color="auto" w:fill="auto"/>
            <w:vAlign w:val="center"/>
          </w:tcPr>
          <w:p w14:paraId="2010BAC3" w14:textId="4F2C48F5" w:rsidR="00505590" w:rsidRPr="003D78AF" w:rsidRDefault="00505590" w:rsidP="00505590">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3CD99817" w14:textId="70F7BD69" w:rsidR="00505590" w:rsidRPr="003D78AF" w:rsidRDefault="00505590" w:rsidP="00505590">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02AC8E9D" w14:textId="6B2A6040" w:rsidR="00505590" w:rsidRPr="003D78AF" w:rsidRDefault="00505590" w:rsidP="00505590">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30E7D1DC" w14:textId="53BB61DF" w:rsidR="00505590" w:rsidRPr="003D78AF" w:rsidRDefault="00505590" w:rsidP="00505590">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56A69422" w:rsidR="00505590" w:rsidRPr="003D78AF" w:rsidRDefault="00505590" w:rsidP="00505590">
            <w:pPr>
              <w:spacing w:line="240" w:lineRule="auto"/>
              <w:jc w:val="right"/>
              <w:rPr>
                <w:rFonts w:cs="Arial"/>
                <w:b/>
                <w:lang w:eastAsia="en-AU"/>
              </w:rPr>
            </w:pPr>
            <w:r>
              <w:rPr>
                <w:rFonts w:cs="Arial"/>
                <w:b/>
                <w:bCs/>
              </w:rPr>
              <w:t>2</w:t>
            </w:r>
          </w:p>
        </w:tc>
      </w:tr>
      <w:tr w:rsidR="00505590" w:rsidRPr="00650B45" w14:paraId="626FFFAF"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505590" w:rsidRPr="00371BE2" w:rsidRDefault="00505590" w:rsidP="00505590">
            <w:pPr>
              <w:spacing w:line="240" w:lineRule="auto"/>
              <w:rPr>
                <w:rFonts w:cs="Arial"/>
                <w:lang w:eastAsia="en-AU"/>
              </w:rPr>
            </w:pPr>
            <w:bookmarkStart w:id="18"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4F8DBA50" w:rsidR="00505590" w:rsidRPr="003D78AF" w:rsidRDefault="00505590" w:rsidP="00505590">
            <w:pPr>
              <w:spacing w:line="240" w:lineRule="auto"/>
              <w:jc w:val="right"/>
              <w:rPr>
                <w:rFonts w:cs="Arial"/>
                <w:lang w:eastAsia="en-AU"/>
              </w:rPr>
            </w:pPr>
            <w:r>
              <w:rPr>
                <w:rFonts w:cs="Arial"/>
              </w:rPr>
              <w:t> </w:t>
            </w:r>
          </w:p>
        </w:tc>
        <w:tc>
          <w:tcPr>
            <w:tcW w:w="850" w:type="dxa"/>
            <w:tcBorders>
              <w:top w:val="nil"/>
              <w:left w:val="nil"/>
              <w:bottom w:val="single" w:sz="4" w:space="0" w:color="auto"/>
              <w:right w:val="single" w:sz="4" w:space="0" w:color="auto"/>
            </w:tcBorders>
            <w:shd w:val="clear" w:color="auto" w:fill="auto"/>
            <w:vAlign w:val="center"/>
          </w:tcPr>
          <w:p w14:paraId="68D714D8" w14:textId="0B31605D" w:rsidR="00505590" w:rsidRPr="003D78AF" w:rsidRDefault="00505590" w:rsidP="00505590">
            <w:pPr>
              <w:spacing w:line="240" w:lineRule="auto"/>
              <w:jc w:val="right"/>
              <w:rPr>
                <w:rFonts w:cs="Arial"/>
                <w:lang w:eastAsia="en-AU"/>
              </w:rPr>
            </w:pPr>
            <w:r>
              <w:rPr>
                <w:rFonts w:cs="Arial"/>
              </w:rPr>
              <w:t> </w:t>
            </w:r>
          </w:p>
        </w:tc>
        <w:tc>
          <w:tcPr>
            <w:tcW w:w="779" w:type="dxa"/>
            <w:tcBorders>
              <w:top w:val="nil"/>
              <w:left w:val="nil"/>
              <w:bottom w:val="single" w:sz="4" w:space="0" w:color="auto"/>
              <w:right w:val="single" w:sz="4" w:space="0" w:color="auto"/>
            </w:tcBorders>
            <w:vAlign w:val="center"/>
          </w:tcPr>
          <w:p w14:paraId="1E479E1A" w14:textId="004A8656" w:rsidR="00505590" w:rsidRPr="003D78AF" w:rsidRDefault="00505590" w:rsidP="00505590">
            <w:pPr>
              <w:spacing w:line="240" w:lineRule="auto"/>
              <w:jc w:val="right"/>
              <w:rPr>
                <w:rFonts w:cs="Arial"/>
                <w:lang w:eastAsia="en-AU"/>
              </w:rPr>
            </w:pPr>
            <w:r>
              <w:rPr>
                <w:rFonts w:cs="Arial"/>
              </w:rPr>
              <w:t> </w:t>
            </w:r>
          </w:p>
        </w:tc>
        <w:tc>
          <w:tcPr>
            <w:tcW w:w="643" w:type="dxa"/>
            <w:tcBorders>
              <w:top w:val="nil"/>
              <w:left w:val="nil"/>
              <w:bottom w:val="single" w:sz="4" w:space="0" w:color="auto"/>
              <w:right w:val="single" w:sz="4" w:space="0" w:color="auto"/>
            </w:tcBorders>
            <w:vAlign w:val="center"/>
          </w:tcPr>
          <w:p w14:paraId="3C891A0C" w14:textId="46104DB6" w:rsidR="00505590" w:rsidRPr="003D78AF" w:rsidRDefault="00505590" w:rsidP="00505590">
            <w:pPr>
              <w:spacing w:line="240" w:lineRule="auto"/>
              <w:jc w:val="right"/>
              <w:rPr>
                <w:rFonts w:cs="Arial"/>
                <w:lang w:eastAsia="en-AU"/>
              </w:rPr>
            </w:pPr>
            <w:r>
              <w:rPr>
                <w:rFonts w:cs="Arial"/>
              </w:rPr>
              <w:t> </w:t>
            </w:r>
          </w:p>
        </w:tc>
        <w:tc>
          <w:tcPr>
            <w:tcW w:w="706" w:type="dxa"/>
            <w:tcBorders>
              <w:top w:val="nil"/>
              <w:left w:val="nil"/>
              <w:bottom w:val="single" w:sz="4" w:space="0" w:color="auto"/>
              <w:right w:val="single" w:sz="4" w:space="0" w:color="auto"/>
            </w:tcBorders>
            <w:vAlign w:val="center"/>
          </w:tcPr>
          <w:p w14:paraId="72B90696" w14:textId="7A8208FF" w:rsidR="00505590" w:rsidRPr="003D78AF" w:rsidRDefault="00505590" w:rsidP="00505590">
            <w:pPr>
              <w:spacing w:line="240" w:lineRule="auto"/>
              <w:jc w:val="right"/>
              <w:rPr>
                <w:rFonts w:cs="Arial"/>
                <w:lang w:eastAsia="en-AU"/>
              </w:rPr>
            </w:pPr>
            <w:r>
              <w:rPr>
                <w:rFonts w:cs="Arial"/>
              </w:rPr>
              <w:t> </w:t>
            </w:r>
          </w:p>
        </w:tc>
        <w:tc>
          <w:tcPr>
            <w:tcW w:w="849" w:type="dxa"/>
            <w:tcBorders>
              <w:top w:val="nil"/>
              <w:left w:val="nil"/>
              <w:bottom w:val="single" w:sz="4" w:space="0" w:color="auto"/>
              <w:right w:val="single" w:sz="4" w:space="0" w:color="auto"/>
            </w:tcBorders>
            <w:vAlign w:val="center"/>
          </w:tcPr>
          <w:p w14:paraId="3F3EAC97" w14:textId="69A00A9B" w:rsidR="00505590" w:rsidRPr="003D78AF" w:rsidRDefault="00505590" w:rsidP="00505590">
            <w:pPr>
              <w:spacing w:line="240" w:lineRule="auto"/>
              <w:jc w:val="right"/>
              <w:rPr>
                <w:rFonts w:cs="Arial"/>
                <w:b/>
                <w:lang w:eastAsia="en-AU"/>
              </w:rPr>
            </w:pPr>
            <w:r>
              <w:rPr>
                <w:rFonts w:cs="Arial"/>
                <w:b/>
                <w:bCs/>
              </w:rPr>
              <w:t> </w:t>
            </w:r>
          </w:p>
        </w:tc>
      </w:tr>
      <w:bookmarkEnd w:id="18"/>
      <w:tr w:rsidR="00505590" w:rsidRPr="00650B45" w14:paraId="1804ED4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505590" w:rsidRPr="00371BE2" w:rsidRDefault="00505590" w:rsidP="00505590">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3BC3D2C5" w:rsidR="00505590" w:rsidRPr="003D78AF" w:rsidRDefault="00505590" w:rsidP="00505590">
            <w:pPr>
              <w:spacing w:line="240" w:lineRule="auto"/>
              <w:jc w:val="right"/>
              <w:rPr>
                <w:rFonts w:cs="Arial"/>
              </w:rPr>
            </w:pPr>
            <w:r>
              <w:rPr>
                <w:rFonts w:cs="Arial"/>
              </w:rPr>
              <w:t>40</w:t>
            </w:r>
          </w:p>
        </w:tc>
        <w:tc>
          <w:tcPr>
            <w:tcW w:w="850" w:type="dxa"/>
            <w:tcBorders>
              <w:top w:val="nil"/>
              <w:left w:val="nil"/>
              <w:bottom w:val="single" w:sz="4" w:space="0" w:color="auto"/>
              <w:right w:val="single" w:sz="4" w:space="0" w:color="auto"/>
            </w:tcBorders>
            <w:shd w:val="clear" w:color="auto" w:fill="auto"/>
            <w:vAlign w:val="center"/>
          </w:tcPr>
          <w:p w14:paraId="503CD381" w14:textId="6279B013" w:rsidR="00505590" w:rsidRPr="003D78AF" w:rsidRDefault="00505590" w:rsidP="00505590">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488ACCDC" w14:textId="745E5B27" w:rsidR="00505590" w:rsidRPr="003D78AF" w:rsidRDefault="00505590" w:rsidP="00505590">
            <w:pPr>
              <w:spacing w:line="240" w:lineRule="auto"/>
              <w:jc w:val="right"/>
              <w:rPr>
                <w:rFonts w:cs="Arial"/>
              </w:rPr>
            </w:pPr>
            <w:r>
              <w:rPr>
                <w:rFonts w:cs="Arial"/>
              </w:rPr>
              <w:t>4</w:t>
            </w:r>
            <w:r w:rsidR="005040F3">
              <w:rPr>
                <w:rFonts w:cs="Arial"/>
              </w:rPr>
              <w:t>4</w:t>
            </w:r>
          </w:p>
        </w:tc>
        <w:tc>
          <w:tcPr>
            <w:tcW w:w="643" w:type="dxa"/>
            <w:tcBorders>
              <w:top w:val="nil"/>
              <w:left w:val="nil"/>
              <w:bottom w:val="single" w:sz="4" w:space="0" w:color="auto"/>
              <w:right w:val="single" w:sz="4" w:space="0" w:color="auto"/>
            </w:tcBorders>
            <w:vAlign w:val="center"/>
          </w:tcPr>
          <w:p w14:paraId="0FE1FB54" w14:textId="3C7F27CD" w:rsidR="00505590" w:rsidRPr="003D78AF" w:rsidRDefault="00505590" w:rsidP="00505590">
            <w:pPr>
              <w:spacing w:line="240" w:lineRule="auto"/>
              <w:jc w:val="right"/>
              <w:rPr>
                <w:rFonts w:cs="Arial"/>
              </w:rPr>
            </w:pPr>
            <w:r>
              <w:rPr>
                <w:rFonts w:cs="Arial"/>
              </w:rPr>
              <w:t>12</w:t>
            </w:r>
          </w:p>
        </w:tc>
        <w:tc>
          <w:tcPr>
            <w:tcW w:w="706" w:type="dxa"/>
            <w:tcBorders>
              <w:top w:val="nil"/>
              <w:left w:val="nil"/>
              <w:bottom w:val="single" w:sz="4" w:space="0" w:color="auto"/>
              <w:right w:val="single" w:sz="4" w:space="0" w:color="auto"/>
            </w:tcBorders>
            <w:vAlign w:val="center"/>
          </w:tcPr>
          <w:p w14:paraId="6B736C1A" w14:textId="7526ACD3" w:rsidR="00505590" w:rsidRPr="003D78AF" w:rsidRDefault="00505590" w:rsidP="00505590">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46071030" w14:textId="4EF61808" w:rsidR="00505590" w:rsidRPr="003D78AF" w:rsidRDefault="00505590" w:rsidP="00505590">
            <w:pPr>
              <w:spacing w:line="240" w:lineRule="auto"/>
              <w:jc w:val="right"/>
              <w:rPr>
                <w:rFonts w:cs="Arial"/>
                <w:b/>
                <w:bCs/>
              </w:rPr>
            </w:pPr>
            <w:r>
              <w:rPr>
                <w:rFonts w:cs="Arial"/>
                <w:b/>
                <w:bCs/>
              </w:rPr>
              <w:t>9</w:t>
            </w:r>
            <w:r w:rsidR="005040F3">
              <w:rPr>
                <w:rFonts w:cs="Arial"/>
                <w:b/>
                <w:bCs/>
              </w:rPr>
              <w:t>6</w:t>
            </w:r>
          </w:p>
        </w:tc>
      </w:tr>
      <w:tr w:rsidR="00505590" w:rsidRPr="00650B45" w14:paraId="2A2A6B6B"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505590" w:rsidRPr="00371BE2" w:rsidRDefault="00505590" w:rsidP="00505590">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753040E3" w:rsidR="00505590" w:rsidRPr="003D78AF" w:rsidRDefault="00505590" w:rsidP="00505590">
            <w:pPr>
              <w:spacing w:line="240" w:lineRule="auto"/>
              <w:jc w:val="right"/>
              <w:rPr>
                <w:rFonts w:cs="Arial"/>
              </w:rPr>
            </w:pPr>
            <w:r>
              <w:rPr>
                <w:rFonts w:cs="Arial"/>
              </w:rPr>
              <w:t>18</w:t>
            </w:r>
          </w:p>
        </w:tc>
        <w:tc>
          <w:tcPr>
            <w:tcW w:w="850" w:type="dxa"/>
            <w:tcBorders>
              <w:top w:val="nil"/>
              <w:left w:val="nil"/>
              <w:bottom w:val="single" w:sz="4" w:space="0" w:color="auto"/>
              <w:right w:val="single" w:sz="4" w:space="0" w:color="auto"/>
            </w:tcBorders>
            <w:shd w:val="clear" w:color="auto" w:fill="auto"/>
            <w:vAlign w:val="center"/>
          </w:tcPr>
          <w:p w14:paraId="0611116F" w14:textId="5736414B" w:rsidR="00505590" w:rsidRPr="003D78AF" w:rsidRDefault="00505590" w:rsidP="00505590">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5773CBC3" w:rsidR="00505590" w:rsidRPr="003D78AF" w:rsidRDefault="00505590" w:rsidP="00505590">
            <w:pPr>
              <w:spacing w:line="240" w:lineRule="auto"/>
              <w:jc w:val="right"/>
              <w:rPr>
                <w:rFonts w:cs="Arial"/>
              </w:rPr>
            </w:pPr>
            <w:r>
              <w:rPr>
                <w:rFonts w:cs="Arial"/>
              </w:rPr>
              <w:t>0</w:t>
            </w:r>
          </w:p>
        </w:tc>
        <w:tc>
          <w:tcPr>
            <w:tcW w:w="643" w:type="dxa"/>
            <w:tcBorders>
              <w:top w:val="nil"/>
              <w:left w:val="nil"/>
              <w:bottom w:val="single" w:sz="4" w:space="0" w:color="auto"/>
              <w:right w:val="single" w:sz="4" w:space="0" w:color="auto"/>
            </w:tcBorders>
            <w:vAlign w:val="center"/>
          </w:tcPr>
          <w:p w14:paraId="5E3C036C" w14:textId="105CD8CD" w:rsidR="00505590" w:rsidRPr="003D78AF" w:rsidRDefault="00505590" w:rsidP="00505590">
            <w:pPr>
              <w:spacing w:line="240" w:lineRule="auto"/>
              <w:jc w:val="right"/>
              <w:rPr>
                <w:rFonts w:cs="Arial"/>
              </w:rPr>
            </w:pPr>
            <w:r>
              <w:rPr>
                <w:rFonts w:cs="Arial"/>
              </w:rPr>
              <w:t>3</w:t>
            </w:r>
          </w:p>
        </w:tc>
        <w:tc>
          <w:tcPr>
            <w:tcW w:w="706" w:type="dxa"/>
            <w:tcBorders>
              <w:top w:val="nil"/>
              <w:left w:val="nil"/>
              <w:bottom w:val="single" w:sz="4" w:space="0" w:color="auto"/>
              <w:right w:val="single" w:sz="4" w:space="0" w:color="auto"/>
            </w:tcBorders>
            <w:vAlign w:val="center"/>
          </w:tcPr>
          <w:p w14:paraId="3F5C3F2B" w14:textId="54F5E599" w:rsidR="00505590" w:rsidRPr="003D78AF" w:rsidRDefault="00505590" w:rsidP="00505590">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7875F01A" w:rsidR="00505590" w:rsidRPr="003D78AF" w:rsidRDefault="00505590" w:rsidP="00505590">
            <w:pPr>
              <w:spacing w:line="240" w:lineRule="auto"/>
              <w:jc w:val="right"/>
              <w:rPr>
                <w:rFonts w:cs="Arial"/>
                <w:b/>
                <w:bCs/>
              </w:rPr>
            </w:pPr>
            <w:r>
              <w:rPr>
                <w:rFonts w:cs="Arial"/>
                <w:b/>
                <w:bCs/>
              </w:rPr>
              <w:t>21</w:t>
            </w:r>
          </w:p>
        </w:tc>
      </w:tr>
      <w:tr w:rsidR="00505590" w:rsidRPr="00650B45" w14:paraId="4C455349"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505590" w:rsidRPr="00371BE2" w:rsidRDefault="00505590" w:rsidP="00505590">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5F890743" w:rsidR="00505590" w:rsidRPr="003D78AF" w:rsidRDefault="00505590" w:rsidP="00505590">
            <w:pPr>
              <w:spacing w:line="240" w:lineRule="auto"/>
              <w:jc w:val="right"/>
              <w:rPr>
                <w:rFonts w:cs="Arial"/>
                <w:lang w:eastAsia="en-AU"/>
              </w:rPr>
            </w:pPr>
            <w:r>
              <w:rPr>
                <w:rFonts w:cs="Arial"/>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26E86BE2" w:rsidR="00505590" w:rsidRPr="003D78AF" w:rsidRDefault="00505590" w:rsidP="00505590">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3D7F8F13" w:rsidR="00505590" w:rsidRPr="003D78AF" w:rsidRDefault="00505590" w:rsidP="00505590">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61A09ACD" w:rsidR="00505590" w:rsidRPr="003D78AF" w:rsidRDefault="00505590" w:rsidP="00505590">
            <w:pPr>
              <w:spacing w:line="240" w:lineRule="auto"/>
              <w:jc w:val="right"/>
              <w:rPr>
                <w:rFonts w:cs="Arial"/>
                <w:lang w:eastAsia="en-AU"/>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7C287A88" w14:textId="695F8E93" w:rsidR="00505590" w:rsidRPr="003D78AF" w:rsidRDefault="00505590" w:rsidP="00505590">
            <w:pPr>
              <w:spacing w:line="240" w:lineRule="auto"/>
              <w:jc w:val="right"/>
              <w:rPr>
                <w:rFonts w:cs="Arial"/>
                <w:lang w:eastAsia="en-AU"/>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37F1A4A0" w14:textId="11ED9105" w:rsidR="00505590" w:rsidRPr="003D78AF" w:rsidRDefault="00505590" w:rsidP="00505590">
            <w:pPr>
              <w:spacing w:line="240" w:lineRule="auto"/>
              <w:jc w:val="right"/>
              <w:rPr>
                <w:rFonts w:cs="Arial"/>
                <w:b/>
                <w:lang w:eastAsia="en-AU"/>
              </w:rPr>
            </w:pPr>
            <w:r>
              <w:rPr>
                <w:rFonts w:cs="Arial"/>
                <w:b/>
                <w:bCs/>
              </w:rPr>
              <w:t>2</w:t>
            </w:r>
          </w:p>
        </w:tc>
      </w:tr>
      <w:tr w:rsidR="00505590" w:rsidRPr="00557E24" w14:paraId="3F20CE90"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505590" w:rsidRPr="00371BE2" w:rsidRDefault="00505590" w:rsidP="00505590">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61E12AB5" w:rsidR="00505590" w:rsidRPr="003D78AF" w:rsidRDefault="00505590" w:rsidP="00505590">
            <w:pPr>
              <w:spacing w:line="240" w:lineRule="auto"/>
              <w:jc w:val="right"/>
              <w:rPr>
                <w:rFonts w:cs="Arial"/>
                <w:b/>
                <w:lang w:eastAsia="en-AU"/>
              </w:rPr>
            </w:pPr>
            <w:r>
              <w:rPr>
                <w:rFonts w:cs="Arial"/>
                <w:b/>
                <w:bCs/>
              </w:rPr>
              <w:t>807</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16303CF2" w:rsidR="00505590" w:rsidRPr="003D78AF" w:rsidRDefault="00505590" w:rsidP="00505590">
            <w:pPr>
              <w:spacing w:line="240" w:lineRule="auto"/>
              <w:jc w:val="right"/>
              <w:rPr>
                <w:rFonts w:cs="Arial"/>
                <w:b/>
                <w:lang w:eastAsia="en-AU"/>
              </w:rPr>
            </w:pPr>
            <w:r>
              <w:rPr>
                <w:rFonts w:cs="Arial"/>
                <w:b/>
                <w:bCs/>
              </w:rPr>
              <w:t>36</w:t>
            </w:r>
          </w:p>
        </w:tc>
        <w:tc>
          <w:tcPr>
            <w:tcW w:w="779" w:type="dxa"/>
            <w:tcBorders>
              <w:top w:val="single" w:sz="4" w:space="0" w:color="auto"/>
              <w:left w:val="nil"/>
              <w:bottom w:val="single" w:sz="4" w:space="0" w:color="auto"/>
              <w:right w:val="single" w:sz="4" w:space="0" w:color="auto"/>
            </w:tcBorders>
            <w:vAlign w:val="center"/>
          </w:tcPr>
          <w:p w14:paraId="4ECA5E82" w14:textId="7DABE8CC" w:rsidR="00505590" w:rsidRPr="003D78AF" w:rsidRDefault="00505590" w:rsidP="00505590">
            <w:pPr>
              <w:spacing w:line="240" w:lineRule="auto"/>
              <w:jc w:val="right"/>
              <w:rPr>
                <w:rFonts w:cs="Arial"/>
                <w:b/>
                <w:lang w:eastAsia="en-AU"/>
              </w:rPr>
            </w:pPr>
            <w:r>
              <w:rPr>
                <w:rFonts w:cs="Arial"/>
                <w:b/>
                <w:bCs/>
              </w:rPr>
              <w:t>39</w:t>
            </w:r>
            <w:r w:rsidR="005040F3">
              <w:rPr>
                <w:rFonts w:cs="Arial"/>
                <w:b/>
                <w:bCs/>
              </w:rPr>
              <w:t>1</w:t>
            </w:r>
          </w:p>
        </w:tc>
        <w:tc>
          <w:tcPr>
            <w:tcW w:w="643" w:type="dxa"/>
            <w:tcBorders>
              <w:top w:val="single" w:sz="4" w:space="0" w:color="auto"/>
              <w:left w:val="nil"/>
              <w:bottom w:val="single" w:sz="4" w:space="0" w:color="auto"/>
              <w:right w:val="single" w:sz="4" w:space="0" w:color="auto"/>
            </w:tcBorders>
            <w:vAlign w:val="center"/>
          </w:tcPr>
          <w:p w14:paraId="4498767F" w14:textId="0D0E0141" w:rsidR="00505590" w:rsidRPr="003D78AF" w:rsidRDefault="00505590" w:rsidP="00505590">
            <w:pPr>
              <w:spacing w:line="240" w:lineRule="auto"/>
              <w:jc w:val="right"/>
              <w:rPr>
                <w:rFonts w:cs="Arial"/>
                <w:b/>
                <w:lang w:eastAsia="en-AU"/>
              </w:rPr>
            </w:pPr>
            <w:r>
              <w:rPr>
                <w:rFonts w:cs="Arial"/>
                <w:b/>
                <w:bCs/>
              </w:rPr>
              <w:t>313</w:t>
            </w:r>
          </w:p>
        </w:tc>
        <w:tc>
          <w:tcPr>
            <w:tcW w:w="706" w:type="dxa"/>
            <w:tcBorders>
              <w:top w:val="single" w:sz="4" w:space="0" w:color="auto"/>
              <w:left w:val="nil"/>
              <w:bottom w:val="single" w:sz="4" w:space="0" w:color="auto"/>
              <w:right w:val="single" w:sz="4" w:space="0" w:color="auto"/>
            </w:tcBorders>
            <w:vAlign w:val="center"/>
          </w:tcPr>
          <w:p w14:paraId="2806B4BD" w14:textId="6D52C937" w:rsidR="00505590" w:rsidRPr="003D78AF" w:rsidRDefault="00505590" w:rsidP="00505590">
            <w:pPr>
              <w:spacing w:line="240" w:lineRule="auto"/>
              <w:jc w:val="right"/>
              <w:rPr>
                <w:rFonts w:cs="Arial"/>
                <w:b/>
                <w:lang w:eastAsia="en-AU"/>
              </w:rPr>
            </w:pPr>
            <w:r>
              <w:rPr>
                <w:rFonts w:cs="Arial"/>
                <w:b/>
                <w:bCs/>
              </w:rPr>
              <w:t>67</w:t>
            </w:r>
          </w:p>
        </w:tc>
        <w:tc>
          <w:tcPr>
            <w:tcW w:w="849" w:type="dxa"/>
            <w:tcBorders>
              <w:top w:val="single" w:sz="4" w:space="0" w:color="auto"/>
              <w:left w:val="nil"/>
              <w:bottom w:val="single" w:sz="4" w:space="0" w:color="auto"/>
              <w:right w:val="single" w:sz="4" w:space="0" w:color="auto"/>
            </w:tcBorders>
            <w:vAlign w:val="center"/>
          </w:tcPr>
          <w:p w14:paraId="24507EE5" w14:textId="52E29069" w:rsidR="00505590" w:rsidRPr="003D78AF" w:rsidRDefault="00505590" w:rsidP="00505590">
            <w:pPr>
              <w:spacing w:line="240" w:lineRule="auto"/>
              <w:jc w:val="right"/>
              <w:rPr>
                <w:rFonts w:cs="Arial"/>
                <w:b/>
                <w:lang w:eastAsia="en-AU"/>
              </w:rPr>
            </w:pPr>
            <w:r>
              <w:rPr>
                <w:rFonts w:cs="Arial"/>
                <w:b/>
                <w:bCs/>
              </w:rPr>
              <w:t>161</w:t>
            </w:r>
            <w:r w:rsidR="005040F3">
              <w:rPr>
                <w:rFonts w:cs="Arial"/>
                <w:b/>
                <w:bCs/>
              </w:rPr>
              <w:t>4</w:t>
            </w:r>
          </w:p>
        </w:tc>
      </w:tr>
    </w:tbl>
    <w:p w14:paraId="68A14D11" w14:textId="77777777" w:rsidR="00557E24" w:rsidRPr="00351891" w:rsidRDefault="00557E24" w:rsidP="008D3D27">
      <w:pPr>
        <w:spacing w:line="240" w:lineRule="auto"/>
        <w:ind w:left="-142" w:right="-425"/>
        <w:rPr>
          <w:rFonts w:cs="Arial"/>
          <w:bCs/>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039EE37D"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Aurukun </w:t>
      </w:r>
      <w:r w:rsidR="00322C7B" w:rsidRPr="00106853">
        <w:rPr>
          <w:rFonts w:ascii="Verdana" w:hAnsi="Verdana" w:cs="Arial"/>
          <w:sz w:val="20"/>
          <w:szCs w:val="20"/>
        </w:rPr>
        <w:t xml:space="preserve">received </w:t>
      </w:r>
      <w:r w:rsidR="00FF35EB">
        <w:rPr>
          <w:rFonts w:ascii="Verdana" w:hAnsi="Verdana" w:cs="Arial"/>
          <w:sz w:val="20"/>
          <w:szCs w:val="20"/>
        </w:rPr>
        <w:t>807</w:t>
      </w:r>
      <w:r w:rsidR="00FF35EB" w:rsidRPr="00106853">
        <w:rPr>
          <w:rFonts w:ascii="Verdana" w:hAnsi="Verdana" w:cs="Arial"/>
          <w:sz w:val="20"/>
          <w:szCs w:val="20"/>
        </w:rPr>
        <w:t xml:space="preserve"> </w:t>
      </w:r>
      <w:r w:rsidRPr="00106853">
        <w:rPr>
          <w:rFonts w:ascii="Verdana" w:hAnsi="Verdana" w:cs="Arial"/>
          <w:sz w:val="20"/>
          <w:szCs w:val="20"/>
        </w:rPr>
        <w:t>notices</w:t>
      </w:r>
      <w:r w:rsidR="00FF69E4" w:rsidRPr="00106853">
        <w:rPr>
          <w:rFonts w:ascii="Verdana" w:hAnsi="Verdana" w:cs="Arial"/>
          <w:sz w:val="20"/>
          <w:szCs w:val="20"/>
        </w:rPr>
        <w:t xml:space="preserve"> relating to </w:t>
      </w:r>
      <w:r w:rsidR="00FF35EB">
        <w:rPr>
          <w:rFonts w:ascii="Verdana" w:hAnsi="Verdana" w:cs="Arial"/>
          <w:sz w:val="20"/>
          <w:szCs w:val="20"/>
        </w:rPr>
        <w:t>325</w:t>
      </w:r>
      <w:r w:rsidR="00FF35EB" w:rsidRPr="00106853">
        <w:rPr>
          <w:rFonts w:ascii="Verdana" w:hAnsi="Verdana" w:cs="Arial"/>
          <w:sz w:val="20"/>
          <w:szCs w:val="20"/>
        </w:rPr>
        <w:t xml:space="preserve"> </w:t>
      </w:r>
      <w:r w:rsidR="00FF69E4"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B60875">
        <w:rPr>
          <w:rFonts w:ascii="Verdana" w:hAnsi="Verdana" w:cs="Arial"/>
          <w:sz w:val="20"/>
          <w:szCs w:val="20"/>
        </w:rPr>
        <w:t>1</w:t>
      </w:r>
      <w:r w:rsidR="00763792">
        <w:rPr>
          <w:rFonts w:ascii="Verdana" w:hAnsi="Verdana" w:cs="Arial"/>
          <w:sz w:val="20"/>
          <w:szCs w:val="20"/>
        </w:rPr>
        <w:t>85</w:t>
      </w:r>
      <w:r w:rsidR="00B60875" w:rsidRPr="00106853">
        <w:rPr>
          <w:rFonts w:ascii="Verdana" w:hAnsi="Verdana" w:cs="Arial"/>
          <w:sz w:val="20"/>
          <w:szCs w:val="20"/>
        </w:rPr>
        <w:t xml:space="preserve"> </w:t>
      </w:r>
      <w:r w:rsidR="00490D4B" w:rsidRPr="00106853">
        <w:rPr>
          <w:rFonts w:ascii="Verdana" w:hAnsi="Verdana" w:cs="Arial"/>
          <w:sz w:val="20"/>
          <w:szCs w:val="20"/>
        </w:rPr>
        <w:t>female</w:t>
      </w:r>
      <w:r w:rsidR="004D219E" w:rsidRPr="00106853">
        <w:rPr>
          <w:rFonts w:ascii="Verdana" w:hAnsi="Verdana" w:cs="Arial"/>
          <w:sz w:val="20"/>
          <w:szCs w:val="20"/>
        </w:rPr>
        <w:t xml:space="preserve"> and </w:t>
      </w:r>
      <w:r w:rsidR="00763792">
        <w:rPr>
          <w:rFonts w:ascii="Verdana" w:hAnsi="Verdana" w:cs="Arial"/>
          <w:sz w:val="20"/>
          <w:szCs w:val="20"/>
        </w:rPr>
        <w:t>140</w:t>
      </w:r>
      <w:r w:rsidR="00763792"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6730507D" w14:textId="0E16B249"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Coen </w:t>
      </w:r>
      <w:r w:rsidR="00322C7B" w:rsidRPr="00106853">
        <w:rPr>
          <w:rFonts w:ascii="Verdana" w:hAnsi="Verdana" w:cs="Arial"/>
          <w:sz w:val="20"/>
          <w:szCs w:val="20"/>
        </w:rPr>
        <w:t xml:space="preserve">received </w:t>
      </w:r>
      <w:r w:rsidR="00FF35EB">
        <w:rPr>
          <w:rFonts w:ascii="Verdana" w:hAnsi="Verdana" w:cs="Arial"/>
          <w:sz w:val="20"/>
          <w:szCs w:val="20"/>
        </w:rPr>
        <w:t>36</w:t>
      </w:r>
      <w:r w:rsidR="00FF35EB"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FF35EB">
        <w:rPr>
          <w:rFonts w:ascii="Verdana" w:hAnsi="Verdana" w:cs="Arial"/>
          <w:sz w:val="20"/>
          <w:szCs w:val="20"/>
        </w:rPr>
        <w:t>22</w:t>
      </w:r>
      <w:r w:rsidR="00FF35EB"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763792">
        <w:rPr>
          <w:rFonts w:ascii="Verdana" w:hAnsi="Verdana" w:cs="Arial"/>
          <w:sz w:val="20"/>
          <w:szCs w:val="20"/>
        </w:rPr>
        <w:t>9</w:t>
      </w:r>
      <w:r w:rsidR="00763792"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763792">
        <w:rPr>
          <w:rFonts w:ascii="Verdana" w:hAnsi="Verdana" w:cs="Arial"/>
          <w:sz w:val="20"/>
          <w:szCs w:val="20"/>
        </w:rPr>
        <w:t>13</w:t>
      </w:r>
      <w:r w:rsidR="00763792"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438CC073" w14:textId="05655747"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Doomadgee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FF35EB">
        <w:rPr>
          <w:rFonts w:ascii="Verdana" w:hAnsi="Verdana" w:cs="Arial"/>
          <w:sz w:val="20"/>
          <w:szCs w:val="20"/>
        </w:rPr>
        <w:t>39</w:t>
      </w:r>
      <w:r w:rsidR="004275D1">
        <w:rPr>
          <w:rFonts w:ascii="Verdana" w:hAnsi="Verdana" w:cs="Arial"/>
          <w:sz w:val="20"/>
          <w:szCs w:val="20"/>
        </w:rPr>
        <w:t>1</w:t>
      </w:r>
      <w:r w:rsidR="00FF35EB"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FF35EB">
        <w:rPr>
          <w:rFonts w:ascii="Verdana" w:hAnsi="Verdana" w:cs="Arial"/>
          <w:sz w:val="20"/>
          <w:szCs w:val="20"/>
        </w:rPr>
        <w:t>236</w:t>
      </w:r>
      <w:r w:rsidR="00FF35EB"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B60875">
        <w:rPr>
          <w:rFonts w:ascii="Verdana" w:hAnsi="Verdana" w:cs="Arial"/>
          <w:sz w:val="20"/>
          <w:szCs w:val="20"/>
        </w:rPr>
        <w:t>1</w:t>
      </w:r>
      <w:r w:rsidR="00763792">
        <w:rPr>
          <w:rFonts w:ascii="Verdana" w:hAnsi="Verdana" w:cs="Arial"/>
          <w:sz w:val="20"/>
          <w:szCs w:val="20"/>
        </w:rPr>
        <w:t>75</w:t>
      </w:r>
      <w:r w:rsidR="00B60875"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763792">
        <w:rPr>
          <w:rFonts w:ascii="Verdana" w:hAnsi="Verdana" w:cs="Arial"/>
          <w:sz w:val="20"/>
          <w:szCs w:val="20"/>
        </w:rPr>
        <w:t>61</w:t>
      </w:r>
      <w:r w:rsidR="00763792"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09BFCAFB" w14:textId="7E3D03F4"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Hope Vale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FF35EB">
        <w:rPr>
          <w:rFonts w:ascii="Verdana" w:hAnsi="Verdana" w:cs="Arial"/>
          <w:sz w:val="20"/>
          <w:szCs w:val="20"/>
        </w:rPr>
        <w:t>313</w:t>
      </w:r>
      <w:r w:rsidR="00FF35EB"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B60875">
        <w:rPr>
          <w:rFonts w:ascii="Verdana" w:hAnsi="Verdana" w:cs="Arial"/>
          <w:sz w:val="20"/>
          <w:szCs w:val="20"/>
        </w:rPr>
        <w:t>1</w:t>
      </w:r>
      <w:r w:rsidR="00FF35EB">
        <w:rPr>
          <w:rFonts w:ascii="Verdana" w:hAnsi="Verdana" w:cs="Arial"/>
          <w:sz w:val="20"/>
          <w:szCs w:val="20"/>
        </w:rPr>
        <w:t>75</w:t>
      </w:r>
      <w:r w:rsidR="00B60875"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763792">
        <w:rPr>
          <w:rFonts w:ascii="Verdana" w:hAnsi="Verdana" w:cs="Arial"/>
          <w:sz w:val="20"/>
          <w:szCs w:val="20"/>
        </w:rPr>
        <w:t>103</w:t>
      </w:r>
      <w:r w:rsidR="00763792"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B60875">
        <w:rPr>
          <w:rFonts w:ascii="Verdana" w:hAnsi="Verdana" w:cs="Arial"/>
          <w:sz w:val="20"/>
          <w:szCs w:val="20"/>
        </w:rPr>
        <w:t>7</w:t>
      </w:r>
      <w:r w:rsidR="00D22916">
        <w:rPr>
          <w:rFonts w:ascii="Verdana" w:hAnsi="Verdana" w:cs="Arial"/>
          <w:sz w:val="20"/>
          <w:szCs w:val="20"/>
        </w:rPr>
        <w:t>2</w:t>
      </w:r>
      <w:r w:rsidR="00B60875"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53DCC243" w14:textId="0A3C66B6" w:rsidR="00F80FC4" w:rsidRPr="00351891" w:rsidRDefault="00214C68" w:rsidP="00D552BE">
      <w:pPr>
        <w:pStyle w:val="ListParagraph"/>
        <w:numPr>
          <w:ilvl w:val="0"/>
          <w:numId w:val="8"/>
        </w:numPr>
        <w:ind w:left="284" w:right="-425" w:hanging="357"/>
        <w:jc w:val="both"/>
        <w:rPr>
          <w:rFonts w:cs="Arial"/>
          <w:bCs/>
        </w:rPr>
      </w:pPr>
      <w:r w:rsidRPr="00106853">
        <w:rPr>
          <w:rFonts w:ascii="Verdana" w:hAnsi="Verdana" w:cs="Arial"/>
          <w:sz w:val="20"/>
          <w:szCs w:val="20"/>
        </w:rPr>
        <w:t>Mossman Gorge</w:t>
      </w:r>
      <w:r w:rsidR="00322C7B" w:rsidRPr="00106853">
        <w:rPr>
          <w:rFonts w:ascii="Verdana" w:hAnsi="Verdana" w:cs="Arial"/>
          <w:sz w:val="20"/>
          <w:szCs w:val="20"/>
        </w:rPr>
        <w:t xml:space="preserve"> received </w:t>
      </w:r>
      <w:r w:rsidR="00FF35EB">
        <w:rPr>
          <w:rFonts w:ascii="Verdana" w:hAnsi="Verdana" w:cs="Arial"/>
          <w:sz w:val="20"/>
          <w:szCs w:val="20"/>
        </w:rPr>
        <w:t>67</w:t>
      </w:r>
      <w:r w:rsidR="00FF35EB"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FF35EB">
        <w:rPr>
          <w:rFonts w:ascii="Verdana" w:hAnsi="Verdana" w:cs="Arial"/>
          <w:sz w:val="20"/>
          <w:szCs w:val="20"/>
        </w:rPr>
        <w:t>29</w:t>
      </w:r>
      <w:r w:rsidR="00FF35EB"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D22916">
        <w:rPr>
          <w:rFonts w:ascii="Verdana" w:hAnsi="Verdana" w:cs="Arial"/>
          <w:sz w:val="20"/>
          <w:szCs w:val="20"/>
        </w:rPr>
        <w:t>18</w:t>
      </w:r>
      <w:r w:rsidR="00D22916"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B60875">
        <w:rPr>
          <w:rFonts w:ascii="Verdana" w:hAnsi="Verdana" w:cs="Arial"/>
          <w:sz w:val="20"/>
          <w:szCs w:val="20"/>
        </w:rPr>
        <w:t>1</w:t>
      </w:r>
      <w:r w:rsidR="00D22916">
        <w:rPr>
          <w:rFonts w:ascii="Verdana" w:hAnsi="Verdana" w:cs="Arial"/>
          <w:sz w:val="20"/>
          <w:szCs w:val="20"/>
        </w:rPr>
        <w:t>1</w:t>
      </w:r>
      <w:r w:rsidR="00B60875"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r w:rsidR="00490D4B" w:rsidRPr="00106853">
        <w:rPr>
          <w:rFonts w:ascii="Verdana" w:hAnsi="Verdana" w:cs="Arial"/>
          <w:sz w:val="20"/>
          <w:szCs w:val="20"/>
        </w:rPr>
        <w:t>.</w:t>
      </w:r>
    </w:p>
    <w:p w14:paraId="48607A65" w14:textId="77777777" w:rsidR="00322A26" w:rsidRDefault="00322A26" w:rsidP="005A5B78">
      <w:pPr>
        <w:ind w:left="-142" w:right="-425"/>
        <w:jc w:val="both"/>
        <w:rPr>
          <w:rFonts w:cs="Arial"/>
        </w:rPr>
      </w:pPr>
    </w:p>
    <w:p w14:paraId="5E52C06C" w14:textId="3B80563B" w:rsidR="00893877" w:rsidRDefault="00893877" w:rsidP="00893877">
      <w:pPr>
        <w:ind w:left="-142" w:right="-425"/>
        <w:jc w:val="both"/>
        <w:rPr>
          <w:rFonts w:cs="Arial"/>
        </w:rPr>
      </w:pPr>
      <w:r>
        <w:rPr>
          <w:rFonts w:cs="Arial"/>
        </w:rPr>
        <w:t xml:space="preserve">For quarter </w:t>
      </w:r>
      <w:r w:rsidR="00413FAC">
        <w:rPr>
          <w:rFonts w:cs="Arial"/>
        </w:rPr>
        <w:t>59</w:t>
      </w:r>
      <w:r>
        <w:rPr>
          <w:rFonts w:cs="Arial"/>
        </w:rPr>
        <w:t>, 4</w:t>
      </w:r>
      <w:r w:rsidR="00D22916">
        <w:rPr>
          <w:rFonts w:cs="Arial"/>
        </w:rPr>
        <w:t>5</w:t>
      </w:r>
      <w:r w:rsidR="00E965BF">
        <w:rPr>
          <w:rFonts w:cs="Arial"/>
        </w:rPr>
        <w:t>%</w:t>
      </w:r>
      <w:r>
        <w:rPr>
          <w:rFonts w:cs="Arial"/>
        </w:rPr>
        <w:t xml:space="preserve"> </w:t>
      </w:r>
      <w:r w:rsidRPr="004A208F">
        <w:rPr>
          <w:rFonts w:cs="Arial"/>
        </w:rPr>
        <w:t xml:space="preserve">of clients received more than one notice. Frequently this illustrates multiple child school absences for the one family, or multiple Magistrates Court notices relating to one incident. </w:t>
      </w:r>
      <w:r>
        <w:rPr>
          <w:rFonts w:cs="Arial"/>
        </w:rPr>
        <w:t xml:space="preserve">This may also be suggestive of the complexity of behaviours experienced by a significant proportion of our clients. </w:t>
      </w:r>
      <w:r w:rsidRPr="004A208F">
        <w:rPr>
          <w:rFonts w:cs="Arial"/>
        </w:rPr>
        <w:t xml:space="preserve">Conversely, </w:t>
      </w:r>
      <w:r>
        <w:rPr>
          <w:rFonts w:cs="Arial"/>
        </w:rPr>
        <w:t>it is important to note the majority of FRC clients (5</w:t>
      </w:r>
      <w:r w:rsidR="00D22916">
        <w:rPr>
          <w:rFonts w:cs="Arial"/>
        </w:rPr>
        <w:t>5</w:t>
      </w:r>
      <w:r w:rsidR="00E965BF">
        <w:rPr>
          <w:rFonts w:cs="Arial"/>
        </w:rPr>
        <w:t>%</w:t>
      </w:r>
      <w:r>
        <w:rPr>
          <w:rFonts w:cs="Arial"/>
        </w:rPr>
        <w:t>)</w:t>
      </w:r>
      <w:r w:rsidRPr="004A208F">
        <w:rPr>
          <w:rFonts w:cs="Arial"/>
        </w:rPr>
        <w:t xml:space="preserve"> have received only one </w:t>
      </w:r>
      <w:r w:rsidRPr="004A208F">
        <w:rPr>
          <w:rFonts w:cs="Arial"/>
        </w:rPr>
        <w:lastRenderedPageBreak/>
        <w:t>notice</w:t>
      </w:r>
      <w:r>
        <w:rPr>
          <w:rFonts w:cs="Arial"/>
        </w:rPr>
        <w:t xml:space="preserve"> during the reporting period. </w:t>
      </w:r>
      <w:r w:rsidR="00D22916">
        <w:rPr>
          <w:rFonts w:cs="Arial"/>
        </w:rPr>
        <w:t>Fi</w:t>
      </w:r>
      <w:r w:rsidR="009C6D45">
        <w:rPr>
          <w:rFonts w:cs="Arial"/>
        </w:rPr>
        <w:t>f</w:t>
      </w:r>
      <w:r w:rsidR="00D22916">
        <w:rPr>
          <w:rFonts w:cs="Arial"/>
        </w:rPr>
        <w:t>ty</w:t>
      </w:r>
      <w:r>
        <w:rPr>
          <w:rFonts w:cs="Arial"/>
        </w:rPr>
        <w:t xml:space="preserve"> </w:t>
      </w:r>
      <w:r w:rsidRPr="00626560">
        <w:rPr>
          <w:rFonts w:cs="Arial"/>
        </w:rPr>
        <w:t>new</w:t>
      </w:r>
      <w:r>
        <w:rPr>
          <w:rFonts w:cs="Arial"/>
        </w:rPr>
        <w:t xml:space="preserve"> clients were added to the Commission’s database during the quarter.</w:t>
      </w:r>
    </w:p>
    <w:p w14:paraId="3FC71DA6" w14:textId="77777777" w:rsidR="00D22916" w:rsidRDefault="00D22916" w:rsidP="00893877">
      <w:pPr>
        <w:ind w:left="-142" w:right="-425"/>
        <w:jc w:val="both"/>
        <w:rPr>
          <w:rFonts w:cs="Arial"/>
        </w:rPr>
      </w:pPr>
    </w:p>
    <w:p w14:paraId="326AC90C" w14:textId="2033E7A5" w:rsidR="005A5B78" w:rsidRDefault="008E0AE5" w:rsidP="005A5B78">
      <w:pPr>
        <w:ind w:left="-142" w:right="-425"/>
        <w:rPr>
          <w:rFonts w:cs="Arial"/>
          <w:sz w:val="16"/>
          <w:szCs w:val="16"/>
        </w:rPr>
      </w:pPr>
      <w:r>
        <w:rPr>
          <w:rFonts w:cs="Arial"/>
          <w:b/>
          <w:sz w:val="16"/>
          <w:szCs w:val="16"/>
        </w:rPr>
        <w:t>Table 10</w:t>
      </w:r>
      <w:r w:rsidR="005A5B78" w:rsidRPr="00860212">
        <w:rPr>
          <w:rFonts w:cs="Arial"/>
          <w:b/>
          <w:sz w:val="16"/>
          <w:szCs w:val="16"/>
        </w:rPr>
        <w:t xml:space="preserve">: </w:t>
      </w:r>
      <w:r w:rsidR="00CF12D1">
        <w:rPr>
          <w:rFonts w:cs="Arial"/>
          <w:sz w:val="16"/>
          <w:szCs w:val="16"/>
        </w:rPr>
        <w:t>Notices i</w:t>
      </w:r>
      <w:r w:rsidR="005A5B78" w:rsidRPr="00605D01">
        <w:rPr>
          <w:rFonts w:cs="Arial"/>
          <w:sz w:val="16"/>
          <w:szCs w:val="16"/>
        </w:rPr>
        <w:t xml:space="preserve">n jurisdiction by </w:t>
      </w:r>
      <w:r w:rsidR="003C76D8">
        <w:rPr>
          <w:rFonts w:cs="Arial"/>
          <w:sz w:val="16"/>
          <w:szCs w:val="16"/>
        </w:rPr>
        <w:t>type</w:t>
      </w:r>
      <w:r w:rsidR="005A5B78" w:rsidRPr="00605D01">
        <w:rPr>
          <w:rFonts w:cs="Arial"/>
          <w:sz w:val="16"/>
          <w:szCs w:val="16"/>
        </w:rPr>
        <w:t xml:space="preserve"> and quarter</w:t>
      </w:r>
      <w:r w:rsidR="005A5B78" w:rsidRPr="00DA41D1">
        <w:rPr>
          <w:rFonts w:cs="Arial"/>
          <w:sz w:val="16"/>
          <w:szCs w:val="16"/>
        </w:rPr>
        <w:t xml:space="preserve"> </w:t>
      </w:r>
      <w:r w:rsidR="007B7E78">
        <w:rPr>
          <w:rFonts w:cs="Arial"/>
          <w:sz w:val="16"/>
          <w:szCs w:val="16"/>
        </w:rPr>
        <w:t xml:space="preserve">1 </w:t>
      </w:r>
      <w:r w:rsidR="003C708C">
        <w:rPr>
          <w:rFonts w:cs="Arial"/>
          <w:sz w:val="16"/>
          <w:szCs w:val="16"/>
        </w:rPr>
        <w:t>January 2022</w:t>
      </w:r>
      <w:r w:rsidR="00A41820">
        <w:rPr>
          <w:rFonts w:cs="Arial"/>
          <w:sz w:val="16"/>
          <w:szCs w:val="16"/>
        </w:rPr>
        <w:t xml:space="preserve"> to </w:t>
      </w:r>
      <w:r w:rsidR="007B7E78">
        <w:rPr>
          <w:rFonts w:cs="Arial"/>
          <w:sz w:val="16"/>
          <w:szCs w:val="16"/>
        </w:rPr>
        <w:t xml:space="preserve">31 </w:t>
      </w:r>
      <w:r w:rsidR="00984BBB">
        <w:rPr>
          <w:rFonts w:cs="Arial"/>
          <w:sz w:val="16"/>
          <w:szCs w:val="16"/>
        </w:rPr>
        <w:t>March 2023</w:t>
      </w:r>
    </w:p>
    <w:p w14:paraId="009C9B79" w14:textId="77777777" w:rsidR="00B11577" w:rsidRDefault="00B11577" w:rsidP="005A5B78">
      <w:pPr>
        <w:ind w:left="-142" w:right="-425"/>
        <w:rPr>
          <w:rFonts w:cs="Arial"/>
          <w:sz w:val="16"/>
          <w:szCs w:val="16"/>
        </w:rPr>
      </w:pP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8E0AE5" w:rsidRPr="0093030B" w14:paraId="2A4838A7" w14:textId="77777777" w:rsidTr="0010294B">
        <w:trPr>
          <w:trHeight w:val="480"/>
        </w:trPr>
        <w:tc>
          <w:tcPr>
            <w:tcW w:w="3460" w:type="dxa"/>
            <w:tcBorders>
              <w:top w:val="single" w:sz="4" w:space="0" w:color="auto"/>
              <w:left w:val="single" w:sz="4" w:space="0" w:color="auto"/>
              <w:bottom w:val="single" w:sz="4" w:space="0" w:color="auto"/>
              <w:right w:val="single" w:sz="4" w:space="0" w:color="auto"/>
            </w:tcBorders>
            <w:hideMark/>
          </w:tcPr>
          <w:p w14:paraId="00B2BA61" w14:textId="77777777" w:rsidR="008E0AE5" w:rsidRPr="0093030B" w:rsidRDefault="008E0AE5" w:rsidP="0010294B">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63A4D5C1" w14:textId="77777777" w:rsidR="008E0AE5" w:rsidRDefault="008E0AE5" w:rsidP="0010294B">
            <w:pPr>
              <w:pStyle w:val="TableText"/>
              <w:jc w:val="right"/>
              <w:rPr>
                <w:b/>
                <w:lang w:eastAsia="en-AU"/>
              </w:rPr>
            </w:pPr>
            <w:proofErr w:type="spellStart"/>
            <w:r>
              <w:rPr>
                <w:b/>
                <w:lang w:eastAsia="en-AU"/>
              </w:rPr>
              <w:t>Qtr</w:t>
            </w:r>
            <w:proofErr w:type="spellEnd"/>
            <w:r>
              <w:rPr>
                <w:b/>
                <w:lang w:eastAsia="en-AU"/>
              </w:rPr>
              <w:t xml:space="preserve"> 55</w:t>
            </w:r>
          </w:p>
        </w:tc>
        <w:tc>
          <w:tcPr>
            <w:tcW w:w="1012" w:type="dxa"/>
            <w:tcBorders>
              <w:top w:val="single" w:sz="4" w:space="0" w:color="auto"/>
              <w:left w:val="nil"/>
              <w:bottom w:val="single" w:sz="4" w:space="0" w:color="auto"/>
              <w:right w:val="single" w:sz="4" w:space="0" w:color="auto"/>
            </w:tcBorders>
          </w:tcPr>
          <w:p w14:paraId="45A947FF" w14:textId="77777777" w:rsidR="008E0AE5" w:rsidRDefault="008E0AE5"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1012" w:type="dxa"/>
            <w:tcBorders>
              <w:top w:val="single" w:sz="4" w:space="0" w:color="auto"/>
              <w:left w:val="nil"/>
              <w:bottom w:val="single" w:sz="4" w:space="0" w:color="auto"/>
              <w:right w:val="single" w:sz="4" w:space="0" w:color="auto"/>
            </w:tcBorders>
          </w:tcPr>
          <w:p w14:paraId="0A3BE2BF" w14:textId="77777777" w:rsidR="008E0AE5" w:rsidRDefault="008E0AE5"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1012" w:type="dxa"/>
            <w:tcBorders>
              <w:top w:val="single" w:sz="4" w:space="0" w:color="auto"/>
              <w:left w:val="nil"/>
              <w:bottom w:val="single" w:sz="4" w:space="0" w:color="auto"/>
              <w:right w:val="single" w:sz="4" w:space="0" w:color="auto"/>
            </w:tcBorders>
          </w:tcPr>
          <w:p w14:paraId="36767C73" w14:textId="77777777" w:rsidR="008E0AE5" w:rsidRDefault="008E0AE5"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1012" w:type="dxa"/>
            <w:tcBorders>
              <w:top w:val="single" w:sz="4" w:space="0" w:color="auto"/>
              <w:left w:val="nil"/>
              <w:bottom w:val="single" w:sz="4" w:space="0" w:color="auto"/>
              <w:right w:val="single" w:sz="4" w:space="0" w:color="auto"/>
            </w:tcBorders>
          </w:tcPr>
          <w:p w14:paraId="7A91110E" w14:textId="77777777" w:rsidR="008E0AE5" w:rsidRDefault="008E0AE5" w:rsidP="0010294B">
            <w:pPr>
              <w:pStyle w:val="TableText"/>
              <w:jc w:val="right"/>
              <w:rPr>
                <w:b/>
                <w:lang w:eastAsia="en-AU"/>
              </w:rPr>
            </w:pPr>
            <w:proofErr w:type="spellStart"/>
            <w:r>
              <w:rPr>
                <w:b/>
                <w:lang w:eastAsia="en-AU"/>
              </w:rPr>
              <w:t>Qtr</w:t>
            </w:r>
            <w:proofErr w:type="spellEnd"/>
            <w:r>
              <w:rPr>
                <w:b/>
                <w:lang w:eastAsia="en-AU"/>
              </w:rPr>
              <w:t xml:space="preserve"> 59</w:t>
            </w:r>
          </w:p>
        </w:tc>
      </w:tr>
      <w:tr w:rsidR="008E0AE5" w:rsidRPr="0093030B" w14:paraId="3C7E97A0"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2FB22E2B" w14:textId="77777777" w:rsidR="008E0AE5" w:rsidRDefault="008E0AE5" w:rsidP="0010294B">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61A1F6BE" w14:textId="77777777" w:rsidR="008E0AE5" w:rsidRDefault="008E0AE5" w:rsidP="0010294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1D83D009" w14:textId="77777777" w:rsidR="008E0AE5" w:rsidRDefault="008E0AE5" w:rsidP="0010294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64D0AA28" w14:textId="77777777" w:rsidR="008E0AE5" w:rsidRDefault="008E0AE5" w:rsidP="0010294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41CA5E9" w14:textId="77777777" w:rsidR="008E0AE5" w:rsidRDefault="008E0AE5" w:rsidP="0010294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A15AC44" w14:textId="77777777" w:rsidR="008E0AE5" w:rsidRDefault="008E0AE5" w:rsidP="0010294B">
            <w:pPr>
              <w:jc w:val="right"/>
              <w:rPr>
                <w:rFonts w:cs="Arial"/>
              </w:rPr>
            </w:pPr>
            <w:r>
              <w:rPr>
                <w:rFonts w:cs="Arial"/>
              </w:rPr>
              <w:t>0</w:t>
            </w:r>
          </w:p>
        </w:tc>
      </w:tr>
      <w:tr w:rsidR="008E0AE5" w:rsidRPr="0093030B" w14:paraId="3E51DE05"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5F8BB6AE" w14:textId="77777777" w:rsidR="008E0AE5" w:rsidRPr="0093030B" w:rsidRDefault="008E0AE5" w:rsidP="0010294B">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0DEC1E16" w14:textId="77777777" w:rsidR="008E0AE5" w:rsidRDefault="008E0AE5" w:rsidP="0010294B">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364AE28C" w14:textId="77777777" w:rsidR="008E0AE5" w:rsidRDefault="008E0AE5" w:rsidP="0010294B">
            <w:pPr>
              <w:jc w:val="right"/>
              <w:rPr>
                <w:rFonts w:cs="Arial"/>
              </w:rPr>
            </w:pPr>
            <w:r>
              <w:rPr>
                <w:rFonts w:cs="Arial"/>
              </w:rPr>
              <w:t>12</w:t>
            </w:r>
          </w:p>
        </w:tc>
        <w:tc>
          <w:tcPr>
            <w:tcW w:w="1012" w:type="dxa"/>
            <w:tcBorders>
              <w:top w:val="nil"/>
              <w:left w:val="nil"/>
              <w:bottom w:val="single" w:sz="4" w:space="0" w:color="auto"/>
              <w:right w:val="single" w:sz="4" w:space="0" w:color="auto"/>
            </w:tcBorders>
          </w:tcPr>
          <w:p w14:paraId="71E1E34E" w14:textId="77777777" w:rsidR="008E0AE5" w:rsidRDefault="008E0AE5" w:rsidP="0010294B">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01DA2E5C" w14:textId="77777777" w:rsidR="008E0AE5" w:rsidRDefault="008E0AE5" w:rsidP="0010294B">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2A313F30" w14:textId="77777777" w:rsidR="008E0AE5" w:rsidRDefault="008E0AE5" w:rsidP="0010294B">
            <w:pPr>
              <w:jc w:val="right"/>
              <w:rPr>
                <w:rFonts w:cs="Arial"/>
              </w:rPr>
            </w:pPr>
            <w:r>
              <w:rPr>
                <w:rFonts w:cs="Arial"/>
              </w:rPr>
              <w:t>4</w:t>
            </w:r>
          </w:p>
        </w:tc>
      </w:tr>
      <w:tr w:rsidR="008E0AE5" w:rsidRPr="0093030B" w14:paraId="41E21DBE"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65BF3E88" w14:textId="77777777" w:rsidR="008E0AE5" w:rsidRPr="0093030B" w:rsidRDefault="008E0AE5" w:rsidP="0010294B">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74CEC3A4" w14:textId="77777777" w:rsidR="008E0AE5" w:rsidRPr="001F4FDB" w:rsidRDefault="008E0AE5" w:rsidP="0010294B">
            <w:pPr>
              <w:jc w:val="right"/>
              <w:rPr>
                <w:rFonts w:cs="Arial"/>
              </w:rPr>
            </w:pPr>
            <w:r>
              <w:rPr>
                <w:rFonts w:cs="Arial"/>
              </w:rPr>
              <w:t>388</w:t>
            </w:r>
          </w:p>
        </w:tc>
        <w:tc>
          <w:tcPr>
            <w:tcW w:w="1012" w:type="dxa"/>
            <w:tcBorders>
              <w:top w:val="nil"/>
              <w:left w:val="nil"/>
              <w:bottom w:val="single" w:sz="4" w:space="0" w:color="auto"/>
              <w:right w:val="single" w:sz="4" w:space="0" w:color="auto"/>
            </w:tcBorders>
          </w:tcPr>
          <w:p w14:paraId="3B345B6C" w14:textId="77777777" w:rsidR="008E0AE5" w:rsidRDefault="008E0AE5" w:rsidP="0010294B">
            <w:pPr>
              <w:jc w:val="right"/>
              <w:rPr>
                <w:rFonts w:cs="Arial"/>
              </w:rPr>
            </w:pPr>
            <w:r>
              <w:rPr>
                <w:rFonts w:cs="Arial"/>
              </w:rPr>
              <w:t>273</w:t>
            </w:r>
          </w:p>
        </w:tc>
        <w:tc>
          <w:tcPr>
            <w:tcW w:w="1012" w:type="dxa"/>
            <w:tcBorders>
              <w:top w:val="nil"/>
              <w:left w:val="nil"/>
              <w:bottom w:val="single" w:sz="4" w:space="0" w:color="auto"/>
              <w:right w:val="single" w:sz="4" w:space="0" w:color="auto"/>
            </w:tcBorders>
          </w:tcPr>
          <w:p w14:paraId="62A406FD" w14:textId="77777777" w:rsidR="008E0AE5" w:rsidRDefault="008E0AE5" w:rsidP="0010294B">
            <w:pPr>
              <w:jc w:val="right"/>
              <w:rPr>
                <w:rFonts w:cs="Arial"/>
              </w:rPr>
            </w:pPr>
            <w:r>
              <w:rPr>
                <w:rFonts w:cs="Arial"/>
              </w:rPr>
              <w:t>333</w:t>
            </w:r>
          </w:p>
        </w:tc>
        <w:tc>
          <w:tcPr>
            <w:tcW w:w="1012" w:type="dxa"/>
            <w:tcBorders>
              <w:top w:val="nil"/>
              <w:left w:val="nil"/>
              <w:bottom w:val="single" w:sz="4" w:space="0" w:color="auto"/>
              <w:right w:val="single" w:sz="4" w:space="0" w:color="auto"/>
            </w:tcBorders>
          </w:tcPr>
          <w:p w14:paraId="49AD000F" w14:textId="77777777" w:rsidR="008E0AE5" w:rsidRDefault="008E0AE5" w:rsidP="0010294B">
            <w:pPr>
              <w:jc w:val="right"/>
              <w:rPr>
                <w:rFonts w:cs="Arial"/>
              </w:rPr>
            </w:pPr>
            <w:r>
              <w:rPr>
                <w:rFonts w:cs="Arial"/>
              </w:rPr>
              <w:t>269</w:t>
            </w:r>
          </w:p>
        </w:tc>
        <w:tc>
          <w:tcPr>
            <w:tcW w:w="1012" w:type="dxa"/>
            <w:tcBorders>
              <w:top w:val="nil"/>
              <w:left w:val="nil"/>
              <w:bottom w:val="single" w:sz="4" w:space="0" w:color="auto"/>
              <w:right w:val="single" w:sz="4" w:space="0" w:color="auto"/>
            </w:tcBorders>
          </w:tcPr>
          <w:p w14:paraId="0CE82BB9" w14:textId="77777777" w:rsidR="008E0AE5" w:rsidRDefault="008E0AE5" w:rsidP="0010294B">
            <w:pPr>
              <w:jc w:val="right"/>
              <w:rPr>
                <w:rFonts w:cs="Arial"/>
              </w:rPr>
            </w:pPr>
            <w:r>
              <w:rPr>
                <w:rFonts w:cs="Arial"/>
              </w:rPr>
              <w:t>554</w:t>
            </w:r>
          </w:p>
        </w:tc>
      </w:tr>
      <w:tr w:rsidR="008E0AE5" w:rsidRPr="0093030B" w14:paraId="0B57EE3C"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1A9BCB15" w14:textId="77777777" w:rsidR="008E0AE5" w:rsidRPr="0093030B" w:rsidRDefault="008E0AE5" w:rsidP="0010294B">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65CA9BED" w14:textId="77777777" w:rsidR="008E0AE5" w:rsidRPr="001F4FDB" w:rsidRDefault="008E0AE5" w:rsidP="0010294B">
            <w:pPr>
              <w:jc w:val="right"/>
              <w:rPr>
                <w:rFonts w:cs="Arial"/>
              </w:rPr>
            </w:pPr>
            <w:r>
              <w:rPr>
                <w:rFonts w:cs="Arial"/>
              </w:rPr>
              <w:t>39</w:t>
            </w:r>
          </w:p>
        </w:tc>
        <w:tc>
          <w:tcPr>
            <w:tcW w:w="1012" w:type="dxa"/>
            <w:tcBorders>
              <w:top w:val="nil"/>
              <w:left w:val="nil"/>
              <w:bottom w:val="single" w:sz="4" w:space="0" w:color="auto"/>
              <w:right w:val="single" w:sz="4" w:space="0" w:color="auto"/>
            </w:tcBorders>
          </w:tcPr>
          <w:p w14:paraId="28CCAEE3" w14:textId="77777777" w:rsidR="008E0AE5" w:rsidRDefault="008E0AE5" w:rsidP="0010294B">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4F5E017F" w14:textId="77777777" w:rsidR="008E0AE5" w:rsidRDefault="008E0AE5" w:rsidP="0010294B">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646C4677" w14:textId="77777777" w:rsidR="008E0AE5" w:rsidRDefault="008E0AE5" w:rsidP="0010294B">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28D84190" w14:textId="77777777" w:rsidR="008E0AE5" w:rsidRDefault="008E0AE5" w:rsidP="0010294B">
            <w:pPr>
              <w:jc w:val="right"/>
              <w:rPr>
                <w:rFonts w:cs="Arial"/>
              </w:rPr>
            </w:pPr>
            <w:r>
              <w:rPr>
                <w:rFonts w:cs="Arial"/>
              </w:rPr>
              <w:t>80</w:t>
            </w:r>
          </w:p>
        </w:tc>
      </w:tr>
      <w:tr w:rsidR="008E0AE5" w:rsidRPr="0093030B" w14:paraId="1877644A"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475B1AC2" w14:textId="77777777" w:rsidR="008E0AE5" w:rsidRPr="0093030B" w:rsidRDefault="008E0AE5" w:rsidP="0010294B">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0D1E6FB4" w14:textId="77777777" w:rsidR="008E0AE5" w:rsidRPr="001F4FDB" w:rsidRDefault="008E0AE5" w:rsidP="0010294B">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63AFFD18" w14:textId="77777777" w:rsidR="008E0AE5" w:rsidRDefault="008E0AE5" w:rsidP="0010294B">
            <w:pPr>
              <w:jc w:val="right"/>
              <w:rPr>
                <w:rFonts w:cs="Arial"/>
              </w:rPr>
            </w:pPr>
            <w:r>
              <w:rPr>
                <w:rFonts w:cs="Arial"/>
              </w:rPr>
              <w:t>45</w:t>
            </w:r>
          </w:p>
        </w:tc>
        <w:tc>
          <w:tcPr>
            <w:tcW w:w="1012" w:type="dxa"/>
            <w:tcBorders>
              <w:top w:val="nil"/>
              <w:left w:val="nil"/>
              <w:bottom w:val="single" w:sz="4" w:space="0" w:color="auto"/>
              <w:right w:val="single" w:sz="4" w:space="0" w:color="auto"/>
            </w:tcBorders>
          </w:tcPr>
          <w:p w14:paraId="718D5E1A" w14:textId="77777777" w:rsidR="008E0AE5" w:rsidRDefault="008E0AE5" w:rsidP="0010294B">
            <w:pPr>
              <w:jc w:val="right"/>
              <w:rPr>
                <w:rFonts w:cs="Arial"/>
              </w:rPr>
            </w:pPr>
            <w:r>
              <w:rPr>
                <w:rFonts w:cs="Arial"/>
              </w:rPr>
              <w:t>43</w:t>
            </w:r>
          </w:p>
        </w:tc>
        <w:tc>
          <w:tcPr>
            <w:tcW w:w="1012" w:type="dxa"/>
            <w:tcBorders>
              <w:top w:val="nil"/>
              <w:left w:val="nil"/>
              <w:bottom w:val="single" w:sz="4" w:space="0" w:color="auto"/>
              <w:right w:val="single" w:sz="4" w:space="0" w:color="auto"/>
            </w:tcBorders>
          </w:tcPr>
          <w:p w14:paraId="57600A39" w14:textId="77777777" w:rsidR="008E0AE5" w:rsidRDefault="008E0AE5" w:rsidP="0010294B">
            <w:pPr>
              <w:jc w:val="right"/>
              <w:rPr>
                <w:rFonts w:cs="Arial"/>
              </w:rPr>
            </w:pPr>
            <w:r>
              <w:rPr>
                <w:rFonts w:cs="Arial"/>
              </w:rPr>
              <w:t>80</w:t>
            </w:r>
          </w:p>
        </w:tc>
        <w:tc>
          <w:tcPr>
            <w:tcW w:w="1012" w:type="dxa"/>
            <w:tcBorders>
              <w:top w:val="nil"/>
              <w:left w:val="nil"/>
              <w:bottom w:val="single" w:sz="4" w:space="0" w:color="auto"/>
              <w:right w:val="single" w:sz="4" w:space="0" w:color="auto"/>
            </w:tcBorders>
          </w:tcPr>
          <w:p w14:paraId="1A751370" w14:textId="77777777" w:rsidR="008E0AE5" w:rsidRDefault="008E0AE5" w:rsidP="0010294B">
            <w:pPr>
              <w:jc w:val="right"/>
              <w:rPr>
                <w:rFonts w:cs="Arial"/>
              </w:rPr>
            </w:pPr>
            <w:r>
              <w:rPr>
                <w:rFonts w:cs="Arial"/>
              </w:rPr>
              <w:t>104</w:t>
            </w:r>
          </w:p>
        </w:tc>
      </w:tr>
      <w:tr w:rsidR="008E0AE5" w:rsidRPr="0093030B" w14:paraId="59D601BC"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374F31FE" w14:textId="77777777" w:rsidR="008E0AE5" w:rsidRPr="0093030B" w:rsidRDefault="008E0AE5" w:rsidP="0010294B">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743D9F35" w14:textId="77777777" w:rsidR="008E0AE5" w:rsidRPr="001F4FDB" w:rsidRDefault="008E0AE5" w:rsidP="0010294B">
            <w:pPr>
              <w:jc w:val="right"/>
              <w:rPr>
                <w:rFonts w:cs="Arial"/>
              </w:rPr>
            </w:pPr>
            <w:r>
              <w:rPr>
                <w:rFonts w:cs="Arial"/>
              </w:rPr>
              <w:t>612</w:t>
            </w:r>
          </w:p>
        </w:tc>
        <w:tc>
          <w:tcPr>
            <w:tcW w:w="1012" w:type="dxa"/>
            <w:tcBorders>
              <w:top w:val="nil"/>
              <w:left w:val="nil"/>
              <w:bottom w:val="single" w:sz="4" w:space="0" w:color="auto"/>
              <w:right w:val="single" w:sz="4" w:space="0" w:color="auto"/>
            </w:tcBorders>
          </w:tcPr>
          <w:p w14:paraId="7B11AE75" w14:textId="77777777" w:rsidR="008E0AE5" w:rsidRDefault="008E0AE5" w:rsidP="0010294B">
            <w:pPr>
              <w:jc w:val="right"/>
              <w:rPr>
                <w:rFonts w:cs="Arial"/>
              </w:rPr>
            </w:pPr>
            <w:r>
              <w:rPr>
                <w:rFonts w:cs="Arial"/>
              </w:rPr>
              <w:t>690</w:t>
            </w:r>
          </w:p>
        </w:tc>
        <w:tc>
          <w:tcPr>
            <w:tcW w:w="1012" w:type="dxa"/>
            <w:tcBorders>
              <w:top w:val="nil"/>
              <w:left w:val="nil"/>
              <w:bottom w:val="single" w:sz="4" w:space="0" w:color="auto"/>
              <w:right w:val="single" w:sz="4" w:space="0" w:color="auto"/>
            </w:tcBorders>
          </w:tcPr>
          <w:p w14:paraId="705EC898" w14:textId="77777777" w:rsidR="008E0AE5" w:rsidRDefault="008E0AE5" w:rsidP="0010294B">
            <w:pPr>
              <w:jc w:val="right"/>
              <w:rPr>
                <w:rFonts w:cs="Arial"/>
              </w:rPr>
            </w:pPr>
            <w:r>
              <w:rPr>
                <w:rFonts w:cs="Arial"/>
              </w:rPr>
              <w:t>539</w:t>
            </w:r>
          </w:p>
        </w:tc>
        <w:tc>
          <w:tcPr>
            <w:tcW w:w="1012" w:type="dxa"/>
            <w:tcBorders>
              <w:top w:val="nil"/>
              <w:left w:val="nil"/>
              <w:bottom w:val="single" w:sz="4" w:space="0" w:color="auto"/>
              <w:right w:val="single" w:sz="4" w:space="0" w:color="auto"/>
            </w:tcBorders>
          </w:tcPr>
          <w:p w14:paraId="7F42666D" w14:textId="77777777" w:rsidR="008E0AE5" w:rsidRDefault="008E0AE5" w:rsidP="0010294B">
            <w:pPr>
              <w:jc w:val="right"/>
              <w:rPr>
                <w:rFonts w:cs="Arial"/>
              </w:rPr>
            </w:pPr>
            <w:r>
              <w:rPr>
                <w:rFonts w:cs="Arial"/>
              </w:rPr>
              <w:t>731</w:t>
            </w:r>
          </w:p>
        </w:tc>
        <w:tc>
          <w:tcPr>
            <w:tcW w:w="1012" w:type="dxa"/>
            <w:tcBorders>
              <w:top w:val="nil"/>
              <w:left w:val="nil"/>
              <w:bottom w:val="single" w:sz="4" w:space="0" w:color="auto"/>
              <w:right w:val="single" w:sz="4" w:space="0" w:color="auto"/>
            </w:tcBorders>
          </w:tcPr>
          <w:p w14:paraId="31606380" w14:textId="77777777" w:rsidR="008E0AE5" w:rsidRDefault="008E0AE5" w:rsidP="0010294B">
            <w:pPr>
              <w:jc w:val="right"/>
              <w:rPr>
                <w:rFonts w:cs="Arial"/>
              </w:rPr>
            </w:pPr>
            <w:r>
              <w:rPr>
                <w:rFonts w:cs="Arial"/>
              </w:rPr>
              <w:t>751</w:t>
            </w:r>
          </w:p>
        </w:tc>
      </w:tr>
      <w:tr w:rsidR="008E0AE5" w:rsidRPr="0093030B" w14:paraId="3343C455"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020D7A25" w14:textId="77777777" w:rsidR="008E0AE5" w:rsidRPr="0093030B" w:rsidRDefault="008E0AE5" w:rsidP="0010294B">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5A137FAF" w14:textId="77777777" w:rsidR="008E0AE5" w:rsidRPr="001F4FDB" w:rsidRDefault="008E0AE5" w:rsidP="0010294B">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391636CA" w14:textId="77777777" w:rsidR="008E0AE5" w:rsidRDefault="008E0AE5" w:rsidP="0010294B">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2440C88A" w14:textId="77777777" w:rsidR="008E0AE5" w:rsidRDefault="008E0AE5" w:rsidP="0010294B">
            <w:pPr>
              <w:jc w:val="right"/>
              <w:rPr>
                <w:rFonts w:cs="Arial"/>
              </w:rPr>
            </w:pPr>
            <w:r>
              <w:rPr>
                <w:rFonts w:cs="Arial"/>
              </w:rPr>
              <w:t>19</w:t>
            </w:r>
          </w:p>
        </w:tc>
        <w:tc>
          <w:tcPr>
            <w:tcW w:w="1012" w:type="dxa"/>
            <w:tcBorders>
              <w:top w:val="nil"/>
              <w:left w:val="nil"/>
              <w:bottom w:val="single" w:sz="4" w:space="0" w:color="auto"/>
              <w:right w:val="single" w:sz="4" w:space="0" w:color="auto"/>
            </w:tcBorders>
          </w:tcPr>
          <w:p w14:paraId="645A11D9" w14:textId="77777777" w:rsidR="008E0AE5" w:rsidRDefault="008E0AE5" w:rsidP="0010294B">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6E6BA91E" w14:textId="77777777" w:rsidR="008E0AE5" w:rsidRDefault="008E0AE5" w:rsidP="0010294B">
            <w:pPr>
              <w:jc w:val="right"/>
              <w:rPr>
                <w:rFonts w:cs="Arial"/>
              </w:rPr>
            </w:pPr>
            <w:r>
              <w:rPr>
                <w:rFonts w:cs="Arial"/>
              </w:rPr>
              <w:t>2</w:t>
            </w:r>
          </w:p>
        </w:tc>
      </w:tr>
      <w:tr w:rsidR="008E0AE5" w:rsidRPr="0093030B" w14:paraId="62044272"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49CFC207" w14:textId="77777777" w:rsidR="008E0AE5" w:rsidRPr="0093030B" w:rsidRDefault="008E0AE5" w:rsidP="0010294B">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42535584" w14:textId="77777777" w:rsidR="008E0AE5" w:rsidRPr="001F4FDB" w:rsidRDefault="008E0AE5" w:rsidP="0010294B">
            <w:pPr>
              <w:jc w:val="right"/>
              <w:rPr>
                <w:rFonts w:cs="Arial"/>
              </w:rPr>
            </w:pPr>
            <w:r>
              <w:rPr>
                <w:rFonts w:cs="Arial"/>
              </w:rPr>
              <w:t>74</w:t>
            </w:r>
          </w:p>
        </w:tc>
        <w:tc>
          <w:tcPr>
            <w:tcW w:w="1012" w:type="dxa"/>
            <w:tcBorders>
              <w:top w:val="nil"/>
              <w:left w:val="nil"/>
              <w:bottom w:val="single" w:sz="4" w:space="0" w:color="auto"/>
              <w:right w:val="single" w:sz="4" w:space="0" w:color="auto"/>
            </w:tcBorders>
          </w:tcPr>
          <w:p w14:paraId="12049407" w14:textId="77777777" w:rsidR="008E0AE5" w:rsidRDefault="008E0AE5" w:rsidP="0010294B">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54AF99AC" w14:textId="77777777" w:rsidR="008E0AE5" w:rsidRDefault="008E0AE5" w:rsidP="0010294B">
            <w:pPr>
              <w:jc w:val="right"/>
              <w:rPr>
                <w:rFonts w:cs="Arial"/>
              </w:rPr>
            </w:pPr>
            <w:r>
              <w:rPr>
                <w:rFonts w:cs="Arial"/>
              </w:rPr>
              <w:t>85</w:t>
            </w:r>
          </w:p>
        </w:tc>
        <w:tc>
          <w:tcPr>
            <w:tcW w:w="1012" w:type="dxa"/>
            <w:tcBorders>
              <w:top w:val="nil"/>
              <w:left w:val="nil"/>
              <w:bottom w:val="single" w:sz="4" w:space="0" w:color="auto"/>
              <w:right w:val="single" w:sz="4" w:space="0" w:color="auto"/>
            </w:tcBorders>
          </w:tcPr>
          <w:p w14:paraId="6FA7401C" w14:textId="77777777" w:rsidR="008E0AE5" w:rsidRDefault="008E0AE5" w:rsidP="0010294B">
            <w:pPr>
              <w:jc w:val="right"/>
              <w:rPr>
                <w:rFonts w:cs="Arial"/>
              </w:rPr>
            </w:pPr>
            <w:r>
              <w:rPr>
                <w:rFonts w:cs="Arial"/>
              </w:rPr>
              <w:t>93</w:t>
            </w:r>
          </w:p>
        </w:tc>
        <w:tc>
          <w:tcPr>
            <w:tcW w:w="1012" w:type="dxa"/>
            <w:tcBorders>
              <w:top w:val="nil"/>
              <w:left w:val="nil"/>
              <w:bottom w:val="single" w:sz="4" w:space="0" w:color="auto"/>
              <w:right w:val="single" w:sz="4" w:space="0" w:color="auto"/>
            </w:tcBorders>
          </w:tcPr>
          <w:p w14:paraId="7E537033" w14:textId="77777777" w:rsidR="008E0AE5" w:rsidRDefault="008E0AE5" w:rsidP="0010294B">
            <w:pPr>
              <w:jc w:val="right"/>
              <w:rPr>
                <w:rFonts w:cs="Arial"/>
              </w:rPr>
            </w:pPr>
            <w:r>
              <w:rPr>
                <w:rFonts w:cs="Arial"/>
              </w:rPr>
              <w:t>117</w:t>
            </w:r>
          </w:p>
        </w:tc>
      </w:tr>
      <w:tr w:rsidR="008E0AE5" w:rsidRPr="0093030B" w14:paraId="7B14C4A9"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5875FB3C" w14:textId="77777777" w:rsidR="008E0AE5" w:rsidRPr="0093030B" w:rsidRDefault="008E0AE5" w:rsidP="0010294B">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4134153F" w14:textId="77777777" w:rsidR="008E0AE5" w:rsidRPr="001F4FDB" w:rsidRDefault="008E0AE5" w:rsidP="0010294B">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061FF3AC" w14:textId="77777777" w:rsidR="008E0AE5" w:rsidRDefault="008E0AE5" w:rsidP="0010294B">
            <w:pPr>
              <w:jc w:val="right"/>
              <w:rPr>
                <w:rFonts w:cs="Arial"/>
              </w:rPr>
            </w:pPr>
            <w:r>
              <w:rPr>
                <w:rFonts w:cs="Arial"/>
              </w:rPr>
              <w:t>19</w:t>
            </w:r>
          </w:p>
        </w:tc>
        <w:tc>
          <w:tcPr>
            <w:tcW w:w="1012" w:type="dxa"/>
            <w:tcBorders>
              <w:top w:val="nil"/>
              <w:left w:val="nil"/>
              <w:bottom w:val="single" w:sz="4" w:space="0" w:color="auto"/>
              <w:right w:val="single" w:sz="4" w:space="0" w:color="auto"/>
            </w:tcBorders>
          </w:tcPr>
          <w:p w14:paraId="12D3C289" w14:textId="77777777" w:rsidR="008E0AE5" w:rsidRDefault="008E0AE5" w:rsidP="0010294B">
            <w:pPr>
              <w:jc w:val="right"/>
              <w:rPr>
                <w:rFonts w:cs="Arial"/>
              </w:rPr>
            </w:pPr>
            <w:r>
              <w:rPr>
                <w:rFonts w:cs="Arial"/>
              </w:rPr>
              <w:t>7</w:t>
            </w:r>
          </w:p>
        </w:tc>
        <w:tc>
          <w:tcPr>
            <w:tcW w:w="1012" w:type="dxa"/>
            <w:tcBorders>
              <w:top w:val="nil"/>
              <w:left w:val="nil"/>
              <w:bottom w:val="single" w:sz="4" w:space="0" w:color="auto"/>
              <w:right w:val="single" w:sz="4" w:space="0" w:color="auto"/>
            </w:tcBorders>
          </w:tcPr>
          <w:p w14:paraId="60DACC52" w14:textId="77777777" w:rsidR="008E0AE5" w:rsidRDefault="008E0AE5" w:rsidP="0010294B">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44DD5BBA" w14:textId="77777777" w:rsidR="008E0AE5" w:rsidRDefault="008E0AE5" w:rsidP="0010294B">
            <w:pPr>
              <w:jc w:val="right"/>
              <w:rPr>
                <w:rFonts w:cs="Arial"/>
              </w:rPr>
            </w:pPr>
            <w:r>
              <w:rPr>
                <w:rFonts w:cs="Arial"/>
              </w:rPr>
              <w:t>2</w:t>
            </w:r>
          </w:p>
        </w:tc>
      </w:tr>
      <w:tr w:rsidR="008E0AE5" w:rsidRPr="0093030B" w14:paraId="2733A8C2" w14:textId="77777777" w:rsidTr="0010294B">
        <w:trPr>
          <w:trHeight w:val="255"/>
        </w:trPr>
        <w:tc>
          <w:tcPr>
            <w:tcW w:w="3460" w:type="dxa"/>
            <w:tcBorders>
              <w:top w:val="nil"/>
              <w:left w:val="single" w:sz="4" w:space="0" w:color="auto"/>
              <w:bottom w:val="single" w:sz="4" w:space="0" w:color="auto"/>
              <w:right w:val="single" w:sz="4" w:space="0" w:color="auto"/>
            </w:tcBorders>
            <w:noWrap/>
            <w:hideMark/>
          </w:tcPr>
          <w:p w14:paraId="66C97C48" w14:textId="77777777" w:rsidR="008E0AE5" w:rsidRPr="0093030B" w:rsidRDefault="008E0AE5" w:rsidP="0010294B">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5AB1BDC8" w14:textId="77777777" w:rsidR="008E0AE5" w:rsidRDefault="008E0AE5" w:rsidP="0010294B">
            <w:pPr>
              <w:jc w:val="right"/>
              <w:rPr>
                <w:rFonts w:cs="Arial"/>
                <w:b/>
                <w:bCs/>
              </w:rPr>
            </w:pPr>
            <w:r>
              <w:rPr>
                <w:rFonts w:cs="Arial"/>
                <w:b/>
                <w:bCs/>
              </w:rPr>
              <w:t>1185</w:t>
            </w:r>
          </w:p>
        </w:tc>
        <w:tc>
          <w:tcPr>
            <w:tcW w:w="1012" w:type="dxa"/>
            <w:tcBorders>
              <w:top w:val="nil"/>
              <w:left w:val="nil"/>
              <w:bottom w:val="single" w:sz="4" w:space="0" w:color="auto"/>
              <w:right w:val="single" w:sz="4" w:space="0" w:color="auto"/>
            </w:tcBorders>
          </w:tcPr>
          <w:p w14:paraId="6FCA8383" w14:textId="77777777" w:rsidR="008E0AE5" w:rsidRDefault="008E0AE5" w:rsidP="0010294B">
            <w:pPr>
              <w:jc w:val="right"/>
              <w:rPr>
                <w:rFonts w:cs="Arial"/>
                <w:b/>
                <w:bCs/>
              </w:rPr>
            </w:pPr>
            <w:r>
              <w:rPr>
                <w:rFonts w:cs="Arial"/>
                <w:b/>
                <w:bCs/>
              </w:rPr>
              <w:t>1142</w:t>
            </w:r>
          </w:p>
        </w:tc>
        <w:tc>
          <w:tcPr>
            <w:tcW w:w="1012" w:type="dxa"/>
            <w:tcBorders>
              <w:top w:val="nil"/>
              <w:left w:val="nil"/>
              <w:bottom w:val="single" w:sz="4" w:space="0" w:color="auto"/>
              <w:right w:val="single" w:sz="4" w:space="0" w:color="auto"/>
            </w:tcBorders>
          </w:tcPr>
          <w:p w14:paraId="47241AF8" w14:textId="77777777" w:rsidR="008E0AE5" w:rsidRDefault="008E0AE5" w:rsidP="0010294B">
            <w:pPr>
              <w:jc w:val="right"/>
              <w:rPr>
                <w:rFonts w:cs="Arial"/>
                <w:b/>
                <w:bCs/>
              </w:rPr>
            </w:pPr>
            <w:r>
              <w:rPr>
                <w:rFonts w:cs="Arial"/>
                <w:b/>
                <w:bCs/>
              </w:rPr>
              <w:t>1070</w:t>
            </w:r>
          </w:p>
        </w:tc>
        <w:tc>
          <w:tcPr>
            <w:tcW w:w="1012" w:type="dxa"/>
            <w:tcBorders>
              <w:top w:val="nil"/>
              <w:left w:val="nil"/>
              <w:bottom w:val="single" w:sz="4" w:space="0" w:color="auto"/>
              <w:right w:val="single" w:sz="4" w:space="0" w:color="auto"/>
            </w:tcBorders>
          </w:tcPr>
          <w:p w14:paraId="4F2B88F7" w14:textId="77777777" w:rsidR="008E0AE5" w:rsidRDefault="008E0AE5" w:rsidP="0010294B">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543242A5" w14:textId="77777777" w:rsidR="008E0AE5" w:rsidRDefault="008E0AE5" w:rsidP="0010294B">
            <w:pPr>
              <w:jc w:val="right"/>
              <w:rPr>
                <w:rFonts w:cs="Arial"/>
                <w:b/>
                <w:bCs/>
              </w:rPr>
            </w:pPr>
            <w:r>
              <w:rPr>
                <w:rFonts w:cs="Arial"/>
                <w:b/>
                <w:bCs/>
              </w:rPr>
              <w:t>1614</w:t>
            </w:r>
          </w:p>
        </w:tc>
      </w:tr>
    </w:tbl>
    <w:p w14:paraId="7CA6F375" w14:textId="1ECCE08F" w:rsidR="00B93017" w:rsidRPr="00086AA9" w:rsidRDefault="00B93017" w:rsidP="008D3D27">
      <w:pPr>
        <w:spacing w:line="240" w:lineRule="auto"/>
        <w:ind w:left="-142" w:right="-425"/>
        <w:rPr>
          <w:rFonts w:cs="Arial"/>
          <w:bCs/>
        </w:rPr>
      </w:pPr>
    </w:p>
    <w:p w14:paraId="2BD6D481" w14:textId="1313D5B2" w:rsidR="005A5B78" w:rsidRDefault="008E0AE5" w:rsidP="005A5B78">
      <w:pPr>
        <w:ind w:left="-142" w:right="-425"/>
        <w:rPr>
          <w:rFonts w:cs="Arial"/>
          <w:sz w:val="16"/>
          <w:szCs w:val="16"/>
        </w:rPr>
      </w:pPr>
      <w:r>
        <w:rPr>
          <w:rFonts w:cs="Arial"/>
          <w:b/>
          <w:sz w:val="16"/>
          <w:szCs w:val="16"/>
        </w:rPr>
        <w:t>Table 11</w:t>
      </w:r>
      <w:r w:rsidR="005A5B78" w:rsidRPr="00860212">
        <w:rPr>
          <w:rFonts w:cs="Arial"/>
          <w:b/>
          <w:sz w:val="16"/>
          <w:szCs w:val="16"/>
        </w:rPr>
        <w:t xml:space="preserve">: </w:t>
      </w:r>
      <w:r w:rsidR="00CF12D1">
        <w:rPr>
          <w:rFonts w:cs="Arial"/>
          <w:sz w:val="16"/>
          <w:szCs w:val="16"/>
        </w:rPr>
        <w:t>Notices i</w:t>
      </w:r>
      <w:r w:rsidR="005A5B78" w:rsidRPr="00D24CB4">
        <w:rPr>
          <w:rFonts w:cs="Arial"/>
          <w:sz w:val="16"/>
          <w:szCs w:val="16"/>
        </w:rPr>
        <w:t>n jurisdiction</w:t>
      </w:r>
      <w:r w:rsidR="005A5B78">
        <w:rPr>
          <w:rFonts w:cs="Arial"/>
          <w:b/>
          <w:sz w:val="16"/>
          <w:szCs w:val="16"/>
        </w:rPr>
        <w:t xml:space="preserve"> </w:t>
      </w:r>
      <w:r w:rsidR="005A5B78" w:rsidRPr="00901D09">
        <w:rPr>
          <w:rFonts w:cs="Arial"/>
          <w:sz w:val="16"/>
          <w:szCs w:val="16"/>
        </w:rPr>
        <w:t xml:space="preserve">by community and quarter </w:t>
      </w:r>
      <w:r w:rsidR="007B7E78">
        <w:rPr>
          <w:rFonts w:cs="Arial"/>
          <w:sz w:val="16"/>
          <w:szCs w:val="16"/>
        </w:rPr>
        <w:t xml:space="preserve">1 </w:t>
      </w:r>
      <w:r w:rsidR="003C708C">
        <w:rPr>
          <w:rFonts w:cs="Arial"/>
          <w:sz w:val="16"/>
          <w:szCs w:val="16"/>
        </w:rPr>
        <w:t>January 2022</w:t>
      </w:r>
      <w:r w:rsidR="00A41820">
        <w:rPr>
          <w:rFonts w:cs="Arial"/>
          <w:sz w:val="16"/>
          <w:szCs w:val="16"/>
        </w:rPr>
        <w:t xml:space="preserve"> to </w:t>
      </w:r>
      <w:r w:rsidR="007B7E78">
        <w:rPr>
          <w:rFonts w:cs="Arial"/>
          <w:sz w:val="16"/>
          <w:szCs w:val="16"/>
        </w:rPr>
        <w:t xml:space="preserve">31 </w:t>
      </w:r>
      <w:r w:rsidR="00984BBB">
        <w:rPr>
          <w:rFonts w:cs="Arial"/>
          <w:sz w:val="16"/>
          <w:szCs w:val="16"/>
        </w:rPr>
        <w:t>March 2023</w:t>
      </w:r>
    </w:p>
    <w:p w14:paraId="71ED1C53" w14:textId="77777777" w:rsidR="00B11577" w:rsidRPr="00086AA9" w:rsidRDefault="00B11577" w:rsidP="005A5B78">
      <w:pPr>
        <w:ind w:left="-142" w:right="-425"/>
        <w:rPr>
          <w:rFonts w:cs="Arial"/>
        </w:rPr>
      </w:pP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B11577" w:rsidRPr="0093030B" w14:paraId="4929956F" w14:textId="77777777" w:rsidTr="0010294B">
        <w:trPr>
          <w:trHeight w:val="480"/>
        </w:trPr>
        <w:tc>
          <w:tcPr>
            <w:tcW w:w="3460" w:type="dxa"/>
            <w:tcBorders>
              <w:top w:val="single" w:sz="4" w:space="0" w:color="auto"/>
              <w:left w:val="single" w:sz="4" w:space="0" w:color="auto"/>
              <w:bottom w:val="single" w:sz="4" w:space="0" w:color="auto"/>
              <w:right w:val="single" w:sz="4" w:space="0" w:color="auto"/>
            </w:tcBorders>
            <w:hideMark/>
          </w:tcPr>
          <w:p w14:paraId="1819992C" w14:textId="77777777" w:rsidR="00B11577" w:rsidRPr="0093030B" w:rsidRDefault="00B11577" w:rsidP="0010294B">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tcPr>
          <w:p w14:paraId="2915ED20" w14:textId="77777777" w:rsidR="00B11577" w:rsidRDefault="00B11577" w:rsidP="0010294B">
            <w:pPr>
              <w:pStyle w:val="TableText"/>
              <w:jc w:val="right"/>
              <w:rPr>
                <w:b/>
                <w:lang w:eastAsia="en-AU"/>
              </w:rPr>
            </w:pPr>
            <w:proofErr w:type="spellStart"/>
            <w:r>
              <w:rPr>
                <w:b/>
                <w:lang w:eastAsia="en-AU"/>
              </w:rPr>
              <w:t>Qtr</w:t>
            </w:r>
            <w:proofErr w:type="spellEnd"/>
            <w:r>
              <w:rPr>
                <w:b/>
                <w:lang w:eastAsia="en-AU"/>
              </w:rPr>
              <w:t xml:space="preserve"> 55</w:t>
            </w:r>
          </w:p>
        </w:tc>
        <w:tc>
          <w:tcPr>
            <w:tcW w:w="1012" w:type="dxa"/>
            <w:tcBorders>
              <w:top w:val="single" w:sz="4" w:space="0" w:color="auto"/>
              <w:left w:val="nil"/>
              <w:bottom w:val="single" w:sz="4" w:space="0" w:color="auto"/>
              <w:right w:val="single" w:sz="4" w:space="0" w:color="auto"/>
            </w:tcBorders>
          </w:tcPr>
          <w:p w14:paraId="4936AAAF" w14:textId="77777777" w:rsidR="00B11577" w:rsidRDefault="00B11577"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1012" w:type="dxa"/>
            <w:tcBorders>
              <w:top w:val="single" w:sz="4" w:space="0" w:color="auto"/>
              <w:left w:val="nil"/>
              <w:bottom w:val="single" w:sz="4" w:space="0" w:color="auto"/>
              <w:right w:val="single" w:sz="4" w:space="0" w:color="auto"/>
            </w:tcBorders>
          </w:tcPr>
          <w:p w14:paraId="513ECF0B" w14:textId="77777777" w:rsidR="00B11577" w:rsidRDefault="00B11577"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1012" w:type="dxa"/>
            <w:tcBorders>
              <w:top w:val="single" w:sz="4" w:space="0" w:color="auto"/>
              <w:left w:val="nil"/>
              <w:bottom w:val="single" w:sz="4" w:space="0" w:color="auto"/>
              <w:right w:val="single" w:sz="4" w:space="0" w:color="auto"/>
            </w:tcBorders>
          </w:tcPr>
          <w:p w14:paraId="7199C02B" w14:textId="77777777" w:rsidR="00B11577" w:rsidRDefault="00B11577"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1012" w:type="dxa"/>
            <w:tcBorders>
              <w:top w:val="single" w:sz="4" w:space="0" w:color="auto"/>
              <w:left w:val="nil"/>
              <w:bottom w:val="single" w:sz="4" w:space="0" w:color="auto"/>
              <w:right w:val="single" w:sz="4" w:space="0" w:color="auto"/>
            </w:tcBorders>
          </w:tcPr>
          <w:p w14:paraId="326E3665" w14:textId="77777777" w:rsidR="00B11577" w:rsidRDefault="00B11577" w:rsidP="0010294B">
            <w:pPr>
              <w:pStyle w:val="TableText"/>
              <w:jc w:val="right"/>
              <w:rPr>
                <w:b/>
                <w:lang w:eastAsia="en-AU"/>
              </w:rPr>
            </w:pPr>
            <w:proofErr w:type="spellStart"/>
            <w:r>
              <w:rPr>
                <w:b/>
                <w:lang w:eastAsia="en-AU"/>
              </w:rPr>
              <w:t>Qtr</w:t>
            </w:r>
            <w:proofErr w:type="spellEnd"/>
            <w:r>
              <w:rPr>
                <w:b/>
                <w:lang w:eastAsia="en-AU"/>
              </w:rPr>
              <w:t xml:space="preserve"> 59</w:t>
            </w:r>
          </w:p>
        </w:tc>
      </w:tr>
      <w:tr w:rsidR="00B11577" w:rsidRPr="0093030B" w14:paraId="4CDFE3DE"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5B56ADDF" w14:textId="77777777" w:rsidR="00B11577" w:rsidRPr="0093030B" w:rsidRDefault="00B11577" w:rsidP="0010294B">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27592918" w14:textId="77777777" w:rsidR="00B11577" w:rsidRPr="001F4FDB" w:rsidRDefault="00B11577" w:rsidP="0010294B">
            <w:pPr>
              <w:jc w:val="right"/>
              <w:rPr>
                <w:rFonts w:cs="Arial"/>
              </w:rPr>
            </w:pPr>
            <w:r>
              <w:rPr>
                <w:rFonts w:cs="Arial"/>
              </w:rPr>
              <w:t>608</w:t>
            </w:r>
          </w:p>
        </w:tc>
        <w:tc>
          <w:tcPr>
            <w:tcW w:w="1012" w:type="dxa"/>
            <w:tcBorders>
              <w:top w:val="nil"/>
              <w:left w:val="nil"/>
              <w:bottom w:val="single" w:sz="4" w:space="0" w:color="auto"/>
              <w:right w:val="single" w:sz="4" w:space="0" w:color="auto"/>
            </w:tcBorders>
          </w:tcPr>
          <w:p w14:paraId="228A3278" w14:textId="77777777" w:rsidR="00B11577" w:rsidRDefault="00B11577" w:rsidP="0010294B">
            <w:pPr>
              <w:jc w:val="right"/>
              <w:rPr>
                <w:rFonts w:cs="Arial"/>
              </w:rPr>
            </w:pPr>
            <w:r>
              <w:rPr>
                <w:rFonts w:cs="Arial"/>
              </w:rPr>
              <w:t>498</w:t>
            </w:r>
          </w:p>
        </w:tc>
        <w:tc>
          <w:tcPr>
            <w:tcW w:w="1012" w:type="dxa"/>
            <w:tcBorders>
              <w:top w:val="nil"/>
              <w:left w:val="nil"/>
              <w:bottom w:val="single" w:sz="4" w:space="0" w:color="auto"/>
              <w:right w:val="single" w:sz="4" w:space="0" w:color="auto"/>
            </w:tcBorders>
          </w:tcPr>
          <w:p w14:paraId="2ABEFAA4" w14:textId="77777777" w:rsidR="00B11577" w:rsidRDefault="00B11577" w:rsidP="0010294B">
            <w:pPr>
              <w:jc w:val="right"/>
              <w:rPr>
                <w:rFonts w:cs="Arial"/>
              </w:rPr>
            </w:pPr>
            <w:r>
              <w:rPr>
                <w:rFonts w:cs="Arial"/>
              </w:rPr>
              <w:t>387</w:t>
            </w:r>
          </w:p>
        </w:tc>
        <w:tc>
          <w:tcPr>
            <w:tcW w:w="1012" w:type="dxa"/>
            <w:tcBorders>
              <w:top w:val="nil"/>
              <w:left w:val="nil"/>
              <w:bottom w:val="single" w:sz="4" w:space="0" w:color="auto"/>
              <w:right w:val="single" w:sz="4" w:space="0" w:color="auto"/>
            </w:tcBorders>
          </w:tcPr>
          <w:p w14:paraId="7BA21F45" w14:textId="77777777" w:rsidR="00B11577" w:rsidRDefault="00B11577" w:rsidP="0010294B">
            <w:pPr>
              <w:jc w:val="right"/>
              <w:rPr>
                <w:rFonts w:cs="Arial"/>
              </w:rPr>
            </w:pPr>
            <w:r>
              <w:rPr>
                <w:rFonts w:cs="Arial"/>
              </w:rPr>
              <w:t>382</w:t>
            </w:r>
          </w:p>
        </w:tc>
        <w:tc>
          <w:tcPr>
            <w:tcW w:w="1012" w:type="dxa"/>
            <w:tcBorders>
              <w:top w:val="nil"/>
              <w:left w:val="nil"/>
              <w:bottom w:val="single" w:sz="4" w:space="0" w:color="auto"/>
              <w:right w:val="single" w:sz="4" w:space="0" w:color="auto"/>
            </w:tcBorders>
          </w:tcPr>
          <w:p w14:paraId="15969507" w14:textId="77777777" w:rsidR="00B11577" w:rsidRDefault="00B11577" w:rsidP="0010294B">
            <w:pPr>
              <w:jc w:val="right"/>
              <w:rPr>
                <w:rFonts w:cs="Arial"/>
              </w:rPr>
            </w:pPr>
            <w:r>
              <w:rPr>
                <w:rFonts w:cs="Arial"/>
              </w:rPr>
              <w:t>807</w:t>
            </w:r>
          </w:p>
        </w:tc>
      </w:tr>
      <w:tr w:rsidR="00B11577" w:rsidRPr="0093030B" w14:paraId="20D842C9"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44358993" w14:textId="77777777" w:rsidR="00B11577" w:rsidRPr="0093030B" w:rsidRDefault="00B11577" w:rsidP="0010294B">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54EBA2A5" w14:textId="77777777" w:rsidR="00B11577" w:rsidRPr="001F4FDB" w:rsidRDefault="00B11577" w:rsidP="0010294B">
            <w:pPr>
              <w:jc w:val="right"/>
              <w:rPr>
                <w:rFonts w:cs="Arial"/>
              </w:rPr>
            </w:pPr>
            <w:r>
              <w:rPr>
                <w:rFonts w:cs="Arial"/>
              </w:rPr>
              <w:t>26</w:t>
            </w:r>
          </w:p>
        </w:tc>
        <w:tc>
          <w:tcPr>
            <w:tcW w:w="1012" w:type="dxa"/>
            <w:tcBorders>
              <w:top w:val="nil"/>
              <w:left w:val="nil"/>
              <w:bottom w:val="single" w:sz="4" w:space="0" w:color="auto"/>
              <w:right w:val="single" w:sz="4" w:space="0" w:color="auto"/>
            </w:tcBorders>
          </w:tcPr>
          <w:p w14:paraId="6ECB7066" w14:textId="77777777" w:rsidR="00B11577" w:rsidRDefault="00B11577" w:rsidP="0010294B">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0DA3FECE" w14:textId="77777777" w:rsidR="00B11577" w:rsidRDefault="00B11577" w:rsidP="0010294B">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6772E127" w14:textId="77777777" w:rsidR="00B11577" w:rsidRDefault="00B11577" w:rsidP="0010294B">
            <w:pPr>
              <w:jc w:val="right"/>
              <w:rPr>
                <w:rFonts w:cs="Arial"/>
              </w:rPr>
            </w:pPr>
            <w:r>
              <w:rPr>
                <w:rFonts w:cs="Arial"/>
              </w:rPr>
              <w:t>62</w:t>
            </w:r>
          </w:p>
        </w:tc>
        <w:tc>
          <w:tcPr>
            <w:tcW w:w="1012" w:type="dxa"/>
            <w:tcBorders>
              <w:top w:val="nil"/>
              <w:left w:val="nil"/>
              <w:bottom w:val="single" w:sz="4" w:space="0" w:color="auto"/>
              <w:right w:val="single" w:sz="4" w:space="0" w:color="auto"/>
            </w:tcBorders>
          </w:tcPr>
          <w:p w14:paraId="3D347779" w14:textId="77777777" w:rsidR="00B11577" w:rsidRDefault="00B11577" w:rsidP="0010294B">
            <w:pPr>
              <w:jc w:val="right"/>
              <w:rPr>
                <w:rFonts w:cs="Arial"/>
              </w:rPr>
            </w:pPr>
            <w:r>
              <w:rPr>
                <w:rFonts w:cs="Arial"/>
              </w:rPr>
              <w:t>36</w:t>
            </w:r>
          </w:p>
        </w:tc>
      </w:tr>
      <w:tr w:rsidR="00B11577" w:rsidRPr="0093030B" w14:paraId="40677394"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2386ED17" w14:textId="77777777" w:rsidR="00B11577" w:rsidRPr="0093030B" w:rsidRDefault="00B11577" w:rsidP="0010294B">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0A425D8E" w14:textId="77777777" w:rsidR="00B11577" w:rsidRPr="001F4FDB" w:rsidRDefault="00B11577" w:rsidP="0010294B">
            <w:pPr>
              <w:jc w:val="right"/>
              <w:rPr>
                <w:rFonts w:cs="Arial"/>
              </w:rPr>
            </w:pPr>
            <w:r>
              <w:rPr>
                <w:rFonts w:cs="Arial"/>
              </w:rPr>
              <w:t>349</w:t>
            </w:r>
          </w:p>
        </w:tc>
        <w:tc>
          <w:tcPr>
            <w:tcW w:w="1012" w:type="dxa"/>
            <w:tcBorders>
              <w:top w:val="nil"/>
              <w:left w:val="nil"/>
              <w:bottom w:val="single" w:sz="4" w:space="0" w:color="auto"/>
              <w:right w:val="single" w:sz="4" w:space="0" w:color="auto"/>
            </w:tcBorders>
          </w:tcPr>
          <w:p w14:paraId="2F0BCE07" w14:textId="77777777" w:rsidR="00B11577" w:rsidRDefault="00B11577" w:rsidP="0010294B">
            <w:pPr>
              <w:jc w:val="right"/>
              <w:rPr>
                <w:rFonts w:cs="Arial"/>
              </w:rPr>
            </w:pPr>
            <w:r>
              <w:rPr>
                <w:rFonts w:cs="Arial"/>
              </w:rPr>
              <w:t>364</w:t>
            </w:r>
          </w:p>
        </w:tc>
        <w:tc>
          <w:tcPr>
            <w:tcW w:w="1012" w:type="dxa"/>
            <w:tcBorders>
              <w:top w:val="nil"/>
              <w:left w:val="nil"/>
              <w:bottom w:val="single" w:sz="4" w:space="0" w:color="auto"/>
              <w:right w:val="single" w:sz="4" w:space="0" w:color="auto"/>
            </w:tcBorders>
          </w:tcPr>
          <w:p w14:paraId="72EBBA48" w14:textId="77777777" w:rsidR="00B11577" w:rsidRDefault="00B11577" w:rsidP="0010294B">
            <w:pPr>
              <w:jc w:val="right"/>
              <w:rPr>
                <w:rFonts w:cs="Arial"/>
              </w:rPr>
            </w:pPr>
            <w:r>
              <w:rPr>
                <w:rFonts w:cs="Arial"/>
              </w:rPr>
              <w:t>385</w:t>
            </w:r>
          </w:p>
        </w:tc>
        <w:tc>
          <w:tcPr>
            <w:tcW w:w="1012" w:type="dxa"/>
            <w:tcBorders>
              <w:top w:val="nil"/>
              <w:left w:val="nil"/>
              <w:bottom w:val="single" w:sz="4" w:space="0" w:color="auto"/>
              <w:right w:val="single" w:sz="4" w:space="0" w:color="auto"/>
            </w:tcBorders>
          </w:tcPr>
          <w:p w14:paraId="585650E5" w14:textId="77777777" w:rsidR="00B11577" w:rsidRDefault="00B11577" w:rsidP="0010294B">
            <w:pPr>
              <w:jc w:val="right"/>
              <w:rPr>
                <w:rFonts w:cs="Arial"/>
              </w:rPr>
            </w:pPr>
            <w:r>
              <w:rPr>
                <w:rFonts w:cs="Arial"/>
              </w:rPr>
              <w:t>440</w:t>
            </w:r>
          </w:p>
        </w:tc>
        <w:tc>
          <w:tcPr>
            <w:tcW w:w="1012" w:type="dxa"/>
            <w:tcBorders>
              <w:top w:val="nil"/>
              <w:left w:val="nil"/>
              <w:bottom w:val="single" w:sz="4" w:space="0" w:color="auto"/>
              <w:right w:val="single" w:sz="4" w:space="0" w:color="auto"/>
            </w:tcBorders>
          </w:tcPr>
          <w:p w14:paraId="026A3B09" w14:textId="77777777" w:rsidR="00B11577" w:rsidRDefault="00B11577" w:rsidP="0010294B">
            <w:pPr>
              <w:jc w:val="right"/>
              <w:rPr>
                <w:rFonts w:cs="Arial"/>
              </w:rPr>
            </w:pPr>
            <w:r>
              <w:rPr>
                <w:rFonts w:cs="Arial"/>
              </w:rPr>
              <w:t>391</w:t>
            </w:r>
          </w:p>
        </w:tc>
      </w:tr>
      <w:tr w:rsidR="00B11577" w:rsidRPr="0093030B" w14:paraId="535961A0"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5BC9CE28" w14:textId="77777777" w:rsidR="00B11577" w:rsidRPr="0093030B" w:rsidRDefault="00B11577" w:rsidP="0010294B">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67F6B9C2" w14:textId="77777777" w:rsidR="00B11577" w:rsidRPr="001F4FDB" w:rsidRDefault="00B11577" w:rsidP="0010294B">
            <w:pPr>
              <w:jc w:val="right"/>
              <w:rPr>
                <w:rFonts w:cs="Arial"/>
              </w:rPr>
            </w:pPr>
            <w:r>
              <w:rPr>
                <w:rFonts w:cs="Arial"/>
              </w:rPr>
              <w:t>144</w:t>
            </w:r>
          </w:p>
        </w:tc>
        <w:tc>
          <w:tcPr>
            <w:tcW w:w="1012" w:type="dxa"/>
            <w:tcBorders>
              <w:top w:val="nil"/>
              <w:left w:val="nil"/>
              <w:bottom w:val="single" w:sz="4" w:space="0" w:color="auto"/>
              <w:right w:val="single" w:sz="4" w:space="0" w:color="auto"/>
            </w:tcBorders>
          </w:tcPr>
          <w:p w14:paraId="7F413086" w14:textId="77777777" w:rsidR="00B11577" w:rsidRDefault="00B11577" w:rsidP="0010294B">
            <w:pPr>
              <w:jc w:val="right"/>
              <w:rPr>
                <w:rFonts w:cs="Arial"/>
              </w:rPr>
            </w:pPr>
            <w:r>
              <w:rPr>
                <w:rFonts w:cs="Arial"/>
              </w:rPr>
              <w:t>211</w:t>
            </w:r>
          </w:p>
        </w:tc>
        <w:tc>
          <w:tcPr>
            <w:tcW w:w="1012" w:type="dxa"/>
            <w:tcBorders>
              <w:top w:val="nil"/>
              <w:left w:val="nil"/>
              <w:bottom w:val="single" w:sz="4" w:space="0" w:color="auto"/>
              <w:right w:val="single" w:sz="4" w:space="0" w:color="auto"/>
            </w:tcBorders>
          </w:tcPr>
          <w:p w14:paraId="02EF77D9" w14:textId="77777777" w:rsidR="00B11577" w:rsidRDefault="00B11577" w:rsidP="0010294B">
            <w:pPr>
              <w:jc w:val="right"/>
              <w:rPr>
                <w:rFonts w:cs="Arial"/>
              </w:rPr>
            </w:pPr>
            <w:r>
              <w:rPr>
                <w:rFonts w:cs="Arial"/>
              </w:rPr>
              <w:t>206</w:t>
            </w:r>
          </w:p>
        </w:tc>
        <w:tc>
          <w:tcPr>
            <w:tcW w:w="1012" w:type="dxa"/>
            <w:tcBorders>
              <w:top w:val="nil"/>
              <w:left w:val="nil"/>
              <w:bottom w:val="single" w:sz="4" w:space="0" w:color="auto"/>
              <w:right w:val="single" w:sz="4" w:space="0" w:color="auto"/>
            </w:tcBorders>
          </w:tcPr>
          <w:p w14:paraId="37D57A5A" w14:textId="77777777" w:rsidR="00B11577" w:rsidRDefault="00B11577" w:rsidP="0010294B">
            <w:pPr>
              <w:jc w:val="right"/>
              <w:rPr>
                <w:rFonts w:cs="Arial"/>
              </w:rPr>
            </w:pPr>
            <w:r>
              <w:rPr>
                <w:rFonts w:cs="Arial"/>
              </w:rPr>
              <w:t>255</w:t>
            </w:r>
          </w:p>
        </w:tc>
        <w:tc>
          <w:tcPr>
            <w:tcW w:w="1012" w:type="dxa"/>
            <w:tcBorders>
              <w:top w:val="nil"/>
              <w:left w:val="nil"/>
              <w:bottom w:val="single" w:sz="4" w:space="0" w:color="auto"/>
              <w:right w:val="single" w:sz="4" w:space="0" w:color="auto"/>
            </w:tcBorders>
          </w:tcPr>
          <w:p w14:paraId="13C3A338" w14:textId="77777777" w:rsidR="00B11577" w:rsidRDefault="00B11577" w:rsidP="0010294B">
            <w:pPr>
              <w:jc w:val="right"/>
              <w:rPr>
                <w:rFonts w:cs="Arial"/>
              </w:rPr>
            </w:pPr>
            <w:r>
              <w:rPr>
                <w:rFonts w:cs="Arial"/>
              </w:rPr>
              <w:t>313</w:t>
            </w:r>
          </w:p>
        </w:tc>
      </w:tr>
      <w:tr w:rsidR="00B11577" w:rsidRPr="0093030B" w14:paraId="62F4FE54"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27031F81" w14:textId="77777777" w:rsidR="00B11577" w:rsidRPr="0093030B" w:rsidRDefault="00B11577" w:rsidP="0010294B">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3DDC4C50" w14:textId="77777777" w:rsidR="00B11577" w:rsidRPr="001F4FDB" w:rsidRDefault="00B11577" w:rsidP="0010294B">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47687899" w14:textId="77777777" w:rsidR="00B11577" w:rsidRDefault="00B11577" w:rsidP="0010294B">
            <w:pPr>
              <w:jc w:val="right"/>
              <w:rPr>
                <w:rFonts w:cs="Arial"/>
              </w:rPr>
            </w:pPr>
            <w:r>
              <w:rPr>
                <w:rFonts w:cs="Arial"/>
              </w:rPr>
              <w:t>48</w:t>
            </w:r>
          </w:p>
        </w:tc>
        <w:tc>
          <w:tcPr>
            <w:tcW w:w="1012" w:type="dxa"/>
            <w:tcBorders>
              <w:top w:val="nil"/>
              <w:left w:val="nil"/>
              <w:bottom w:val="single" w:sz="4" w:space="0" w:color="auto"/>
              <w:right w:val="single" w:sz="4" w:space="0" w:color="auto"/>
            </w:tcBorders>
          </w:tcPr>
          <w:p w14:paraId="0DE74FC4" w14:textId="77777777" w:rsidR="00B11577" w:rsidRDefault="00B11577" w:rsidP="0010294B">
            <w:pPr>
              <w:jc w:val="right"/>
              <w:rPr>
                <w:rFonts w:cs="Arial"/>
              </w:rPr>
            </w:pPr>
            <w:r>
              <w:rPr>
                <w:rFonts w:cs="Arial"/>
              </w:rPr>
              <w:t>70</w:t>
            </w:r>
          </w:p>
        </w:tc>
        <w:tc>
          <w:tcPr>
            <w:tcW w:w="1012" w:type="dxa"/>
            <w:tcBorders>
              <w:top w:val="nil"/>
              <w:left w:val="nil"/>
              <w:bottom w:val="single" w:sz="4" w:space="0" w:color="auto"/>
              <w:right w:val="single" w:sz="4" w:space="0" w:color="auto"/>
            </w:tcBorders>
          </w:tcPr>
          <w:p w14:paraId="7DEBBEEF" w14:textId="77777777" w:rsidR="00B11577" w:rsidRDefault="00B11577" w:rsidP="0010294B">
            <w:pPr>
              <w:jc w:val="right"/>
              <w:rPr>
                <w:rFonts w:cs="Arial"/>
              </w:rPr>
            </w:pPr>
            <w:r>
              <w:rPr>
                <w:rFonts w:cs="Arial"/>
              </w:rPr>
              <w:t>82</w:t>
            </w:r>
          </w:p>
        </w:tc>
        <w:tc>
          <w:tcPr>
            <w:tcW w:w="1012" w:type="dxa"/>
            <w:tcBorders>
              <w:top w:val="nil"/>
              <w:left w:val="nil"/>
              <w:bottom w:val="single" w:sz="4" w:space="0" w:color="auto"/>
              <w:right w:val="single" w:sz="4" w:space="0" w:color="auto"/>
            </w:tcBorders>
          </w:tcPr>
          <w:p w14:paraId="5808C185" w14:textId="77777777" w:rsidR="00B11577" w:rsidRDefault="00B11577" w:rsidP="0010294B">
            <w:pPr>
              <w:jc w:val="right"/>
              <w:rPr>
                <w:rFonts w:cs="Arial"/>
              </w:rPr>
            </w:pPr>
            <w:r>
              <w:rPr>
                <w:rFonts w:cs="Arial"/>
              </w:rPr>
              <w:t>67</w:t>
            </w:r>
          </w:p>
        </w:tc>
      </w:tr>
      <w:tr w:rsidR="00B11577" w:rsidRPr="0093030B" w14:paraId="11F21F39" w14:textId="77777777" w:rsidTr="0010294B">
        <w:trPr>
          <w:trHeight w:val="255"/>
        </w:trPr>
        <w:tc>
          <w:tcPr>
            <w:tcW w:w="3460" w:type="dxa"/>
            <w:tcBorders>
              <w:top w:val="nil"/>
              <w:left w:val="single" w:sz="4" w:space="0" w:color="auto"/>
              <w:bottom w:val="single" w:sz="4" w:space="0" w:color="auto"/>
              <w:right w:val="single" w:sz="4" w:space="0" w:color="auto"/>
            </w:tcBorders>
            <w:noWrap/>
            <w:hideMark/>
          </w:tcPr>
          <w:p w14:paraId="6BCDD5BF" w14:textId="77777777" w:rsidR="00B11577" w:rsidRPr="0093030B" w:rsidRDefault="00B11577" w:rsidP="0010294B">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528DFC8B" w14:textId="77777777" w:rsidR="00B11577" w:rsidRPr="001F4FDB" w:rsidRDefault="00B11577" w:rsidP="0010294B">
            <w:pPr>
              <w:jc w:val="right"/>
              <w:rPr>
                <w:rFonts w:cs="Arial"/>
                <w:b/>
                <w:bCs/>
              </w:rPr>
            </w:pPr>
            <w:r>
              <w:rPr>
                <w:rFonts w:cs="Arial"/>
                <w:b/>
                <w:bCs/>
              </w:rPr>
              <w:t>1185</w:t>
            </w:r>
          </w:p>
        </w:tc>
        <w:tc>
          <w:tcPr>
            <w:tcW w:w="1012" w:type="dxa"/>
            <w:tcBorders>
              <w:top w:val="nil"/>
              <w:left w:val="nil"/>
              <w:bottom w:val="single" w:sz="4" w:space="0" w:color="auto"/>
              <w:right w:val="single" w:sz="4" w:space="0" w:color="auto"/>
            </w:tcBorders>
          </w:tcPr>
          <w:p w14:paraId="2C1E3996" w14:textId="77777777" w:rsidR="00B11577" w:rsidRDefault="00B11577" w:rsidP="0010294B">
            <w:pPr>
              <w:jc w:val="right"/>
              <w:rPr>
                <w:rFonts w:cs="Arial"/>
                <w:b/>
                <w:bCs/>
              </w:rPr>
            </w:pPr>
            <w:r>
              <w:rPr>
                <w:rFonts w:cs="Arial"/>
                <w:b/>
                <w:bCs/>
              </w:rPr>
              <w:t>1142</w:t>
            </w:r>
          </w:p>
        </w:tc>
        <w:tc>
          <w:tcPr>
            <w:tcW w:w="1012" w:type="dxa"/>
            <w:tcBorders>
              <w:top w:val="nil"/>
              <w:left w:val="nil"/>
              <w:bottom w:val="single" w:sz="4" w:space="0" w:color="auto"/>
              <w:right w:val="single" w:sz="4" w:space="0" w:color="auto"/>
            </w:tcBorders>
          </w:tcPr>
          <w:p w14:paraId="1E940836" w14:textId="77777777" w:rsidR="00B11577" w:rsidRDefault="00B11577" w:rsidP="0010294B">
            <w:pPr>
              <w:jc w:val="right"/>
              <w:rPr>
                <w:rFonts w:cs="Arial"/>
                <w:b/>
                <w:bCs/>
              </w:rPr>
            </w:pPr>
            <w:r>
              <w:rPr>
                <w:rFonts w:cs="Arial"/>
                <w:b/>
                <w:bCs/>
              </w:rPr>
              <w:t>1070</w:t>
            </w:r>
          </w:p>
        </w:tc>
        <w:tc>
          <w:tcPr>
            <w:tcW w:w="1012" w:type="dxa"/>
            <w:tcBorders>
              <w:top w:val="nil"/>
              <w:left w:val="nil"/>
              <w:bottom w:val="single" w:sz="4" w:space="0" w:color="auto"/>
              <w:right w:val="single" w:sz="4" w:space="0" w:color="auto"/>
            </w:tcBorders>
          </w:tcPr>
          <w:p w14:paraId="300BB57E" w14:textId="77777777" w:rsidR="00B11577" w:rsidRDefault="00B11577" w:rsidP="00D0765C">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4C3E6D40" w14:textId="77777777" w:rsidR="00B11577" w:rsidRDefault="00B11577" w:rsidP="00D0765C">
            <w:pPr>
              <w:jc w:val="right"/>
              <w:rPr>
                <w:rFonts w:cs="Arial"/>
                <w:b/>
                <w:bCs/>
              </w:rPr>
            </w:pPr>
            <w:r>
              <w:rPr>
                <w:rFonts w:cs="Arial"/>
                <w:b/>
                <w:bCs/>
              </w:rPr>
              <w:t>1614</w:t>
            </w:r>
          </w:p>
        </w:tc>
      </w:tr>
    </w:tbl>
    <w:p w14:paraId="0455F414" w14:textId="77777777" w:rsidR="00086AA9" w:rsidRPr="00086AA9" w:rsidRDefault="00086AA9" w:rsidP="00086AA9">
      <w:pPr>
        <w:ind w:left="-142" w:right="-425"/>
        <w:rPr>
          <w:rFonts w:cs="Arial"/>
        </w:rPr>
      </w:pPr>
    </w:p>
    <w:p w14:paraId="5D53EAA0" w14:textId="249BA64A" w:rsidR="005A5B78" w:rsidRPr="00143FBB" w:rsidRDefault="005A5B78" w:rsidP="004D5B34">
      <w:pPr>
        <w:pStyle w:val="Heading2"/>
      </w:pPr>
      <w:r w:rsidRPr="00143FBB">
        <w:t>Conferences</w:t>
      </w:r>
    </w:p>
    <w:p w14:paraId="775CD6DC" w14:textId="32B2F575" w:rsidR="00DD1B0A" w:rsidRDefault="001C4411" w:rsidP="00CB1032">
      <w:pPr>
        <w:ind w:left="-142" w:right="-425"/>
        <w:jc w:val="both"/>
      </w:pPr>
      <w:r>
        <w:rPr>
          <w:rFonts w:cs="Arial"/>
        </w:rPr>
        <w:t xml:space="preserve">In quarter </w:t>
      </w:r>
      <w:r w:rsidR="00413FAC">
        <w:rPr>
          <w:rFonts w:cs="Arial"/>
        </w:rPr>
        <w:t>59</w:t>
      </w:r>
      <w:r>
        <w:rPr>
          <w:rFonts w:cs="Arial"/>
        </w:rPr>
        <w:t xml:space="preserve"> </w:t>
      </w:r>
      <w:r w:rsidR="004D5B34">
        <w:rPr>
          <w:rFonts w:cs="Arial"/>
        </w:rPr>
        <w:t xml:space="preserve">278 </w:t>
      </w:r>
      <w:r w:rsidRPr="00213E4C">
        <w:rPr>
          <w:rFonts w:cs="Arial"/>
        </w:rPr>
        <w:t>conferences</w:t>
      </w:r>
      <w:r w:rsidRPr="0081647B">
        <w:rPr>
          <w:rStyle w:val="FootnoteReference"/>
        </w:rPr>
        <w:footnoteReference w:id="10"/>
      </w:r>
      <w:r>
        <w:rPr>
          <w:rFonts w:cs="Arial"/>
        </w:rPr>
        <w:t xml:space="preserve"> were</w:t>
      </w:r>
      <w:r w:rsidR="00562176">
        <w:rPr>
          <w:rFonts w:cs="Arial"/>
        </w:rPr>
        <w:t xml:space="preserve"> </w:t>
      </w:r>
      <w:r w:rsidR="00A46793" w:rsidRPr="0098569F">
        <w:rPr>
          <w:rFonts w:cs="Arial"/>
        </w:rPr>
        <w:t xml:space="preserve">held </w:t>
      </w:r>
      <w:r w:rsidR="00A46793">
        <w:rPr>
          <w:rFonts w:cs="Arial"/>
        </w:rPr>
        <w:t xml:space="preserve">across the five communities </w:t>
      </w:r>
      <w:r w:rsidR="00E44EBF">
        <w:rPr>
          <w:rFonts w:cs="Arial"/>
        </w:rPr>
        <w:t>(</w:t>
      </w:r>
      <w:r w:rsidR="0051235F">
        <w:rPr>
          <w:rFonts w:cs="Arial"/>
        </w:rPr>
        <w:t xml:space="preserve">relating to </w:t>
      </w:r>
      <w:r w:rsidR="004D5B34">
        <w:rPr>
          <w:rFonts w:cs="Arial"/>
        </w:rPr>
        <w:t xml:space="preserve">244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8637A3">
        <w:rPr>
          <w:rFonts w:cs="Arial"/>
        </w:rPr>
        <w:t>.</w:t>
      </w:r>
      <w:r w:rsidR="00CB1032">
        <w:rPr>
          <w:rFonts w:cs="Arial"/>
        </w:rPr>
        <w:t xml:space="preserve"> </w:t>
      </w:r>
      <w:r w:rsidR="00803D0A">
        <w:t xml:space="preserve">Attendance at conference </w:t>
      </w:r>
      <w:r w:rsidR="008637A3">
        <w:t xml:space="preserve">increased </w:t>
      </w:r>
      <w:r w:rsidR="00803D0A">
        <w:t xml:space="preserve">from </w:t>
      </w:r>
      <w:r w:rsidR="000130C1">
        <w:t>6</w:t>
      </w:r>
      <w:r w:rsidR="004D5B34">
        <w:t>6.1</w:t>
      </w:r>
      <w:r w:rsidR="00E965BF">
        <w:rPr>
          <w:rFonts w:cs="Arial"/>
        </w:rPr>
        <w:t>%</w:t>
      </w:r>
      <w:r w:rsidR="00FC7C1D">
        <w:rPr>
          <w:rFonts w:cs="Arial"/>
        </w:rPr>
        <w:t xml:space="preserve"> </w:t>
      </w:r>
      <w:r w:rsidR="00803D0A">
        <w:t xml:space="preserve">in quarter </w:t>
      </w:r>
      <w:r w:rsidR="00413FAC">
        <w:t>58</w:t>
      </w:r>
      <w:r w:rsidR="00803D0A">
        <w:t xml:space="preserve"> to </w:t>
      </w:r>
      <w:r w:rsidR="00347D3E">
        <w:t>6</w:t>
      </w:r>
      <w:r w:rsidR="004D5B34">
        <w:t>8.0</w:t>
      </w:r>
      <w:r w:rsidR="00E965BF">
        <w:rPr>
          <w:rFonts w:cs="Arial"/>
        </w:rPr>
        <w:t>%</w:t>
      </w:r>
      <w:r w:rsidR="00FC7C1D">
        <w:rPr>
          <w:rFonts w:cs="Arial"/>
        </w:rPr>
        <w:t xml:space="preserve"> </w:t>
      </w:r>
      <w:r w:rsidR="00803D0A">
        <w:t xml:space="preserve">in quarter </w:t>
      </w:r>
      <w:r w:rsidR="00413FAC">
        <w:t>59</w:t>
      </w:r>
      <w:r w:rsidR="008637A3">
        <w:t>.</w:t>
      </w:r>
    </w:p>
    <w:p w14:paraId="70814821" w14:textId="77777777" w:rsidR="00086AA9" w:rsidRPr="00086AA9" w:rsidRDefault="00086AA9" w:rsidP="00086AA9">
      <w:pPr>
        <w:ind w:left="-142" w:right="-425"/>
        <w:rPr>
          <w:rFonts w:cs="Arial"/>
        </w:rPr>
      </w:pPr>
    </w:p>
    <w:p w14:paraId="4854E399" w14:textId="7B6AFE31" w:rsidR="005A5B78" w:rsidRDefault="00B11577" w:rsidP="005A5B78">
      <w:pPr>
        <w:widowControl w:val="0"/>
        <w:tabs>
          <w:tab w:val="left" w:pos="4203"/>
        </w:tabs>
        <w:spacing w:line="240" w:lineRule="auto"/>
        <w:ind w:left="-142"/>
        <w:jc w:val="both"/>
        <w:rPr>
          <w:rFonts w:cs="Arial"/>
          <w:sz w:val="16"/>
          <w:szCs w:val="16"/>
        </w:rPr>
      </w:pPr>
      <w:r>
        <w:rPr>
          <w:rFonts w:cs="Arial"/>
          <w:b/>
          <w:sz w:val="16"/>
          <w:szCs w:val="16"/>
        </w:rPr>
        <w:t>Table 12</w:t>
      </w:r>
      <w:r w:rsidR="005A5B78" w:rsidRPr="00122C57">
        <w:rPr>
          <w:rFonts w:cs="Arial"/>
          <w:b/>
          <w:sz w:val="16"/>
          <w:szCs w:val="16"/>
        </w:rPr>
        <w:t>:</w:t>
      </w:r>
      <w:r w:rsidR="005A5B78" w:rsidRPr="00122C57">
        <w:rPr>
          <w:rFonts w:cs="Arial"/>
          <w:sz w:val="16"/>
          <w:szCs w:val="16"/>
        </w:rPr>
        <w:t xml:space="preserve"> Conferences by community and quarter </w:t>
      </w:r>
      <w:r w:rsidR="007B7E78">
        <w:rPr>
          <w:rFonts w:cs="Arial"/>
          <w:sz w:val="16"/>
          <w:szCs w:val="16"/>
        </w:rPr>
        <w:t xml:space="preserve">1 </w:t>
      </w:r>
      <w:r w:rsidR="003C708C">
        <w:rPr>
          <w:rFonts w:cs="Arial"/>
          <w:sz w:val="16"/>
          <w:szCs w:val="16"/>
        </w:rPr>
        <w:t xml:space="preserve">January 2022 </w:t>
      </w:r>
      <w:r w:rsidR="00A41820">
        <w:rPr>
          <w:rFonts w:cs="Arial"/>
          <w:sz w:val="16"/>
          <w:szCs w:val="16"/>
        </w:rPr>
        <w:t xml:space="preserve">to </w:t>
      </w:r>
      <w:r w:rsidR="007B7E78">
        <w:rPr>
          <w:rFonts w:cs="Arial"/>
          <w:sz w:val="16"/>
          <w:szCs w:val="16"/>
        </w:rPr>
        <w:t xml:space="preserve">31 </w:t>
      </w:r>
      <w:r w:rsidR="00984BBB">
        <w:rPr>
          <w:rFonts w:cs="Arial"/>
          <w:sz w:val="16"/>
          <w:szCs w:val="16"/>
        </w:rPr>
        <w:t>March 2023</w:t>
      </w:r>
    </w:p>
    <w:p w14:paraId="1568BA3A" w14:textId="77777777" w:rsidR="00B11577" w:rsidRPr="00086AA9" w:rsidRDefault="00B11577" w:rsidP="005A5B78">
      <w:pPr>
        <w:widowControl w:val="0"/>
        <w:tabs>
          <w:tab w:val="left" w:pos="4203"/>
        </w:tabs>
        <w:spacing w:line="240" w:lineRule="auto"/>
        <w:ind w:left="-142"/>
        <w:jc w:val="both"/>
        <w:rPr>
          <w:rFonts w:cs="Arial"/>
          <w:bCs/>
          <w:highlight w:val="yellow"/>
        </w:rPr>
      </w:pPr>
    </w:p>
    <w:tbl>
      <w:tblPr>
        <w:tblW w:w="6880" w:type="dxa"/>
        <w:tblInd w:w="93" w:type="dxa"/>
        <w:tblLook w:val="04A0" w:firstRow="1" w:lastRow="0" w:firstColumn="1" w:lastColumn="0" w:noHBand="0" w:noVBand="1"/>
      </w:tblPr>
      <w:tblGrid>
        <w:gridCol w:w="2080"/>
        <w:gridCol w:w="960"/>
        <w:gridCol w:w="960"/>
        <w:gridCol w:w="960"/>
        <w:gridCol w:w="960"/>
        <w:gridCol w:w="960"/>
      </w:tblGrid>
      <w:tr w:rsidR="00B11577" w:rsidRPr="00C5395B" w14:paraId="29605825" w14:textId="77777777" w:rsidTr="0010294B">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06BCE97D" w14:textId="77777777" w:rsidR="00B11577" w:rsidRPr="00C5395B" w:rsidRDefault="00B11577" w:rsidP="0010294B">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18560F18" w14:textId="77777777" w:rsidR="00B11577" w:rsidRDefault="00B11577" w:rsidP="0010294B">
            <w:pPr>
              <w:pStyle w:val="TableText"/>
              <w:jc w:val="right"/>
              <w:rPr>
                <w:b/>
                <w:lang w:eastAsia="en-AU"/>
              </w:rPr>
            </w:pPr>
            <w:proofErr w:type="spellStart"/>
            <w:r>
              <w:rPr>
                <w:b/>
                <w:lang w:eastAsia="en-AU"/>
              </w:rPr>
              <w:t>Qtr</w:t>
            </w:r>
            <w:proofErr w:type="spellEnd"/>
            <w:r>
              <w:rPr>
                <w:b/>
                <w:lang w:eastAsia="en-AU"/>
              </w:rPr>
              <w:t xml:space="preserve"> 55</w:t>
            </w:r>
          </w:p>
        </w:tc>
        <w:tc>
          <w:tcPr>
            <w:tcW w:w="960" w:type="dxa"/>
            <w:tcBorders>
              <w:top w:val="single" w:sz="4" w:space="0" w:color="auto"/>
              <w:left w:val="nil"/>
              <w:bottom w:val="single" w:sz="4" w:space="0" w:color="auto"/>
              <w:right w:val="single" w:sz="4" w:space="0" w:color="auto"/>
            </w:tcBorders>
          </w:tcPr>
          <w:p w14:paraId="388DC56A" w14:textId="77777777" w:rsidR="00B11577" w:rsidRDefault="00B11577"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960" w:type="dxa"/>
            <w:tcBorders>
              <w:top w:val="single" w:sz="4" w:space="0" w:color="auto"/>
              <w:left w:val="nil"/>
              <w:bottom w:val="single" w:sz="4" w:space="0" w:color="auto"/>
              <w:right w:val="single" w:sz="4" w:space="0" w:color="auto"/>
            </w:tcBorders>
          </w:tcPr>
          <w:p w14:paraId="31DB481A" w14:textId="77777777" w:rsidR="00B11577" w:rsidRDefault="00B11577"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960" w:type="dxa"/>
            <w:tcBorders>
              <w:top w:val="single" w:sz="4" w:space="0" w:color="auto"/>
              <w:left w:val="nil"/>
              <w:bottom w:val="single" w:sz="4" w:space="0" w:color="auto"/>
              <w:right w:val="single" w:sz="4" w:space="0" w:color="auto"/>
            </w:tcBorders>
          </w:tcPr>
          <w:p w14:paraId="4469EA0F" w14:textId="77777777" w:rsidR="00B11577" w:rsidRDefault="00B11577"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960" w:type="dxa"/>
            <w:tcBorders>
              <w:top w:val="single" w:sz="4" w:space="0" w:color="auto"/>
              <w:left w:val="nil"/>
              <w:bottom w:val="single" w:sz="4" w:space="0" w:color="auto"/>
              <w:right w:val="single" w:sz="4" w:space="0" w:color="auto"/>
            </w:tcBorders>
          </w:tcPr>
          <w:p w14:paraId="2E450868" w14:textId="77777777" w:rsidR="00B11577" w:rsidRDefault="00B11577" w:rsidP="0010294B">
            <w:pPr>
              <w:pStyle w:val="TableText"/>
              <w:jc w:val="right"/>
              <w:rPr>
                <w:b/>
                <w:lang w:eastAsia="en-AU"/>
              </w:rPr>
            </w:pPr>
            <w:proofErr w:type="spellStart"/>
            <w:r>
              <w:rPr>
                <w:b/>
                <w:lang w:eastAsia="en-AU"/>
              </w:rPr>
              <w:t>Qtr</w:t>
            </w:r>
            <w:proofErr w:type="spellEnd"/>
            <w:r>
              <w:rPr>
                <w:b/>
                <w:lang w:eastAsia="en-AU"/>
              </w:rPr>
              <w:t xml:space="preserve"> 59</w:t>
            </w:r>
          </w:p>
        </w:tc>
      </w:tr>
      <w:tr w:rsidR="00B11577" w:rsidRPr="00C5395B" w14:paraId="511B791D"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70225F87" w14:textId="77777777" w:rsidR="00B11577" w:rsidRPr="00C5395B" w:rsidRDefault="00B11577" w:rsidP="0010294B">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71B7A0F2" w14:textId="77777777" w:rsidR="00B11577" w:rsidRPr="0078302F" w:rsidRDefault="00B11577" w:rsidP="0010294B">
            <w:pPr>
              <w:jc w:val="right"/>
              <w:rPr>
                <w:rFonts w:cs="Arial"/>
              </w:rPr>
            </w:pPr>
            <w:r>
              <w:rPr>
                <w:rFonts w:cs="Arial"/>
              </w:rPr>
              <w:t>39</w:t>
            </w:r>
          </w:p>
        </w:tc>
        <w:tc>
          <w:tcPr>
            <w:tcW w:w="960" w:type="dxa"/>
            <w:tcBorders>
              <w:top w:val="nil"/>
              <w:left w:val="nil"/>
              <w:bottom w:val="single" w:sz="4" w:space="0" w:color="auto"/>
              <w:right w:val="single" w:sz="4" w:space="0" w:color="auto"/>
            </w:tcBorders>
          </w:tcPr>
          <w:p w14:paraId="2CA65B20" w14:textId="77777777" w:rsidR="00B11577" w:rsidRPr="003A524F" w:rsidRDefault="00B11577" w:rsidP="0010294B">
            <w:pPr>
              <w:jc w:val="right"/>
              <w:rPr>
                <w:rFonts w:cs="Arial"/>
              </w:rPr>
            </w:pPr>
            <w:r>
              <w:rPr>
                <w:rFonts w:cs="Arial"/>
              </w:rPr>
              <w:t>109</w:t>
            </w:r>
          </w:p>
        </w:tc>
        <w:tc>
          <w:tcPr>
            <w:tcW w:w="960" w:type="dxa"/>
            <w:tcBorders>
              <w:top w:val="nil"/>
              <w:left w:val="nil"/>
              <w:bottom w:val="single" w:sz="4" w:space="0" w:color="auto"/>
              <w:right w:val="single" w:sz="4" w:space="0" w:color="auto"/>
            </w:tcBorders>
          </w:tcPr>
          <w:p w14:paraId="0502B42B" w14:textId="77777777" w:rsidR="00B11577" w:rsidRDefault="00B11577" w:rsidP="0010294B">
            <w:pPr>
              <w:jc w:val="right"/>
              <w:rPr>
                <w:rFonts w:cs="Arial"/>
              </w:rPr>
            </w:pPr>
            <w:r>
              <w:rPr>
                <w:rFonts w:cs="Arial"/>
              </w:rPr>
              <w:t>94</w:t>
            </w:r>
          </w:p>
        </w:tc>
        <w:tc>
          <w:tcPr>
            <w:tcW w:w="960" w:type="dxa"/>
            <w:tcBorders>
              <w:top w:val="nil"/>
              <w:left w:val="nil"/>
              <w:bottom w:val="single" w:sz="4" w:space="0" w:color="auto"/>
              <w:right w:val="single" w:sz="4" w:space="0" w:color="auto"/>
            </w:tcBorders>
          </w:tcPr>
          <w:p w14:paraId="53C68B6B" w14:textId="77777777" w:rsidR="00B11577" w:rsidRDefault="00B11577" w:rsidP="0010294B">
            <w:pPr>
              <w:jc w:val="right"/>
              <w:rPr>
                <w:rFonts w:cs="Arial"/>
              </w:rPr>
            </w:pPr>
            <w:r>
              <w:rPr>
                <w:rFonts w:cs="Arial"/>
              </w:rPr>
              <w:t>121</w:t>
            </w:r>
          </w:p>
        </w:tc>
        <w:tc>
          <w:tcPr>
            <w:tcW w:w="960" w:type="dxa"/>
            <w:tcBorders>
              <w:top w:val="nil"/>
              <w:left w:val="nil"/>
              <w:bottom w:val="single" w:sz="4" w:space="0" w:color="auto"/>
              <w:right w:val="single" w:sz="4" w:space="0" w:color="auto"/>
            </w:tcBorders>
          </w:tcPr>
          <w:p w14:paraId="02DF71C0" w14:textId="77777777" w:rsidR="00B11577" w:rsidRDefault="00B11577" w:rsidP="0010294B">
            <w:pPr>
              <w:jc w:val="right"/>
              <w:rPr>
                <w:rFonts w:cs="Arial"/>
              </w:rPr>
            </w:pPr>
            <w:r>
              <w:rPr>
                <w:rFonts w:cs="Arial"/>
              </w:rPr>
              <w:t>125</w:t>
            </w:r>
          </w:p>
        </w:tc>
      </w:tr>
      <w:tr w:rsidR="00B11577" w:rsidRPr="00C5395B" w14:paraId="698EDCA3"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26022761" w14:textId="77777777" w:rsidR="00B11577" w:rsidRPr="00C5395B" w:rsidRDefault="00B11577" w:rsidP="0010294B">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3BAD768D" w14:textId="77777777" w:rsidR="00B11577" w:rsidRPr="0078302F" w:rsidRDefault="00B11577" w:rsidP="0010294B">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08A9CF8D" w14:textId="77777777" w:rsidR="00B11577" w:rsidRPr="003A524F" w:rsidRDefault="00B11577" w:rsidP="0010294B">
            <w:pPr>
              <w:jc w:val="right"/>
              <w:rPr>
                <w:rFonts w:cs="Arial"/>
              </w:rPr>
            </w:pPr>
            <w:r>
              <w:rPr>
                <w:rFonts w:cs="Arial"/>
              </w:rPr>
              <w:t>14</w:t>
            </w:r>
          </w:p>
        </w:tc>
        <w:tc>
          <w:tcPr>
            <w:tcW w:w="960" w:type="dxa"/>
            <w:tcBorders>
              <w:top w:val="nil"/>
              <w:left w:val="nil"/>
              <w:bottom w:val="single" w:sz="4" w:space="0" w:color="auto"/>
              <w:right w:val="single" w:sz="4" w:space="0" w:color="auto"/>
            </w:tcBorders>
          </w:tcPr>
          <w:p w14:paraId="758BFCE8" w14:textId="77777777" w:rsidR="00B11577" w:rsidRDefault="00B11577"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6724253" w14:textId="77777777" w:rsidR="00B11577" w:rsidRDefault="00B11577" w:rsidP="0010294B">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38672F50" w14:textId="77777777" w:rsidR="00B11577" w:rsidRDefault="00B11577" w:rsidP="0010294B">
            <w:pPr>
              <w:jc w:val="right"/>
              <w:rPr>
                <w:rFonts w:cs="Arial"/>
              </w:rPr>
            </w:pPr>
            <w:r>
              <w:rPr>
                <w:rFonts w:cs="Arial"/>
              </w:rPr>
              <w:t>15</w:t>
            </w:r>
          </w:p>
        </w:tc>
      </w:tr>
      <w:tr w:rsidR="00B11577" w:rsidRPr="00C5395B" w14:paraId="1196603E" w14:textId="77777777" w:rsidTr="0010294B">
        <w:trPr>
          <w:trHeight w:val="255"/>
        </w:trPr>
        <w:tc>
          <w:tcPr>
            <w:tcW w:w="2080" w:type="dxa"/>
            <w:tcBorders>
              <w:top w:val="nil"/>
              <w:left w:val="single" w:sz="4" w:space="0" w:color="auto"/>
              <w:bottom w:val="single" w:sz="4" w:space="0" w:color="auto"/>
              <w:right w:val="single" w:sz="4" w:space="0" w:color="auto"/>
            </w:tcBorders>
            <w:noWrap/>
          </w:tcPr>
          <w:p w14:paraId="28B34B7B" w14:textId="77777777" w:rsidR="00B11577" w:rsidRPr="00C5395B" w:rsidRDefault="00B11577" w:rsidP="0010294B">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0163879A" w14:textId="77777777" w:rsidR="00B11577" w:rsidRPr="0078302F" w:rsidRDefault="00B11577" w:rsidP="0010294B">
            <w:pPr>
              <w:jc w:val="right"/>
              <w:rPr>
                <w:rFonts w:cs="Arial"/>
              </w:rPr>
            </w:pPr>
            <w:r>
              <w:rPr>
                <w:rFonts w:cs="Arial"/>
              </w:rPr>
              <w:t>40</w:t>
            </w:r>
          </w:p>
        </w:tc>
        <w:tc>
          <w:tcPr>
            <w:tcW w:w="960" w:type="dxa"/>
            <w:tcBorders>
              <w:top w:val="nil"/>
              <w:left w:val="nil"/>
              <w:bottom w:val="single" w:sz="4" w:space="0" w:color="auto"/>
              <w:right w:val="single" w:sz="4" w:space="0" w:color="auto"/>
            </w:tcBorders>
          </w:tcPr>
          <w:p w14:paraId="6255D138" w14:textId="77777777" w:rsidR="00B11577" w:rsidRPr="003A524F" w:rsidRDefault="00B11577" w:rsidP="0010294B">
            <w:pPr>
              <w:jc w:val="right"/>
              <w:rPr>
                <w:rFonts w:cs="Arial"/>
              </w:rPr>
            </w:pPr>
            <w:r>
              <w:rPr>
                <w:rFonts w:cs="Arial"/>
              </w:rPr>
              <w:t>84</w:t>
            </w:r>
          </w:p>
        </w:tc>
        <w:tc>
          <w:tcPr>
            <w:tcW w:w="960" w:type="dxa"/>
            <w:tcBorders>
              <w:top w:val="nil"/>
              <w:left w:val="nil"/>
              <w:bottom w:val="single" w:sz="4" w:space="0" w:color="auto"/>
              <w:right w:val="single" w:sz="4" w:space="0" w:color="auto"/>
            </w:tcBorders>
          </w:tcPr>
          <w:p w14:paraId="11484CFB" w14:textId="77777777" w:rsidR="00B11577" w:rsidRDefault="00B11577" w:rsidP="0010294B">
            <w:pPr>
              <w:jc w:val="right"/>
              <w:rPr>
                <w:rFonts w:cs="Arial"/>
              </w:rPr>
            </w:pPr>
            <w:r>
              <w:rPr>
                <w:rFonts w:cs="Arial"/>
              </w:rPr>
              <w:t>94</w:t>
            </w:r>
          </w:p>
        </w:tc>
        <w:tc>
          <w:tcPr>
            <w:tcW w:w="960" w:type="dxa"/>
            <w:tcBorders>
              <w:top w:val="nil"/>
              <w:left w:val="nil"/>
              <w:bottom w:val="single" w:sz="4" w:space="0" w:color="auto"/>
              <w:right w:val="single" w:sz="4" w:space="0" w:color="auto"/>
            </w:tcBorders>
          </w:tcPr>
          <w:p w14:paraId="1DBDECE3" w14:textId="77777777" w:rsidR="00B11577" w:rsidRDefault="00B11577" w:rsidP="0010294B">
            <w:pPr>
              <w:jc w:val="right"/>
              <w:rPr>
                <w:rFonts w:cs="Arial"/>
              </w:rPr>
            </w:pPr>
            <w:r>
              <w:rPr>
                <w:rFonts w:cs="Arial"/>
              </w:rPr>
              <w:t>114</w:t>
            </w:r>
          </w:p>
        </w:tc>
        <w:tc>
          <w:tcPr>
            <w:tcW w:w="960" w:type="dxa"/>
            <w:tcBorders>
              <w:top w:val="nil"/>
              <w:left w:val="nil"/>
              <w:bottom w:val="single" w:sz="4" w:space="0" w:color="auto"/>
              <w:right w:val="single" w:sz="4" w:space="0" w:color="auto"/>
            </w:tcBorders>
          </w:tcPr>
          <w:p w14:paraId="1A3580AE" w14:textId="77777777" w:rsidR="00B11577" w:rsidRDefault="00B11577" w:rsidP="0010294B">
            <w:pPr>
              <w:jc w:val="right"/>
              <w:rPr>
                <w:rFonts w:cs="Arial"/>
              </w:rPr>
            </w:pPr>
            <w:r>
              <w:rPr>
                <w:rFonts w:cs="Arial"/>
              </w:rPr>
              <w:t>85</w:t>
            </w:r>
          </w:p>
        </w:tc>
      </w:tr>
      <w:tr w:rsidR="00B11577" w:rsidRPr="00C5395B" w14:paraId="2EF8807E"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50F6D382" w14:textId="77777777" w:rsidR="00B11577" w:rsidRPr="00C5395B" w:rsidRDefault="00B11577" w:rsidP="0010294B">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281D09C7" w14:textId="77777777" w:rsidR="00B11577" w:rsidRPr="0078302F" w:rsidRDefault="00B11577" w:rsidP="0010294B">
            <w:pPr>
              <w:jc w:val="right"/>
              <w:rPr>
                <w:rFonts w:cs="Arial"/>
              </w:rPr>
            </w:pPr>
            <w:r>
              <w:rPr>
                <w:rFonts w:cs="Arial"/>
              </w:rPr>
              <w:t>21</w:t>
            </w:r>
          </w:p>
        </w:tc>
        <w:tc>
          <w:tcPr>
            <w:tcW w:w="960" w:type="dxa"/>
            <w:tcBorders>
              <w:top w:val="nil"/>
              <w:left w:val="nil"/>
              <w:bottom w:val="single" w:sz="4" w:space="0" w:color="auto"/>
              <w:right w:val="single" w:sz="4" w:space="0" w:color="auto"/>
            </w:tcBorders>
          </w:tcPr>
          <w:p w14:paraId="7D0CF22D" w14:textId="77777777" w:rsidR="00B11577" w:rsidRPr="003A524F" w:rsidRDefault="00B11577" w:rsidP="0010294B">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74B3B536" w14:textId="77777777" w:rsidR="00B11577" w:rsidRDefault="00B11577" w:rsidP="0010294B">
            <w:pPr>
              <w:jc w:val="right"/>
              <w:rPr>
                <w:rFonts w:cs="Arial"/>
              </w:rPr>
            </w:pPr>
            <w:r>
              <w:rPr>
                <w:rFonts w:cs="Arial"/>
              </w:rPr>
              <w:t>80</w:t>
            </w:r>
          </w:p>
        </w:tc>
        <w:tc>
          <w:tcPr>
            <w:tcW w:w="960" w:type="dxa"/>
            <w:tcBorders>
              <w:top w:val="nil"/>
              <w:left w:val="nil"/>
              <w:bottom w:val="single" w:sz="4" w:space="0" w:color="auto"/>
              <w:right w:val="single" w:sz="4" w:space="0" w:color="auto"/>
            </w:tcBorders>
          </w:tcPr>
          <w:p w14:paraId="2D3BC50A" w14:textId="77777777" w:rsidR="00B11577" w:rsidRDefault="00B11577" w:rsidP="0010294B">
            <w:pPr>
              <w:jc w:val="right"/>
              <w:rPr>
                <w:rFonts w:cs="Arial"/>
              </w:rPr>
            </w:pPr>
            <w:r>
              <w:rPr>
                <w:rFonts w:cs="Arial"/>
              </w:rPr>
              <w:t>40</w:t>
            </w:r>
          </w:p>
        </w:tc>
        <w:tc>
          <w:tcPr>
            <w:tcW w:w="960" w:type="dxa"/>
            <w:tcBorders>
              <w:top w:val="nil"/>
              <w:left w:val="nil"/>
              <w:bottom w:val="single" w:sz="4" w:space="0" w:color="auto"/>
              <w:right w:val="single" w:sz="4" w:space="0" w:color="auto"/>
            </w:tcBorders>
          </w:tcPr>
          <w:p w14:paraId="6902E42D" w14:textId="77777777" w:rsidR="00B11577" w:rsidRDefault="00B11577" w:rsidP="0010294B">
            <w:pPr>
              <w:jc w:val="right"/>
              <w:rPr>
                <w:rFonts w:cs="Arial"/>
              </w:rPr>
            </w:pPr>
            <w:r>
              <w:rPr>
                <w:rFonts w:cs="Arial"/>
              </w:rPr>
              <w:t>31</w:t>
            </w:r>
          </w:p>
        </w:tc>
      </w:tr>
      <w:tr w:rsidR="00B11577" w:rsidRPr="00C5395B" w14:paraId="59BCE7F0"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0E663C11" w14:textId="77777777" w:rsidR="00B11577" w:rsidRPr="00C5395B" w:rsidRDefault="00B11577" w:rsidP="0010294B">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031B06EF" w14:textId="77777777" w:rsidR="00B11577" w:rsidRPr="0078302F" w:rsidRDefault="00B11577" w:rsidP="0010294B">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3EE5BF7D" w14:textId="77777777" w:rsidR="00B11577" w:rsidRPr="003A524F" w:rsidRDefault="00B11577" w:rsidP="0010294B">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0EEFEEE4" w14:textId="77777777" w:rsidR="00B11577" w:rsidRDefault="00B11577" w:rsidP="0010294B">
            <w:pPr>
              <w:jc w:val="right"/>
              <w:rPr>
                <w:rFonts w:cs="Arial"/>
              </w:rPr>
            </w:pPr>
            <w:r>
              <w:rPr>
                <w:rFonts w:cs="Arial"/>
              </w:rPr>
              <w:t>28</w:t>
            </w:r>
          </w:p>
        </w:tc>
        <w:tc>
          <w:tcPr>
            <w:tcW w:w="960" w:type="dxa"/>
            <w:tcBorders>
              <w:top w:val="nil"/>
              <w:left w:val="nil"/>
              <w:bottom w:val="single" w:sz="4" w:space="0" w:color="auto"/>
              <w:right w:val="single" w:sz="4" w:space="0" w:color="auto"/>
            </w:tcBorders>
          </w:tcPr>
          <w:p w14:paraId="25AC4818" w14:textId="77777777" w:rsidR="00B11577" w:rsidRDefault="00B11577" w:rsidP="0010294B">
            <w:pPr>
              <w:jc w:val="right"/>
              <w:rPr>
                <w:rFonts w:cs="Arial"/>
              </w:rPr>
            </w:pPr>
            <w:r>
              <w:rPr>
                <w:rFonts w:cs="Arial"/>
              </w:rPr>
              <w:t>31</w:t>
            </w:r>
          </w:p>
        </w:tc>
        <w:tc>
          <w:tcPr>
            <w:tcW w:w="960" w:type="dxa"/>
            <w:tcBorders>
              <w:top w:val="nil"/>
              <w:left w:val="nil"/>
              <w:bottom w:val="single" w:sz="4" w:space="0" w:color="auto"/>
              <w:right w:val="single" w:sz="4" w:space="0" w:color="auto"/>
            </w:tcBorders>
          </w:tcPr>
          <w:p w14:paraId="5D567B16" w14:textId="77777777" w:rsidR="00B11577" w:rsidRDefault="00B11577" w:rsidP="0010294B">
            <w:pPr>
              <w:jc w:val="right"/>
              <w:rPr>
                <w:rFonts w:cs="Arial"/>
              </w:rPr>
            </w:pPr>
            <w:r>
              <w:rPr>
                <w:rFonts w:cs="Arial"/>
              </w:rPr>
              <w:t>22</w:t>
            </w:r>
          </w:p>
        </w:tc>
      </w:tr>
      <w:tr w:rsidR="00B11577" w:rsidRPr="00C5395B" w14:paraId="7D0AE838"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3F1AC013" w14:textId="77777777" w:rsidR="00B11577" w:rsidRPr="00C5395B" w:rsidRDefault="00B11577" w:rsidP="0010294B">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0047633C" w14:textId="77777777" w:rsidR="00B11577" w:rsidRPr="003A524F" w:rsidRDefault="00B11577" w:rsidP="0010294B">
            <w:pPr>
              <w:jc w:val="right"/>
              <w:rPr>
                <w:rFonts w:cs="Arial"/>
                <w:b/>
                <w:bCs/>
              </w:rPr>
            </w:pPr>
            <w:r>
              <w:rPr>
                <w:rFonts w:cs="Arial"/>
                <w:b/>
                <w:bCs/>
              </w:rPr>
              <w:t>118</w:t>
            </w:r>
          </w:p>
        </w:tc>
        <w:tc>
          <w:tcPr>
            <w:tcW w:w="960" w:type="dxa"/>
            <w:tcBorders>
              <w:top w:val="nil"/>
              <w:left w:val="nil"/>
              <w:bottom w:val="single" w:sz="4" w:space="0" w:color="auto"/>
              <w:right w:val="single" w:sz="4" w:space="0" w:color="auto"/>
            </w:tcBorders>
          </w:tcPr>
          <w:p w14:paraId="4DB6AF77" w14:textId="77777777" w:rsidR="00B11577" w:rsidRPr="003A524F" w:rsidRDefault="00B11577" w:rsidP="0010294B">
            <w:pPr>
              <w:jc w:val="right"/>
              <w:rPr>
                <w:rFonts w:cs="Arial"/>
                <w:b/>
                <w:bCs/>
              </w:rPr>
            </w:pPr>
            <w:r>
              <w:rPr>
                <w:rFonts w:cs="Arial"/>
                <w:b/>
                <w:bCs/>
              </w:rPr>
              <w:t>229</w:t>
            </w:r>
          </w:p>
        </w:tc>
        <w:tc>
          <w:tcPr>
            <w:tcW w:w="960" w:type="dxa"/>
            <w:tcBorders>
              <w:top w:val="nil"/>
              <w:left w:val="nil"/>
              <w:bottom w:val="single" w:sz="4" w:space="0" w:color="auto"/>
              <w:right w:val="single" w:sz="4" w:space="0" w:color="auto"/>
            </w:tcBorders>
          </w:tcPr>
          <w:p w14:paraId="74764AAF" w14:textId="77777777" w:rsidR="00B11577" w:rsidRDefault="00B11577" w:rsidP="0010294B">
            <w:pPr>
              <w:jc w:val="right"/>
              <w:rPr>
                <w:rFonts w:cs="Arial"/>
                <w:b/>
                <w:bCs/>
              </w:rPr>
            </w:pPr>
            <w:r>
              <w:rPr>
                <w:rFonts w:cs="Arial"/>
                <w:b/>
                <w:bCs/>
              </w:rPr>
              <w:t>296</w:t>
            </w:r>
          </w:p>
        </w:tc>
        <w:tc>
          <w:tcPr>
            <w:tcW w:w="960" w:type="dxa"/>
            <w:tcBorders>
              <w:top w:val="nil"/>
              <w:left w:val="nil"/>
              <w:bottom w:val="single" w:sz="4" w:space="0" w:color="auto"/>
              <w:right w:val="single" w:sz="4" w:space="0" w:color="auto"/>
            </w:tcBorders>
          </w:tcPr>
          <w:p w14:paraId="791C1DB9" w14:textId="77777777" w:rsidR="00B11577" w:rsidRDefault="00B11577" w:rsidP="0010294B">
            <w:pPr>
              <w:jc w:val="right"/>
              <w:rPr>
                <w:rFonts w:cs="Arial"/>
                <w:b/>
                <w:bCs/>
              </w:rPr>
            </w:pPr>
            <w:r>
              <w:rPr>
                <w:rFonts w:cs="Arial"/>
                <w:b/>
                <w:bCs/>
              </w:rPr>
              <w:t>313</w:t>
            </w:r>
          </w:p>
        </w:tc>
        <w:tc>
          <w:tcPr>
            <w:tcW w:w="960" w:type="dxa"/>
            <w:tcBorders>
              <w:top w:val="nil"/>
              <w:left w:val="nil"/>
              <w:bottom w:val="single" w:sz="4" w:space="0" w:color="auto"/>
              <w:right w:val="single" w:sz="4" w:space="0" w:color="auto"/>
            </w:tcBorders>
          </w:tcPr>
          <w:p w14:paraId="46AD2FAD" w14:textId="77777777" w:rsidR="00B11577" w:rsidRDefault="00B11577" w:rsidP="0010294B">
            <w:pPr>
              <w:jc w:val="right"/>
              <w:rPr>
                <w:rFonts w:cs="Arial"/>
                <w:b/>
                <w:bCs/>
              </w:rPr>
            </w:pPr>
            <w:r>
              <w:rPr>
                <w:rFonts w:cs="Arial"/>
                <w:b/>
                <w:bCs/>
              </w:rPr>
              <w:t>278</w:t>
            </w:r>
          </w:p>
        </w:tc>
      </w:tr>
    </w:tbl>
    <w:p w14:paraId="7BAC4A8E" w14:textId="77777777" w:rsidR="005A5B78" w:rsidRPr="009C6D45" w:rsidRDefault="005A5B78" w:rsidP="005A5B78">
      <w:pPr>
        <w:ind w:left="-142" w:right="-425"/>
        <w:jc w:val="both"/>
        <w:rPr>
          <w:rFonts w:cs="Arial"/>
        </w:rPr>
      </w:pPr>
    </w:p>
    <w:p w14:paraId="7BAE3B75" w14:textId="0EC2B52B" w:rsidR="005A5B78" w:rsidRPr="002D4651" w:rsidRDefault="005A5B78" w:rsidP="004D5B34">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6921E627" w:rsidR="00C872F0" w:rsidRDefault="006F3F88" w:rsidP="00964A63">
      <w:pPr>
        <w:ind w:left="-142" w:right="-425"/>
        <w:jc w:val="both"/>
        <w:rPr>
          <w:rFonts w:cs="Arial"/>
        </w:rPr>
      </w:pPr>
      <w:r>
        <w:rPr>
          <w:rFonts w:cs="Arial"/>
        </w:rPr>
        <w:t xml:space="preserve">A total of </w:t>
      </w:r>
      <w:r w:rsidR="000877DD">
        <w:rPr>
          <w:rFonts w:cs="Arial"/>
        </w:rPr>
        <w:t xml:space="preserve">116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0877DD">
        <w:rPr>
          <w:rFonts w:cs="Arial"/>
        </w:rPr>
        <w:t>93</w:t>
      </w:r>
      <w:r w:rsidR="000877DD" w:rsidRPr="003573E3">
        <w:rPr>
          <w:rFonts w:cs="Arial"/>
        </w:rPr>
        <w:t xml:space="preserve"> </w:t>
      </w:r>
      <w:r w:rsidR="001E5AFF" w:rsidRPr="003573E3">
        <w:rPr>
          <w:rFonts w:cs="Arial"/>
        </w:rPr>
        <w:t xml:space="preserve">clients </w:t>
      </w:r>
      <w:r>
        <w:rPr>
          <w:rFonts w:cs="Arial"/>
        </w:rPr>
        <w:t xml:space="preserve">were made in quarter </w:t>
      </w:r>
      <w:r w:rsidR="00413FAC">
        <w:rPr>
          <w:rFonts w:cs="Arial"/>
        </w:rPr>
        <w:t>59</w:t>
      </w:r>
      <w:r w:rsidR="001266C1" w:rsidRPr="00C75E8D">
        <w:rPr>
          <w:rFonts w:cs="Arial"/>
        </w:rPr>
        <w:t>.</w:t>
      </w:r>
      <w:r w:rsidR="00C75E8D" w:rsidRPr="00C75E8D">
        <w:rPr>
          <w:rFonts w:cs="Arial"/>
        </w:rPr>
        <w:t xml:space="preserve"> The Local Commissioners continue to raise concerns regarding the availability of appropriate perpetrator intervention programs suitable for client referrals so community members can be supported to address </w:t>
      </w:r>
      <w:r w:rsidR="00C75E8D">
        <w:rPr>
          <w:rFonts w:cs="Arial"/>
        </w:rPr>
        <w:t>domestic violence</w:t>
      </w:r>
      <w:r w:rsidR="00C75E8D" w:rsidRPr="00C75E8D">
        <w:rPr>
          <w:rFonts w:cs="Arial"/>
        </w:rPr>
        <w:t xml:space="preserve"> behaviours. The </w:t>
      </w:r>
      <w:r w:rsidR="00C75E8D" w:rsidRPr="00C75E8D">
        <w:rPr>
          <w:rFonts w:cs="Arial"/>
        </w:rPr>
        <w:lastRenderedPageBreak/>
        <w:t xml:space="preserve">broader social impacts of domestic and family violence are set out in </w:t>
      </w:r>
      <w:r w:rsidR="00C75E8D" w:rsidRPr="00C75E8D">
        <w:t xml:space="preserve">Table </w:t>
      </w:r>
      <w:r w:rsidR="00F61DB6">
        <w:t>3</w:t>
      </w:r>
      <w:r w:rsidR="00C75E8D" w:rsidRPr="00C75E8D">
        <w:t xml:space="preserve"> with </w:t>
      </w:r>
      <w:r w:rsidR="00C75E8D">
        <w:t xml:space="preserve">an </w:t>
      </w:r>
      <w:r w:rsidR="00C75E8D" w:rsidRPr="00C75E8D">
        <w:t>analysis illustrating the nexus between Court convictions and domestic violence orders/breaches with school attendance issues and to a lesser degree child safety issues.</w:t>
      </w:r>
    </w:p>
    <w:p w14:paraId="6A11405C" w14:textId="3D6C8A1A" w:rsidR="00742C7E" w:rsidRPr="00086AA9" w:rsidRDefault="00742C7E" w:rsidP="00695B67">
      <w:pPr>
        <w:tabs>
          <w:tab w:val="left" w:pos="0"/>
        </w:tabs>
        <w:ind w:left="426" w:right="-425" w:hanging="568"/>
        <w:jc w:val="both"/>
        <w:rPr>
          <w:rFonts w:cs="Arial"/>
          <w:bCs/>
        </w:rPr>
      </w:pPr>
    </w:p>
    <w:p w14:paraId="385382D9" w14:textId="1E79117E" w:rsidR="00695B67" w:rsidRDefault="00834D50" w:rsidP="00695B67">
      <w:pPr>
        <w:tabs>
          <w:tab w:val="left" w:pos="0"/>
        </w:tabs>
        <w:ind w:left="426" w:right="-425" w:hanging="568"/>
        <w:jc w:val="both"/>
        <w:rPr>
          <w:rFonts w:cs="Arial"/>
          <w:sz w:val="16"/>
          <w:szCs w:val="16"/>
        </w:rPr>
      </w:pPr>
      <w:r>
        <w:rPr>
          <w:rFonts w:cs="Arial"/>
          <w:b/>
          <w:sz w:val="16"/>
          <w:szCs w:val="16"/>
        </w:rPr>
        <w:t>Table 13</w:t>
      </w:r>
      <w:r w:rsidR="005A5B78" w:rsidRPr="004063DB">
        <w:rPr>
          <w:rFonts w:cs="Arial"/>
          <w:b/>
          <w:sz w:val="16"/>
          <w:szCs w:val="16"/>
        </w:rPr>
        <w:t xml:space="preserve">: </w:t>
      </w:r>
      <w:r w:rsidR="001B457C">
        <w:rPr>
          <w:rFonts w:cs="Arial"/>
          <w:sz w:val="16"/>
          <w:szCs w:val="16"/>
        </w:rPr>
        <w:t>Referrals</w:t>
      </w:r>
      <w:r w:rsidR="005A5B78" w:rsidRPr="0053018A">
        <w:rPr>
          <w:rFonts w:cs="Arial"/>
          <w:sz w:val="16"/>
          <w:szCs w:val="16"/>
        </w:rPr>
        <w:t xml:space="preserve"> </w:t>
      </w:r>
      <w:r w:rsidR="005A5B78">
        <w:rPr>
          <w:rFonts w:cs="Arial"/>
          <w:sz w:val="16"/>
          <w:szCs w:val="16"/>
        </w:rPr>
        <w:t xml:space="preserve">by </w:t>
      </w:r>
      <w:r w:rsidR="00773AE5">
        <w:rPr>
          <w:rFonts w:cs="Arial"/>
          <w:sz w:val="16"/>
          <w:szCs w:val="16"/>
        </w:rPr>
        <w:t>community</w:t>
      </w:r>
      <w:r w:rsidR="005A5B78">
        <w:rPr>
          <w:rFonts w:cs="Arial"/>
          <w:sz w:val="16"/>
          <w:szCs w:val="16"/>
        </w:rPr>
        <w:t xml:space="preserve"> and quarter </w:t>
      </w:r>
      <w:r w:rsidR="007B7E78">
        <w:rPr>
          <w:rFonts w:cs="Arial"/>
          <w:sz w:val="16"/>
          <w:szCs w:val="16"/>
        </w:rPr>
        <w:t xml:space="preserve">1 </w:t>
      </w:r>
      <w:r w:rsidR="003C708C">
        <w:rPr>
          <w:rFonts w:cs="Arial"/>
          <w:sz w:val="16"/>
          <w:szCs w:val="16"/>
        </w:rPr>
        <w:t xml:space="preserve">January 2022 </w:t>
      </w:r>
      <w:r w:rsidR="00AD4E9A">
        <w:rPr>
          <w:rFonts w:cs="Arial"/>
          <w:sz w:val="16"/>
          <w:szCs w:val="16"/>
        </w:rPr>
        <w:t xml:space="preserve">to </w:t>
      </w:r>
      <w:r w:rsidR="007B7E78">
        <w:rPr>
          <w:rFonts w:cs="Arial"/>
          <w:sz w:val="16"/>
          <w:szCs w:val="16"/>
        </w:rPr>
        <w:t xml:space="preserve">31 </w:t>
      </w:r>
      <w:r w:rsidR="00984BBB">
        <w:rPr>
          <w:rFonts w:cs="Arial"/>
          <w:sz w:val="16"/>
          <w:szCs w:val="16"/>
        </w:rPr>
        <w:t>March 2023</w:t>
      </w:r>
    </w:p>
    <w:p w14:paraId="787F6F85" w14:textId="77777777" w:rsidR="00834D50" w:rsidRPr="00086AA9" w:rsidRDefault="00834D50" w:rsidP="00695B67">
      <w:pPr>
        <w:tabs>
          <w:tab w:val="left" w:pos="0"/>
        </w:tabs>
        <w:ind w:left="426" w:right="-425" w:hanging="568"/>
        <w:jc w:val="both"/>
        <w:rPr>
          <w:rFonts w:cs="Arial"/>
        </w:rPr>
      </w:pPr>
    </w:p>
    <w:tbl>
      <w:tblPr>
        <w:tblW w:w="6994" w:type="dxa"/>
        <w:tblInd w:w="93" w:type="dxa"/>
        <w:tblLook w:val="04A0" w:firstRow="1" w:lastRow="0" w:firstColumn="1" w:lastColumn="0" w:noHBand="0" w:noVBand="1"/>
      </w:tblPr>
      <w:tblGrid>
        <w:gridCol w:w="2029"/>
        <w:gridCol w:w="993"/>
        <w:gridCol w:w="993"/>
        <w:gridCol w:w="993"/>
        <w:gridCol w:w="993"/>
        <w:gridCol w:w="993"/>
      </w:tblGrid>
      <w:tr w:rsidR="00834D50" w:rsidRPr="00C5395B" w14:paraId="22BE300F" w14:textId="77777777" w:rsidTr="0010294B">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1056B038" w14:textId="77777777" w:rsidR="00834D50" w:rsidRPr="00C5395B" w:rsidRDefault="00834D50" w:rsidP="0010294B">
            <w:pPr>
              <w:pStyle w:val="TableText"/>
              <w:rPr>
                <w:b/>
                <w:lang w:eastAsia="en-AU"/>
              </w:rPr>
            </w:pPr>
            <w:r w:rsidRPr="00C5395B">
              <w:rPr>
                <w:b/>
                <w:lang w:eastAsia="en-AU"/>
              </w:rPr>
              <w:t>Community</w:t>
            </w:r>
          </w:p>
        </w:tc>
        <w:tc>
          <w:tcPr>
            <w:tcW w:w="993" w:type="dxa"/>
            <w:tcBorders>
              <w:top w:val="single" w:sz="4" w:space="0" w:color="auto"/>
              <w:left w:val="nil"/>
              <w:bottom w:val="single" w:sz="4" w:space="0" w:color="auto"/>
              <w:right w:val="single" w:sz="4" w:space="0" w:color="auto"/>
            </w:tcBorders>
          </w:tcPr>
          <w:p w14:paraId="68B30CEA" w14:textId="77777777" w:rsidR="00834D50" w:rsidRDefault="00834D50" w:rsidP="0010294B">
            <w:pPr>
              <w:pStyle w:val="TableText"/>
              <w:jc w:val="right"/>
              <w:rPr>
                <w:b/>
                <w:lang w:eastAsia="en-AU"/>
              </w:rPr>
            </w:pPr>
            <w:proofErr w:type="spellStart"/>
            <w:r>
              <w:rPr>
                <w:b/>
                <w:lang w:eastAsia="en-AU"/>
              </w:rPr>
              <w:t>Qtr</w:t>
            </w:r>
            <w:proofErr w:type="spellEnd"/>
            <w:r>
              <w:rPr>
                <w:b/>
                <w:lang w:eastAsia="en-AU"/>
              </w:rPr>
              <w:t xml:space="preserve"> 55</w:t>
            </w:r>
          </w:p>
        </w:tc>
        <w:tc>
          <w:tcPr>
            <w:tcW w:w="993" w:type="dxa"/>
            <w:tcBorders>
              <w:top w:val="single" w:sz="4" w:space="0" w:color="auto"/>
              <w:left w:val="nil"/>
              <w:bottom w:val="single" w:sz="4" w:space="0" w:color="auto"/>
              <w:right w:val="single" w:sz="4" w:space="0" w:color="auto"/>
            </w:tcBorders>
          </w:tcPr>
          <w:p w14:paraId="38034C2B" w14:textId="77777777" w:rsidR="00834D50" w:rsidRDefault="00834D50"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993" w:type="dxa"/>
            <w:tcBorders>
              <w:top w:val="single" w:sz="4" w:space="0" w:color="auto"/>
              <w:left w:val="nil"/>
              <w:bottom w:val="single" w:sz="4" w:space="0" w:color="auto"/>
              <w:right w:val="single" w:sz="4" w:space="0" w:color="auto"/>
            </w:tcBorders>
          </w:tcPr>
          <w:p w14:paraId="718DDB52" w14:textId="77777777" w:rsidR="00834D50" w:rsidRDefault="00834D50"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993" w:type="dxa"/>
            <w:tcBorders>
              <w:top w:val="single" w:sz="4" w:space="0" w:color="auto"/>
              <w:left w:val="nil"/>
              <w:bottom w:val="single" w:sz="4" w:space="0" w:color="auto"/>
              <w:right w:val="single" w:sz="4" w:space="0" w:color="auto"/>
            </w:tcBorders>
          </w:tcPr>
          <w:p w14:paraId="6A23C07D" w14:textId="77777777" w:rsidR="00834D50" w:rsidRDefault="00834D50"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993" w:type="dxa"/>
            <w:tcBorders>
              <w:top w:val="single" w:sz="4" w:space="0" w:color="auto"/>
              <w:left w:val="nil"/>
              <w:bottom w:val="single" w:sz="4" w:space="0" w:color="auto"/>
              <w:right w:val="single" w:sz="4" w:space="0" w:color="auto"/>
            </w:tcBorders>
          </w:tcPr>
          <w:p w14:paraId="789C643B" w14:textId="77777777" w:rsidR="00834D50" w:rsidRDefault="00834D50" w:rsidP="0010294B">
            <w:pPr>
              <w:pStyle w:val="TableText"/>
              <w:jc w:val="right"/>
              <w:rPr>
                <w:b/>
                <w:lang w:eastAsia="en-AU"/>
              </w:rPr>
            </w:pPr>
            <w:proofErr w:type="spellStart"/>
            <w:r>
              <w:rPr>
                <w:b/>
                <w:lang w:eastAsia="en-AU"/>
              </w:rPr>
              <w:t>Qtr</w:t>
            </w:r>
            <w:proofErr w:type="spellEnd"/>
            <w:r>
              <w:rPr>
                <w:b/>
                <w:lang w:eastAsia="en-AU"/>
              </w:rPr>
              <w:t xml:space="preserve"> 59</w:t>
            </w:r>
          </w:p>
        </w:tc>
      </w:tr>
      <w:tr w:rsidR="00834D50" w:rsidRPr="00C5395B" w14:paraId="1F89184A" w14:textId="77777777" w:rsidTr="0010294B">
        <w:trPr>
          <w:trHeight w:val="255"/>
        </w:trPr>
        <w:tc>
          <w:tcPr>
            <w:tcW w:w="2029" w:type="dxa"/>
            <w:tcBorders>
              <w:top w:val="nil"/>
              <w:left w:val="single" w:sz="4" w:space="0" w:color="auto"/>
              <w:bottom w:val="single" w:sz="4" w:space="0" w:color="auto"/>
              <w:right w:val="single" w:sz="4" w:space="0" w:color="auto"/>
            </w:tcBorders>
            <w:noWrap/>
            <w:hideMark/>
          </w:tcPr>
          <w:p w14:paraId="75467667" w14:textId="77777777" w:rsidR="00834D50" w:rsidRPr="00C5395B" w:rsidRDefault="00834D50" w:rsidP="0010294B">
            <w:pPr>
              <w:pStyle w:val="TableText"/>
              <w:rPr>
                <w:lang w:eastAsia="en-AU"/>
              </w:rPr>
            </w:pPr>
            <w:r w:rsidRPr="00C5395B">
              <w:rPr>
                <w:lang w:eastAsia="en-AU"/>
              </w:rPr>
              <w:t>Aurukun</w:t>
            </w:r>
          </w:p>
        </w:tc>
        <w:tc>
          <w:tcPr>
            <w:tcW w:w="993" w:type="dxa"/>
            <w:tcBorders>
              <w:top w:val="nil"/>
              <w:left w:val="nil"/>
              <w:bottom w:val="single" w:sz="4" w:space="0" w:color="auto"/>
              <w:right w:val="single" w:sz="4" w:space="0" w:color="auto"/>
            </w:tcBorders>
          </w:tcPr>
          <w:p w14:paraId="2B394E25" w14:textId="77777777" w:rsidR="00834D50" w:rsidRPr="007E5A38" w:rsidRDefault="00834D50" w:rsidP="0010294B">
            <w:pPr>
              <w:jc w:val="right"/>
              <w:rPr>
                <w:rFonts w:cs="Arial"/>
              </w:rPr>
            </w:pPr>
            <w:r>
              <w:rPr>
                <w:rFonts w:cs="Arial"/>
              </w:rPr>
              <w:t>22</w:t>
            </w:r>
          </w:p>
        </w:tc>
        <w:tc>
          <w:tcPr>
            <w:tcW w:w="993" w:type="dxa"/>
            <w:tcBorders>
              <w:top w:val="nil"/>
              <w:left w:val="nil"/>
              <w:bottom w:val="single" w:sz="4" w:space="0" w:color="auto"/>
              <w:right w:val="single" w:sz="4" w:space="0" w:color="auto"/>
            </w:tcBorders>
          </w:tcPr>
          <w:p w14:paraId="5077BDAD" w14:textId="77777777" w:rsidR="00834D50" w:rsidRPr="003069C4" w:rsidRDefault="00834D50" w:rsidP="0010294B">
            <w:pPr>
              <w:jc w:val="right"/>
              <w:rPr>
                <w:rFonts w:cs="Arial"/>
              </w:rPr>
            </w:pPr>
            <w:r>
              <w:rPr>
                <w:rFonts w:cs="Arial"/>
              </w:rPr>
              <w:t>60</w:t>
            </w:r>
          </w:p>
        </w:tc>
        <w:tc>
          <w:tcPr>
            <w:tcW w:w="993" w:type="dxa"/>
            <w:tcBorders>
              <w:top w:val="nil"/>
              <w:left w:val="nil"/>
              <w:bottom w:val="single" w:sz="4" w:space="0" w:color="auto"/>
              <w:right w:val="single" w:sz="4" w:space="0" w:color="auto"/>
            </w:tcBorders>
          </w:tcPr>
          <w:p w14:paraId="1CB486B1" w14:textId="77777777" w:rsidR="00834D50" w:rsidRDefault="00834D50" w:rsidP="0010294B">
            <w:pPr>
              <w:jc w:val="right"/>
              <w:rPr>
                <w:rFonts w:cs="Arial"/>
              </w:rPr>
            </w:pPr>
            <w:r>
              <w:rPr>
                <w:rFonts w:cs="Arial"/>
              </w:rPr>
              <w:t>35</w:t>
            </w:r>
          </w:p>
        </w:tc>
        <w:tc>
          <w:tcPr>
            <w:tcW w:w="993" w:type="dxa"/>
            <w:tcBorders>
              <w:top w:val="nil"/>
              <w:left w:val="nil"/>
              <w:bottom w:val="single" w:sz="4" w:space="0" w:color="auto"/>
              <w:right w:val="single" w:sz="4" w:space="0" w:color="auto"/>
            </w:tcBorders>
          </w:tcPr>
          <w:p w14:paraId="549FFCE8" w14:textId="77777777" w:rsidR="00834D50" w:rsidRDefault="00834D50" w:rsidP="0010294B">
            <w:pPr>
              <w:jc w:val="right"/>
              <w:rPr>
                <w:rFonts w:cs="Arial"/>
              </w:rPr>
            </w:pPr>
            <w:r>
              <w:rPr>
                <w:rFonts w:cs="Arial"/>
              </w:rPr>
              <w:t>82</w:t>
            </w:r>
          </w:p>
        </w:tc>
        <w:tc>
          <w:tcPr>
            <w:tcW w:w="993" w:type="dxa"/>
            <w:tcBorders>
              <w:top w:val="nil"/>
              <w:left w:val="nil"/>
              <w:bottom w:val="single" w:sz="4" w:space="0" w:color="auto"/>
              <w:right w:val="single" w:sz="4" w:space="0" w:color="auto"/>
            </w:tcBorders>
          </w:tcPr>
          <w:p w14:paraId="18B62A7F" w14:textId="77777777" w:rsidR="00834D50" w:rsidRDefault="00834D50" w:rsidP="0010294B">
            <w:pPr>
              <w:jc w:val="right"/>
              <w:rPr>
                <w:rFonts w:cs="Arial"/>
              </w:rPr>
            </w:pPr>
            <w:r>
              <w:rPr>
                <w:rFonts w:cs="Arial"/>
              </w:rPr>
              <w:t>48</w:t>
            </w:r>
          </w:p>
        </w:tc>
      </w:tr>
      <w:tr w:rsidR="00834D50" w:rsidRPr="00C5395B" w14:paraId="7A0630AB" w14:textId="77777777" w:rsidTr="0010294B">
        <w:trPr>
          <w:trHeight w:val="255"/>
        </w:trPr>
        <w:tc>
          <w:tcPr>
            <w:tcW w:w="2029" w:type="dxa"/>
            <w:tcBorders>
              <w:top w:val="nil"/>
              <w:left w:val="single" w:sz="4" w:space="0" w:color="auto"/>
              <w:bottom w:val="single" w:sz="4" w:space="0" w:color="auto"/>
              <w:right w:val="single" w:sz="4" w:space="0" w:color="auto"/>
            </w:tcBorders>
            <w:noWrap/>
            <w:hideMark/>
          </w:tcPr>
          <w:p w14:paraId="697593AA" w14:textId="77777777" w:rsidR="00834D50" w:rsidRPr="00C5395B" w:rsidRDefault="00834D50" w:rsidP="0010294B">
            <w:pPr>
              <w:pStyle w:val="TableText"/>
              <w:rPr>
                <w:lang w:eastAsia="en-AU"/>
              </w:rPr>
            </w:pPr>
            <w:r w:rsidRPr="00C5395B">
              <w:rPr>
                <w:lang w:eastAsia="en-AU"/>
              </w:rPr>
              <w:t>Coen</w:t>
            </w:r>
          </w:p>
        </w:tc>
        <w:tc>
          <w:tcPr>
            <w:tcW w:w="993" w:type="dxa"/>
            <w:tcBorders>
              <w:top w:val="nil"/>
              <w:left w:val="nil"/>
              <w:bottom w:val="single" w:sz="4" w:space="0" w:color="auto"/>
              <w:right w:val="single" w:sz="4" w:space="0" w:color="auto"/>
            </w:tcBorders>
          </w:tcPr>
          <w:p w14:paraId="5EAED738" w14:textId="77777777" w:rsidR="00834D50" w:rsidRPr="007E5A38" w:rsidRDefault="00834D50" w:rsidP="0010294B">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74835FD9" w14:textId="77777777" w:rsidR="00834D50" w:rsidRPr="003069C4" w:rsidRDefault="00834D50" w:rsidP="0010294B">
            <w:pPr>
              <w:jc w:val="right"/>
              <w:rPr>
                <w:rFonts w:cs="Arial"/>
              </w:rPr>
            </w:pPr>
            <w:r>
              <w:rPr>
                <w:rFonts w:cs="Arial"/>
              </w:rPr>
              <w:t>10</w:t>
            </w:r>
          </w:p>
        </w:tc>
        <w:tc>
          <w:tcPr>
            <w:tcW w:w="993" w:type="dxa"/>
            <w:tcBorders>
              <w:top w:val="nil"/>
              <w:left w:val="nil"/>
              <w:bottom w:val="single" w:sz="4" w:space="0" w:color="auto"/>
              <w:right w:val="single" w:sz="4" w:space="0" w:color="auto"/>
            </w:tcBorders>
          </w:tcPr>
          <w:p w14:paraId="6F01063C" w14:textId="77777777" w:rsidR="00834D50" w:rsidRDefault="00834D50" w:rsidP="0010294B">
            <w:pPr>
              <w:jc w:val="right"/>
              <w:rPr>
                <w:rFonts w:cs="Arial"/>
              </w:rPr>
            </w:pPr>
            <w:r>
              <w:rPr>
                <w:rFonts w:cs="Arial"/>
              </w:rPr>
              <w:t>0</w:t>
            </w:r>
          </w:p>
        </w:tc>
        <w:tc>
          <w:tcPr>
            <w:tcW w:w="993" w:type="dxa"/>
            <w:tcBorders>
              <w:top w:val="nil"/>
              <w:left w:val="nil"/>
              <w:bottom w:val="single" w:sz="4" w:space="0" w:color="auto"/>
              <w:right w:val="single" w:sz="4" w:space="0" w:color="auto"/>
            </w:tcBorders>
          </w:tcPr>
          <w:p w14:paraId="15591620" w14:textId="77777777" w:rsidR="00834D50" w:rsidRDefault="00834D50" w:rsidP="0010294B">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15B27383" w14:textId="77777777" w:rsidR="00834D50" w:rsidRDefault="00834D50" w:rsidP="0010294B">
            <w:pPr>
              <w:jc w:val="right"/>
              <w:rPr>
                <w:rFonts w:cs="Arial"/>
              </w:rPr>
            </w:pPr>
            <w:r>
              <w:rPr>
                <w:rFonts w:cs="Arial"/>
              </w:rPr>
              <w:t>12</w:t>
            </w:r>
          </w:p>
        </w:tc>
      </w:tr>
      <w:tr w:rsidR="00834D50" w:rsidRPr="00C5395B" w14:paraId="591D2899" w14:textId="77777777" w:rsidTr="0010294B">
        <w:trPr>
          <w:trHeight w:val="255"/>
        </w:trPr>
        <w:tc>
          <w:tcPr>
            <w:tcW w:w="2029" w:type="dxa"/>
            <w:tcBorders>
              <w:top w:val="nil"/>
              <w:left w:val="single" w:sz="4" w:space="0" w:color="auto"/>
              <w:bottom w:val="single" w:sz="4" w:space="0" w:color="auto"/>
              <w:right w:val="single" w:sz="4" w:space="0" w:color="auto"/>
            </w:tcBorders>
            <w:noWrap/>
          </w:tcPr>
          <w:p w14:paraId="5A860648" w14:textId="77777777" w:rsidR="00834D50" w:rsidRPr="00C5395B" w:rsidRDefault="00834D50" w:rsidP="0010294B">
            <w:pPr>
              <w:pStyle w:val="TableText"/>
              <w:rPr>
                <w:lang w:eastAsia="en-AU"/>
              </w:rPr>
            </w:pPr>
            <w:r>
              <w:rPr>
                <w:lang w:eastAsia="en-AU"/>
              </w:rPr>
              <w:t>Doomadgee</w:t>
            </w:r>
          </w:p>
        </w:tc>
        <w:tc>
          <w:tcPr>
            <w:tcW w:w="993" w:type="dxa"/>
            <w:tcBorders>
              <w:top w:val="nil"/>
              <w:left w:val="nil"/>
              <w:bottom w:val="single" w:sz="4" w:space="0" w:color="auto"/>
              <w:right w:val="single" w:sz="4" w:space="0" w:color="auto"/>
            </w:tcBorders>
          </w:tcPr>
          <w:p w14:paraId="62ABE33A" w14:textId="77777777" w:rsidR="00834D50" w:rsidRPr="007E5A38" w:rsidRDefault="00834D50" w:rsidP="0010294B">
            <w:pPr>
              <w:jc w:val="right"/>
              <w:rPr>
                <w:rFonts w:cs="Arial"/>
              </w:rPr>
            </w:pPr>
            <w:r>
              <w:rPr>
                <w:rFonts w:cs="Arial"/>
              </w:rPr>
              <w:t>27</w:t>
            </w:r>
          </w:p>
        </w:tc>
        <w:tc>
          <w:tcPr>
            <w:tcW w:w="993" w:type="dxa"/>
            <w:tcBorders>
              <w:top w:val="nil"/>
              <w:left w:val="nil"/>
              <w:bottom w:val="single" w:sz="4" w:space="0" w:color="auto"/>
              <w:right w:val="single" w:sz="4" w:space="0" w:color="auto"/>
            </w:tcBorders>
          </w:tcPr>
          <w:p w14:paraId="77391790" w14:textId="77777777" w:rsidR="00834D50" w:rsidRPr="003069C4" w:rsidRDefault="00834D50" w:rsidP="0010294B">
            <w:pPr>
              <w:jc w:val="right"/>
              <w:rPr>
                <w:rFonts w:cs="Arial"/>
              </w:rPr>
            </w:pPr>
            <w:r>
              <w:rPr>
                <w:rFonts w:cs="Arial"/>
              </w:rPr>
              <w:t>51</w:t>
            </w:r>
          </w:p>
        </w:tc>
        <w:tc>
          <w:tcPr>
            <w:tcW w:w="993" w:type="dxa"/>
            <w:tcBorders>
              <w:top w:val="nil"/>
              <w:left w:val="nil"/>
              <w:bottom w:val="single" w:sz="4" w:space="0" w:color="auto"/>
              <w:right w:val="single" w:sz="4" w:space="0" w:color="auto"/>
            </w:tcBorders>
          </w:tcPr>
          <w:p w14:paraId="6449D3F0" w14:textId="77777777" w:rsidR="00834D50" w:rsidRDefault="00834D50" w:rsidP="0010294B">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7F549C4A" w14:textId="77777777" w:rsidR="00834D50" w:rsidRDefault="00834D50" w:rsidP="0010294B">
            <w:pPr>
              <w:jc w:val="right"/>
              <w:rPr>
                <w:rFonts w:cs="Arial"/>
              </w:rPr>
            </w:pPr>
            <w:r>
              <w:rPr>
                <w:rFonts w:cs="Arial"/>
              </w:rPr>
              <w:t>41</w:t>
            </w:r>
          </w:p>
        </w:tc>
        <w:tc>
          <w:tcPr>
            <w:tcW w:w="993" w:type="dxa"/>
            <w:tcBorders>
              <w:top w:val="nil"/>
              <w:left w:val="nil"/>
              <w:bottom w:val="single" w:sz="4" w:space="0" w:color="auto"/>
              <w:right w:val="single" w:sz="4" w:space="0" w:color="auto"/>
            </w:tcBorders>
          </w:tcPr>
          <w:p w14:paraId="6BFCB79E" w14:textId="77777777" w:rsidR="00834D50" w:rsidRDefault="00834D50" w:rsidP="0010294B">
            <w:pPr>
              <w:jc w:val="right"/>
              <w:rPr>
                <w:rFonts w:cs="Arial"/>
              </w:rPr>
            </w:pPr>
            <w:r>
              <w:rPr>
                <w:rFonts w:cs="Arial"/>
              </w:rPr>
              <w:t>32</w:t>
            </w:r>
          </w:p>
        </w:tc>
      </w:tr>
      <w:tr w:rsidR="00834D50" w:rsidRPr="00C5395B" w14:paraId="1AF3A811" w14:textId="77777777" w:rsidTr="0010294B">
        <w:trPr>
          <w:trHeight w:val="255"/>
        </w:trPr>
        <w:tc>
          <w:tcPr>
            <w:tcW w:w="2029" w:type="dxa"/>
            <w:tcBorders>
              <w:top w:val="nil"/>
              <w:left w:val="single" w:sz="4" w:space="0" w:color="auto"/>
              <w:bottom w:val="single" w:sz="4" w:space="0" w:color="auto"/>
              <w:right w:val="single" w:sz="4" w:space="0" w:color="auto"/>
            </w:tcBorders>
            <w:noWrap/>
          </w:tcPr>
          <w:p w14:paraId="4EAB6DB1" w14:textId="77777777" w:rsidR="00834D50" w:rsidRPr="00C5395B" w:rsidRDefault="00834D50" w:rsidP="0010294B">
            <w:pPr>
              <w:pStyle w:val="TableText"/>
              <w:rPr>
                <w:lang w:eastAsia="en-AU"/>
              </w:rPr>
            </w:pPr>
            <w:r>
              <w:rPr>
                <w:lang w:eastAsia="en-AU"/>
              </w:rPr>
              <w:t>Hope Vale</w:t>
            </w:r>
          </w:p>
        </w:tc>
        <w:tc>
          <w:tcPr>
            <w:tcW w:w="993" w:type="dxa"/>
            <w:tcBorders>
              <w:top w:val="nil"/>
              <w:left w:val="nil"/>
              <w:bottom w:val="single" w:sz="4" w:space="0" w:color="auto"/>
              <w:right w:val="single" w:sz="4" w:space="0" w:color="auto"/>
            </w:tcBorders>
          </w:tcPr>
          <w:p w14:paraId="219BFFA9" w14:textId="77777777" w:rsidR="00834D50" w:rsidRPr="007E5A38" w:rsidRDefault="00834D50" w:rsidP="0010294B">
            <w:pPr>
              <w:jc w:val="right"/>
              <w:rPr>
                <w:rFonts w:cs="Arial"/>
              </w:rPr>
            </w:pPr>
            <w:r>
              <w:rPr>
                <w:rFonts w:cs="Arial"/>
              </w:rPr>
              <w:t>11</w:t>
            </w:r>
          </w:p>
        </w:tc>
        <w:tc>
          <w:tcPr>
            <w:tcW w:w="993" w:type="dxa"/>
            <w:tcBorders>
              <w:top w:val="nil"/>
              <w:left w:val="nil"/>
              <w:bottom w:val="single" w:sz="4" w:space="0" w:color="auto"/>
              <w:right w:val="single" w:sz="4" w:space="0" w:color="auto"/>
            </w:tcBorders>
          </w:tcPr>
          <w:p w14:paraId="78ABC07F" w14:textId="77777777" w:rsidR="00834D50" w:rsidRPr="003069C4" w:rsidRDefault="00834D50" w:rsidP="0010294B">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7004BAA0" w14:textId="77777777" w:rsidR="00834D50" w:rsidRDefault="00834D50" w:rsidP="0010294B">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00787AF3" w14:textId="77777777" w:rsidR="00834D50" w:rsidRDefault="00834D50" w:rsidP="0010294B">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29116245" w14:textId="77777777" w:rsidR="00834D50" w:rsidRDefault="00834D50" w:rsidP="0010294B">
            <w:pPr>
              <w:jc w:val="right"/>
              <w:rPr>
                <w:rFonts w:cs="Arial"/>
              </w:rPr>
            </w:pPr>
            <w:r>
              <w:rPr>
                <w:rFonts w:cs="Arial"/>
              </w:rPr>
              <w:t>8</w:t>
            </w:r>
          </w:p>
        </w:tc>
      </w:tr>
      <w:tr w:rsidR="00834D50" w:rsidRPr="00C5395B" w14:paraId="5D09D8B5" w14:textId="77777777" w:rsidTr="0010294B">
        <w:trPr>
          <w:trHeight w:val="255"/>
        </w:trPr>
        <w:tc>
          <w:tcPr>
            <w:tcW w:w="2029" w:type="dxa"/>
            <w:tcBorders>
              <w:top w:val="nil"/>
              <w:left w:val="single" w:sz="4" w:space="0" w:color="auto"/>
              <w:bottom w:val="single" w:sz="4" w:space="0" w:color="auto"/>
              <w:right w:val="single" w:sz="4" w:space="0" w:color="auto"/>
            </w:tcBorders>
            <w:noWrap/>
            <w:hideMark/>
          </w:tcPr>
          <w:p w14:paraId="10835F98" w14:textId="77777777" w:rsidR="00834D50" w:rsidRPr="00C5395B" w:rsidRDefault="00834D50" w:rsidP="0010294B">
            <w:pPr>
              <w:pStyle w:val="TableText"/>
              <w:rPr>
                <w:lang w:eastAsia="en-AU"/>
              </w:rPr>
            </w:pPr>
            <w:r w:rsidRPr="00C5395B">
              <w:rPr>
                <w:lang w:eastAsia="en-AU"/>
              </w:rPr>
              <w:t>Mossman Gorge</w:t>
            </w:r>
          </w:p>
        </w:tc>
        <w:tc>
          <w:tcPr>
            <w:tcW w:w="993" w:type="dxa"/>
            <w:tcBorders>
              <w:top w:val="nil"/>
              <w:left w:val="nil"/>
              <w:bottom w:val="single" w:sz="4" w:space="0" w:color="auto"/>
              <w:right w:val="single" w:sz="4" w:space="0" w:color="auto"/>
            </w:tcBorders>
          </w:tcPr>
          <w:p w14:paraId="1AF70A06" w14:textId="77777777" w:rsidR="00834D50" w:rsidRPr="007E5A38" w:rsidRDefault="00834D50" w:rsidP="0010294B">
            <w:pPr>
              <w:jc w:val="right"/>
              <w:rPr>
                <w:rFonts w:cs="Arial"/>
              </w:rPr>
            </w:pPr>
            <w:r>
              <w:rPr>
                <w:rFonts w:cs="Arial"/>
              </w:rPr>
              <w:t>9</w:t>
            </w:r>
          </w:p>
        </w:tc>
        <w:tc>
          <w:tcPr>
            <w:tcW w:w="993" w:type="dxa"/>
            <w:tcBorders>
              <w:top w:val="nil"/>
              <w:left w:val="nil"/>
              <w:bottom w:val="single" w:sz="4" w:space="0" w:color="auto"/>
              <w:right w:val="single" w:sz="4" w:space="0" w:color="auto"/>
            </w:tcBorders>
          </w:tcPr>
          <w:p w14:paraId="12484211" w14:textId="77777777" w:rsidR="00834D50" w:rsidRPr="003069C4" w:rsidRDefault="00834D50" w:rsidP="0010294B">
            <w:pPr>
              <w:jc w:val="right"/>
              <w:rPr>
                <w:rFonts w:cs="Arial"/>
              </w:rPr>
            </w:pPr>
            <w:r>
              <w:rPr>
                <w:rFonts w:cs="Arial"/>
              </w:rPr>
              <w:t>2</w:t>
            </w:r>
          </w:p>
        </w:tc>
        <w:tc>
          <w:tcPr>
            <w:tcW w:w="993" w:type="dxa"/>
            <w:tcBorders>
              <w:top w:val="nil"/>
              <w:left w:val="nil"/>
              <w:bottom w:val="single" w:sz="4" w:space="0" w:color="auto"/>
              <w:right w:val="single" w:sz="4" w:space="0" w:color="auto"/>
            </w:tcBorders>
          </w:tcPr>
          <w:p w14:paraId="791B32A4" w14:textId="77777777" w:rsidR="00834D50" w:rsidRDefault="00834D50" w:rsidP="0010294B">
            <w:pPr>
              <w:jc w:val="right"/>
              <w:rPr>
                <w:rFonts w:cs="Arial"/>
              </w:rPr>
            </w:pPr>
            <w:r>
              <w:rPr>
                <w:rFonts w:cs="Arial"/>
              </w:rPr>
              <w:t>17</w:t>
            </w:r>
          </w:p>
        </w:tc>
        <w:tc>
          <w:tcPr>
            <w:tcW w:w="993" w:type="dxa"/>
            <w:tcBorders>
              <w:top w:val="nil"/>
              <w:left w:val="nil"/>
              <w:bottom w:val="single" w:sz="4" w:space="0" w:color="auto"/>
              <w:right w:val="single" w:sz="4" w:space="0" w:color="auto"/>
            </w:tcBorders>
          </w:tcPr>
          <w:p w14:paraId="2372C96F" w14:textId="77777777" w:rsidR="00834D50" w:rsidRDefault="00834D50" w:rsidP="0010294B">
            <w:pPr>
              <w:jc w:val="right"/>
              <w:rPr>
                <w:rFonts w:cs="Arial"/>
              </w:rPr>
            </w:pPr>
            <w:r>
              <w:rPr>
                <w:rFonts w:cs="Arial"/>
              </w:rPr>
              <w:t>13</w:t>
            </w:r>
          </w:p>
        </w:tc>
        <w:tc>
          <w:tcPr>
            <w:tcW w:w="993" w:type="dxa"/>
            <w:tcBorders>
              <w:top w:val="nil"/>
              <w:left w:val="nil"/>
              <w:bottom w:val="single" w:sz="4" w:space="0" w:color="auto"/>
              <w:right w:val="single" w:sz="4" w:space="0" w:color="auto"/>
            </w:tcBorders>
          </w:tcPr>
          <w:p w14:paraId="05A66F56" w14:textId="77777777" w:rsidR="00834D50" w:rsidRDefault="00834D50" w:rsidP="0010294B">
            <w:pPr>
              <w:jc w:val="right"/>
              <w:rPr>
                <w:rFonts w:cs="Arial"/>
              </w:rPr>
            </w:pPr>
            <w:r>
              <w:rPr>
                <w:rFonts w:cs="Arial"/>
              </w:rPr>
              <w:t>16</w:t>
            </w:r>
          </w:p>
        </w:tc>
      </w:tr>
      <w:tr w:rsidR="00834D50" w:rsidRPr="00C5395B" w14:paraId="4FF9CBF4" w14:textId="77777777" w:rsidTr="0010294B">
        <w:trPr>
          <w:trHeight w:val="255"/>
        </w:trPr>
        <w:tc>
          <w:tcPr>
            <w:tcW w:w="2029" w:type="dxa"/>
            <w:tcBorders>
              <w:top w:val="nil"/>
              <w:left w:val="single" w:sz="4" w:space="0" w:color="auto"/>
              <w:bottom w:val="single" w:sz="4" w:space="0" w:color="auto"/>
              <w:right w:val="single" w:sz="4" w:space="0" w:color="auto"/>
            </w:tcBorders>
            <w:noWrap/>
            <w:hideMark/>
          </w:tcPr>
          <w:p w14:paraId="5DCB86DF" w14:textId="77777777" w:rsidR="00834D50" w:rsidRPr="00C5395B" w:rsidRDefault="00834D50" w:rsidP="0010294B">
            <w:pPr>
              <w:pStyle w:val="TableText"/>
              <w:rPr>
                <w:b/>
                <w:lang w:eastAsia="en-AU"/>
              </w:rPr>
            </w:pPr>
            <w:r w:rsidRPr="00C5395B">
              <w:rPr>
                <w:b/>
                <w:lang w:eastAsia="en-AU"/>
              </w:rPr>
              <w:t>TOTAL</w:t>
            </w:r>
          </w:p>
        </w:tc>
        <w:tc>
          <w:tcPr>
            <w:tcW w:w="993" w:type="dxa"/>
            <w:tcBorders>
              <w:top w:val="nil"/>
              <w:left w:val="nil"/>
              <w:bottom w:val="single" w:sz="4" w:space="0" w:color="auto"/>
              <w:right w:val="single" w:sz="4" w:space="0" w:color="auto"/>
            </w:tcBorders>
          </w:tcPr>
          <w:p w14:paraId="64020129" w14:textId="77777777" w:rsidR="00834D50" w:rsidRPr="003069C4" w:rsidRDefault="00834D50" w:rsidP="0010294B">
            <w:pPr>
              <w:jc w:val="right"/>
              <w:rPr>
                <w:rFonts w:cs="Arial"/>
                <w:b/>
                <w:bCs/>
              </w:rPr>
            </w:pPr>
            <w:r>
              <w:rPr>
                <w:rFonts w:cs="Arial"/>
                <w:b/>
                <w:bCs/>
              </w:rPr>
              <w:t>74</w:t>
            </w:r>
          </w:p>
        </w:tc>
        <w:tc>
          <w:tcPr>
            <w:tcW w:w="993" w:type="dxa"/>
            <w:tcBorders>
              <w:top w:val="nil"/>
              <w:left w:val="nil"/>
              <w:bottom w:val="single" w:sz="4" w:space="0" w:color="auto"/>
              <w:right w:val="single" w:sz="4" w:space="0" w:color="auto"/>
            </w:tcBorders>
          </w:tcPr>
          <w:p w14:paraId="3BF36E2B" w14:textId="77777777" w:rsidR="00834D50" w:rsidRPr="003069C4" w:rsidRDefault="00834D50" w:rsidP="0010294B">
            <w:pPr>
              <w:jc w:val="right"/>
              <w:rPr>
                <w:rFonts w:cs="Arial"/>
                <w:b/>
                <w:bCs/>
              </w:rPr>
            </w:pPr>
            <w:r>
              <w:rPr>
                <w:rFonts w:cs="Arial"/>
                <w:b/>
                <w:bCs/>
              </w:rPr>
              <w:t>128</w:t>
            </w:r>
          </w:p>
        </w:tc>
        <w:tc>
          <w:tcPr>
            <w:tcW w:w="993" w:type="dxa"/>
            <w:tcBorders>
              <w:top w:val="nil"/>
              <w:left w:val="nil"/>
              <w:bottom w:val="single" w:sz="4" w:space="0" w:color="auto"/>
              <w:right w:val="single" w:sz="4" w:space="0" w:color="auto"/>
            </w:tcBorders>
          </w:tcPr>
          <w:p w14:paraId="04D62D29" w14:textId="77777777" w:rsidR="00834D50" w:rsidRDefault="00834D50" w:rsidP="0010294B">
            <w:pPr>
              <w:jc w:val="right"/>
              <w:rPr>
                <w:rFonts w:cs="Arial"/>
                <w:b/>
                <w:bCs/>
              </w:rPr>
            </w:pPr>
            <w:r>
              <w:rPr>
                <w:rFonts w:cs="Arial"/>
                <w:b/>
                <w:bCs/>
              </w:rPr>
              <w:t>116</w:t>
            </w:r>
          </w:p>
        </w:tc>
        <w:tc>
          <w:tcPr>
            <w:tcW w:w="993" w:type="dxa"/>
            <w:tcBorders>
              <w:top w:val="nil"/>
              <w:left w:val="nil"/>
              <w:bottom w:val="single" w:sz="4" w:space="0" w:color="auto"/>
              <w:right w:val="single" w:sz="4" w:space="0" w:color="auto"/>
            </w:tcBorders>
          </w:tcPr>
          <w:p w14:paraId="278F2097" w14:textId="77777777" w:rsidR="00834D50" w:rsidRDefault="00834D50" w:rsidP="0010294B">
            <w:pPr>
              <w:jc w:val="right"/>
              <w:rPr>
                <w:rFonts w:cs="Arial"/>
                <w:b/>
                <w:bCs/>
              </w:rPr>
            </w:pPr>
            <w:r>
              <w:rPr>
                <w:rFonts w:cs="Arial"/>
                <w:b/>
                <w:bCs/>
              </w:rPr>
              <w:t>154</w:t>
            </w:r>
          </w:p>
        </w:tc>
        <w:tc>
          <w:tcPr>
            <w:tcW w:w="993" w:type="dxa"/>
            <w:tcBorders>
              <w:top w:val="nil"/>
              <w:left w:val="nil"/>
              <w:bottom w:val="single" w:sz="4" w:space="0" w:color="auto"/>
              <w:right w:val="single" w:sz="4" w:space="0" w:color="auto"/>
            </w:tcBorders>
          </w:tcPr>
          <w:p w14:paraId="38E1F827" w14:textId="77777777" w:rsidR="00834D50" w:rsidRDefault="00834D50" w:rsidP="0010294B">
            <w:pPr>
              <w:jc w:val="right"/>
              <w:rPr>
                <w:rFonts w:cs="Arial"/>
                <w:b/>
                <w:bCs/>
              </w:rPr>
            </w:pPr>
            <w:r>
              <w:rPr>
                <w:rFonts w:cs="Arial"/>
                <w:b/>
                <w:bCs/>
              </w:rPr>
              <w:t>116</w:t>
            </w:r>
          </w:p>
        </w:tc>
      </w:tr>
    </w:tbl>
    <w:p w14:paraId="149B243F" w14:textId="77777777" w:rsidR="009C6D45" w:rsidRPr="009C6D45" w:rsidRDefault="009C6D45" w:rsidP="009C6D45">
      <w:pPr>
        <w:tabs>
          <w:tab w:val="left" w:pos="0"/>
        </w:tabs>
        <w:ind w:left="425" w:right="-425" w:hanging="567"/>
        <w:jc w:val="both"/>
        <w:rPr>
          <w:rFonts w:cs="Arial"/>
        </w:rPr>
      </w:pPr>
    </w:p>
    <w:p w14:paraId="3DA4D471" w14:textId="3D83B91D" w:rsidR="005A5B78" w:rsidRPr="00076ED0" w:rsidRDefault="005A5B78" w:rsidP="004D5B34">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7776CF22" w14:textId="40E178EF" w:rsidR="005A5B78" w:rsidRPr="0059763E" w:rsidRDefault="00DD2557" w:rsidP="0059763E">
      <w:pPr>
        <w:ind w:left="-142" w:right="-425"/>
        <w:jc w:val="both"/>
        <w:rPr>
          <w:rFonts w:cs="Arial"/>
          <w:lang w:val="en-GB"/>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Pr>
          <w:rFonts w:cs="Arial"/>
        </w:rPr>
        <w:t xml:space="preserve">A total of </w:t>
      </w:r>
      <w:r w:rsidR="00DA5161">
        <w:rPr>
          <w:rFonts w:cs="Arial"/>
        </w:rPr>
        <w:t xml:space="preserve">13 </w:t>
      </w:r>
      <w:r w:rsidR="007F0C96">
        <w:rPr>
          <w:rFonts w:cs="Arial"/>
        </w:rPr>
        <w:t>new</w:t>
      </w:r>
      <w:r w:rsidR="00C4793F" w:rsidRPr="00306884">
        <w:rPr>
          <w:rFonts w:cs="Arial"/>
        </w:rPr>
        <w:t xml:space="preserve"> </w:t>
      </w:r>
      <w:r w:rsidR="005A5B78" w:rsidRPr="00306884">
        <w:rPr>
          <w:rFonts w:cs="Arial"/>
        </w:rPr>
        <w:t>CIMs</w:t>
      </w:r>
      <w:r w:rsidR="008875CF">
        <w:rPr>
          <w:rFonts w:cs="Arial"/>
        </w:rPr>
        <w:t xml:space="preserve"> </w:t>
      </w:r>
      <w:r w:rsidR="00EA0435">
        <w:rPr>
          <w:rFonts w:cs="Arial"/>
        </w:rPr>
        <w:t xml:space="preserve">(orders) </w:t>
      </w:r>
      <w:r w:rsidR="001E59F8">
        <w:rPr>
          <w:rFonts w:cs="Arial"/>
        </w:rPr>
        <w:t>relating to</w:t>
      </w:r>
      <w:r w:rsidR="00CD2E78">
        <w:rPr>
          <w:rFonts w:cs="Arial"/>
        </w:rPr>
        <w:t xml:space="preserve"> </w:t>
      </w:r>
      <w:r w:rsidR="00DA5161">
        <w:rPr>
          <w:rFonts w:cs="Arial"/>
        </w:rPr>
        <w:t xml:space="preserve">13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413FAC">
        <w:rPr>
          <w:rFonts w:cs="Arial"/>
        </w:rPr>
        <w:t>59</w:t>
      </w:r>
      <w:r w:rsidR="00953CCD">
        <w:rPr>
          <w:rFonts w:cs="Arial"/>
        </w:rPr>
        <w:t xml:space="preserve"> with 46</w:t>
      </w:r>
      <w:r w:rsidR="00E965BF">
        <w:rPr>
          <w:rFonts w:cs="Arial"/>
        </w:rPr>
        <w:t>%</w:t>
      </w:r>
      <w:r w:rsidR="00953CCD">
        <w:rPr>
          <w:rFonts w:cs="Arial"/>
        </w:rPr>
        <w:t xml:space="preserve"> set at 75</w:t>
      </w:r>
      <w:r w:rsidR="00E965BF">
        <w:rPr>
          <w:rFonts w:cs="Arial"/>
        </w:rPr>
        <w:t>%</w:t>
      </w:r>
      <w:r w:rsidR="00953CCD">
        <w:rPr>
          <w:rFonts w:cs="Arial"/>
        </w:rPr>
        <w:t xml:space="preserve"> quarantining of welfare payments (see </w:t>
      </w:r>
      <w:r w:rsidR="006E452B">
        <w:rPr>
          <w:rFonts w:cs="Arial"/>
        </w:rPr>
        <w:t>table 17</w:t>
      </w:r>
      <w:r w:rsidR="00953CCD">
        <w:rPr>
          <w:rFonts w:cs="Arial"/>
        </w:rPr>
        <w:t>) and 62</w:t>
      </w:r>
      <w:r w:rsidR="00E965BF">
        <w:rPr>
          <w:rFonts w:cs="Arial"/>
        </w:rPr>
        <w:t>%</w:t>
      </w:r>
      <w:r w:rsidR="00953CCD">
        <w:rPr>
          <w:rFonts w:cs="Arial"/>
        </w:rPr>
        <w:t xml:space="preserve"> set for a 6-month duration (see </w:t>
      </w:r>
      <w:r w:rsidR="006E452B">
        <w:rPr>
          <w:rFonts w:cs="Arial"/>
        </w:rPr>
        <w:t>table 15</w:t>
      </w:r>
      <w:r w:rsidR="00953CCD">
        <w:rPr>
          <w:rFonts w:cs="Arial"/>
        </w:rPr>
        <w:t>).</w:t>
      </w:r>
    </w:p>
    <w:p w14:paraId="23F5549F" w14:textId="77777777" w:rsidR="005A5B78" w:rsidRPr="00386FF7" w:rsidRDefault="005A5B78" w:rsidP="005A5B78">
      <w:pPr>
        <w:ind w:left="-142" w:right="-425"/>
        <w:jc w:val="both"/>
        <w:rPr>
          <w:rFonts w:cs="Arial"/>
        </w:rPr>
      </w:pPr>
    </w:p>
    <w:p w14:paraId="15BC289D" w14:textId="2AD1A709" w:rsidR="005A5B78" w:rsidRDefault="005A5B78" w:rsidP="005A5B78">
      <w:pPr>
        <w:ind w:left="-142" w:right="-425"/>
        <w:jc w:val="both"/>
        <w:rPr>
          <w:rFonts w:cs="Arial"/>
        </w:rPr>
      </w:pPr>
      <w:r w:rsidRPr="00C313D5">
        <w:rPr>
          <w:rFonts w:cs="Arial"/>
        </w:rPr>
        <w:t xml:space="preserve">As </w:t>
      </w:r>
      <w:proofErr w:type="gramStart"/>
      <w:r w:rsidRPr="00C313D5">
        <w:rPr>
          <w:rFonts w:cs="Arial"/>
        </w:rPr>
        <w:t>at</w:t>
      </w:r>
      <w:proofErr w:type="gramEnd"/>
      <w:r w:rsidRPr="00C313D5">
        <w:rPr>
          <w:rFonts w:cs="Arial"/>
        </w:rPr>
        <w:t xml:space="preserve"> </w:t>
      </w:r>
      <w:r w:rsidR="007B7E78">
        <w:rPr>
          <w:rFonts w:cs="Arial"/>
        </w:rPr>
        <w:t xml:space="preserve">31 </w:t>
      </w:r>
      <w:r w:rsidR="00984BBB">
        <w:rPr>
          <w:rFonts w:cs="Arial"/>
        </w:rPr>
        <w:t>March 2023</w:t>
      </w:r>
      <w:r w:rsidRPr="00C313D5">
        <w:rPr>
          <w:rFonts w:cs="Arial"/>
        </w:rPr>
        <w:t xml:space="preserve"> there were </w:t>
      </w:r>
      <w:r w:rsidR="00B03ADC">
        <w:rPr>
          <w:rFonts w:cs="Arial"/>
        </w:rPr>
        <w:t>33</w:t>
      </w:r>
      <w:r w:rsidR="00B03ADC" w:rsidRPr="00C313D5">
        <w:rPr>
          <w:rFonts w:cs="Arial"/>
        </w:rPr>
        <w:t xml:space="preserve"> </w:t>
      </w:r>
      <w:r w:rsidRPr="00C313D5">
        <w:rPr>
          <w:rFonts w:cs="Arial"/>
        </w:rPr>
        <w:t xml:space="preserve">clients subject to a </w:t>
      </w:r>
      <w:r w:rsidR="00A20D65" w:rsidRPr="00C313D5">
        <w:rPr>
          <w:rFonts w:cs="Arial"/>
        </w:rPr>
        <w:t>cur</w:t>
      </w:r>
      <w:r w:rsidR="00A20D65" w:rsidRPr="00FB5E62">
        <w:rPr>
          <w:rFonts w:cs="Arial"/>
        </w:rPr>
        <w:t xml:space="preserve">rent </w:t>
      </w:r>
      <w:r w:rsidRPr="00FB5E62">
        <w:rPr>
          <w:rFonts w:cs="Arial"/>
        </w:rPr>
        <w:t>CIM</w:t>
      </w:r>
      <w:r w:rsidR="004034AE" w:rsidRPr="00FB5E62">
        <w:rPr>
          <w:rFonts w:cs="Arial"/>
        </w:rPr>
        <w:t xml:space="preserve"> who were responsib</w:t>
      </w:r>
      <w:r w:rsidR="004034AE" w:rsidRPr="0053484D">
        <w:rPr>
          <w:rFonts w:cs="Arial"/>
        </w:rPr>
        <w:t xml:space="preserve">le for </w:t>
      </w:r>
      <w:r w:rsidR="006E41F2">
        <w:rPr>
          <w:rFonts w:cs="Arial"/>
        </w:rPr>
        <w:t>53</w:t>
      </w:r>
      <w:r w:rsidR="006E41F2" w:rsidRPr="0053484D">
        <w:rPr>
          <w:rFonts w:cs="Arial"/>
        </w:rPr>
        <w:t xml:space="preserve"> </w:t>
      </w:r>
      <w:r w:rsidR="004034AE" w:rsidRPr="0053484D">
        <w:rPr>
          <w:rFonts w:cs="Arial"/>
        </w:rPr>
        <w:t>children in their care (</w:t>
      </w:r>
      <w:r w:rsidR="006E41F2">
        <w:rPr>
          <w:rFonts w:cs="Arial"/>
        </w:rPr>
        <w:t>37</w:t>
      </w:r>
      <w:r w:rsidR="006E41F2" w:rsidRPr="0053484D">
        <w:rPr>
          <w:rFonts w:cs="Arial"/>
        </w:rPr>
        <w:t xml:space="preserve"> </w:t>
      </w:r>
      <w:r w:rsidR="004034AE" w:rsidRPr="0053484D">
        <w:rPr>
          <w:rFonts w:cs="Arial"/>
        </w:rPr>
        <w:t>of whom were school aged children</w:t>
      </w:r>
      <w:r w:rsidR="004573F7" w:rsidRPr="0053484D">
        <w:rPr>
          <w:rFonts w:cs="Arial"/>
        </w:rPr>
        <w:t>)</w:t>
      </w:r>
      <w:r w:rsidR="004034AE" w:rsidRPr="0053484D">
        <w:rPr>
          <w:rFonts w:cs="Arial"/>
        </w:rPr>
        <w:t>.</w:t>
      </w:r>
      <w:r w:rsidR="004034AE">
        <w:rPr>
          <w:rFonts w:cs="Arial"/>
        </w:rPr>
        <w:t xml:space="preserve"> </w:t>
      </w:r>
      <w:r w:rsidR="006B283C">
        <w:rPr>
          <w:rFonts w:cs="Arial"/>
        </w:rPr>
        <w:t>O</w:t>
      </w:r>
      <w:r w:rsidR="004034AE">
        <w:rPr>
          <w:rFonts w:cs="Arial"/>
        </w:rPr>
        <w:t xml:space="preserve">f the </w:t>
      </w:r>
      <w:r w:rsidR="00B03ADC">
        <w:rPr>
          <w:rFonts w:cs="Arial"/>
        </w:rPr>
        <w:t xml:space="preserve">33 </w:t>
      </w:r>
      <w:r w:rsidR="004034AE">
        <w:rPr>
          <w:rFonts w:cs="Arial"/>
        </w:rPr>
        <w:t xml:space="preserve">clients </w:t>
      </w:r>
      <w:r w:rsidR="006B283C">
        <w:rPr>
          <w:rFonts w:cs="Arial"/>
        </w:rPr>
        <w:t xml:space="preserve">45% </w:t>
      </w:r>
      <w:r w:rsidR="004034AE">
        <w:rPr>
          <w:rFonts w:cs="Arial"/>
        </w:rPr>
        <w:t xml:space="preserve">were income managed </w:t>
      </w:r>
      <w:bookmarkStart w:id="19" w:name="_Hlk80798728"/>
      <w:r w:rsidR="004573F7">
        <w:rPr>
          <w:rFonts w:cs="Arial"/>
        </w:rPr>
        <w:t xml:space="preserve">at </w:t>
      </w:r>
      <w:r w:rsidR="00984127">
        <w:rPr>
          <w:rFonts w:cs="Arial"/>
        </w:rPr>
        <w:t>60</w:t>
      </w:r>
      <w:r w:rsidR="00E965BF">
        <w:rPr>
          <w:rFonts w:cs="Arial"/>
        </w:rPr>
        <w:t>%</w:t>
      </w:r>
      <w:r w:rsidR="00984127">
        <w:rPr>
          <w:rFonts w:cs="Arial"/>
        </w:rPr>
        <w:t xml:space="preserve"> </w:t>
      </w:r>
      <w:r w:rsidR="004034AE">
        <w:rPr>
          <w:rFonts w:cs="Arial"/>
        </w:rPr>
        <w:t>whilst duration ranged from</w:t>
      </w:r>
      <w:r w:rsidR="004573F7">
        <w:rPr>
          <w:rFonts w:cs="Arial"/>
        </w:rPr>
        <w:t xml:space="preserve"> </w:t>
      </w:r>
      <w:r w:rsidR="00B03ADC">
        <w:rPr>
          <w:rFonts w:cs="Arial"/>
        </w:rPr>
        <w:t>85</w:t>
      </w:r>
      <w:r w:rsidR="00E965BF">
        <w:rPr>
          <w:rFonts w:cs="Arial"/>
        </w:rPr>
        <w:t>%</w:t>
      </w:r>
      <w:r w:rsidR="005177D6">
        <w:rPr>
          <w:rFonts w:cs="Arial"/>
        </w:rPr>
        <w:t xml:space="preserve"> for a 6-month duration</w:t>
      </w:r>
      <w:r w:rsidR="001E792B">
        <w:rPr>
          <w:rFonts w:cs="Arial"/>
        </w:rPr>
        <w:t xml:space="preserve"> </w:t>
      </w:r>
      <w:r w:rsidR="00AF3A15">
        <w:rPr>
          <w:rFonts w:cs="Arial"/>
        </w:rPr>
        <w:t xml:space="preserve">and </w:t>
      </w:r>
      <w:r w:rsidR="00B03ADC">
        <w:rPr>
          <w:rFonts w:cs="Arial"/>
        </w:rPr>
        <w:t>15</w:t>
      </w:r>
      <w:r w:rsidR="00E965BF">
        <w:rPr>
          <w:rFonts w:cs="Arial"/>
        </w:rPr>
        <w:t>%</w:t>
      </w:r>
      <w:r w:rsidR="001E792B">
        <w:rPr>
          <w:rFonts w:cs="Arial"/>
        </w:rPr>
        <w:t xml:space="preserve"> for </w:t>
      </w:r>
      <w:r w:rsidR="00B03ADC">
        <w:rPr>
          <w:rFonts w:cs="Arial"/>
        </w:rPr>
        <w:t>12</w:t>
      </w:r>
      <w:r w:rsidR="001E792B">
        <w:rPr>
          <w:rFonts w:cs="Arial"/>
        </w:rPr>
        <w:t>-month duration</w:t>
      </w:r>
      <w:r w:rsidR="00CE5828" w:rsidRPr="00C313D5">
        <w:rPr>
          <w:rFonts w:cs="Arial"/>
        </w:rPr>
        <w:t>.</w:t>
      </w:r>
      <w:r w:rsidR="0061573D">
        <w:rPr>
          <w:rFonts w:cs="Arial"/>
        </w:rPr>
        <w:t xml:space="preserve"> </w:t>
      </w:r>
      <w:bookmarkEnd w:id="19"/>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041B5BFB" w14:textId="28A471B8" w:rsidR="00166CE5" w:rsidRDefault="00166CE5" w:rsidP="005A5B78">
      <w:pPr>
        <w:ind w:left="-142" w:right="-425"/>
        <w:jc w:val="both"/>
      </w:pPr>
    </w:p>
    <w:p w14:paraId="3AC61429" w14:textId="1AFEC302" w:rsidR="005A5B78" w:rsidRDefault="00834D50" w:rsidP="005A5B78">
      <w:pPr>
        <w:tabs>
          <w:tab w:val="left" w:pos="0"/>
        </w:tabs>
        <w:ind w:left="426" w:right="-425" w:hanging="568"/>
        <w:jc w:val="both"/>
        <w:rPr>
          <w:rFonts w:cs="Arial"/>
          <w:sz w:val="16"/>
          <w:szCs w:val="16"/>
        </w:rPr>
      </w:pPr>
      <w:r>
        <w:rPr>
          <w:rFonts w:cs="Arial"/>
          <w:b/>
          <w:sz w:val="16"/>
          <w:szCs w:val="16"/>
        </w:rPr>
        <w:t>Table 14</w:t>
      </w:r>
      <w:r w:rsidR="005A5B78" w:rsidRPr="005A620F">
        <w:rPr>
          <w:rFonts w:cs="Arial"/>
          <w:b/>
          <w:sz w:val="16"/>
          <w:szCs w:val="16"/>
        </w:rPr>
        <w:t xml:space="preserve">: </w:t>
      </w:r>
      <w:r w:rsidR="002B6669">
        <w:rPr>
          <w:rFonts w:cs="Arial"/>
          <w:sz w:val="16"/>
          <w:szCs w:val="16"/>
        </w:rPr>
        <w:t>Conditional income m</w:t>
      </w:r>
      <w:r w:rsidR="005A5B78" w:rsidRPr="005A620F">
        <w:rPr>
          <w:rFonts w:cs="Arial"/>
          <w:sz w:val="16"/>
          <w:szCs w:val="16"/>
        </w:rPr>
        <w:t xml:space="preserve">anagement </w:t>
      </w:r>
      <w:r w:rsidR="005A5B78">
        <w:rPr>
          <w:rFonts w:cs="Arial"/>
          <w:sz w:val="16"/>
          <w:szCs w:val="16"/>
        </w:rPr>
        <w:t xml:space="preserve">by community and quarter </w:t>
      </w:r>
      <w:r w:rsidR="007B7E78">
        <w:rPr>
          <w:rFonts w:cs="Arial"/>
          <w:sz w:val="16"/>
          <w:szCs w:val="16"/>
        </w:rPr>
        <w:t xml:space="preserve">1 </w:t>
      </w:r>
      <w:r w:rsidR="003C708C">
        <w:rPr>
          <w:rFonts w:cs="Arial"/>
          <w:sz w:val="16"/>
          <w:szCs w:val="16"/>
        </w:rPr>
        <w:t>January 2022</w:t>
      </w:r>
      <w:r w:rsidR="00F349FA">
        <w:rPr>
          <w:rFonts w:cs="Arial"/>
          <w:sz w:val="16"/>
          <w:szCs w:val="16"/>
        </w:rPr>
        <w:t xml:space="preserve"> </w:t>
      </w:r>
      <w:r w:rsidR="00AD4E9A">
        <w:rPr>
          <w:rFonts w:cs="Arial"/>
          <w:sz w:val="16"/>
          <w:szCs w:val="16"/>
        </w:rPr>
        <w:t xml:space="preserve">to </w:t>
      </w:r>
      <w:r w:rsidR="007B7E78">
        <w:rPr>
          <w:rFonts w:cs="Arial"/>
          <w:sz w:val="16"/>
          <w:szCs w:val="16"/>
        </w:rPr>
        <w:t xml:space="preserve">31 </w:t>
      </w:r>
      <w:r w:rsidR="00984BBB">
        <w:rPr>
          <w:rFonts w:cs="Arial"/>
          <w:sz w:val="16"/>
          <w:szCs w:val="16"/>
        </w:rPr>
        <w:t>March 2023</w:t>
      </w:r>
    </w:p>
    <w:p w14:paraId="532CA266" w14:textId="77777777" w:rsidR="00864383" w:rsidRPr="00086AA9" w:rsidRDefault="00864383" w:rsidP="005A5B78">
      <w:pPr>
        <w:tabs>
          <w:tab w:val="left" w:pos="0"/>
        </w:tabs>
        <w:ind w:left="426" w:right="-425" w:hanging="568"/>
        <w:jc w:val="both"/>
        <w:rPr>
          <w:rFonts w:cs="Arial"/>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864383" w:rsidRPr="00C5395B" w14:paraId="0F2DAC66" w14:textId="77777777" w:rsidTr="0010294B">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35C30A71" w14:textId="77777777" w:rsidR="00864383" w:rsidRPr="00C5395B" w:rsidRDefault="00864383" w:rsidP="0010294B">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1674529E" w14:textId="77777777" w:rsidR="00864383" w:rsidRDefault="00864383" w:rsidP="0010294B">
            <w:pPr>
              <w:pStyle w:val="TableText"/>
              <w:jc w:val="right"/>
              <w:rPr>
                <w:b/>
                <w:lang w:eastAsia="en-AU"/>
              </w:rPr>
            </w:pPr>
            <w:proofErr w:type="spellStart"/>
            <w:r>
              <w:rPr>
                <w:b/>
                <w:lang w:eastAsia="en-AU"/>
              </w:rPr>
              <w:t>Qtr</w:t>
            </w:r>
            <w:proofErr w:type="spellEnd"/>
            <w:r>
              <w:rPr>
                <w:b/>
                <w:lang w:eastAsia="en-AU"/>
              </w:rPr>
              <w:t xml:space="preserve"> 55</w:t>
            </w:r>
          </w:p>
        </w:tc>
        <w:tc>
          <w:tcPr>
            <w:tcW w:w="960" w:type="dxa"/>
            <w:tcBorders>
              <w:top w:val="single" w:sz="4" w:space="0" w:color="auto"/>
              <w:left w:val="nil"/>
              <w:bottom w:val="single" w:sz="4" w:space="0" w:color="auto"/>
              <w:right w:val="single" w:sz="4" w:space="0" w:color="auto"/>
            </w:tcBorders>
          </w:tcPr>
          <w:p w14:paraId="07922868" w14:textId="77777777" w:rsidR="00864383" w:rsidRDefault="00864383"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960" w:type="dxa"/>
            <w:tcBorders>
              <w:top w:val="single" w:sz="4" w:space="0" w:color="auto"/>
              <w:left w:val="nil"/>
              <w:bottom w:val="single" w:sz="4" w:space="0" w:color="auto"/>
              <w:right w:val="single" w:sz="4" w:space="0" w:color="auto"/>
            </w:tcBorders>
          </w:tcPr>
          <w:p w14:paraId="0D24C951" w14:textId="77777777" w:rsidR="00864383" w:rsidRDefault="00864383"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960" w:type="dxa"/>
            <w:tcBorders>
              <w:top w:val="single" w:sz="4" w:space="0" w:color="auto"/>
              <w:left w:val="nil"/>
              <w:bottom w:val="single" w:sz="4" w:space="0" w:color="auto"/>
              <w:right w:val="single" w:sz="4" w:space="0" w:color="auto"/>
            </w:tcBorders>
          </w:tcPr>
          <w:p w14:paraId="574BF05B" w14:textId="77777777" w:rsidR="00864383" w:rsidRDefault="00864383"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960" w:type="dxa"/>
            <w:tcBorders>
              <w:top w:val="single" w:sz="4" w:space="0" w:color="auto"/>
              <w:left w:val="nil"/>
              <w:bottom w:val="single" w:sz="4" w:space="0" w:color="auto"/>
              <w:right w:val="single" w:sz="4" w:space="0" w:color="auto"/>
            </w:tcBorders>
          </w:tcPr>
          <w:p w14:paraId="1750BB49" w14:textId="77777777" w:rsidR="00864383" w:rsidRDefault="00864383" w:rsidP="0010294B">
            <w:pPr>
              <w:pStyle w:val="TableText"/>
              <w:jc w:val="right"/>
              <w:rPr>
                <w:b/>
                <w:lang w:eastAsia="en-AU"/>
              </w:rPr>
            </w:pPr>
            <w:proofErr w:type="spellStart"/>
            <w:r>
              <w:rPr>
                <w:b/>
                <w:lang w:eastAsia="en-AU"/>
              </w:rPr>
              <w:t>Qtr</w:t>
            </w:r>
            <w:proofErr w:type="spellEnd"/>
            <w:r>
              <w:rPr>
                <w:b/>
                <w:lang w:eastAsia="en-AU"/>
              </w:rPr>
              <w:t xml:space="preserve"> 59</w:t>
            </w:r>
          </w:p>
        </w:tc>
      </w:tr>
      <w:tr w:rsidR="00864383" w:rsidRPr="00C5395B" w14:paraId="654BEA41"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663B8677" w14:textId="77777777" w:rsidR="00864383" w:rsidRPr="00C5395B" w:rsidRDefault="00864383" w:rsidP="0010294B">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14A27307" w14:textId="77777777" w:rsidR="00864383" w:rsidRPr="00A969C0" w:rsidRDefault="00864383"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37238752" w14:textId="77777777" w:rsidR="00864383" w:rsidRPr="00A969C0" w:rsidRDefault="00864383" w:rsidP="0010294B">
            <w:pPr>
              <w:jc w:val="right"/>
              <w:rPr>
                <w:rFonts w:cs="Arial"/>
              </w:rPr>
            </w:pPr>
            <w:r>
              <w:rPr>
                <w:rFonts w:cs="Arial"/>
              </w:rPr>
              <w:t>10</w:t>
            </w:r>
          </w:p>
        </w:tc>
        <w:tc>
          <w:tcPr>
            <w:tcW w:w="960" w:type="dxa"/>
            <w:tcBorders>
              <w:top w:val="nil"/>
              <w:left w:val="nil"/>
              <w:bottom w:val="single" w:sz="4" w:space="0" w:color="auto"/>
              <w:right w:val="single" w:sz="4" w:space="0" w:color="auto"/>
            </w:tcBorders>
          </w:tcPr>
          <w:p w14:paraId="690B1BF8" w14:textId="77777777" w:rsidR="00864383" w:rsidRDefault="00864383" w:rsidP="0010294B">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6A3CE85C" w14:textId="77777777" w:rsidR="00864383" w:rsidRDefault="00864383" w:rsidP="0010294B">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3DAB0782" w14:textId="77777777" w:rsidR="00864383" w:rsidRDefault="00864383" w:rsidP="0010294B">
            <w:pPr>
              <w:jc w:val="right"/>
              <w:rPr>
                <w:rFonts w:cs="Arial"/>
              </w:rPr>
            </w:pPr>
            <w:r>
              <w:rPr>
                <w:rFonts w:cs="Arial"/>
              </w:rPr>
              <w:t>6</w:t>
            </w:r>
          </w:p>
        </w:tc>
      </w:tr>
      <w:tr w:rsidR="00864383" w:rsidRPr="00C5395B" w14:paraId="3522C259"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2C66AC43" w14:textId="77777777" w:rsidR="00864383" w:rsidRPr="00C5395B" w:rsidRDefault="00864383" w:rsidP="0010294B">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79EB4859" w14:textId="77777777" w:rsidR="00864383" w:rsidRPr="00A969C0" w:rsidRDefault="00864383"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2437F82" w14:textId="77777777" w:rsidR="00864383" w:rsidRPr="00A969C0" w:rsidRDefault="00864383"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27F7DC4" w14:textId="77777777" w:rsidR="00864383" w:rsidRDefault="00864383"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0086C04" w14:textId="77777777" w:rsidR="00864383" w:rsidRDefault="00864383"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E24CEEB" w14:textId="77777777" w:rsidR="00864383" w:rsidRDefault="00864383" w:rsidP="0010294B">
            <w:pPr>
              <w:jc w:val="right"/>
              <w:rPr>
                <w:rFonts w:cs="Arial"/>
              </w:rPr>
            </w:pPr>
            <w:r>
              <w:rPr>
                <w:rFonts w:cs="Arial"/>
              </w:rPr>
              <w:t>0</w:t>
            </w:r>
          </w:p>
        </w:tc>
      </w:tr>
      <w:tr w:rsidR="00864383" w:rsidRPr="00C5395B" w14:paraId="7A0678AA" w14:textId="77777777" w:rsidTr="0010294B">
        <w:trPr>
          <w:trHeight w:val="255"/>
        </w:trPr>
        <w:tc>
          <w:tcPr>
            <w:tcW w:w="2040" w:type="dxa"/>
            <w:tcBorders>
              <w:top w:val="nil"/>
              <w:left w:val="single" w:sz="4" w:space="0" w:color="auto"/>
              <w:bottom w:val="single" w:sz="4" w:space="0" w:color="auto"/>
              <w:right w:val="single" w:sz="4" w:space="0" w:color="auto"/>
            </w:tcBorders>
            <w:noWrap/>
          </w:tcPr>
          <w:p w14:paraId="118693EC" w14:textId="77777777" w:rsidR="00864383" w:rsidRPr="00C5395B" w:rsidRDefault="00864383" w:rsidP="0010294B">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72E57210" w14:textId="77777777" w:rsidR="00864383" w:rsidRPr="00A969C0" w:rsidRDefault="00864383"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755CBE4" w14:textId="77777777" w:rsidR="00864383" w:rsidRPr="00A969C0" w:rsidRDefault="00864383" w:rsidP="0010294B">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617BE23C" w14:textId="77777777" w:rsidR="00864383" w:rsidRDefault="00864383"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8A31407" w14:textId="77777777" w:rsidR="00864383" w:rsidRDefault="00864383" w:rsidP="0010294B">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53443086" w14:textId="77777777" w:rsidR="00864383" w:rsidRDefault="00864383" w:rsidP="0010294B">
            <w:pPr>
              <w:jc w:val="right"/>
              <w:rPr>
                <w:rFonts w:cs="Arial"/>
              </w:rPr>
            </w:pPr>
            <w:r>
              <w:rPr>
                <w:rFonts w:cs="Arial"/>
              </w:rPr>
              <w:t>4</w:t>
            </w:r>
          </w:p>
        </w:tc>
      </w:tr>
      <w:tr w:rsidR="00864383" w:rsidRPr="00C5395B" w14:paraId="7FE5FA62"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655018DA" w14:textId="77777777" w:rsidR="00864383" w:rsidRPr="00C5395B" w:rsidRDefault="00864383" w:rsidP="0010294B">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4CD65037" w14:textId="77777777" w:rsidR="00864383" w:rsidRPr="00A969C0" w:rsidRDefault="00864383"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4D032D5" w14:textId="77777777" w:rsidR="00864383" w:rsidRPr="00A969C0" w:rsidRDefault="00864383" w:rsidP="0010294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523B01F3" w14:textId="77777777" w:rsidR="00864383" w:rsidRDefault="00864383"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3CC6A8AF" w14:textId="77777777" w:rsidR="00864383" w:rsidRDefault="00864383"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2C422083" w14:textId="77777777" w:rsidR="00864383" w:rsidRDefault="00864383" w:rsidP="0010294B">
            <w:pPr>
              <w:jc w:val="right"/>
              <w:rPr>
                <w:rFonts w:cs="Arial"/>
              </w:rPr>
            </w:pPr>
            <w:r>
              <w:rPr>
                <w:rFonts w:cs="Arial"/>
              </w:rPr>
              <w:t>1</w:t>
            </w:r>
          </w:p>
        </w:tc>
      </w:tr>
      <w:tr w:rsidR="00864383" w:rsidRPr="00C5395B" w14:paraId="29ACBF40"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34C375AB" w14:textId="77777777" w:rsidR="00864383" w:rsidRPr="00C5395B" w:rsidRDefault="00864383" w:rsidP="0010294B">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4985E289" w14:textId="77777777" w:rsidR="00864383" w:rsidRPr="00A969C0" w:rsidRDefault="00864383"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0506B33" w14:textId="77777777" w:rsidR="00864383" w:rsidRPr="00A969C0" w:rsidRDefault="00864383"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82D5DAB" w14:textId="77777777" w:rsidR="00864383" w:rsidRDefault="00864383"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F6F304E" w14:textId="77777777" w:rsidR="00864383" w:rsidRDefault="00864383"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079CE93F" w14:textId="77777777" w:rsidR="00864383" w:rsidRDefault="00864383" w:rsidP="0010294B">
            <w:pPr>
              <w:jc w:val="right"/>
              <w:rPr>
                <w:rFonts w:cs="Arial"/>
              </w:rPr>
            </w:pPr>
            <w:r>
              <w:rPr>
                <w:rFonts w:cs="Arial"/>
              </w:rPr>
              <w:t>2</w:t>
            </w:r>
          </w:p>
        </w:tc>
      </w:tr>
      <w:tr w:rsidR="00864383" w:rsidRPr="00C5395B" w14:paraId="157C346B"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6331B7EA" w14:textId="77777777" w:rsidR="00864383" w:rsidRPr="00C5395B" w:rsidRDefault="00864383" w:rsidP="0010294B">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056978A8" w14:textId="77777777" w:rsidR="00864383" w:rsidRPr="00A969C0" w:rsidRDefault="00864383" w:rsidP="0010294B">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3A46870B" w14:textId="77777777" w:rsidR="00864383" w:rsidRPr="00A969C0" w:rsidRDefault="00864383" w:rsidP="0010294B">
            <w:pPr>
              <w:jc w:val="right"/>
              <w:rPr>
                <w:rFonts w:cs="Arial"/>
                <w:b/>
                <w:bCs/>
              </w:rPr>
            </w:pPr>
            <w:r>
              <w:rPr>
                <w:rFonts w:cs="Arial"/>
                <w:b/>
                <w:bCs/>
              </w:rPr>
              <w:t>20</w:t>
            </w:r>
          </w:p>
        </w:tc>
        <w:tc>
          <w:tcPr>
            <w:tcW w:w="960" w:type="dxa"/>
            <w:tcBorders>
              <w:top w:val="nil"/>
              <w:left w:val="nil"/>
              <w:bottom w:val="single" w:sz="4" w:space="0" w:color="auto"/>
              <w:right w:val="single" w:sz="4" w:space="0" w:color="auto"/>
            </w:tcBorders>
          </w:tcPr>
          <w:p w14:paraId="3EB78BCF" w14:textId="77777777" w:rsidR="00864383" w:rsidRDefault="00864383" w:rsidP="0010294B">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227B63BC" w14:textId="77777777" w:rsidR="00864383" w:rsidRDefault="00864383" w:rsidP="0010294B">
            <w:pPr>
              <w:jc w:val="right"/>
              <w:rPr>
                <w:rFonts w:cs="Arial"/>
                <w:b/>
                <w:bCs/>
              </w:rPr>
            </w:pPr>
            <w:r>
              <w:rPr>
                <w:rFonts w:cs="Arial"/>
                <w:b/>
                <w:bCs/>
              </w:rPr>
              <w:t>21</w:t>
            </w:r>
          </w:p>
        </w:tc>
        <w:tc>
          <w:tcPr>
            <w:tcW w:w="960" w:type="dxa"/>
            <w:tcBorders>
              <w:top w:val="nil"/>
              <w:left w:val="nil"/>
              <w:bottom w:val="single" w:sz="4" w:space="0" w:color="auto"/>
              <w:right w:val="single" w:sz="4" w:space="0" w:color="auto"/>
            </w:tcBorders>
          </w:tcPr>
          <w:p w14:paraId="72ADED79" w14:textId="77777777" w:rsidR="00864383" w:rsidRDefault="00864383" w:rsidP="0010294B">
            <w:pPr>
              <w:jc w:val="right"/>
              <w:rPr>
                <w:rFonts w:cs="Arial"/>
                <w:b/>
                <w:bCs/>
              </w:rPr>
            </w:pPr>
            <w:r>
              <w:rPr>
                <w:rFonts w:cs="Arial"/>
                <w:b/>
                <w:bCs/>
              </w:rPr>
              <w:t>13</w:t>
            </w:r>
          </w:p>
        </w:tc>
      </w:tr>
    </w:tbl>
    <w:p w14:paraId="5C00370B" w14:textId="77777777" w:rsidR="00433562" w:rsidRPr="002E156B" w:rsidRDefault="00433562" w:rsidP="002E156B">
      <w:pPr>
        <w:ind w:left="-142" w:right="-425"/>
        <w:jc w:val="both"/>
        <w:rPr>
          <w:rFonts w:cs="Arial"/>
        </w:rPr>
      </w:pPr>
    </w:p>
    <w:p w14:paraId="36B5CDB3" w14:textId="6F3DDB06" w:rsidR="00AC7F6B" w:rsidRPr="002D4651" w:rsidRDefault="00AC7F6B" w:rsidP="004D5B34">
      <w:pPr>
        <w:pStyle w:val="Heading2"/>
      </w:pPr>
      <w:r>
        <w:t>Voluntary self-r</w:t>
      </w:r>
      <w:r w:rsidRPr="002D4651">
        <w:t>eferrals</w:t>
      </w:r>
      <w:r>
        <w:t xml:space="preserve"> from clients to the Commission</w:t>
      </w:r>
    </w:p>
    <w:p w14:paraId="77A10D70" w14:textId="686FFBAF" w:rsidR="00AC7F6B" w:rsidRDefault="00AC7F6B" w:rsidP="001D4A2E">
      <w:pPr>
        <w:ind w:left="-142" w:right="-425"/>
        <w:jc w:val="both"/>
        <w:rPr>
          <w:rFonts w:cs="Arial"/>
        </w:rPr>
      </w:pPr>
      <w:r>
        <w:rPr>
          <w:rFonts w:cs="Arial"/>
        </w:rPr>
        <w:t>The FRC Act sets out a process under which a community member can voluntarily seek help from the Commission for a referral to a community support service</w:t>
      </w:r>
      <w:r w:rsidR="00CE115E">
        <w:rPr>
          <w:rFonts w:cs="Arial"/>
        </w:rPr>
        <w:t xml:space="preserve"> through a</w:t>
      </w:r>
      <w:r>
        <w:rPr>
          <w:rFonts w:cs="Arial"/>
        </w:rPr>
        <w:t xml:space="preserve"> </w:t>
      </w:r>
      <w:r w:rsidR="00151D2D">
        <w:rPr>
          <w:rFonts w:cs="Arial"/>
        </w:rPr>
        <w:t>v</w:t>
      </w:r>
      <w:r>
        <w:rPr>
          <w:rFonts w:cs="Arial"/>
        </w:rPr>
        <w:t xml:space="preserve">oluntary </w:t>
      </w:r>
      <w:r w:rsidR="00151D2D">
        <w:rPr>
          <w:rFonts w:cs="Arial"/>
        </w:rPr>
        <w:t>c</w:t>
      </w:r>
      <w:r>
        <w:rPr>
          <w:rFonts w:cs="Arial"/>
        </w:rPr>
        <w:t xml:space="preserve">ase </w:t>
      </w:r>
      <w:r w:rsidR="00151D2D">
        <w:rPr>
          <w:rFonts w:cs="Arial"/>
        </w:rPr>
        <w:t>p</w:t>
      </w:r>
      <w:r>
        <w:rPr>
          <w:rFonts w:cs="Arial"/>
        </w:rPr>
        <w:t>lan</w:t>
      </w:r>
      <w:r w:rsidR="00CE115E">
        <w:rPr>
          <w:rFonts w:cs="Arial"/>
        </w:rPr>
        <w:t xml:space="preserve"> (VCP)</w:t>
      </w:r>
      <w:r>
        <w:rPr>
          <w:rFonts w:cs="Arial"/>
        </w:rPr>
        <w:t xml:space="preserve"> or be subject to voluntary income management</w:t>
      </w:r>
      <w:r w:rsidR="00CE115E">
        <w:rPr>
          <w:rFonts w:cs="Arial"/>
        </w:rPr>
        <w:t xml:space="preserve"> (VIM)</w:t>
      </w:r>
      <w:r>
        <w:rPr>
          <w:rFonts w:cs="Arial"/>
        </w:rPr>
        <w:t xml:space="preserve">. During quarter </w:t>
      </w:r>
      <w:r w:rsidR="00413FAC">
        <w:rPr>
          <w:rFonts w:cs="Arial"/>
        </w:rPr>
        <w:t>59</w:t>
      </w:r>
      <w:r w:rsidR="00F45BD7">
        <w:rPr>
          <w:rFonts w:cs="Arial"/>
        </w:rPr>
        <w:t>,</w:t>
      </w:r>
      <w:r>
        <w:rPr>
          <w:rFonts w:cs="Arial"/>
        </w:rPr>
        <w:t xml:space="preserve"> </w:t>
      </w:r>
      <w:r w:rsidR="00A65F64">
        <w:rPr>
          <w:rFonts w:cs="Arial"/>
        </w:rPr>
        <w:t>19</w:t>
      </w:r>
      <w:r w:rsidR="00564711">
        <w:rPr>
          <w:rFonts w:cs="Arial"/>
        </w:rPr>
        <w:t xml:space="preserve"> </w:t>
      </w:r>
      <w:r w:rsidR="00CE115E">
        <w:rPr>
          <w:rFonts w:cs="Arial"/>
        </w:rPr>
        <w:t>VCPs</w:t>
      </w:r>
      <w:r w:rsidR="00046CFE">
        <w:rPr>
          <w:rFonts w:cs="Arial"/>
        </w:rPr>
        <w:t xml:space="preserve"> </w:t>
      </w:r>
      <w:r w:rsidR="001838E5">
        <w:rPr>
          <w:rFonts w:cs="Arial"/>
        </w:rPr>
        <w:t xml:space="preserve">were </w:t>
      </w:r>
      <w:r>
        <w:rPr>
          <w:rFonts w:cs="Arial"/>
        </w:rPr>
        <w:t>entered into for</w:t>
      </w:r>
      <w:r w:rsidR="00E8768E">
        <w:rPr>
          <w:rFonts w:cs="Arial"/>
        </w:rPr>
        <w:t xml:space="preserve"> </w:t>
      </w:r>
      <w:r w:rsidR="00A65F64">
        <w:rPr>
          <w:rFonts w:cs="Arial"/>
        </w:rPr>
        <w:t>20</w:t>
      </w:r>
      <w:r w:rsidR="00564711">
        <w:rPr>
          <w:rFonts w:cs="Arial"/>
        </w:rPr>
        <w:t xml:space="preserve"> </w:t>
      </w:r>
      <w:r>
        <w:rPr>
          <w:rFonts w:cs="Arial"/>
        </w:rPr>
        <w:t>community support services under a case p</w:t>
      </w:r>
      <w:r w:rsidRPr="007F32E2">
        <w:rPr>
          <w:rFonts w:cs="Arial"/>
        </w:rPr>
        <w:t>lan</w:t>
      </w:r>
      <w:r w:rsidR="00B83421">
        <w:rPr>
          <w:rFonts w:cs="Arial"/>
        </w:rPr>
        <w:t xml:space="preserve"> relating to </w:t>
      </w:r>
      <w:r w:rsidR="00B04E8C">
        <w:rPr>
          <w:rFonts w:cs="Arial"/>
        </w:rPr>
        <w:t>19</w:t>
      </w:r>
      <w:r w:rsidR="00B83421">
        <w:rPr>
          <w:rFonts w:cs="Arial"/>
        </w:rPr>
        <w:t xml:space="preserve"> clients</w:t>
      </w:r>
      <w:r w:rsidRPr="007F32E2">
        <w:rPr>
          <w:rFonts w:cs="Arial"/>
        </w:rPr>
        <w:t>. Although the number of clients who have engaged with the FRC on a voluntary basis remain small, it is nonetheless consistent with a broader trend of clients – specifically those entering into Family Responsibility Agreements – who are exhibiting a</w:t>
      </w:r>
      <w:r w:rsidR="007F32E2" w:rsidRPr="007F32E2">
        <w:rPr>
          <w:rFonts w:cs="Arial"/>
        </w:rPr>
        <w:t xml:space="preserve"> heightened </w:t>
      </w:r>
      <w:r w:rsidRPr="007F32E2">
        <w:rPr>
          <w:rFonts w:cs="Arial"/>
        </w:rPr>
        <w:t xml:space="preserve">self-awareness of their personal circumstances and are willing to accept assistance from the Commission at the earliest opportunity in the conferencing process. This is discussed in more detail at </w:t>
      </w:r>
      <w:r w:rsidRPr="007F32E2">
        <w:rPr>
          <w:rFonts w:cs="Arial"/>
          <w:i/>
          <w:iCs/>
        </w:rPr>
        <w:t>Interactions during the quarter</w:t>
      </w:r>
      <w:r w:rsidRPr="007F32E2">
        <w:rPr>
          <w:rFonts w:cs="Arial"/>
        </w:rPr>
        <w:t>.</w:t>
      </w:r>
    </w:p>
    <w:p w14:paraId="1A92516A" w14:textId="77777777" w:rsidR="0014353B" w:rsidRPr="00386FF7" w:rsidRDefault="0014353B" w:rsidP="0014353B">
      <w:pPr>
        <w:ind w:left="-142" w:right="-425"/>
        <w:jc w:val="both"/>
        <w:rPr>
          <w:rFonts w:cs="Arial"/>
        </w:rPr>
      </w:pPr>
    </w:p>
    <w:p w14:paraId="79CFC168" w14:textId="77777777" w:rsidR="00086AA9" w:rsidRPr="00086AA9" w:rsidRDefault="00086AA9">
      <w:pPr>
        <w:spacing w:line="240" w:lineRule="auto"/>
        <w:rPr>
          <w:rFonts w:cs="Arial"/>
          <w:spacing w:val="-4"/>
          <w:kern w:val="28"/>
          <w:sz w:val="22"/>
          <w:szCs w:val="22"/>
        </w:rPr>
      </w:pPr>
      <w:r w:rsidRPr="00086AA9">
        <w:br w:type="page"/>
      </w:r>
    </w:p>
    <w:p w14:paraId="21435433" w14:textId="621C7C0C" w:rsidR="00EC3C3E" w:rsidRPr="006524B7" w:rsidRDefault="00D802EF" w:rsidP="004D5B34">
      <w:pPr>
        <w:pStyle w:val="Heading2"/>
      </w:pPr>
      <w:r w:rsidRPr="00113244">
        <w:lastRenderedPageBreak/>
        <w:t>Voluntary</w:t>
      </w:r>
      <w:r w:rsidR="00EC3C3E" w:rsidRPr="00113244">
        <w:t xml:space="preserve"> </w:t>
      </w:r>
      <w:r w:rsidR="00334F4D">
        <w:t>Income Management</w:t>
      </w:r>
    </w:p>
    <w:p w14:paraId="2F01F04F" w14:textId="7C2C28F2"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B04E8C">
        <w:rPr>
          <w:rFonts w:cs="Arial"/>
        </w:rPr>
        <w:t xml:space="preserve">28 </w:t>
      </w:r>
      <w:r w:rsidR="00505E6F">
        <w:rPr>
          <w:rFonts w:cs="Arial"/>
        </w:rPr>
        <w:t>Voluntary Income Management (VIM)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F55F12">
        <w:rPr>
          <w:rFonts w:cs="Arial"/>
        </w:rPr>
        <w:t xml:space="preserve">more than three quarters </w:t>
      </w:r>
      <w:r w:rsidR="004E765A" w:rsidRPr="009C5078">
        <w:rPr>
          <w:rFonts w:cs="Arial"/>
        </w:rPr>
        <w:t xml:space="preserve">of </w:t>
      </w:r>
      <w:r w:rsidR="00F55F12">
        <w:rPr>
          <w:rFonts w:cs="Arial"/>
        </w:rPr>
        <w:t>agreements</w:t>
      </w:r>
      <w:r w:rsidR="004E765A" w:rsidRPr="009C5078">
        <w:rPr>
          <w:rFonts w:cs="Arial"/>
        </w:rPr>
        <w:t xml:space="preserve"> </w:t>
      </w:r>
      <w:r w:rsidR="002E4123">
        <w:rPr>
          <w:rFonts w:cs="Arial"/>
        </w:rPr>
        <w:t>quarantining</w:t>
      </w:r>
      <w:r w:rsidR="000F0D55" w:rsidRPr="009C5078">
        <w:rPr>
          <w:rFonts w:cs="Arial"/>
        </w:rPr>
        <w:t xml:space="preserve"> 60</w:t>
      </w:r>
      <w:r w:rsidR="00E965BF">
        <w:rPr>
          <w:rFonts w:cs="Arial"/>
        </w:rPr>
        <w:t>%</w:t>
      </w:r>
      <w:r w:rsidR="004E765A" w:rsidRPr="009C5078">
        <w:rPr>
          <w:rFonts w:cs="Arial"/>
        </w:rPr>
        <w:t xml:space="preserve"> of welfare payments</w:t>
      </w:r>
      <w:r w:rsidR="000F0D55" w:rsidRPr="009C5078">
        <w:rPr>
          <w:rFonts w:cs="Arial"/>
        </w:rPr>
        <w:t xml:space="preserve"> </w:t>
      </w:r>
      <w:r w:rsidR="00AE4A0C" w:rsidRPr="009C5078">
        <w:rPr>
          <w:rFonts w:cs="Arial"/>
        </w:rPr>
        <w:t xml:space="preserve">(see </w:t>
      </w:r>
      <w:r w:rsidR="00050158">
        <w:rPr>
          <w:rFonts w:cs="Arial"/>
        </w:rPr>
        <w:t>table 18</w:t>
      </w:r>
      <w:r w:rsidR="00AE4A0C" w:rsidRPr="009C5078">
        <w:rPr>
          <w:rFonts w:cs="Arial"/>
        </w:rPr>
        <w:t>)</w:t>
      </w:r>
      <w:r w:rsidR="00F55F12">
        <w:rPr>
          <w:rFonts w:cs="Arial"/>
        </w:rPr>
        <w:t xml:space="preserve"> and more than half have been set for a duration of</w:t>
      </w:r>
      <w:r w:rsidR="00BB129A">
        <w:rPr>
          <w:rFonts w:cs="Arial"/>
        </w:rPr>
        <w:t xml:space="preserve"> 6 months </w:t>
      </w:r>
      <w:r w:rsidR="00AE4A0C" w:rsidRPr="009C5078">
        <w:rPr>
          <w:rFonts w:cs="Arial"/>
        </w:rPr>
        <w:t xml:space="preserve">(see </w:t>
      </w:r>
      <w:r w:rsidR="00050158">
        <w:rPr>
          <w:rFonts w:cs="Arial"/>
        </w:rPr>
        <w:t>table 16</w:t>
      </w:r>
      <w:r w:rsidR="00AE4A0C" w:rsidRPr="009C5078">
        <w:rPr>
          <w:rFonts w:cs="Arial"/>
        </w:rPr>
        <w:t>).</w:t>
      </w:r>
      <w:r w:rsidR="005A6206" w:rsidRPr="00246B5A">
        <w:rPr>
          <w:rFonts w:cs="Arial"/>
        </w:rPr>
        <w:t xml:space="preserve"> </w:t>
      </w:r>
      <w:r w:rsidR="00D30730" w:rsidRPr="00246B5A">
        <w:rPr>
          <w:rFonts w:cs="Arial"/>
        </w:rPr>
        <w:t xml:space="preserve">As </w:t>
      </w:r>
      <w:proofErr w:type="gramStart"/>
      <w:r w:rsidR="00D30730" w:rsidRPr="00246B5A">
        <w:rPr>
          <w:rFonts w:cs="Arial"/>
        </w:rPr>
        <w:t>at</w:t>
      </w:r>
      <w:proofErr w:type="gramEnd"/>
      <w:r w:rsidR="00D30730" w:rsidRPr="00246B5A">
        <w:rPr>
          <w:rFonts w:cs="Arial"/>
        </w:rPr>
        <w:t xml:space="preserve"> </w:t>
      </w:r>
      <w:r w:rsidR="007B7E78">
        <w:rPr>
          <w:rFonts w:cs="Arial"/>
        </w:rPr>
        <w:t xml:space="preserve">31 </w:t>
      </w:r>
      <w:r w:rsidR="00984BBB">
        <w:rPr>
          <w:rFonts w:cs="Arial"/>
        </w:rPr>
        <w:t>March 2023</w:t>
      </w:r>
      <w:r w:rsidR="00D30730" w:rsidRPr="00246B5A">
        <w:rPr>
          <w:rFonts w:cs="Arial"/>
        </w:rPr>
        <w:t xml:space="preserve"> there were </w:t>
      </w:r>
      <w:r w:rsidR="00B04E8C" w:rsidRPr="00986FC5">
        <w:rPr>
          <w:rFonts w:cs="Arial"/>
        </w:rPr>
        <w:t>8</w:t>
      </w:r>
      <w:r w:rsidR="00230B64" w:rsidRPr="00986FC5">
        <w:rPr>
          <w:rFonts w:cs="Arial"/>
        </w:rPr>
        <w:t>2</w:t>
      </w:r>
      <w:r w:rsidR="00B04E8C" w:rsidRPr="00986FC5">
        <w:rPr>
          <w:rFonts w:cs="Arial"/>
        </w:rPr>
        <w:t xml:space="preserve"> </w:t>
      </w:r>
      <w:r w:rsidR="00D30730" w:rsidRPr="00986FC5">
        <w:rPr>
          <w:rFonts w:cs="Arial"/>
        </w:rPr>
        <w:t>clients on a current VIM agreement</w:t>
      </w:r>
      <w:r w:rsidR="00BB129A" w:rsidRPr="00986FC5">
        <w:rPr>
          <w:rFonts w:cs="Arial"/>
        </w:rPr>
        <w:t xml:space="preserve"> </w:t>
      </w:r>
      <w:r w:rsidR="00BB129A" w:rsidRPr="00986FC5">
        <w:t xml:space="preserve">who had </w:t>
      </w:r>
      <w:r w:rsidR="007C4564" w:rsidRPr="00986FC5">
        <w:t>9</w:t>
      </w:r>
      <w:r w:rsidR="00986FC5" w:rsidRPr="00986FC5">
        <w:t>7</w:t>
      </w:r>
      <w:r w:rsidR="007C4564" w:rsidRPr="00986FC5">
        <w:t xml:space="preserve"> </w:t>
      </w:r>
      <w:r w:rsidR="00BB129A" w:rsidRPr="00986FC5">
        <w:t>children in their care (</w:t>
      </w:r>
      <w:r w:rsidR="007C4564" w:rsidRPr="00986FC5">
        <w:t>5</w:t>
      </w:r>
      <w:r w:rsidR="00986FC5" w:rsidRPr="00986FC5">
        <w:t>8</w:t>
      </w:r>
      <w:r w:rsidR="007C4564" w:rsidRPr="00986FC5">
        <w:t xml:space="preserve"> </w:t>
      </w:r>
      <w:r w:rsidR="00BB129A" w:rsidRPr="00986FC5">
        <w:t>of whom were school aged children)</w:t>
      </w:r>
      <w:r w:rsidR="007847CF" w:rsidRPr="00986FC5">
        <w:rPr>
          <w:rFonts w:cs="Arial"/>
        </w:rPr>
        <w:t>.</w:t>
      </w:r>
    </w:p>
    <w:p w14:paraId="45432E30" w14:textId="1B99792C" w:rsidR="006B6030" w:rsidRDefault="006B6030" w:rsidP="005A02C1">
      <w:pPr>
        <w:ind w:left="-142" w:right="-425"/>
        <w:jc w:val="both"/>
        <w:rPr>
          <w:rFonts w:cs="Arial"/>
        </w:rPr>
      </w:pPr>
    </w:p>
    <w:p w14:paraId="1087AFFD" w14:textId="44A334B7" w:rsidR="003833F9" w:rsidRPr="005212BC" w:rsidRDefault="003833F9" w:rsidP="003833F9">
      <w:pPr>
        <w:ind w:left="-142" w:right="-425"/>
        <w:jc w:val="both"/>
        <w:rPr>
          <w:rFonts w:cs="Arial"/>
          <w:b/>
          <w:bCs/>
        </w:rPr>
      </w:pPr>
      <w:r w:rsidRPr="005212BC">
        <w:rPr>
          <w:rFonts w:cs="Arial"/>
          <w:b/>
          <w:bCs/>
        </w:rPr>
        <w:t xml:space="preserve">Status of CDC in FRC Communities for quarter </w:t>
      </w:r>
      <w:r w:rsidR="00413FAC">
        <w:rPr>
          <w:rFonts w:cs="Arial"/>
          <w:b/>
          <w:bCs/>
        </w:rPr>
        <w:t>59</w:t>
      </w:r>
    </w:p>
    <w:p w14:paraId="40773987" w14:textId="75CE7AAF" w:rsidR="003833F9" w:rsidRDefault="00782092" w:rsidP="003833F9">
      <w:pPr>
        <w:ind w:left="-142" w:right="-425"/>
        <w:jc w:val="both"/>
        <w:rPr>
          <w:rFonts w:cs="Arial"/>
        </w:rPr>
      </w:pPr>
      <w:r>
        <w:rPr>
          <w:rFonts w:cs="Arial"/>
        </w:rPr>
        <w:t>Forty-one</w:t>
      </w:r>
      <w:r w:rsidR="00046CFE">
        <w:rPr>
          <w:rFonts w:cs="Arial"/>
        </w:rPr>
        <w:t xml:space="preserve"> </w:t>
      </w:r>
      <w:r w:rsidR="003833F9">
        <w:rPr>
          <w:rFonts w:cs="Arial"/>
        </w:rPr>
        <w:t xml:space="preserve">Cashless Debit Cards </w:t>
      </w:r>
      <w:r w:rsidR="00386ABC">
        <w:rPr>
          <w:rFonts w:cs="Arial"/>
        </w:rPr>
        <w:t>(</w:t>
      </w:r>
      <w:r>
        <w:rPr>
          <w:rFonts w:cs="Arial"/>
        </w:rPr>
        <w:t xml:space="preserve">13 </w:t>
      </w:r>
      <w:r w:rsidR="00386ABC">
        <w:rPr>
          <w:rFonts w:cs="Arial"/>
        </w:rPr>
        <w:t xml:space="preserve">for CIM and </w:t>
      </w:r>
      <w:r>
        <w:rPr>
          <w:rFonts w:cs="Arial"/>
        </w:rPr>
        <w:t xml:space="preserve">28 </w:t>
      </w:r>
      <w:r w:rsidR="00386ABC">
        <w:rPr>
          <w:rFonts w:cs="Arial"/>
        </w:rPr>
        <w:t xml:space="preserve">for VIM) </w:t>
      </w:r>
      <w:r w:rsidR="003833F9">
        <w:rPr>
          <w:rFonts w:cs="Arial"/>
        </w:rPr>
        <w:t xml:space="preserve">were processed for the period </w:t>
      </w:r>
      <w:r w:rsidR="007B7E78">
        <w:rPr>
          <w:rFonts w:cs="Arial"/>
        </w:rPr>
        <w:t xml:space="preserve">1 </w:t>
      </w:r>
      <w:r w:rsidR="00413FAC">
        <w:rPr>
          <w:rFonts w:cs="Arial"/>
        </w:rPr>
        <w:t>January 2023</w:t>
      </w:r>
      <w:r w:rsidR="003833F9">
        <w:rPr>
          <w:rFonts w:cs="Arial"/>
        </w:rPr>
        <w:t xml:space="preserve"> to </w:t>
      </w:r>
      <w:r w:rsidR="007B7E78">
        <w:rPr>
          <w:rFonts w:cs="Arial"/>
        </w:rPr>
        <w:t xml:space="preserve">31 </w:t>
      </w:r>
      <w:r w:rsidR="00984BBB">
        <w:rPr>
          <w:rFonts w:cs="Arial"/>
        </w:rPr>
        <w:t>March 2023</w:t>
      </w:r>
      <w:r w:rsidR="003833F9">
        <w:rPr>
          <w:rFonts w:cs="Arial"/>
        </w:rPr>
        <w:t xml:space="preserve">, including orders and agreements that were still awaiting Centrelink action as </w:t>
      </w:r>
      <w:proofErr w:type="gramStart"/>
      <w:r w:rsidR="003833F9">
        <w:rPr>
          <w:rFonts w:cs="Arial"/>
        </w:rPr>
        <w:t>at</w:t>
      </w:r>
      <w:proofErr w:type="gramEnd"/>
      <w:r w:rsidR="003833F9">
        <w:rPr>
          <w:rFonts w:cs="Arial"/>
        </w:rPr>
        <w:t xml:space="preserve"> </w:t>
      </w:r>
      <w:r w:rsidR="00DA70CA">
        <w:rPr>
          <w:rFonts w:cs="Arial"/>
        </w:rPr>
        <w:t>3</w:t>
      </w:r>
      <w:r w:rsidR="00717E3B">
        <w:rPr>
          <w:rFonts w:cs="Arial"/>
        </w:rPr>
        <w:t xml:space="preserve">1 </w:t>
      </w:r>
      <w:r w:rsidR="00923416">
        <w:rPr>
          <w:rFonts w:cs="Arial"/>
        </w:rPr>
        <w:t>March</w:t>
      </w:r>
      <w:r w:rsidR="003833F9">
        <w:rPr>
          <w:rFonts w:cs="Arial"/>
        </w:rPr>
        <w:t>.</w:t>
      </w:r>
    </w:p>
    <w:p w14:paraId="677DD7A6" w14:textId="61C6E4E0" w:rsidR="007B6069" w:rsidRDefault="007B6069"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1A5309" w14:paraId="24627A88" w14:textId="77777777" w:rsidTr="0010294B">
        <w:trPr>
          <w:trHeight w:val="278"/>
        </w:trPr>
        <w:tc>
          <w:tcPr>
            <w:tcW w:w="4106" w:type="dxa"/>
            <w:gridSpan w:val="2"/>
          </w:tcPr>
          <w:p w14:paraId="114D1D3D" w14:textId="77777777" w:rsidR="001A5309" w:rsidRPr="002C0A49" w:rsidRDefault="001A5309" w:rsidP="0010294B">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15</w:t>
            </w:r>
            <w:r w:rsidRPr="002C0A49">
              <w:rPr>
                <w:rFonts w:cs="Arial"/>
                <w:b/>
                <w:bCs/>
                <w:noProof/>
                <w:sz w:val="16"/>
                <w:szCs w:val="16"/>
              </w:rPr>
              <w:t>:</w:t>
            </w:r>
            <w:r w:rsidRPr="002C0A49">
              <w:rPr>
                <w:rFonts w:cs="Arial"/>
                <w:noProof/>
                <w:sz w:val="16"/>
                <w:szCs w:val="16"/>
              </w:rPr>
              <w:t xml:space="preserve"> </w:t>
            </w:r>
            <w:r w:rsidRPr="00523A30">
              <w:rPr>
                <w:rFonts w:cs="Arial"/>
                <w:noProof/>
                <w:sz w:val="16"/>
                <w:szCs w:val="16"/>
              </w:rPr>
              <w:t xml:space="preserve">Breakdown of CDC CIMs by duration </w:t>
            </w:r>
            <w:r>
              <w:rPr>
                <w:rFonts w:cs="Arial"/>
                <w:noProof/>
                <w:sz w:val="16"/>
                <w:szCs w:val="16"/>
              </w:rPr>
              <w:t>1 January 2023</w:t>
            </w:r>
            <w:r w:rsidRPr="00523A30">
              <w:rPr>
                <w:rFonts w:cs="Arial"/>
                <w:noProof/>
                <w:sz w:val="16"/>
                <w:szCs w:val="16"/>
              </w:rPr>
              <w:t xml:space="preserve"> – </w:t>
            </w:r>
            <w:r>
              <w:rPr>
                <w:rFonts w:cs="Arial"/>
                <w:noProof/>
                <w:sz w:val="16"/>
                <w:szCs w:val="16"/>
              </w:rPr>
              <w:t>31 March 2023</w:t>
            </w:r>
          </w:p>
        </w:tc>
        <w:tc>
          <w:tcPr>
            <w:tcW w:w="709" w:type="dxa"/>
            <w:tcBorders>
              <w:top w:val="nil"/>
              <w:bottom w:val="nil"/>
            </w:tcBorders>
          </w:tcPr>
          <w:p w14:paraId="566765A8" w14:textId="77777777" w:rsidR="001A5309" w:rsidRDefault="001A5309" w:rsidP="0010294B">
            <w:pPr>
              <w:rPr>
                <w:rFonts w:cs="Arial"/>
                <w:b/>
                <w:bCs/>
                <w:noProof/>
                <w:sz w:val="16"/>
                <w:szCs w:val="16"/>
              </w:rPr>
            </w:pPr>
          </w:p>
        </w:tc>
        <w:tc>
          <w:tcPr>
            <w:tcW w:w="4098" w:type="dxa"/>
            <w:gridSpan w:val="2"/>
          </w:tcPr>
          <w:p w14:paraId="57B3B639" w14:textId="77777777" w:rsidR="001A5309" w:rsidRPr="00E33A8C" w:rsidRDefault="001A5309" w:rsidP="0010294B">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w:t>
            </w:r>
            <w:r>
              <w:rPr>
                <w:rFonts w:cs="Arial"/>
                <w:noProof/>
                <w:sz w:val="16"/>
                <w:szCs w:val="16"/>
              </w:rPr>
              <w:t>1 January 2023</w:t>
            </w:r>
            <w:r w:rsidRPr="00523A30">
              <w:rPr>
                <w:rFonts w:cs="Arial"/>
                <w:noProof/>
                <w:sz w:val="16"/>
                <w:szCs w:val="16"/>
              </w:rPr>
              <w:t xml:space="preserve"> – </w:t>
            </w:r>
            <w:r>
              <w:rPr>
                <w:rFonts w:cs="Arial"/>
                <w:noProof/>
                <w:sz w:val="16"/>
                <w:szCs w:val="16"/>
              </w:rPr>
              <w:t>31 March 2023</w:t>
            </w:r>
          </w:p>
        </w:tc>
      </w:tr>
      <w:tr w:rsidR="001A5309" w14:paraId="3B2BD7CC" w14:textId="77777777" w:rsidTr="0010294B">
        <w:trPr>
          <w:trHeight w:val="278"/>
        </w:trPr>
        <w:tc>
          <w:tcPr>
            <w:tcW w:w="2972" w:type="dxa"/>
            <w:vAlign w:val="center"/>
          </w:tcPr>
          <w:p w14:paraId="7103745E" w14:textId="77777777" w:rsidR="001A5309" w:rsidRPr="00CB1588" w:rsidRDefault="001A5309" w:rsidP="0010294B">
            <w:pPr>
              <w:rPr>
                <w:rFonts w:cs="Arial"/>
                <w:b/>
                <w:bCs/>
                <w:noProof/>
              </w:rPr>
            </w:pPr>
            <w:r w:rsidRPr="00CB1588">
              <w:rPr>
                <w:rFonts w:cs="Arial"/>
                <w:b/>
                <w:bCs/>
                <w:noProof/>
              </w:rPr>
              <w:t>CIM Duration</w:t>
            </w:r>
          </w:p>
        </w:tc>
        <w:tc>
          <w:tcPr>
            <w:tcW w:w="1134" w:type="dxa"/>
            <w:vAlign w:val="center"/>
          </w:tcPr>
          <w:p w14:paraId="2C94267F" w14:textId="77777777" w:rsidR="001A5309" w:rsidRPr="00CB1588" w:rsidRDefault="001A5309" w:rsidP="0010294B">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4A95A2CA" w14:textId="77777777" w:rsidR="001A5309" w:rsidRDefault="001A5309" w:rsidP="0010294B">
            <w:pPr>
              <w:rPr>
                <w:rFonts w:cs="Arial"/>
                <w:noProof/>
              </w:rPr>
            </w:pPr>
          </w:p>
        </w:tc>
        <w:tc>
          <w:tcPr>
            <w:tcW w:w="2977" w:type="dxa"/>
            <w:vAlign w:val="center"/>
          </w:tcPr>
          <w:p w14:paraId="6992F240" w14:textId="77777777" w:rsidR="001A5309" w:rsidRPr="00CB1588" w:rsidRDefault="001A5309" w:rsidP="0010294B">
            <w:pPr>
              <w:rPr>
                <w:rFonts w:cs="Arial"/>
                <w:b/>
                <w:bCs/>
                <w:noProof/>
              </w:rPr>
            </w:pPr>
            <w:r w:rsidRPr="00CB1588">
              <w:rPr>
                <w:rFonts w:cs="Arial"/>
                <w:b/>
                <w:bCs/>
                <w:noProof/>
              </w:rPr>
              <w:t>VIM Duration</w:t>
            </w:r>
          </w:p>
        </w:tc>
        <w:tc>
          <w:tcPr>
            <w:tcW w:w="1121" w:type="dxa"/>
            <w:vAlign w:val="center"/>
          </w:tcPr>
          <w:p w14:paraId="45647D68" w14:textId="77777777" w:rsidR="001A5309" w:rsidRPr="001D1C01" w:rsidRDefault="001A5309" w:rsidP="0010294B">
            <w:pPr>
              <w:jc w:val="right"/>
              <w:rPr>
                <w:rFonts w:cs="Arial"/>
                <w:noProof/>
              </w:rPr>
            </w:pPr>
            <w:r>
              <w:rPr>
                <w:rFonts w:cs="Arial"/>
                <w:b/>
                <w:bCs/>
                <w:noProof/>
              </w:rPr>
              <w:t xml:space="preserve">% </w:t>
            </w:r>
            <w:r w:rsidRPr="00CB1588">
              <w:rPr>
                <w:rFonts w:cs="Arial"/>
                <w:b/>
                <w:bCs/>
                <w:noProof/>
              </w:rPr>
              <w:t>Split</w:t>
            </w:r>
          </w:p>
        </w:tc>
      </w:tr>
      <w:tr w:rsidR="001A5309" w14:paraId="07D31E14" w14:textId="77777777" w:rsidTr="0010294B">
        <w:trPr>
          <w:trHeight w:val="278"/>
        </w:trPr>
        <w:tc>
          <w:tcPr>
            <w:tcW w:w="2972" w:type="dxa"/>
            <w:vAlign w:val="center"/>
          </w:tcPr>
          <w:p w14:paraId="1C027EDC" w14:textId="77777777" w:rsidR="001A5309" w:rsidRPr="002819D6" w:rsidRDefault="001A5309" w:rsidP="0010294B">
            <w:pPr>
              <w:rPr>
                <w:rFonts w:cs="Arial"/>
                <w:noProof/>
              </w:rPr>
            </w:pPr>
            <w:r w:rsidRPr="002819D6">
              <w:rPr>
                <w:rFonts w:cs="Arial"/>
                <w:noProof/>
              </w:rPr>
              <w:t>3 months</w:t>
            </w:r>
          </w:p>
        </w:tc>
        <w:tc>
          <w:tcPr>
            <w:tcW w:w="1134" w:type="dxa"/>
            <w:vAlign w:val="center"/>
          </w:tcPr>
          <w:p w14:paraId="26C977EB" w14:textId="77777777" w:rsidR="001A5309" w:rsidRPr="001D1C01" w:rsidRDefault="001A5309" w:rsidP="0010294B">
            <w:pPr>
              <w:jc w:val="right"/>
              <w:rPr>
                <w:rFonts w:cs="Arial"/>
                <w:noProof/>
              </w:rPr>
            </w:pPr>
            <w:r>
              <w:rPr>
                <w:rFonts w:cs="Arial"/>
                <w:noProof/>
              </w:rPr>
              <w:t>0</w:t>
            </w:r>
            <w:r w:rsidRPr="001D1C01">
              <w:rPr>
                <w:rFonts w:cs="Arial"/>
                <w:noProof/>
              </w:rPr>
              <w:t>%</w:t>
            </w:r>
          </w:p>
        </w:tc>
        <w:tc>
          <w:tcPr>
            <w:tcW w:w="709" w:type="dxa"/>
            <w:tcBorders>
              <w:top w:val="nil"/>
              <w:bottom w:val="nil"/>
            </w:tcBorders>
          </w:tcPr>
          <w:p w14:paraId="1A0A3C7A" w14:textId="77777777" w:rsidR="001A5309" w:rsidRDefault="001A5309" w:rsidP="0010294B">
            <w:pPr>
              <w:rPr>
                <w:rFonts w:cs="Arial"/>
                <w:noProof/>
              </w:rPr>
            </w:pPr>
          </w:p>
        </w:tc>
        <w:tc>
          <w:tcPr>
            <w:tcW w:w="2977" w:type="dxa"/>
            <w:vAlign w:val="center"/>
          </w:tcPr>
          <w:p w14:paraId="15BEE073" w14:textId="77777777" w:rsidR="001A5309" w:rsidRPr="001D1C01" w:rsidRDefault="001A5309" w:rsidP="0010294B">
            <w:pPr>
              <w:rPr>
                <w:rFonts w:cs="Arial"/>
                <w:noProof/>
              </w:rPr>
            </w:pPr>
            <w:r w:rsidRPr="001D1C01">
              <w:rPr>
                <w:rFonts w:cs="Arial"/>
                <w:noProof/>
              </w:rPr>
              <w:t>3 months</w:t>
            </w:r>
          </w:p>
        </w:tc>
        <w:tc>
          <w:tcPr>
            <w:tcW w:w="1121" w:type="dxa"/>
            <w:vAlign w:val="center"/>
          </w:tcPr>
          <w:p w14:paraId="56B5643B" w14:textId="77777777" w:rsidR="001A5309" w:rsidRPr="001D1C01" w:rsidRDefault="001A5309" w:rsidP="0010294B">
            <w:pPr>
              <w:jc w:val="right"/>
              <w:rPr>
                <w:rFonts w:cs="Arial"/>
                <w:noProof/>
              </w:rPr>
            </w:pPr>
            <w:r>
              <w:rPr>
                <w:rFonts w:cs="Arial"/>
                <w:noProof/>
              </w:rPr>
              <w:t>4</w:t>
            </w:r>
            <w:r w:rsidRPr="001D1C01">
              <w:rPr>
                <w:rFonts w:cs="Arial"/>
                <w:noProof/>
              </w:rPr>
              <w:t>%</w:t>
            </w:r>
          </w:p>
        </w:tc>
      </w:tr>
      <w:tr w:rsidR="001A5309" w14:paraId="0CE9DF36" w14:textId="77777777" w:rsidTr="0010294B">
        <w:trPr>
          <w:trHeight w:val="278"/>
        </w:trPr>
        <w:tc>
          <w:tcPr>
            <w:tcW w:w="2972" w:type="dxa"/>
            <w:vAlign w:val="center"/>
          </w:tcPr>
          <w:p w14:paraId="4935954B" w14:textId="77777777" w:rsidR="001A5309" w:rsidRPr="002819D6" w:rsidRDefault="001A5309" w:rsidP="0010294B">
            <w:pPr>
              <w:rPr>
                <w:rFonts w:cs="Arial"/>
                <w:noProof/>
              </w:rPr>
            </w:pPr>
            <w:r w:rsidRPr="002819D6">
              <w:rPr>
                <w:rFonts w:cs="Arial"/>
                <w:noProof/>
              </w:rPr>
              <w:t>6 months</w:t>
            </w:r>
          </w:p>
        </w:tc>
        <w:tc>
          <w:tcPr>
            <w:tcW w:w="1134" w:type="dxa"/>
            <w:vAlign w:val="center"/>
          </w:tcPr>
          <w:p w14:paraId="27AD48A5" w14:textId="77777777" w:rsidR="001A5309" w:rsidRPr="001D1C01" w:rsidRDefault="001A5309" w:rsidP="0010294B">
            <w:pPr>
              <w:jc w:val="right"/>
              <w:rPr>
                <w:rFonts w:cs="Arial"/>
                <w:noProof/>
              </w:rPr>
            </w:pPr>
            <w:r>
              <w:rPr>
                <w:rFonts w:cs="Arial"/>
                <w:noProof/>
              </w:rPr>
              <w:t>62</w:t>
            </w:r>
            <w:r w:rsidRPr="001D1C01">
              <w:rPr>
                <w:rFonts w:cs="Arial"/>
                <w:noProof/>
              </w:rPr>
              <w:t>%</w:t>
            </w:r>
          </w:p>
        </w:tc>
        <w:tc>
          <w:tcPr>
            <w:tcW w:w="709" w:type="dxa"/>
            <w:tcBorders>
              <w:top w:val="nil"/>
              <w:bottom w:val="nil"/>
            </w:tcBorders>
          </w:tcPr>
          <w:p w14:paraId="3DC8B915" w14:textId="77777777" w:rsidR="001A5309" w:rsidRDefault="001A5309" w:rsidP="0010294B">
            <w:pPr>
              <w:rPr>
                <w:rFonts w:cs="Arial"/>
                <w:noProof/>
              </w:rPr>
            </w:pPr>
          </w:p>
        </w:tc>
        <w:tc>
          <w:tcPr>
            <w:tcW w:w="2977" w:type="dxa"/>
            <w:vAlign w:val="center"/>
          </w:tcPr>
          <w:p w14:paraId="58713DFC" w14:textId="77777777" w:rsidR="001A5309" w:rsidRPr="001D1C01" w:rsidRDefault="001A5309" w:rsidP="0010294B">
            <w:pPr>
              <w:rPr>
                <w:rFonts w:cs="Arial"/>
                <w:noProof/>
              </w:rPr>
            </w:pPr>
            <w:r w:rsidRPr="001D1C01">
              <w:rPr>
                <w:rFonts w:cs="Arial"/>
                <w:noProof/>
              </w:rPr>
              <w:t>6 months</w:t>
            </w:r>
          </w:p>
        </w:tc>
        <w:tc>
          <w:tcPr>
            <w:tcW w:w="1121" w:type="dxa"/>
            <w:vAlign w:val="center"/>
          </w:tcPr>
          <w:p w14:paraId="0B63C0D8" w14:textId="77777777" w:rsidR="001A5309" w:rsidRPr="001D1C01" w:rsidRDefault="001A5309" w:rsidP="0010294B">
            <w:pPr>
              <w:jc w:val="right"/>
              <w:rPr>
                <w:rFonts w:cs="Arial"/>
                <w:noProof/>
              </w:rPr>
            </w:pPr>
            <w:r>
              <w:rPr>
                <w:rFonts w:cs="Arial"/>
                <w:noProof/>
              </w:rPr>
              <w:t>61</w:t>
            </w:r>
            <w:r w:rsidRPr="001D1C01">
              <w:rPr>
                <w:rFonts w:cs="Arial"/>
                <w:noProof/>
              </w:rPr>
              <w:t>%</w:t>
            </w:r>
          </w:p>
        </w:tc>
      </w:tr>
      <w:tr w:rsidR="001A5309" w14:paraId="2BC3E086" w14:textId="77777777" w:rsidTr="0010294B">
        <w:trPr>
          <w:trHeight w:val="278"/>
        </w:trPr>
        <w:tc>
          <w:tcPr>
            <w:tcW w:w="2972" w:type="dxa"/>
            <w:vAlign w:val="center"/>
          </w:tcPr>
          <w:p w14:paraId="0324CBB3" w14:textId="77777777" w:rsidR="001A5309" w:rsidRPr="002819D6" w:rsidRDefault="001A5309" w:rsidP="0010294B">
            <w:pPr>
              <w:rPr>
                <w:rFonts w:cs="Arial"/>
                <w:noProof/>
              </w:rPr>
            </w:pPr>
            <w:r w:rsidRPr="002819D6">
              <w:rPr>
                <w:rFonts w:cs="Arial"/>
                <w:noProof/>
              </w:rPr>
              <w:t>9 months</w:t>
            </w:r>
          </w:p>
        </w:tc>
        <w:tc>
          <w:tcPr>
            <w:tcW w:w="1134" w:type="dxa"/>
            <w:vAlign w:val="center"/>
          </w:tcPr>
          <w:p w14:paraId="35A74488" w14:textId="77777777" w:rsidR="001A5309" w:rsidRPr="001D1C01" w:rsidRDefault="001A5309" w:rsidP="0010294B">
            <w:pPr>
              <w:jc w:val="right"/>
              <w:rPr>
                <w:rFonts w:cs="Arial"/>
                <w:noProof/>
              </w:rPr>
            </w:pPr>
            <w:r w:rsidRPr="001D1C01">
              <w:rPr>
                <w:rFonts w:cs="Arial"/>
                <w:noProof/>
              </w:rPr>
              <w:t>0%</w:t>
            </w:r>
          </w:p>
        </w:tc>
        <w:tc>
          <w:tcPr>
            <w:tcW w:w="709" w:type="dxa"/>
            <w:tcBorders>
              <w:top w:val="nil"/>
              <w:bottom w:val="nil"/>
            </w:tcBorders>
          </w:tcPr>
          <w:p w14:paraId="6CFCD937" w14:textId="77777777" w:rsidR="001A5309" w:rsidRDefault="001A5309" w:rsidP="0010294B">
            <w:pPr>
              <w:rPr>
                <w:rFonts w:cs="Arial"/>
                <w:noProof/>
              </w:rPr>
            </w:pPr>
          </w:p>
        </w:tc>
        <w:tc>
          <w:tcPr>
            <w:tcW w:w="2977" w:type="dxa"/>
            <w:vAlign w:val="center"/>
          </w:tcPr>
          <w:p w14:paraId="3B261295" w14:textId="77777777" w:rsidR="001A5309" w:rsidRPr="001D1C01" w:rsidRDefault="001A5309" w:rsidP="0010294B">
            <w:pPr>
              <w:rPr>
                <w:rFonts w:cs="Arial"/>
                <w:noProof/>
              </w:rPr>
            </w:pPr>
            <w:r w:rsidRPr="001D1C01">
              <w:rPr>
                <w:rFonts w:cs="Arial"/>
                <w:noProof/>
              </w:rPr>
              <w:t>9 months</w:t>
            </w:r>
          </w:p>
        </w:tc>
        <w:tc>
          <w:tcPr>
            <w:tcW w:w="1121" w:type="dxa"/>
            <w:vAlign w:val="center"/>
          </w:tcPr>
          <w:p w14:paraId="3EA3C4DB" w14:textId="77777777" w:rsidR="001A5309" w:rsidRPr="001D1C01" w:rsidRDefault="001A5309" w:rsidP="0010294B">
            <w:pPr>
              <w:jc w:val="right"/>
              <w:rPr>
                <w:rFonts w:cs="Arial"/>
                <w:noProof/>
              </w:rPr>
            </w:pPr>
            <w:r>
              <w:rPr>
                <w:rFonts w:cs="Arial"/>
                <w:noProof/>
              </w:rPr>
              <w:t>7</w:t>
            </w:r>
            <w:r w:rsidRPr="001D1C01">
              <w:rPr>
                <w:rFonts w:cs="Arial"/>
                <w:noProof/>
              </w:rPr>
              <w:t>%</w:t>
            </w:r>
          </w:p>
        </w:tc>
      </w:tr>
      <w:tr w:rsidR="001A5309" w14:paraId="13F2656B" w14:textId="77777777" w:rsidTr="0010294B">
        <w:trPr>
          <w:trHeight w:val="278"/>
        </w:trPr>
        <w:tc>
          <w:tcPr>
            <w:tcW w:w="2972" w:type="dxa"/>
            <w:vAlign w:val="center"/>
          </w:tcPr>
          <w:p w14:paraId="14893BCA" w14:textId="77777777" w:rsidR="001A5309" w:rsidRDefault="001A5309" w:rsidP="0010294B">
            <w:pPr>
              <w:rPr>
                <w:rFonts w:cs="Arial"/>
                <w:noProof/>
              </w:rPr>
            </w:pPr>
            <w:r w:rsidRPr="002819D6">
              <w:rPr>
                <w:rFonts w:cs="Arial"/>
                <w:noProof/>
              </w:rPr>
              <w:t>12 months</w:t>
            </w:r>
          </w:p>
        </w:tc>
        <w:tc>
          <w:tcPr>
            <w:tcW w:w="1134" w:type="dxa"/>
            <w:vAlign w:val="center"/>
          </w:tcPr>
          <w:p w14:paraId="6FC77651" w14:textId="77777777" w:rsidR="001A5309" w:rsidRPr="001D1C01" w:rsidRDefault="001A5309" w:rsidP="0010294B">
            <w:pPr>
              <w:jc w:val="right"/>
              <w:rPr>
                <w:rFonts w:cs="Arial"/>
                <w:noProof/>
              </w:rPr>
            </w:pPr>
            <w:r>
              <w:rPr>
                <w:rFonts w:cs="Arial"/>
                <w:noProof/>
              </w:rPr>
              <w:t>38</w:t>
            </w:r>
            <w:r w:rsidRPr="001D1C01">
              <w:rPr>
                <w:rFonts w:cs="Arial"/>
                <w:noProof/>
              </w:rPr>
              <w:t>%</w:t>
            </w:r>
          </w:p>
        </w:tc>
        <w:tc>
          <w:tcPr>
            <w:tcW w:w="709" w:type="dxa"/>
            <w:tcBorders>
              <w:top w:val="nil"/>
              <w:bottom w:val="nil"/>
            </w:tcBorders>
          </w:tcPr>
          <w:p w14:paraId="5212FBA2" w14:textId="77777777" w:rsidR="001A5309" w:rsidRDefault="001A5309" w:rsidP="0010294B">
            <w:pPr>
              <w:rPr>
                <w:rFonts w:cs="Arial"/>
                <w:noProof/>
              </w:rPr>
            </w:pPr>
          </w:p>
        </w:tc>
        <w:tc>
          <w:tcPr>
            <w:tcW w:w="2977" w:type="dxa"/>
            <w:vAlign w:val="center"/>
          </w:tcPr>
          <w:p w14:paraId="3D4C5995" w14:textId="77777777" w:rsidR="001A5309" w:rsidRDefault="001A5309" w:rsidP="0010294B">
            <w:pPr>
              <w:rPr>
                <w:rFonts w:cs="Arial"/>
                <w:noProof/>
              </w:rPr>
            </w:pPr>
            <w:r w:rsidRPr="001D1C01">
              <w:rPr>
                <w:rFonts w:cs="Arial"/>
                <w:noProof/>
              </w:rPr>
              <w:t>12 months</w:t>
            </w:r>
          </w:p>
        </w:tc>
        <w:tc>
          <w:tcPr>
            <w:tcW w:w="1121" w:type="dxa"/>
            <w:vAlign w:val="center"/>
          </w:tcPr>
          <w:p w14:paraId="351579E7" w14:textId="77777777" w:rsidR="001A5309" w:rsidRDefault="001A5309" w:rsidP="0010294B">
            <w:pPr>
              <w:jc w:val="right"/>
              <w:rPr>
                <w:rFonts w:cs="Arial"/>
                <w:noProof/>
              </w:rPr>
            </w:pPr>
            <w:r>
              <w:rPr>
                <w:rFonts w:cs="Arial"/>
                <w:noProof/>
              </w:rPr>
              <w:t>28</w:t>
            </w:r>
            <w:r w:rsidRPr="001D1C01">
              <w:rPr>
                <w:rFonts w:cs="Arial"/>
                <w:noProof/>
              </w:rPr>
              <w:t>%</w:t>
            </w:r>
          </w:p>
        </w:tc>
      </w:tr>
      <w:tr w:rsidR="001A5309" w14:paraId="11B5B80F" w14:textId="77777777" w:rsidTr="0010294B">
        <w:trPr>
          <w:trHeight w:val="278"/>
        </w:trPr>
        <w:tc>
          <w:tcPr>
            <w:tcW w:w="2972" w:type="dxa"/>
            <w:vAlign w:val="center"/>
          </w:tcPr>
          <w:p w14:paraId="55296CD2" w14:textId="77777777" w:rsidR="001A5309" w:rsidRPr="00065259" w:rsidRDefault="001A5309" w:rsidP="0010294B">
            <w:pPr>
              <w:rPr>
                <w:rFonts w:cs="Arial"/>
                <w:b/>
                <w:bCs/>
                <w:noProof/>
              </w:rPr>
            </w:pPr>
            <w:r w:rsidRPr="00065259">
              <w:rPr>
                <w:rFonts w:cs="Arial"/>
                <w:b/>
                <w:bCs/>
                <w:noProof/>
              </w:rPr>
              <w:t>Total</w:t>
            </w:r>
          </w:p>
        </w:tc>
        <w:tc>
          <w:tcPr>
            <w:tcW w:w="1134" w:type="dxa"/>
            <w:vAlign w:val="center"/>
          </w:tcPr>
          <w:p w14:paraId="3140A1E9" w14:textId="77777777" w:rsidR="001A5309" w:rsidRPr="00065259" w:rsidRDefault="001A5309" w:rsidP="0010294B">
            <w:pPr>
              <w:jc w:val="right"/>
              <w:rPr>
                <w:rFonts w:cs="Arial"/>
                <w:b/>
                <w:bCs/>
                <w:noProof/>
              </w:rPr>
            </w:pPr>
            <w:r w:rsidRPr="00065259">
              <w:rPr>
                <w:rFonts w:cs="Arial"/>
                <w:b/>
                <w:bCs/>
                <w:noProof/>
              </w:rPr>
              <w:t>100%</w:t>
            </w:r>
          </w:p>
        </w:tc>
        <w:tc>
          <w:tcPr>
            <w:tcW w:w="709" w:type="dxa"/>
            <w:tcBorders>
              <w:top w:val="nil"/>
              <w:bottom w:val="nil"/>
            </w:tcBorders>
          </w:tcPr>
          <w:p w14:paraId="17903785" w14:textId="77777777" w:rsidR="001A5309" w:rsidRDefault="001A5309" w:rsidP="0010294B">
            <w:pPr>
              <w:rPr>
                <w:rFonts w:cs="Arial"/>
                <w:noProof/>
              </w:rPr>
            </w:pPr>
          </w:p>
        </w:tc>
        <w:tc>
          <w:tcPr>
            <w:tcW w:w="2977" w:type="dxa"/>
            <w:vAlign w:val="center"/>
          </w:tcPr>
          <w:p w14:paraId="12AEB4EC" w14:textId="77777777" w:rsidR="001A5309" w:rsidRPr="00065259" w:rsidRDefault="001A5309" w:rsidP="0010294B">
            <w:pPr>
              <w:rPr>
                <w:rFonts w:cs="Arial"/>
                <w:b/>
                <w:bCs/>
                <w:noProof/>
              </w:rPr>
            </w:pPr>
            <w:r w:rsidRPr="00065259">
              <w:rPr>
                <w:rFonts w:cs="Arial"/>
                <w:b/>
                <w:bCs/>
                <w:noProof/>
              </w:rPr>
              <w:t>Total</w:t>
            </w:r>
          </w:p>
        </w:tc>
        <w:tc>
          <w:tcPr>
            <w:tcW w:w="1121" w:type="dxa"/>
            <w:vAlign w:val="center"/>
          </w:tcPr>
          <w:p w14:paraId="535F7FC6" w14:textId="77777777" w:rsidR="001A5309" w:rsidRPr="00065259" w:rsidRDefault="001A5309" w:rsidP="0010294B">
            <w:pPr>
              <w:jc w:val="right"/>
              <w:rPr>
                <w:rFonts w:cs="Arial"/>
                <w:b/>
                <w:bCs/>
                <w:noProof/>
              </w:rPr>
            </w:pPr>
            <w:r w:rsidRPr="00065259">
              <w:rPr>
                <w:rFonts w:cs="Arial"/>
                <w:b/>
                <w:bCs/>
                <w:noProof/>
              </w:rPr>
              <w:t>100%</w:t>
            </w:r>
          </w:p>
        </w:tc>
      </w:tr>
    </w:tbl>
    <w:p w14:paraId="0362C4DC" w14:textId="77777777" w:rsidR="001A5309" w:rsidRDefault="001A5309" w:rsidP="001A530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1A5309" w14:paraId="11C258D1" w14:textId="77777777" w:rsidTr="0010294B">
        <w:trPr>
          <w:trHeight w:val="596"/>
        </w:trPr>
        <w:tc>
          <w:tcPr>
            <w:tcW w:w="10060" w:type="dxa"/>
            <w:shd w:val="clear" w:color="auto" w:fill="D9D9D9" w:themeFill="background1" w:themeFillShade="D9"/>
          </w:tcPr>
          <w:p w14:paraId="7F26E23E" w14:textId="77777777" w:rsidR="001A5309" w:rsidRPr="00F22E2D" w:rsidRDefault="001A5309" w:rsidP="0010294B">
            <w:pPr>
              <w:spacing w:line="240" w:lineRule="auto"/>
              <w:jc w:val="both"/>
              <w:rPr>
                <w:rFonts w:cs="Arial"/>
                <w:noProof/>
              </w:rPr>
            </w:pPr>
            <w:r w:rsidRPr="00AC0CBD">
              <w:rPr>
                <w:rFonts w:cs="Arial"/>
                <w:noProof/>
              </w:rPr>
              <w:t xml:space="preserve">Although initially (March 2021) 66% of VIM applications entered into were for a 3-month duration, the VIM chart above </w:t>
            </w:r>
            <w:r>
              <w:rPr>
                <w:rFonts w:cs="Arial"/>
                <w:noProof/>
              </w:rPr>
              <w:t xml:space="preserve">for quarter 59 </w:t>
            </w:r>
            <w:r w:rsidRPr="00AC0CBD">
              <w:rPr>
                <w:rFonts w:cs="Arial"/>
                <w:noProof/>
              </w:rPr>
              <w:t xml:space="preserve">shows that </w:t>
            </w:r>
            <w:r>
              <w:rPr>
                <w:rFonts w:cs="Arial"/>
                <w:noProof/>
              </w:rPr>
              <w:t>4% were entered into for a 3-month duration, 61</w:t>
            </w:r>
            <w:r w:rsidRPr="00AC0CBD">
              <w:rPr>
                <w:rFonts w:cs="Arial"/>
                <w:noProof/>
              </w:rPr>
              <w:t xml:space="preserve">% </w:t>
            </w:r>
            <w:r>
              <w:rPr>
                <w:rFonts w:cs="Arial"/>
                <w:noProof/>
              </w:rPr>
              <w:t xml:space="preserve">were </w:t>
            </w:r>
            <w:r w:rsidRPr="00AC0CBD">
              <w:rPr>
                <w:rFonts w:cs="Arial"/>
                <w:noProof/>
              </w:rPr>
              <w:t xml:space="preserve">entered into for a 6-month duration, </w:t>
            </w:r>
            <w:r>
              <w:rPr>
                <w:rFonts w:cs="Arial"/>
                <w:noProof/>
              </w:rPr>
              <w:t xml:space="preserve">7% were entered into for a 9-month duration and </w:t>
            </w:r>
            <w:r w:rsidRPr="00AC0CBD">
              <w:rPr>
                <w:rFonts w:cs="Arial"/>
                <w:noProof/>
              </w:rPr>
              <w:t>2</w:t>
            </w:r>
            <w:r>
              <w:rPr>
                <w:rFonts w:cs="Arial"/>
                <w:noProof/>
              </w:rPr>
              <w:t>8</w:t>
            </w:r>
            <w:r w:rsidRPr="00AC0CBD">
              <w:rPr>
                <w:rFonts w:cs="Arial"/>
                <w:noProof/>
              </w:rPr>
              <w:t xml:space="preserve">% </w:t>
            </w:r>
            <w:r>
              <w:rPr>
                <w:rFonts w:cs="Arial"/>
                <w:noProof/>
              </w:rPr>
              <w:t xml:space="preserve">were </w:t>
            </w:r>
            <w:r w:rsidRPr="00AC0CBD">
              <w:rPr>
                <w:rFonts w:cs="Arial"/>
                <w:noProof/>
              </w:rPr>
              <w:t>entered into for a 12-month duration.</w:t>
            </w:r>
          </w:p>
        </w:tc>
      </w:tr>
    </w:tbl>
    <w:p w14:paraId="67D5F9CE" w14:textId="77777777" w:rsidR="001A5309" w:rsidRDefault="001A5309" w:rsidP="001A5309">
      <w:pPr>
        <w:ind w:left="-142" w:right="-425"/>
        <w:jc w:val="both"/>
        <w:rPr>
          <w:rFonts w:cs="Arial"/>
        </w:rPr>
      </w:pPr>
    </w:p>
    <w:tbl>
      <w:tblPr>
        <w:tblStyle w:val="TableGrid"/>
        <w:tblW w:w="8913" w:type="dxa"/>
        <w:tblLook w:val="04A0" w:firstRow="1" w:lastRow="0" w:firstColumn="1" w:lastColumn="0" w:noHBand="0" w:noVBand="1"/>
      </w:tblPr>
      <w:tblGrid>
        <w:gridCol w:w="2972"/>
        <w:gridCol w:w="1134"/>
        <w:gridCol w:w="709"/>
        <w:gridCol w:w="2977"/>
        <w:gridCol w:w="1121"/>
      </w:tblGrid>
      <w:tr w:rsidR="001A5309" w14:paraId="49343F13" w14:textId="77777777" w:rsidTr="0010294B">
        <w:trPr>
          <w:trHeight w:val="278"/>
        </w:trPr>
        <w:tc>
          <w:tcPr>
            <w:tcW w:w="4106" w:type="dxa"/>
            <w:gridSpan w:val="2"/>
          </w:tcPr>
          <w:p w14:paraId="16DD304D" w14:textId="77777777" w:rsidR="001A5309" w:rsidRPr="00523A30" w:rsidRDefault="001A5309" w:rsidP="0010294B">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17</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w:t>
            </w:r>
            <w:r>
              <w:rPr>
                <w:rFonts w:cs="Arial"/>
                <w:noProof/>
                <w:sz w:val="16"/>
                <w:szCs w:val="16"/>
              </w:rPr>
              <w:t>1 January 2023</w:t>
            </w:r>
            <w:r w:rsidRPr="00523A30">
              <w:rPr>
                <w:rFonts w:cs="Arial"/>
                <w:noProof/>
                <w:sz w:val="16"/>
                <w:szCs w:val="16"/>
              </w:rPr>
              <w:t xml:space="preserve"> – </w:t>
            </w:r>
            <w:r>
              <w:rPr>
                <w:rFonts w:cs="Arial"/>
                <w:noProof/>
                <w:sz w:val="16"/>
                <w:szCs w:val="16"/>
              </w:rPr>
              <w:t>31 March 2023</w:t>
            </w:r>
          </w:p>
        </w:tc>
        <w:tc>
          <w:tcPr>
            <w:tcW w:w="709" w:type="dxa"/>
            <w:tcBorders>
              <w:top w:val="nil"/>
              <w:bottom w:val="nil"/>
            </w:tcBorders>
          </w:tcPr>
          <w:p w14:paraId="3E92B2FE" w14:textId="77777777" w:rsidR="001A5309" w:rsidRDefault="001A5309" w:rsidP="0010294B">
            <w:pPr>
              <w:rPr>
                <w:rFonts w:cs="Arial"/>
                <w:b/>
                <w:bCs/>
                <w:noProof/>
                <w:sz w:val="16"/>
                <w:szCs w:val="16"/>
              </w:rPr>
            </w:pPr>
          </w:p>
        </w:tc>
        <w:tc>
          <w:tcPr>
            <w:tcW w:w="4098" w:type="dxa"/>
            <w:gridSpan w:val="2"/>
          </w:tcPr>
          <w:p w14:paraId="1CE99CE2" w14:textId="77777777" w:rsidR="001A5309" w:rsidRPr="00E33A8C" w:rsidRDefault="001A5309" w:rsidP="0010294B">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18</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w:t>
            </w:r>
            <w:r>
              <w:rPr>
                <w:rFonts w:cs="Arial"/>
                <w:noProof/>
                <w:sz w:val="16"/>
                <w:szCs w:val="16"/>
              </w:rPr>
              <w:t>1 January 2023</w:t>
            </w:r>
            <w:r w:rsidRPr="00523A30">
              <w:rPr>
                <w:rFonts w:cs="Arial"/>
                <w:noProof/>
                <w:sz w:val="16"/>
                <w:szCs w:val="16"/>
              </w:rPr>
              <w:t xml:space="preserve"> – </w:t>
            </w:r>
            <w:r>
              <w:rPr>
                <w:rFonts w:cs="Arial"/>
                <w:noProof/>
                <w:sz w:val="16"/>
                <w:szCs w:val="16"/>
              </w:rPr>
              <w:t>31 March 2023</w:t>
            </w:r>
          </w:p>
        </w:tc>
      </w:tr>
      <w:tr w:rsidR="001A5309" w14:paraId="52C49EFD" w14:textId="77777777" w:rsidTr="0010294B">
        <w:trPr>
          <w:trHeight w:val="278"/>
        </w:trPr>
        <w:tc>
          <w:tcPr>
            <w:tcW w:w="2972" w:type="dxa"/>
            <w:vAlign w:val="center"/>
          </w:tcPr>
          <w:p w14:paraId="7464A5D9" w14:textId="77777777" w:rsidR="001A5309" w:rsidRPr="00CB1588" w:rsidRDefault="001A5309" w:rsidP="0010294B">
            <w:pPr>
              <w:rPr>
                <w:rFonts w:cs="Arial"/>
                <w:b/>
                <w:bCs/>
                <w:noProof/>
              </w:rPr>
            </w:pPr>
            <w:r w:rsidRPr="00CB1588">
              <w:rPr>
                <w:rFonts w:cs="Arial"/>
                <w:b/>
                <w:bCs/>
                <w:noProof/>
              </w:rPr>
              <w:t>CIM Percentage</w:t>
            </w:r>
          </w:p>
        </w:tc>
        <w:tc>
          <w:tcPr>
            <w:tcW w:w="1134" w:type="dxa"/>
            <w:vAlign w:val="center"/>
          </w:tcPr>
          <w:p w14:paraId="543B6FE4" w14:textId="77777777" w:rsidR="001A5309" w:rsidRPr="001D1C01" w:rsidRDefault="001A5309" w:rsidP="0010294B">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074053A0" w14:textId="77777777" w:rsidR="001A5309" w:rsidRDefault="001A5309" w:rsidP="0010294B">
            <w:pPr>
              <w:rPr>
                <w:rFonts w:cs="Arial"/>
                <w:noProof/>
              </w:rPr>
            </w:pPr>
          </w:p>
        </w:tc>
        <w:tc>
          <w:tcPr>
            <w:tcW w:w="2977" w:type="dxa"/>
            <w:vAlign w:val="center"/>
          </w:tcPr>
          <w:p w14:paraId="49D4D3C7" w14:textId="77777777" w:rsidR="001A5309" w:rsidRPr="00CB1588" w:rsidRDefault="001A5309" w:rsidP="0010294B">
            <w:pPr>
              <w:rPr>
                <w:rFonts w:cs="Arial"/>
                <w:b/>
                <w:bCs/>
                <w:noProof/>
              </w:rPr>
            </w:pPr>
            <w:r w:rsidRPr="00CB1588">
              <w:rPr>
                <w:rFonts w:cs="Arial"/>
                <w:b/>
                <w:bCs/>
                <w:noProof/>
              </w:rPr>
              <w:t>VIM Percentage</w:t>
            </w:r>
          </w:p>
        </w:tc>
        <w:tc>
          <w:tcPr>
            <w:tcW w:w="1121" w:type="dxa"/>
            <w:vAlign w:val="center"/>
          </w:tcPr>
          <w:p w14:paraId="04CD4B0B" w14:textId="77777777" w:rsidR="001A5309" w:rsidRPr="001D1C01" w:rsidRDefault="001A5309" w:rsidP="0010294B">
            <w:pPr>
              <w:jc w:val="right"/>
              <w:rPr>
                <w:rFonts w:cs="Arial"/>
                <w:noProof/>
              </w:rPr>
            </w:pPr>
            <w:r>
              <w:rPr>
                <w:rFonts w:cs="Arial"/>
                <w:b/>
                <w:bCs/>
                <w:noProof/>
              </w:rPr>
              <w:t xml:space="preserve">% </w:t>
            </w:r>
            <w:r w:rsidRPr="00CB1588">
              <w:rPr>
                <w:rFonts w:cs="Arial"/>
                <w:b/>
                <w:bCs/>
                <w:noProof/>
              </w:rPr>
              <w:t>Split</w:t>
            </w:r>
          </w:p>
        </w:tc>
      </w:tr>
      <w:tr w:rsidR="001A5309" w14:paraId="73D2A080" w14:textId="77777777" w:rsidTr="0010294B">
        <w:trPr>
          <w:trHeight w:val="278"/>
        </w:trPr>
        <w:tc>
          <w:tcPr>
            <w:tcW w:w="2972" w:type="dxa"/>
            <w:vAlign w:val="center"/>
          </w:tcPr>
          <w:p w14:paraId="5C144060" w14:textId="77777777" w:rsidR="001A5309" w:rsidRDefault="001A5309" w:rsidP="0010294B">
            <w:pPr>
              <w:rPr>
                <w:rFonts w:cs="Arial"/>
                <w:noProof/>
              </w:rPr>
            </w:pPr>
            <w:r>
              <w:rPr>
                <w:rFonts w:cs="Arial"/>
                <w:noProof/>
              </w:rPr>
              <w:t>60 percent</w:t>
            </w:r>
          </w:p>
        </w:tc>
        <w:tc>
          <w:tcPr>
            <w:tcW w:w="1134" w:type="dxa"/>
            <w:vAlign w:val="center"/>
          </w:tcPr>
          <w:p w14:paraId="0FF6955E" w14:textId="77777777" w:rsidR="001A5309" w:rsidRDefault="001A5309" w:rsidP="0010294B">
            <w:pPr>
              <w:jc w:val="right"/>
              <w:rPr>
                <w:rFonts w:cs="Arial"/>
                <w:noProof/>
              </w:rPr>
            </w:pPr>
            <w:r>
              <w:rPr>
                <w:rFonts w:cs="Arial"/>
                <w:noProof/>
              </w:rPr>
              <w:t>23</w:t>
            </w:r>
            <w:r w:rsidRPr="001D1C01">
              <w:rPr>
                <w:rFonts w:cs="Arial"/>
                <w:noProof/>
              </w:rPr>
              <w:t>%</w:t>
            </w:r>
          </w:p>
        </w:tc>
        <w:tc>
          <w:tcPr>
            <w:tcW w:w="709" w:type="dxa"/>
            <w:tcBorders>
              <w:top w:val="nil"/>
              <w:bottom w:val="nil"/>
            </w:tcBorders>
          </w:tcPr>
          <w:p w14:paraId="01CCFF9C" w14:textId="77777777" w:rsidR="001A5309" w:rsidRDefault="001A5309" w:rsidP="0010294B">
            <w:pPr>
              <w:rPr>
                <w:rFonts w:cs="Arial"/>
                <w:noProof/>
              </w:rPr>
            </w:pPr>
          </w:p>
        </w:tc>
        <w:tc>
          <w:tcPr>
            <w:tcW w:w="2977" w:type="dxa"/>
            <w:vAlign w:val="center"/>
          </w:tcPr>
          <w:p w14:paraId="3076A996" w14:textId="77777777" w:rsidR="001A5309" w:rsidRDefault="001A5309" w:rsidP="0010294B">
            <w:pPr>
              <w:rPr>
                <w:rFonts w:cs="Arial"/>
                <w:noProof/>
              </w:rPr>
            </w:pPr>
            <w:r>
              <w:rPr>
                <w:rFonts w:cs="Arial"/>
                <w:noProof/>
              </w:rPr>
              <w:t>60 percent</w:t>
            </w:r>
          </w:p>
        </w:tc>
        <w:tc>
          <w:tcPr>
            <w:tcW w:w="1121" w:type="dxa"/>
            <w:vAlign w:val="center"/>
          </w:tcPr>
          <w:p w14:paraId="5354B5E3" w14:textId="77777777" w:rsidR="001A5309" w:rsidRDefault="001A5309" w:rsidP="0010294B">
            <w:pPr>
              <w:jc w:val="right"/>
              <w:rPr>
                <w:rFonts w:cs="Arial"/>
                <w:noProof/>
              </w:rPr>
            </w:pPr>
            <w:r>
              <w:rPr>
                <w:rFonts w:cs="Arial"/>
                <w:noProof/>
              </w:rPr>
              <w:t>78</w:t>
            </w:r>
            <w:r w:rsidRPr="001D1C01">
              <w:rPr>
                <w:rFonts w:cs="Arial"/>
                <w:noProof/>
              </w:rPr>
              <w:t>%</w:t>
            </w:r>
          </w:p>
        </w:tc>
      </w:tr>
      <w:tr w:rsidR="001A5309" w14:paraId="4A33F846" w14:textId="77777777" w:rsidTr="0010294B">
        <w:trPr>
          <w:trHeight w:val="278"/>
        </w:trPr>
        <w:tc>
          <w:tcPr>
            <w:tcW w:w="2972" w:type="dxa"/>
            <w:vAlign w:val="center"/>
          </w:tcPr>
          <w:p w14:paraId="726442F0" w14:textId="77777777" w:rsidR="001A5309" w:rsidRPr="002819D6" w:rsidRDefault="001A5309" w:rsidP="0010294B">
            <w:pPr>
              <w:rPr>
                <w:rFonts w:cs="Arial"/>
                <w:noProof/>
              </w:rPr>
            </w:pPr>
            <w:r>
              <w:rPr>
                <w:rFonts w:cs="Arial"/>
                <w:noProof/>
              </w:rPr>
              <w:t>75 percent</w:t>
            </w:r>
          </w:p>
        </w:tc>
        <w:tc>
          <w:tcPr>
            <w:tcW w:w="1134" w:type="dxa"/>
            <w:vAlign w:val="center"/>
          </w:tcPr>
          <w:p w14:paraId="0B68D585" w14:textId="77777777" w:rsidR="001A5309" w:rsidRPr="001D1C01" w:rsidRDefault="001A5309" w:rsidP="0010294B">
            <w:pPr>
              <w:jc w:val="right"/>
              <w:rPr>
                <w:rFonts w:cs="Arial"/>
                <w:noProof/>
              </w:rPr>
            </w:pPr>
            <w:r>
              <w:rPr>
                <w:rFonts w:cs="Arial"/>
                <w:noProof/>
              </w:rPr>
              <w:t>46</w:t>
            </w:r>
            <w:r w:rsidRPr="001D1C01">
              <w:rPr>
                <w:rFonts w:cs="Arial"/>
                <w:noProof/>
              </w:rPr>
              <w:t>%</w:t>
            </w:r>
          </w:p>
        </w:tc>
        <w:tc>
          <w:tcPr>
            <w:tcW w:w="709" w:type="dxa"/>
            <w:tcBorders>
              <w:top w:val="nil"/>
              <w:bottom w:val="nil"/>
            </w:tcBorders>
          </w:tcPr>
          <w:p w14:paraId="4FD40B2F" w14:textId="77777777" w:rsidR="001A5309" w:rsidRDefault="001A5309" w:rsidP="0010294B">
            <w:pPr>
              <w:rPr>
                <w:rFonts w:cs="Arial"/>
                <w:noProof/>
              </w:rPr>
            </w:pPr>
          </w:p>
        </w:tc>
        <w:tc>
          <w:tcPr>
            <w:tcW w:w="2977" w:type="dxa"/>
            <w:vAlign w:val="center"/>
          </w:tcPr>
          <w:p w14:paraId="14BDE8F0" w14:textId="77777777" w:rsidR="001A5309" w:rsidRPr="001D1C01" w:rsidRDefault="001A5309" w:rsidP="0010294B">
            <w:pPr>
              <w:rPr>
                <w:rFonts w:cs="Arial"/>
                <w:noProof/>
              </w:rPr>
            </w:pPr>
            <w:r>
              <w:rPr>
                <w:rFonts w:cs="Arial"/>
                <w:noProof/>
              </w:rPr>
              <w:t>75 percent</w:t>
            </w:r>
          </w:p>
        </w:tc>
        <w:tc>
          <w:tcPr>
            <w:tcW w:w="1121" w:type="dxa"/>
            <w:vAlign w:val="center"/>
          </w:tcPr>
          <w:p w14:paraId="549DF104" w14:textId="77777777" w:rsidR="001A5309" w:rsidRPr="001D1C01" w:rsidRDefault="001A5309" w:rsidP="0010294B">
            <w:pPr>
              <w:jc w:val="right"/>
              <w:rPr>
                <w:rFonts w:cs="Arial"/>
                <w:noProof/>
              </w:rPr>
            </w:pPr>
            <w:r>
              <w:rPr>
                <w:rFonts w:cs="Arial"/>
                <w:noProof/>
              </w:rPr>
              <w:t>11</w:t>
            </w:r>
            <w:r w:rsidRPr="001D1C01">
              <w:rPr>
                <w:rFonts w:cs="Arial"/>
                <w:noProof/>
              </w:rPr>
              <w:t>%</w:t>
            </w:r>
          </w:p>
        </w:tc>
      </w:tr>
      <w:tr w:rsidR="001A5309" w14:paraId="246EAF0B" w14:textId="77777777" w:rsidTr="0010294B">
        <w:trPr>
          <w:trHeight w:val="278"/>
        </w:trPr>
        <w:tc>
          <w:tcPr>
            <w:tcW w:w="2972" w:type="dxa"/>
            <w:vAlign w:val="center"/>
          </w:tcPr>
          <w:p w14:paraId="46C87CC1" w14:textId="77777777" w:rsidR="001A5309" w:rsidRPr="002819D6" w:rsidRDefault="001A5309" w:rsidP="0010294B">
            <w:pPr>
              <w:rPr>
                <w:rFonts w:cs="Arial"/>
                <w:noProof/>
              </w:rPr>
            </w:pPr>
            <w:r>
              <w:rPr>
                <w:rFonts w:cs="Arial"/>
                <w:noProof/>
              </w:rPr>
              <w:t>90 percent</w:t>
            </w:r>
          </w:p>
        </w:tc>
        <w:tc>
          <w:tcPr>
            <w:tcW w:w="1134" w:type="dxa"/>
            <w:vAlign w:val="center"/>
          </w:tcPr>
          <w:p w14:paraId="1466E476" w14:textId="77777777" w:rsidR="001A5309" w:rsidRPr="001D1C01" w:rsidRDefault="001A5309" w:rsidP="0010294B">
            <w:pPr>
              <w:jc w:val="right"/>
              <w:rPr>
                <w:rFonts w:cs="Arial"/>
                <w:noProof/>
              </w:rPr>
            </w:pPr>
            <w:r>
              <w:rPr>
                <w:rFonts w:cs="Arial"/>
                <w:noProof/>
              </w:rPr>
              <w:t>31</w:t>
            </w:r>
            <w:r w:rsidRPr="001D1C01">
              <w:rPr>
                <w:rFonts w:cs="Arial"/>
                <w:noProof/>
              </w:rPr>
              <w:t>%</w:t>
            </w:r>
          </w:p>
        </w:tc>
        <w:tc>
          <w:tcPr>
            <w:tcW w:w="709" w:type="dxa"/>
            <w:tcBorders>
              <w:top w:val="nil"/>
              <w:bottom w:val="nil"/>
            </w:tcBorders>
          </w:tcPr>
          <w:p w14:paraId="4A574F5E" w14:textId="77777777" w:rsidR="001A5309" w:rsidRDefault="001A5309" w:rsidP="0010294B">
            <w:pPr>
              <w:rPr>
                <w:rFonts w:cs="Arial"/>
                <w:noProof/>
              </w:rPr>
            </w:pPr>
          </w:p>
        </w:tc>
        <w:tc>
          <w:tcPr>
            <w:tcW w:w="2977" w:type="dxa"/>
            <w:vAlign w:val="center"/>
          </w:tcPr>
          <w:p w14:paraId="128CB473" w14:textId="77777777" w:rsidR="001A5309" w:rsidRPr="001D1C01" w:rsidRDefault="001A5309" w:rsidP="0010294B">
            <w:pPr>
              <w:rPr>
                <w:rFonts w:cs="Arial"/>
                <w:noProof/>
              </w:rPr>
            </w:pPr>
            <w:r>
              <w:rPr>
                <w:rFonts w:cs="Arial"/>
                <w:noProof/>
              </w:rPr>
              <w:t>90 percent</w:t>
            </w:r>
          </w:p>
        </w:tc>
        <w:tc>
          <w:tcPr>
            <w:tcW w:w="1121" w:type="dxa"/>
            <w:vAlign w:val="center"/>
          </w:tcPr>
          <w:p w14:paraId="3AF35773" w14:textId="77777777" w:rsidR="001A5309" w:rsidRPr="001D1C01" w:rsidRDefault="001A5309" w:rsidP="0010294B">
            <w:pPr>
              <w:jc w:val="right"/>
              <w:rPr>
                <w:rFonts w:cs="Arial"/>
                <w:noProof/>
              </w:rPr>
            </w:pPr>
            <w:r>
              <w:rPr>
                <w:rFonts w:cs="Arial"/>
                <w:noProof/>
              </w:rPr>
              <w:t>11</w:t>
            </w:r>
            <w:r w:rsidRPr="001D1C01">
              <w:rPr>
                <w:rFonts w:cs="Arial"/>
                <w:noProof/>
              </w:rPr>
              <w:t>%</w:t>
            </w:r>
          </w:p>
        </w:tc>
      </w:tr>
      <w:tr w:rsidR="001A5309" w14:paraId="29CB4E53" w14:textId="77777777" w:rsidTr="0010294B">
        <w:trPr>
          <w:trHeight w:val="278"/>
        </w:trPr>
        <w:tc>
          <w:tcPr>
            <w:tcW w:w="2972" w:type="dxa"/>
            <w:vAlign w:val="center"/>
          </w:tcPr>
          <w:p w14:paraId="453E11C9" w14:textId="77777777" w:rsidR="001A5309" w:rsidRPr="00065259" w:rsidRDefault="001A5309" w:rsidP="0010294B">
            <w:pPr>
              <w:rPr>
                <w:rFonts w:cs="Arial"/>
                <w:b/>
                <w:bCs/>
                <w:noProof/>
              </w:rPr>
            </w:pPr>
            <w:r w:rsidRPr="00065259">
              <w:rPr>
                <w:rFonts w:cs="Arial"/>
                <w:b/>
                <w:bCs/>
                <w:noProof/>
              </w:rPr>
              <w:t>Total</w:t>
            </w:r>
          </w:p>
        </w:tc>
        <w:tc>
          <w:tcPr>
            <w:tcW w:w="1134" w:type="dxa"/>
            <w:vAlign w:val="center"/>
          </w:tcPr>
          <w:p w14:paraId="793D2F39" w14:textId="77777777" w:rsidR="001A5309" w:rsidRPr="00065259" w:rsidRDefault="001A5309" w:rsidP="0010294B">
            <w:pPr>
              <w:jc w:val="right"/>
              <w:rPr>
                <w:rFonts w:cs="Arial"/>
                <w:b/>
                <w:bCs/>
                <w:noProof/>
              </w:rPr>
            </w:pPr>
            <w:r w:rsidRPr="00065259">
              <w:rPr>
                <w:rFonts w:cs="Arial"/>
                <w:b/>
                <w:bCs/>
                <w:noProof/>
              </w:rPr>
              <w:t>100%</w:t>
            </w:r>
          </w:p>
        </w:tc>
        <w:tc>
          <w:tcPr>
            <w:tcW w:w="709" w:type="dxa"/>
            <w:tcBorders>
              <w:top w:val="nil"/>
              <w:bottom w:val="nil"/>
            </w:tcBorders>
          </w:tcPr>
          <w:p w14:paraId="3B498A6E" w14:textId="77777777" w:rsidR="001A5309" w:rsidRDefault="001A5309" w:rsidP="0010294B">
            <w:pPr>
              <w:rPr>
                <w:rFonts w:cs="Arial"/>
                <w:noProof/>
              </w:rPr>
            </w:pPr>
          </w:p>
        </w:tc>
        <w:tc>
          <w:tcPr>
            <w:tcW w:w="2977" w:type="dxa"/>
            <w:vAlign w:val="center"/>
          </w:tcPr>
          <w:p w14:paraId="0F506705" w14:textId="77777777" w:rsidR="001A5309" w:rsidRPr="00065259" w:rsidRDefault="001A5309" w:rsidP="0010294B">
            <w:pPr>
              <w:rPr>
                <w:rFonts w:cs="Arial"/>
                <w:b/>
                <w:bCs/>
                <w:noProof/>
              </w:rPr>
            </w:pPr>
            <w:r w:rsidRPr="00065259">
              <w:rPr>
                <w:rFonts w:cs="Arial"/>
                <w:b/>
                <w:bCs/>
                <w:noProof/>
              </w:rPr>
              <w:t>Total</w:t>
            </w:r>
          </w:p>
        </w:tc>
        <w:tc>
          <w:tcPr>
            <w:tcW w:w="1121" w:type="dxa"/>
            <w:vAlign w:val="center"/>
          </w:tcPr>
          <w:p w14:paraId="1A8CE21E" w14:textId="77777777" w:rsidR="001A5309" w:rsidRPr="00065259" w:rsidRDefault="001A5309" w:rsidP="0010294B">
            <w:pPr>
              <w:jc w:val="right"/>
              <w:rPr>
                <w:rFonts w:cs="Arial"/>
                <w:b/>
                <w:bCs/>
                <w:noProof/>
              </w:rPr>
            </w:pPr>
            <w:r w:rsidRPr="00065259">
              <w:rPr>
                <w:rFonts w:cs="Arial"/>
                <w:b/>
                <w:bCs/>
                <w:noProof/>
              </w:rPr>
              <w:t>100%</w:t>
            </w:r>
          </w:p>
        </w:tc>
      </w:tr>
    </w:tbl>
    <w:p w14:paraId="77888D2E" w14:textId="77777777" w:rsidR="001A5309" w:rsidRDefault="001A5309" w:rsidP="001A530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1A5309" w14:paraId="43B0DED2" w14:textId="77777777" w:rsidTr="0010294B">
        <w:trPr>
          <w:trHeight w:val="562"/>
        </w:trPr>
        <w:tc>
          <w:tcPr>
            <w:tcW w:w="10060" w:type="dxa"/>
            <w:shd w:val="clear" w:color="auto" w:fill="D9D9D9" w:themeFill="background1" w:themeFillShade="D9"/>
          </w:tcPr>
          <w:p w14:paraId="4C9D2568" w14:textId="77777777" w:rsidR="001A5309" w:rsidRPr="00F22E2D" w:rsidRDefault="001A5309" w:rsidP="0010294B">
            <w:pPr>
              <w:spacing w:line="240" w:lineRule="auto"/>
              <w:jc w:val="both"/>
              <w:rPr>
                <w:rFonts w:cs="Arial"/>
                <w:noProof/>
              </w:rPr>
            </w:pPr>
            <w:r w:rsidRPr="00911F9C">
              <w:rPr>
                <w:rFonts w:cs="Arial"/>
                <w:noProof/>
              </w:rPr>
              <w:t>This quarter saw 23% of CIM orders issued quarantining 60% of a client’s welfare payment, 46% quarantining 75% of a client’s welfare payment and 31% quaranting 90% of a client’s welfare payment. The preference by clients to enter into a VIM at 60% remains the popular option with 78% of VIM agreements entered into at 60% for the quarter.</w:t>
            </w:r>
          </w:p>
        </w:tc>
      </w:tr>
    </w:tbl>
    <w:p w14:paraId="264762F5" w14:textId="3D48F4FC" w:rsidR="007B6069" w:rsidRDefault="007B6069" w:rsidP="003833F9">
      <w:pPr>
        <w:ind w:left="-142" w:right="-425"/>
        <w:jc w:val="both"/>
        <w:rPr>
          <w:rFonts w:cs="Arial"/>
        </w:rPr>
      </w:pPr>
    </w:p>
    <w:p w14:paraId="09FA0CC0" w14:textId="0A4A2816" w:rsidR="00700320" w:rsidRPr="00357BEA" w:rsidRDefault="00586B89" w:rsidP="00357BEA">
      <w:pPr>
        <w:ind w:left="-142" w:right="-425"/>
        <w:jc w:val="both"/>
        <w:rPr>
          <w:rFonts w:cs="Arial"/>
        </w:rPr>
      </w:pPr>
      <w:r>
        <w:rPr>
          <w:rFonts w:cs="Arial"/>
        </w:rPr>
        <w:t xml:space="preserve">This quarter female community members </w:t>
      </w:r>
      <w:r w:rsidR="008E6B52">
        <w:rPr>
          <w:rFonts w:cs="Arial"/>
        </w:rPr>
        <w:t xml:space="preserve">accounted for the majority of CIMs with </w:t>
      </w:r>
      <w:r w:rsidR="00B60CB5">
        <w:rPr>
          <w:rFonts w:cs="Arial"/>
        </w:rPr>
        <w:t>85</w:t>
      </w:r>
      <w:r w:rsidR="00E965BF">
        <w:rPr>
          <w:rFonts w:cs="Arial"/>
        </w:rPr>
        <w:t>%</w:t>
      </w:r>
      <w:r w:rsidR="008E6B52">
        <w:rPr>
          <w:rFonts w:cs="Arial"/>
        </w:rPr>
        <w:t xml:space="preserve"> relating to female clients</w:t>
      </w:r>
      <w:r>
        <w:rPr>
          <w:rFonts w:cs="Arial"/>
        </w:rPr>
        <w:t>. Again</w:t>
      </w:r>
      <w:r w:rsidR="00A526A0">
        <w:rPr>
          <w:rFonts w:cs="Arial"/>
        </w:rPr>
        <w:t>,</w:t>
      </w:r>
      <w:r>
        <w:rPr>
          <w:rFonts w:cs="Arial"/>
        </w:rPr>
        <w:t xml:space="preserve"> n</w:t>
      </w:r>
      <w:r w:rsidR="005A3730" w:rsidRPr="004B7415">
        <w:rPr>
          <w:rFonts w:cs="Arial"/>
        </w:rPr>
        <w:t>o community member older than 65 years was conditionally income managed by the FRC during the quarter.</w:t>
      </w:r>
    </w:p>
    <w:p w14:paraId="047CED0F" w14:textId="77777777" w:rsidR="00700320" w:rsidRPr="00C87697" w:rsidRDefault="00700320" w:rsidP="00700320">
      <w:pPr>
        <w:ind w:left="-142" w:right="-425"/>
        <w:jc w:val="both"/>
        <w:rPr>
          <w:rFonts w:cs="Arial"/>
          <w:highlight w:val="yellow"/>
        </w:rPr>
      </w:pPr>
    </w:p>
    <w:p w14:paraId="5026F836" w14:textId="2A960FE9" w:rsidR="00700320" w:rsidRPr="000B1E56" w:rsidRDefault="00586B89" w:rsidP="00700320">
      <w:pPr>
        <w:ind w:left="-142" w:right="-425"/>
        <w:jc w:val="both"/>
        <w:rPr>
          <w:rFonts w:cs="Arial"/>
        </w:rPr>
      </w:pPr>
      <w:proofErr w:type="gramStart"/>
      <w:r>
        <w:rPr>
          <w:rFonts w:cs="Arial"/>
        </w:rPr>
        <w:t>T</w:t>
      </w:r>
      <w:r w:rsidR="009D31EC" w:rsidRPr="000B1E56">
        <w:rPr>
          <w:rFonts w:cs="Arial"/>
        </w:rPr>
        <w:t>he majority of</w:t>
      </w:r>
      <w:proofErr w:type="gramEnd"/>
      <w:r w:rsidR="009D31EC" w:rsidRPr="000B1E56">
        <w:rPr>
          <w:rFonts w:cs="Arial"/>
        </w:rPr>
        <w:t xml:space="preserve"> community members voluntarily participating in voluntary income management</w:t>
      </w:r>
      <w:r w:rsidR="00DE66D7" w:rsidRPr="000B1E56">
        <w:rPr>
          <w:rFonts w:cs="Arial"/>
        </w:rPr>
        <w:t xml:space="preserve"> </w:t>
      </w:r>
      <w:r w:rsidR="00164DEC">
        <w:rPr>
          <w:rFonts w:cs="Arial"/>
        </w:rPr>
        <w:t xml:space="preserve">this quarter </w:t>
      </w:r>
      <w:r w:rsidR="00A526A0">
        <w:rPr>
          <w:rFonts w:cs="Arial"/>
        </w:rPr>
        <w:t>were f</w:t>
      </w:r>
      <w:r w:rsidR="000B1E56" w:rsidRPr="000B1E56">
        <w:rPr>
          <w:rFonts w:cs="Arial"/>
        </w:rPr>
        <w:t xml:space="preserve">rom the </w:t>
      </w:r>
      <w:r w:rsidR="00B60CB5">
        <w:rPr>
          <w:rFonts w:cs="Arial"/>
        </w:rPr>
        <w:t>5</w:t>
      </w:r>
      <w:r>
        <w:rPr>
          <w:rFonts w:cs="Arial"/>
        </w:rPr>
        <w:t>6</w:t>
      </w:r>
      <w:r w:rsidR="009D31EC" w:rsidRPr="000B1E56">
        <w:rPr>
          <w:rFonts w:cs="Arial"/>
        </w:rPr>
        <w:t xml:space="preserve"> to </w:t>
      </w:r>
      <w:r w:rsidR="00B60CB5">
        <w:rPr>
          <w:rFonts w:cs="Arial"/>
        </w:rPr>
        <w:t>6</w:t>
      </w:r>
      <w:r w:rsidR="00347B60" w:rsidRPr="000B1E56">
        <w:rPr>
          <w:rFonts w:cs="Arial"/>
        </w:rPr>
        <w:t>5</w:t>
      </w:r>
      <w:r w:rsidR="00A526A0">
        <w:rPr>
          <w:rFonts w:cs="Arial"/>
        </w:rPr>
        <w:t>-</w:t>
      </w:r>
      <w:r w:rsidR="009D31EC" w:rsidRPr="000B1E56">
        <w:rPr>
          <w:rFonts w:cs="Arial"/>
        </w:rPr>
        <w:t>year age group</w:t>
      </w:r>
      <w:r w:rsidR="00B60CB5">
        <w:rPr>
          <w:rFonts w:cs="Arial"/>
        </w:rPr>
        <w:t xml:space="preserve"> followed closely by the 26</w:t>
      </w:r>
      <w:r w:rsidR="00130365">
        <w:rPr>
          <w:rFonts w:cs="Arial"/>
        </w:rPr>
        <w:t xml:space="preserve"> to </w:t>
      </w:r>
      <w:r w:rsidR="00B60CB5">
        <w:rPr>
          <w:rFonts w:cs="Arial"/>
        </w:rPr>
        <w:t>35-year age group</w:t>
      </w:r>
      <w:r w:rsidR="005A3730" w:rsidRPr="000B1E56">
        <w:rPr>
          <w:rFonts w:cs="Arial"/>
        </w:rPr>
        <w:t>.</w:t>
      </w:r>
      <w:r w:rsidR="00FF351C" w:rsidRPr="000B1E56">
        <w:rPr>
          <w:rFonts w:cs="Arial"/>
        </w:rPr>
        <w:t xml:space="preserve"> </w:t>
      </w:r>
      <w:r w:rsidR="005A3730" w:rsidRPr="000B1E56">
        <w:rPr>
          <w:rFonts w:cs="Arial"/>
        </w:rPr>
        <w:t>F</w:t>
      </w:r>
      <w:r w:rsidR="00FF351C" w:rsidRPr="000B1E56">
        <w:rPr>
          <w:rFonts w:cs="Arial"/>
        </w:rPr>
        <w:t>emales account</w:t>
      </w:r>
      <w:r w:rsidR="00A526A0">
        <w:rPr>
          <w:rFonts w:cs="Arial"/>
        </w:rPr>
        <w:t>ed</w:t>
      </w:r>
      <w:r w:rsidR="00FF351C" w:rsidRPr="000B1E56">
        <w:rPr>
          <w:rFonts w:cs="Arial"/>
        </w:rPr>
        <w:t xml:space="preserve"> for </w:t>
      </w:r>
      <w:r w:rsidR="00357515">
        <w:rPr>
          <w:rFonts w:cs="Arial"/>
        </w:rPr>
        <w:t>68</w:t>
      </w:r>
      <w:r w:rsidR="00E965BF">
        <w:rPr>
          <w:rFonts w:cs="Arial"/>
        </w:rPr>
        <w:t>%</w:t>
      </w:r>
      <w:r w:rsidR="00FF351C" w:rsidRPr="000B1E56">
        <w:rPr>
          <w:rFonts w:cs="Arial"/>
        </w:rPr>
        <w:t xml:space="preserve"> of </w:t>
      </w:r>
      <w:r w:rsidR="00166D38" w:rsidRPr="000B1E56">
        <w:rPr>
          <w:rFonts w:cs="Arial"/>
        </w:rPr>
        <w:t xml:space="preserve">the </w:t>
      </w:r>
      <w:r w:rsidR="0042231A" w:rsidRPr="000B1E56">
        <w:rPr>
          <w:rFonts w:cs="Arial"/>
        </w:rPr>
        <w:t>VIMs. Over</w:t>
      </w:r>
      <w:r w:rsidR="00FF351C" w:rsidRPr="000B1E56">
        <w:rPr>
          <w:rFonts w:cs="Arial"/>
        </w:rPr>
        <w:t xml:space="preserve">all </w:t>
      </w:r>
      <w:r w:rsidR="0042231A" w:rsidRPr="000B1E56">
        <w:rPr>
          <w:rFonts w:cs="Arial"/>
        </w:rPr>
        <w:t xml:space="preserve">females accounted for </w:t>
      </w:r>
      <w:r w:rsidR="008E6B52">
        <w:rPr>
          <w:rFonts w:cs="Arial"/>
        </w:rPr>
        <w:t>7</w:t>
      </w:r>
      <w:r w:rsidR="00357515">
        <w:rPr>
          <w:rFonts w:cs="Arial"/>
        </w:rPr>
        <w:t>3</w:t>
      </w:r>
      <w:r w:rsidR="00E965BF">
        <w:rPr>
          <w:rFonts w:cs="Arial"/>
        </w:rPr>
        <w:t>%</w:t>
      </w:r>
      <w:r w:rsidR="0042231A" w:rsidRPr="000B1E56">
        <w:rPr>
          <w:rFonts w:cs="Arial"/>
        </w:rPr>
        <w:t xml:space="preserve"> of all </w:t>
      </w:r>
      <w:r w:rsidR="00FF351C" w:rsidRPr="000B1E56">
        <w:rPr>
          <w:rFonts w:cs="Arial"/>
        </w:rPr>
        <w:t>CDCs</w:t>
      </w:r>
      <w:r w:rsidR="005A3730" w:rsidRPr="000B1E56">
        <w:rPr>
          <w:rFonts w:cs="Arial"/>
        </w:rPr>
        <w:t xml:space="preserve"> (voluntary and conditional)</w:t>
      </w:r>
      <w:r w:rsidR="0042231A" w:rsidRPr="000B1E56">
        <w:rPr>
          <w:rFonts w:cs="Arial"/>
        </w:rPr>
        <w:t xml:space="preserve"> </w:t>
      </w:r>
      <w:r w:rsidR="009122F0" w:rsidRPr="000B1E56">
        <w:rPr>
          <w:rFonts w:cs="Arial"/>
        </w:rPr>
        <w:t>in</w:t>
      </w:r>
      <w:r w:rsidR="0042231A" w:rsidRPr="000B1E56">
        <w:rPr>
          <w:rFonts w:cs="Arial"/>
        </w:rPr>
        <w:t xml:space="preserve"> quarter </w:t>
      </w:r>
      <w:r w:rsidR="00413FAC">
        <w:rPr>
          <w:rFonts w:cs="Arial"/>
        </w:rPr>
        <w:t>59</w:t>
      </w:r>
      <w:r w:rsidR="009D31EC" w:rsidRPr="000B1E56">
        <w:rPr>
          <w:rFonts w:cs="Arial"/>
        </w:rPr>
        <w:t>.</w:t>
      </w:r>
    </w:p>
    <w:p w14:paraId="4A3BF326" w14:textId="77777777" w:rsidR="00700320" w:rsidRPr="00C87697" w:rsidRDefault="00700320" w:rsidP="00700320">
      <w:pPr>
        <w:ind w:left="-142" w:right="-425"/>
        <w:jc w:val="both"/>
        <w:rPr>
          <w:rFonts w:cs="Arial"/>
          <w:highlight w:val="yellow"/>
        </w:rPr>
      </w:pPr>
    </w:p>
    <w:p w14:paraId="5C28C434" w14:textId="55975C9E" w:rsidR="009D31EC" w:rsidRDefault="009D31EC" w:rsidP="00700320">
      <w:pPr>
        <w:ind w:left="-142" w:right="-425"/>
        <w:jc w:val="both"/>
        <w:rPr>
          <w:rFonts w:cs="Arial"/>
        </w:rPr>
      </w:pPr>
      <w:r w:rsidRPr="00132A72">
        <w:rPr>
          <w:rFonts w:cs="Arial"/>
        </w:rPr>
        <w:t xml:space="preserve">Reasons for applying for the CDC were primarily to </w:t>
      </w:r>
      <w:r w:rsidR="00BB3277">
        <w:rPr>
          <w:rFonts w:cs="Arial"/>
        </w:rPr>
        <w:t>buy food</w:t>
      </w:r>
      <w:r w:rsidR="00BB3277" w:rsidRPr="00132A72">
        <w:rPr>
          <w:rFonts w:cs="Arial"/>
        </w:rPr>
        <w:t xml:space="preserve"> </w:t>
      </w:r>
      <w:r w:rsidR="00132A72" w:rsidRPr="00132A72">
        <w:rPr>
          <w:rFonts w:cs="Arial"/>
        </w:rPr>
        <w:t>(</w:t>
      </w:r>
      <w:r w:rsidR="00BB3277">
        <w:rPr>
          <w:rFonts w:cs="Arial"/>
        </w:rPr>
        <w:t>79</w:t>
      </w:r>
      <w:r w:rsidR="00E965BF">
        <w:rPr>
          <w:rFonts w:cs="Arial"/>
        </w:rPr>
        <w:t>%</w:t>
      </w:r>
      <w:r w:rsidR="00132A72" w:rsidRPr="00132A72">
        <w:rPr>
          <w:rFonts w:cs="Arial"/>
        </w:rPr>
        <w:t xml:space="preserve">), to </w:t>
      </w:r>
      <w:r w:rsidR="00BB3277">
        <w:rPr>
          <w:rFonts w:cs="Arial"/>
        </w:rPr>
        <w:t>budget</w:t>
      </w:r>
      <w:r w:rsidR="00DB2CC6">
        <w:rPr>
          <w:rFonts w:cs="Arial"/>
        </w:rPr>
        <w:t xml:space="preserve"> </w:t>
      </w:r>
      <w:r w:rsidR="00C06F76" w:rsidRPr="00132A72">
        <w:rPr>
          <w:rFonts w:cs="Arial"/>
        </w:rPr>
        <w:t>(</w:t>
      </w:r>
      <w:r w:rsidR="00BB3277">
        <w:rPr>
          <w:rFonts w:cs="Arial"/>
        </w:rPr>
        <w:t>57</w:t>
      </w:r>
      <w:r w:rsidR="00E965BF">
        <w:rPr>
          <w:rFonts w:cs="Arial"/>
        </w:rPr>
        <w:t>%</w:t>
      </w:r>
      <w:r w:rsidR="00C06F76" w:rsidRPr="00132A72">
        <w:rPr>
          <w:rFonts w:cs="Arial"/>
        </w:rPr>
        <w:t>)</w:t>
      </w:r>
      <w:r w:rsidR="00DB2CC6">
        <w:rPr>
          <w:rFonts w:cs="Arial"/>
        </w:rPr>
        <w:t>,</w:t>
      </w:r>
      <w:r w:rsidRPr="00132A72">
        <w:rPr>
          <w:rFonts w:cs="Arial"/>
        </w:rPr>
        <w:t xml:space="preserve"> </w:t>
      </w:r>
      <w:r w:rsidR="00BF632F">
        <w:rPr>
          <w:rFonts w:cs="Arial"/>
        </w:rPr>
        <w:t>to pay for bills (3</w:t>
      </w:r>
      <w:r w:rsidR="00445C98">
        <w:rPr>
          <w:rFonts w:cs="Arial"/>
        </w:rPr>
        <w:t>9</w:t>
      </w:r>
      <w:r w:rsidR="00E965BF">
        <w:rPr>
          <w:rFonts w:cs="Arial"/>
        </w:rPr>
        <w:t>%</w:t>
      </w:r>
      <w:r w:rsidR="00BF632F">
        <w:rPr>
          <w:rFonts w:cs="Arial"/>
        </w:rPr>
        <w:t>)</w:t>
      </w:r>
      <w:r w:rsidR="00066A58" w:rsidRPr="00132A72">
        <w:rPr>
          <w:rFonts w:cs="Arial"/>
        </w:rPr>
        <w:t xml:space="preserve"> </w:t>
      </w:r>
      <w:r w:rsidR="00DB2CC6">
        <w:rPr>
          <w:rFonts w:cs="Arial"/>
        </w:rPr>
        <w:t xml:space="preserve">and </w:t>
      </w:r>
      <w:r w:rsidR="00BF632F">
        <w:rPr>
          <w:rFonts w:cs="Arial"/>
        </w:rPr>
        <w:t xml:space="preserve">to </w:t>
      </w:r>
      <w:r w:rsidR="00BF632F" w:rsidRPr="00132A72">
        <w:rPr>
          <w:rFonts w:cs="Arial"/>
        </w:rPr>
        <w:t xml:space="preserve">save for something they needed </w:t>
      </w:r>
      <w:r w:rsidR="00DB2CC6">
        <w:rPr>
          <w:rFonts w:cs="Arial"/>
        </w:rPr>
        <w:t>(</w:t>
      </w:r>
      <w:r w:rsidR="00BB3277">
        <w:rPr>
          <w:rFonts w:cs="Arial"/>
        </w:rPr>
        <w:t>39</w:t>
      </w:r>
      <w:r w:rsidR="00E965BF">
        <w:rPr>
          <w:rFonts w:cs="Arial"/>
        </w:rPr>
        <w:t>%</w:t>
      </w:r>
      <w:r w:rsidR="00DB2CC6">
        <w:rPr>
          <w:rFonts w:cs="Arial"/>
        </w:rPr>
        <w:t>)</w:t>
      </w:r>
      <w:r w:rsidRPr="00132A72">
        <w:rPr>
          <w:rFonts w:cs="Arial"/>
        </w:rPr>
        <w:t xml:space="preserve">. </w:t>
      </w:r>
      <w:r w:rsidR="00F966ED" w:rsidRPr="00132A72">
        <w:rPr>
          <w:rFonts w:cs="Arial"/>
        </w:rPr>
        <w:t>Circumstances given by voluntary income management participants when applying for the CDC were to support themselves (</w:t>
      </w:r>
      <w:r w:rsidR="00D6757C">
        <w:rPr>
          <w:rFonts w:cs="Arial"/>
        </w:rPr>
        <w:t>5</w:t>
      </w:r>
      <w:r w:rsidR="00AA0258">
        <w:rPr>
          <w:rFonts w:cs="Arial"/>
        </w:rPr>
        <w:t>7</w:t>
      </w:r>
      <w:r w:rsidR="00E965BF">
        <w:rPr>
          <w:rFonts w:cs="Arial"/>
        </w:rPr>
        <w:t>%</w:t>
      </w:r>
      <w:r w:rsidR="00F966ED" w:rsidRPr="00132A72">
        <w:rPr>
          <w:rFonts w:cs="Arial"/>
        </w:rPr>
        <w:t>)</w:t>
      </w:r>
      <w:r w:rsidR="00132A72" w:rsidRPr="00132A72">
        <w:rPr>
          <w:rFonts w:cs="Arial"/>
        </w:rPr>
        <w:t xml:space="preserve">, </w:t>
      </w:r>
      <w:r w:rsidR="00EC0BE6">
        <w:rPr>
          <w:rFonts w:cs="Arial"/>
        </w:rPr>
        <w:t>they</w:t>
      </w:r>
      <w:r w:rsidR="00132A72" w:rsidRPr="00132A72">
        <w:rPr>
          <w:rFonts w:cs="Arial"/>
        </w:rPr>
        <w:t xml:space="preserve"> like</w:t>
      </w:r>
      <w:r w:rsidR="00EC0BE6">
        <w:rPr>
          <w:rFonts w:cs="Arial"/>
        </w:rPr>
        <w:t>d</w:t>
      </w:r>
      <w:r w:rsidR="00132A72" w:rsidRPr="00132A72">
        <w:rPr>
          <w:rFonts w:cs="Arial"/>
        </w:rPr>
        <w:t xml:space="preserve"> the Cashless Debit Card (</w:t>
      </w:r>
      <w:r w:rsidR="00D6757C">
        <w:rPr>
          <w:rFonts w:cs="Arial"/>
        </w:rPr>
        <w:t>57</w:t>
      </w:r>
      <w:r w:rsidR="00E965BF">
        <w:rPr>
          <w:rFonts w:cs="Arial"/>
        </w:rPr>
        <w:t>%</w:t>
      </w:r>
      <w:r w:rsidR="00132A72" w:rsidRPr="00132A72">
        <w:rPr>
          <w:rFonts w:cs="Arial"/>
        </w:rPr>
        <w:t>)</w:t>
      </w:r>
      <w:r w:rsidR="00D6757C">
        <w:rPr>
          <w:rFonts w:cs="Arial"/>
        </w:rPr>
        <w:t>,</w:t>
      </w:r>
      <w:r w:rsidR="00132A72" w:rsidRPr="00132A72">
        <w:rPr>
          <w:rFonts w:cs="Arial"/>
        </w:rPr>
        <w:t xml:space="preserve"> </w:t>
      </w:r>
      <w:r w:rsidR="00EC0BE6">
        <w:rPr>
          <w:rFonts w:cs="Arial"/>
        </w:rPr>
        <w:t>they</w:t>
      </w:r>
      <w:r w:rsidR="00132A72" w:rsidRPr="00132A72">
        <w:rPr>
          <w:rFonts w:cs="Arial"/>
        </w:rPr>
        <w:t xml:space="preserve"> need</w:t>
      </w:r>
      <w:r w:rsidR="00EC0BE6">
        <w:rPr>
          <w:rFonts w:cs="Arial"/>
        </w:rPr>
        <w:t>ed</w:t>
      </w:r>
      <w:r w:rsidR="00132A72" w:rsidRPr="00132A72">
        <w:rPr>
          <w:rFonts w:cs="Arial"/>
        </w:rPr>
        <w:t xml:space="preserve"> to support </w:t>
      </w:r>
      <w:r w:rsidR="00EC0BE6">
        <w:rPr>
          <w:rFonts w:cs="Arial"/>
        </w:rPr>
        <w:t>their</w:t>
      </w:r>
      <w:r w:rsidR="00132A72" w:rsidRPr="00132A72">
        <w:rPr>
          <w:rFonts w:cs="Arial"/>
        </w:rPr>
        <w:t xml:space="preserve"> famil</w:t>
      </w:r>
      <w:r w:rsidR="006062B7">
        <w:rPr>
          <w:rFonts w:cs="Arial"/>
        </w:rPr>
        <w:t>ies</w:t>
      </w:r>
      <w:r w:rsidR="00132A72" w:rsidRPr="00132A72">
        <w:rPr>
          <w:rFonts w:cs="Arial"/>
        </w:rPr>
        <w:t xml:space="preserve"> (</w:t>
      </w:r>
      <w:r w:rsidR="00D6757C">
        <w:rPr>
          <w:rFonts w:cs="Arial"/>
        </w:rPr>
        <w:t>39</w:t>
      </w:r>
      <w:r w:rsidR="00E965BF">
        <w:rPr>
          <w:rFonts w:cs="Arial"/>
        </w:rPr>
        <w:t>%</w:t>
      </w:r>
      <w:r w:rsidR="00132A72" w:rsidRPr="00132A72">
        <w:rPr>
          <w:rFonts w:cs="Arial"/>
        </w:rPr>
        <w:t>)</w:t>
      </w:r>
      <w:r w:rsidR="00D6757C">
        <w:rPr>
          <w:rFonts w:cs="Arial"/>
        </w:rPr>
        <w:t xml:space="preserve"> and they needed to </w:t>
      </w:r>
      <w:r w:rsidR="00D6757C">
        <w:rPr>
          <w:rFonts w:cs="Arial"/>
        </w:rPr>
        <w:lastRenderedPageBreak/>
        <w:t>support their children (39</w:t>
      </w:r>
      <w:r w:rsidR="00E965BF">
        <w:rPr>
          <w:rFonts w:cs="Arial"/>
        </w:rPr>
        <w:t>%</w:t>
      </w:r>
      <w:r w:rsidR="00D6757C">
        <w:rPr>
          <w:rFonts w:cs="Arial"/>
        </w:rPr>
        <w:t>)</w:t>
      </w:r>
      <w:r w:rsidR="00F966ED" w:rsidRPr="00132A72">
        <w:rPr>
          <w:rFonts w:cs="Arial"/>
        </w:rPr>
        <w:t xml:space="preserve">. </w:t>
      </w:r>
      <w:r w:rsidR="00AC37B0" w:rsidRPr="00132A72">
        <w:rPr>
          <w:rFonts w:cs="Arial"/>
        </w:rPr>
        <w:t>Please note</w:t>
      </w:r>
      <w:r w:rsidR="00F12673" w:rsidRPr="00132A72">
        <w:rPr>
          <w:rFonts w:cs="Arial"/>
        </w:rPr>
        <w:t>,</w:t>
      </w:r>
      <w:r w:rsidR="00AC37B0" w:rsidRPr="00132A72">
        <w:rPr>
          <w:rFonts w:cs="Arial"/>
        </w:rPr>
        <w:t xml:space="preserve"> a client may choose one or more options to reflect their individual reasons </w:t>
      </w:r>
      <w:r w:rsidR="00CD64F4" w:rsidRPr="00132A72">
        <w:rPr>
          <w:rFonts w:cs="Arial"/>
        </w:rPr>
        <w:t xml:space="preserve">and circumstances </w:t>
      </w:r>
      <w:r w:rsidR="00764182" w:rsidRPr="00132A72">
        <w:rPr>
          <w:rFonts w:cs="Arial"/>
        </w:rPr>
        <w:t>for participating in voluntary income management</w:t>
      </w:r>
      <w:r w:rsidR="00AC37B0" w:rsidRPr="00132A72">
        <w:rPr>
          <w:rFonts w:cs="Arial"/>
        </w:rPr>
        <w:t>.</w:t>
      </w:r>
    </w:p>
    <w:p w14:paraId="51EBBFC5" w14:textId="77777777" w:rsidR="009D31EC" w:rsidRDefault="009D31EC" w:rsidP="003833F9">
      <w:pPr>
        <w:ind w:left="-142" w:right="-425"/>
        <w:jc w:val="both"/>
        <w:rPr>
          <w:rFonts w:cs="Arial"/>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411892" w14:paraId="302D339D" w14:textId="77777777" w:rsidTr="0010294B">
        <w:trPr>
          <w:trHeight w:val="278"/>
        </w:trPr>
        <w:tc>
          <w:tcPr>
            <w:tcW w:w="4390" w:type="dxa"/>
            <w:gridSpan w:val="4"/>
          </w:tcPr>
          <w:p w14:paraId="740548A8" w14:textId="77777777" w:rsidR="00411892" w:rsidRDefault="00411892" w:rsidP="0010294B">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19</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CIMs by age </w:t>
            </w:r>
            <w:r>
              <w:rPr>
                <w:rFonts w:cs="Arial"/>
                <w:noProof/>
                <w:sz w:val="16"/>
                <w:szCs w:val="16"/>
              </w:rPr>
              <w:t>cohorts</w:t>
            </w:r>
            <w:r w:rsidRPr="0056247B">
              <w:rPr>
                <w:rFonts w:cs="Arial"/>
                <w:noProof/>
                <w:sz w:val="16"/>
                <w:szCs w:val="16"/>
              </w:rPr>
              <w:t xml:space="preserve"> </w:t>
            </w:r>
            <w:r>
              <w:rPr>
                <w:rFonts w:cs="Arial"/>
                <w:noProof/>
                <w:sz w:val="16"/>
                <w:szCs w:val="16"/>
              </w:rPr>
              <w:t>and gender 1 January 2023</w:t>
            </w:r>
            <w:r w:rsidRPr="0056247B">
              <w:rPr>
                <w:rFonts w:cs="Arial"/>
                <w:noProof/>
                <w:sz w:val="16"/>
                <w:szCs w:val="16"/>
              </w:rPr>
              <w:t xml:space="preserve"> – </w:t>
            </w:r>
            <w:r>
              <w:rPr>
                <w:rFonts w:cs="Arial"/>
                <w:noProof/>
                <w:sz w:val="16"/>
                <w:szCs w:val="16"/>
              </w:rPr>
              <w:t>31 March 2023</w:t>
            </w:r>
          </w:p>
        </w:tc>
        <w:tc>
          <w:tcPr>
            <w:tcW w:w="567" w:type="dxa"/>
            <w:tcBorders>
              <w:top w:val="nil"/>
              <w:bottom w:val="nil"/>
            </w:tcBorders>
          </w:tcPr>
          <w:p w14:paraId="09C13C23" w14:textId="77777777" w:rsidR="00411892" w:rsidRDefault="00411892" w:rsidP="0010294B">
            <w:pPr>
              <w:rPr>
                <w:rFonts w:cs="Arial"/>
                <w:b/>
                <w:bCs/>
                <w:noProof/>
                <w:sz w:val="16"/>
                <w:szCs w:val="16"/>
              </w:rPr>
            </w:pPr>
          </w:p>
        </w:tc>
        <w:tc>
          <w:tcPr>
            <w:tcW w:w="4394" w:type="dxa"/>
            <w:gridSpan w:val="4"/>
          </w:tcPr>
          <w:p w14:paraId="552CBBCB" w14:textId="77777777" w:rsidR="00411892" w:rsidRDefault="00411892" w:rsidP="0010294B">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20</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VIMs by age </w:t>
            </w:r>
            <w:r>
              <w:rPr>
                <w:rFonts w:cs="Arial"/>
                <w:noProof/>
                <w:sz w:val="16"/>
                <w:szCs w:val="16"/>
              </w:rPr>
              <w:t>cohorts</w:t>
            </w:r>
            <w:r w:rsidRPr="0056247B">
              <w:rPr>
                <w:rFonts w:cs="Arial"/>
                <w:noProof/>
                <w:sz w:val="16"/>
                <w:szCs w:val="16"/>
              </w:rPr>
              <w:t xml:space="preserve"> </w:t>
            </w:r>
            <w:r>
              <w:rPr>
                <w:rFonts w:cs="Arial"/>
                <w:noProof/>
                <w:sz w:val="16"/>
                <w:szCs w:val="16"/>
              </w:rPr>
              <w:t>and gender 1 January 2023</w:t>
            </w:r>
            <w:r w:rsidRPr="0056247B">
              <w:rPr>
                <w:rFonts w:cs="Arial"/>
                <w:noProof/>
                <w:sz w:val="16"/>
                <w:szCs w:val="16"/>
              </w:rPr>
              <w:t xml:space="preserve"> – </w:t>
            </w:r>
            <w:r>
              <w:rPr>
                <w:rFonts w:cs="Arial"/>
                <w:noProof/>
                <w:sz w:val="16"/>
                <w:szCs w:val="16"/>
              </w:rPr>
              <w:t>31 March 2023</w:t>
            </w:r>
          </w:p>
        </w:tc>
      </w:tr>
      <w:tr w:rsidR="00411892" w14:paraId="7D8CB947" w14:textId="77777777" w:rsidTr="0010294B">
        <w:trPr>
          <w:trHeight w:val="278"/>
        </w:trPr>
        <w:tc>
          <w:tcPr>
            <w:tcW w:w="1418" w:type="dxa"/>
            <w:vAlign w:val="center"/>
          </w:tcPr>
          <w:p w14:paraId="5121D1D8" w14:textId="77777777" w:rsidR="00411892" w:rsidRPr="002F3F87" w:rsidRDefault="00411892" w:rsidP="0010294B">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197C3412" w14:textId="77777777" w:rsidR="00411892" w:rsidRPr="002F3F87" w:rsidRDefault="00411892" w:rsidP="0010294B">
            <w:pPr>
              <w:jc w:val="center"/>
              <w:rPr>
                <w:rFonts w:cs="Arial"/>
                <w:b/>
                <w:bCs/>
                <w:noProof/>
              </w:rPr>
            </w:pPr>
            <w:r w:rsidRPr="002F3F87">
              <w:rPr>
                <w:rFonts w:cs="Arial"/>
                <w:b/>
                <w:bCs/>
                <w:noProof/>
              </w:rPr>
              <w:t>Male</w:t>
            </w:r>
          </w:p>
        </w:tc>
        <w:tc>
          <w:tcPr>
            <w:tcW w:w="1134" w:type="dxa"/>
            <w:vAlign w:val="center"/>
          </w:tcPr>
          <w:p w14:paraId="4CE65FE5" w14:textId="77777777" w:rsidR="00411892" w:rsidRPr="002F3F87" w:rsidRDefault="00411892" w:rsidP="0010294B">
            <w:pPr>
              <w:jc w:val="center"/>
              <w:rPr>
                <w:rFonts w:cs="Arial"/>
                <w:b/>
                <w:bCs/>
                <w:noProof/>
              </w:rPr>
            </w:pPr>
            <w:r w:rsidRPr="002F3F87">
              <w:rPr>
                <w:rFonts w:cs="Arial"/>
                <w:b/>
                <w:bCs/>
                <w:noProof/>
              </w:rPr>
              <w:t>Female</w:t>
            </w:r>
          </w:p>
        </w:tc>
        <w:tc>
          <w:tcPr>
            <w:tcW w:w="851" w:type="dxa"/>
          </w:tcPr>
          <w:p w14:paraId="3CF9A75D" w14:textId="77777777" w:rsidR="00411892" w:rsidRPr="002F3F87" w:rsidRDefault="00411892" w:rsidP="0010294B">
            <w:pPr>
              <w:jc w:val="center"/>
              <w:rPr>
                <w:rFonts w:cs="Arial"/>
                <w:b/>
                <w:bCs/>
                <w:noProof/>
              </w:rPr>
            </w:pPr>
            <w:r>
              <w:rPr>
                <w:rFonts w:cs="Arial"/>
                <w:b/>
                <w:bCs/>
                <w:noProof/>
              </w:rPr>
              <w:t>Total</w:t>
            </w:r>
          </w:p>
        </w:tc>
        <w:tc>
          <w:tcPr>
            <w:tcW w:w="567" w:type="dxa"/>
            <w:tcBorders>
              <w:top w:val="nil"/>
              <w:bottom w:val="nil"/>
            </w:tcBorders>
          </w:tcPr>
          <w:p w14:paraId="50966616" w14:textId="77777777" w:rsidR="00411892" w:rsidRPr="002F3F87" w:rsidRDefault="00411892" w:rsidP="0010294B">
            <w:pPr>
              <w:rPr>
                <w:rFonts w:cs="Arial"/>
                <w:b/>
                <w:bCs/>
                <w:noProof/>
              </w:rPr>
            </w:pPr>
          </w:p>
        </w:tc>
        <w:tc>
          <w:tcPr>
            <w:tcW w:w="1417" w:type="dxa"/>
            <w:vAlign w:val="center"/>
          </w:tcPr>
          <w:p w14:paraId="34D748E3" w14:textId="77777777" w:rsidR="00411892" w:rsidRPr="002F3F87" w:rsidRDefault="00411892" w:rsidP="0010294B">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4213FFB6" w14:textId="77777777" w:rsidR="00411892" w:rsidRPr="002F3F87" w:rsidRDefault="00411892" w:rsidP="0010294B">
            <w:pPr>
              <w:jc w:val="center"/>
              <w:rPr>
                <w:rFonts w:cs="Arial"/>
                <w:b/>
                <w:bCs/>
                <w:noProof/>
              </w:rPr>
            </w:pPr>
            <w:r w:rsidRPr="002F3F87">
              <w:rPr>
                <w:rFonts w:cs="Arial"/>
                <w:b/>
                <w:bCs/>
                <w:noProof/>
              </w:rPr>
              <w:t>Male</w:t>
            </w:r>
          </w:p>
        </w:tc>
        <w:tc>
          <w:tcPr>
            <w:tcW w:w="1134" w:type="dxa"/>
            <w:vAlign w:val="center"/>
          </w:tcPr>
          <w:p w14:paraId="1445BB64" w14:textId="77777777" w:rsidR="00411892" w:rsidRPr="002F3F87" w:rsidRDefault="00411892" w:rsidP="0010294B">
            <w:pPr>
              <w:jc w:val="center"/>
              <w:rPr>
                <w:rFonts w:cs="Arial"/>
                <w:b/>
                <w:bCs/>
                <w:noProof/>
              </w:rPr>
            </w:pPr>
            <w:r w:rsidRPr="002F3F87">
              <w:rPr>
                <w:rFonts w:cs="Arial"/>
                <w:b/>
                <w:bCs/>
                <w:noProof/>
              </w:rPr>
              <w:t>Female</w:t>
            </w:r>
          </w:p>
        </w:tc>
        <w:tc>
          <w:tcPr>
            <w:tcW w:w="851" w:type="dxa"/>
          </w:tcPr>
          <w:p w14:paraId="5232AFBD" w14:textId="77777777" w:rsidR="00411892" w:rsidRPr="002F3F87" w:rsidRDefault="00411892" w:rsidP="0010294B">
            <w:pPr>
              <w:jc w:val="center"/>
              <w:rPr>
                <w:rFonts w:cs="Arial"/>
                <w:b/>
                <w:bCs/>
                <w:noProof/>
              </w:rPr>
            </w:pPr>
            <w:r>
              <w:rPr>
                <w:rFonts w:cs="Arial"/>
                <w:b/>
                <w:bCs/>
                <w:noProof/>
              </w:rPr>
              <w:t>Total</w:t>
            </w:r>
          </w:p>
        </w:tc>
      </w:tr>
      <w:tr w:rsidR="00411892" w14:paraId="0204E0F0" w14:textId="77777777" w:rsidTr="0010294B">
        <w:trPr>
          <w:trHeight w:val="278"/>
        </w:trPr>
        <w:tc>
          <w:tcPr>
            <w:tcW w:w="1418" w:type="dxa"/>
            <w:vAlign w:val="center"/>
          </w:tcPr>
          <w:p w14:paraId="1AACCDE9" w14:textId="77777777" w:rsidR="00411892" w:rsidRPr="002819D6" w:rsidRDefault="00411892" w:rsidP="0010294B">
            <w:pPr>
              <w:rPr>
                <w:rFonts w:cs="Arial"/>
                <w:noProof/>
              </w:rPr>
            </w:pPr>
            <w:r>
              <w:rPr>
                <w:rFonts w:cs="Arial"/>
                <w:noProof/>
              </w:rPr>
              <w:t>18-25</w:t>
            </w:r>
          </w:p>
        </w:tc>
        <w:tc>
          <w:tcPr>
            <w:tcW w:w="987" w:type="dxa"/>
            <w:vAlign w:val="center"/>
          </w:tcPr>
          <w:p w14:paraId="72641385" w14:textId="77777777" w:rsidR="00411892" w:rsidRPr="001D1C01" w:rsidRDefault="00411892" w:rsidP="0010294B">
            <w:pPr>
              <w:jc w:val="right"/>
              <w:rPr>
                <w:rFonts w:cs="Arial"/>
                <w:noProof/>
              </w:rPr>
            </w:pPr>
            <w:r>
              <w:rPr>
                <w:rFonts w:cs="Arial"/>
                <w:noProof/>
              </w:rPr>
              <w:t>0</w:t>
            </w:r>
          </w:p>
        </w:tc>
        <w:tc>
          <w:tcPr>
            <w:tcW w:w="1134" w:type="dxa"/>
            <w:vAlign w:val="center"/>
          </w:tcPr>
          <w:p w14:paraId="044DD825" w14:textId="77777777" w:rsidR="00411892" w:rsidRPr="001D1C01" w:rsidRDefault="00411892" w:rsidP="0010294B">
            <w:pPr>
              <w:jc w:val="right"/>
              <w:rPr>
                <w:rFonts w:cs="Arial"/>
                <w:noProof/>
              </w:rPr>
            </w:pPr>
            <w:r>
              <w:rPr>
                <w:rFonts w:cs="Arial"/>
                <w:noProof/>
              </w:rPr>
              <w:t>0</w:t>
            </w:r>
          </w:p>
        </w:tc>
        <w:tc>
          <w:tcPr>
            <w:tcW w:w="851" w:type="dxa"/>
          </w:tcPr>
          <w:p w14:paraId="3969BC9D" w14:textId="77777777" w:rsidR="00411892" w:rsidRPr="006B597B" w:rsidRDefault="00411892" w:rsidP="0010294B">
            <w:pPr>
              <w:jc w:val="right"/>
              <w:rPr>
                <w:rFonts w:cs="Arial"/>
                <w:b/>
                <w:bCs/>
                <w:noProof/>
              </w:rPr>
            </w:pPr>
            <w:r>
              <w:rPr>
                <w:rFonts w:cs="Arial"/>
                <w:b/>
                <w:bCs/>
                <w:noProof/>
              </w:rPr>
              <w:t>0</w:t>
            </w:r>
          </w:p>
        </w:tc>
        <w:tc>
          <w:tcPr>
            <w:tcW w:w="567" w:type="dxa"/>
            <w:tcBorders>
              <w:top w:val="nil"/>
              <w:bottom w:val="nil"/>
            </w:tcBorders>
          </w:tcPr>
          <w:p w14:paraId="28759D37" w14:textId="77777777" w:rsidR="00411892" w:rsidRDefault="00411892" w:rsidP="0010294B">
            <w:pPr>
              <w:rPr>
                <w:rFonts w:cs="Arial"/>
                <w:noProof/>
              </w:rPr>
            </w:pPr>
          </w:p>
        </w:tc>
        <w:tc>
          <w:tcPr>
            <w:tcW w:w="1417" w:type="dxa"/>
            <w:vAlign w:val="center"/>
          </w:tcPr>
          <w:p w14:paraId="431D1A13" w14:textId="77777777" w:rsidR="00411892" w:rsidRPr="001D1C01" w:rsidRDefault="00411892" w:rsidP="0010294B">
            <w:pPr>
              <w:rPr>
                <w:rFonts w:cs="Arial"/>
                <w:noProof/>
              </w:rPr>
            </w:pPr>
            <w:r>
              <w:rPr>
                <w:rFonts w:cs="Arial"/>
                <w:noProof/>
              </w:rPr>
              <w:t>18-25</w:t>
            </w:r>
          </w:p>
        </w:tc>
        <w:tc>
          <w:tcPr>
            <w:tcW w:w="992" w:type="dxa"/>
            <w:vAlign w:val="center"/>
          </w:tcPr>
          <w:p w14:paraId="4E7E359A" w14:textId="77777777" w:rsidR="00411892" w:rsidRPr="001D1C01" w:rsidRDefault="00411892" w:rsidP="0010294B">
            <w:pPr>
              <w:jc w:val="right"/>
              <w:rPr>
                <w:rFonts w:cs="Arial"/>
                <w:noProof/>
              </w:rPr>
            </w:pPr>
            <w:r>
              <w:rPr>
                <w:rFonts w:cs="Arial"/>
                <w:noProof/>
              </w:rPr>
              <w:t>2</w:t>
            </w:r>
          </w:p>
        </w:tc>
        <w:tc>
          <w:tcPr>
            <w:tcW w:w="1134" w:type="dxa"/>
            <w:vAlign w:val="center"/>
          </w:tcPr>
          <w:p w14:paraId="5ADB2198" w14:textId="77777777" w:rsidR="00411892" w:rsidRPr="001D1C01" w:rsidRDefault="00411892" w:rsidP="0010294B">
            <w:pPr>
              <w:jc w:val="right"/>
              <w:rPr>
                <w:rFonts w:cs="Arial"/>
                <w:noProof/>
              </w:rPr>
            </w:pPr>
            <w:r>
              <w:rPr>
                <w:rFonts w:cs="Arial"/>
                <w:noProof/>
              </w:rPr>
              <w:t>1</w:t>
            </w:r>
          </w:p>
        </w:tc>
        <w:tc>
          <w:tcPr>
            <w:tcW w:w="851" w:type="dxa"/>
          </w:tcPr>
          <w:p w14:paraId="23A4BD74" w14:textId="77777777" w:rsidR="00411892" w:rsidRPr="006B597B" w:rsidRDefault="00411892" w:rsidP="0010294B">
            <w:pPr>
              <w:jc w:val="right"/>
              <w:rPr>
                <w:rFonts w:cs="Arial"/>
                <w:b/>
                <w:bCs/>
                <w:noProof/>
              </w:rPr>
            </w:pPr>
            <w:r>
              <w:rPr>
                <w:rFonts w:cs="Arial"/>
                <w:b/>
                <w:bCs/>
                <w:noProof/>
              </w:rPr>
              <w:t>3</w:t>
            </w:r>
          </w:p>
        </w:tc>
      </w:tr>
      <w:tr w:rsidR="00411892" w14:paraId="68645BEA" w14:textId="77777777" w:rsidTr="0010294B">
        <w:trPr>
          <w:trHeight w:val="278"/>
        </w:trPr>
        <w:tc>
          <w:tcPr>
            <w:tcW w:w="1418" w:type="dxa"/>
            <w:vAlign w:val="center"/>
          </w:tcPr>
          <w:p w14:paraId="103609D8" w14:textId="77777777" w:rsidR="00411892" w:rsidRPr="002819D6" w:rsidRDefault="00411892" w:rsidP="0010294B">
            <w:pPr>
              <w:rPr>
                <w:rFonts w:cs="Arial"/>
                <w:noProof/>
              </w:rPr>
            </w:pPr>
            <w:r>
              <w:rPr>
                <w:rFonts w:cs="Arial"/>
                <w:noProof/>
              </w:rPr>
              <w:t>26-35</w:t>
            </w:r>
          </w:p>
        </w:tc>
        <w:tc>
          <w:tcPr>
            <w:tcW w:w="987" w:type="dxa"/>
            <w:vAlign w:val="center"/>
          </w:tcPr>
          <w:p w14:paraId="04244EDC" w14:textId="77777777" w:rsidR="00411892" w:rsidRPr="001D1C01" w:rsidRDefault="00411892" w:rsidP="0010294B">
            <w:pPr>
              <w:jc w:val="right"/>
              <w:rPr>
                <w:rFonts w:cs="Arial"/>
                <w:noProof/>
              </w:rPr>
            </w:pPr>
            <w:r>
              <w:rPr>
                <w:rFonts w:cs="Arial"/>
                <w:noProof/>
              </w:rPr>
              <w:t>0</w:t>
            </w:r>
          </w:p>
        </w:tc>
        <w:tc>
          <w:tcPr>
            <w:tcW w:w="1134" w:type="dxa"/>
            <w:vAlign w:val="center"/>
          </w:tcPr>
          <w:p w14:paraId="7FF1F88D" w14:textId="77777777" w:rsidR="00411892" w:rsidRPr="001D1C01" w:rsidRDefault="00411892" w:rsidP="0010294B">
            <w:pPr>
              <w:jc w:val="right"/>
              <w:rPr>
                <w:rFonts w:cs="Arial"/>
                <w:noProof/>
              </w:rPr>
            </w:pPr>
            <w:r>
              <w:rPr>
                <w:rFonts w:cs="Arial"/>
                <w:noProof/>
              </w:rPr>
              <w:t>4</w:t>
            </w:r>
          </w:p>
        </w:tc>
        <w:tc>
          <w:tcPr>
            <w:tcW w:w="851" w:type="dxa"/>
          </w:tcPr>
          <w:p w14:paraId="00D946FE" w14:textId="77777777" w:rsidR="00411892" w:rsidRPr="006B597B" w:rsidRDefault="00411892" w:rsidP="0010294B">
            <w:pPr>
              <w:jc w:val="right"/>
              <w:rPr>
                <w:rFonts w:cs="Arial"/>
                <w:b/>
                <w:bCs/>
                <w:noProof/>
              </w:rPr>
            </w:pPr>
            <w:r>
              <w:rPr>
                <w:rFonts w:cs="Arial"/>
                <w:b/>
                <w:bCs/>
                <w:noProof/>
              </w:rPr>
              <w:t>4</w:t>
            </w:r>
          </w:p>
        </w:tc>
        <w:tc>
          <w:tcPr>
            <w:tcW w:w="567" w:type="dxa"/>
            <w:tcBorders>
              <w:top w:val="nil"/>
              <w:bottom w:val="nil"/>
            </w:tcBorders>
          </w:tcPr>
          <w:p w14:paraId="2A8524DD" w14:textId="77777777" w:rsidR="00411892" w:rsidRDefault="00411892" w:rsidP="0010294B">
            <w:pPr>
              <w:rPr>
                <w:rFonts w:cs="Arial"/>
                <w:noProof/>
              </w:rPr>
            </w:pPr>
          </w:p>
        </w:tc>
        <w:tc>
          <w:tcPr>
            <w:tcW w:w="1417" w:type="dxa"/>
            <w:vAlign w:val="center"/>
          </w:tcPr>
          <w:p w14:paraId="50E3FAAB" w14:textId="77777777" w:rsidR="00411892" w:rsidRPr="001D1C01" w:rsidRDefault="00411892" w:rsidP="0010294B">
            <w:pPr>
              <w:rPr>
                <w:rFonts w:cs="Arial"/>
                <w:noProof/>
              </w:rPr>
            </w:pPr>
            <w:r>
              <w:rPr>
                <w:rFonts w:cs="Arial"/>
                <w:noProof/>
              </w:rPr>
              <w:t>26-35</w:t>
            </w:r>
          </w:p>
        </w:tc>
        <w:tc>
          <w:tcPr>
            <w:tcW w:w="992" w:type="dxa"/>
            <w:vAlign w:val="center"/>
          </w:tcPr>
          <w:p w14:paraId="551442EE" w14:textId="77777777" w:rsidR="00411892" w:rsidRPr="001D1C01" w:rsidRDefault="00411892" w:rsidP="0010294B">
            <w:pPr>
              <w:jc w:val="right"/>
              <w:rPr>
                <w:rFonts w:cs="Arial"/>
                <w:noProof/>
              </w:rPr>
            </w:pPr>
            <w:r>
              <w:rPr>
                <w:rFonts w:cs="Arial"/>
                <w:noProof/>
              </w:rPr>
              <w:t>0</w:t>
            </w:r>
          </w:p>
        </w:tc>
        <w:tc>
          <w:tcPr>
            <w:tcW w:w="1134" w:type="dxa"/>
            <w:vAlign w:val="center"/>
          </w:tcPr>
          <w:p w14:paraId="05588DAA" w14:textId="77777777" w:rsidR="00411892" w:rsidRPr="001D1C01" w:rsidRDefault="00411892" w:rsidP="0010294B">
            <w:pPr>
              <w:jc w:val="right"/>
              <w:rPr>
                <w:rFonts w:cs="Arial"/>
                <w:noProof/>
              </w:rPr>
            </w:pPr>
            <w:r>
              <w:rPr>
                <w:rFonts w:cs="Arial"/>
                <w:noProof/>
              </w:rPr>
              <w:t>7</w:t>
            </w:r>
          </w:p>
        </w:tc>
        <w:tc>
          <w:tcPr>
            <w:tcW w:w="851" w:type="dxa"/>
          </w:tcPr>
          <w:p w14:paraId="313F6722" w14:textId="77777777" w:rsidR="00411892" w:rsidRPr="006B597B" w:rsidRDefault="00411892" w:rsidP="0010294B">
            <w:pPr>
              <w:jc w:val="right"/>
              <w:rPr>
                <w:rFonts w:cs="Arial"/>
                <w:b/>
                <w:bCs/>
                <w:noProof/>
              </w:rPr>
            </w:pPr>
            <w:r>
              <w:rPr>
                <w:rFonts w:cs="Arial"/>
                <w:b/>
                <w:bCs/>
                <w:noProof/>
              </w:rPr>
              <w:t>7</w:t>
            </w:r>
          </w:p>
        </w:tc>
      </w:tr>
      <w:tr w:rsidR="00411892" w14:paraId="33F21DE8" w14:textId="77777777" w:rsidTr="0010294B">
        <w:trPr>
          <w:trHeight w:val="278"/>
        </w:trPr>
        <w:tc>
          <w:tcPr>
            <w:tcW w:w="1418" w:type="dxa"/>
            <w:vAlign w:val="center"/>
          </w:tcPr>
          <w:p w14:paraId="6D2714AB" w14:textId="77777777" w:rsidR="00411892" w:rsidRPr="002819D6" w:rsidRDefault="00411892" w:rsidP="0010294B">
            <w:pPr>
              <w:rPr>
                <w:rFonts w:cs="Arial"/>
                <w:noProof/>
              </w:rPr>
            </w:pPr>
            <w:r>
              <w:rPr>
                <w:rFonts w:cs="Arial"/>
                <w:noProof/>
              </w:rPr>
              <w:t>36-45</w:t>
            </w:r>
          </w:p>
        </w:tc>
        <w:tc>
          <w:tcPr>
            <w:tcW w:w="987" w:type="dxa"/>
            <w:vAlign w:val="center"/>
          </w:tcPr>
          <w:p w14:paraId="0F50DD35" w14:textId="77777777" w:rsidR="00411892" w:rsidRPr="001D1C01" w:rsidRDefault="00411892" w:rsidP="0010294B">
            <w:pPr>
              <w:jc w:val="right"/>
              <w:rPr>
                <w:rFonts w:cs="Arial"/>
                <w:noProof/>
              </w:rPr>
            </w:pPr>
            <w:r>
              <w:rPr>
                <w:rFonts w:cs="Arial"/>
                <w:noProof/>
              </w:rPr>
              <w:t>1</w:t>
            </w:r>
          </w:p>
        </w:tc>
        <w:tc>
          <w:tcPr>
            <w:tcW w:w="1134" w:type="dxa"/>
            <w:vAlign w:val="center"/>
          </w:tcPr>
          <w:p w14:paraId="2C43021D" w14:textId="77777777" w:rsidR="00411892" w:rsidRPr="001D1C01" w:rsidRDefault="00411892" w:rsidP="0010294B">
            <w:pPr>
              <w:jc w:val="right"/>
              <w:rPr>
                <w:rFonts w:cs="Arial"/>
                <w:noProof/>
              </w:rPr>
            </w:pPr>
            <w:r>
              <w:rPr>
                <w:rFonts w:cs="Arial"/>
                <w:noProof/>
              </w:rPr>
              <w:t>4</w:t>
            </w:r>
          </w:p>
        </w:tc>
        <w:tc>
          <w:tcPr>
            <w:tcW w:w="851" w:type="dxa"/>
          </w:tcPr>
          <w:p w14:paraId="21B4CD6E" w14:textId="77777777" w:rsidR="00411892" w:rsidRPr="006B597B" w:rsidRDefault="00411892" w:rsidP="0010294B">
            <w:pPr>
              <w:jc w:val="right"/>
              <w:rPr>
                <w:rFonts w:cs="Arial"/>
                <w:b/>
                <w:bCs/>
                <w:noProof/>
              </w:rPr>
            </w:pPr>
            <w:r>
              <w:rPr>
                <w:rFonts w:cs="Arial"/>
                <w:b/>
                <w:bCs/>
                <w:noProof/>
              </w:rPr>
              <w:t>5</w:t>
            </w:r>
          </w:p>
        </w:tc>
        <w:tc>
          <w:tcPr>
            <w:tcW w:w="567" w:type="dxa"/>
            <w:tcBorders>
              <w:top w:val="nil"/>
              <w:bottom w:val="nil"/>
            </w:tcBorders>
          </w:tcPr>
          <w:p w14:paraId="3039C5F6" w14:textId="77777777" w:rsidR="00411892" w:rsidRDefault="00411892" w:rsidP="0010294B">
            <w:pPr>
              <w:rPr>
                <w:rFonts w:cs="Arial"/>
                <w:noProof/>
              </w:rPr>
            </w:pPr>
          </w:p>
        </w:tc>
        <w:tc>
          <w:tcPr>
            <w:tcW w:w="1417" w:type="dxa"/>
            <w:vAlign w:val="center"/>
          </w:tcPr>
          <w:p w14:paraId="336C2F68" w14:textId="77777777" w:rsidR="00411892" w:rsidRPr="001D1C01" w:rsidRDefault="00411892" w:rsidP="0010294B">
            <w:pPr>
              <w:rPr>
                <w:rFonts w:cs="Arial"/>
                <w:noProof/>
              </w:rPr>
            </w:pPr>
            <w:r>
              <w:rPr>
                <w:rFonts w:cs="Arial"/>
                <w:noProof/>
              </w:rPr>
              <w:t>36-45</w:t>
            </w:r>
          </w:p>
        </w:tc>
        <w:tc>
          <w:tcPr>
            <w:tcW w:w="992" w:type="dxa"/>
            <w:vAlign w:val="center"/>
          </w:tcPr>
          <w:p w14:paraId="586375BB" w14:textId="77777777" w:rsidR="00411892" w:rsidRPr="001D1C01" w:rsidRDefault="00411892" w:rsidP="0010294B">
            <w:pPr>
              <w:jc w:val="right"/>
              <w:rPr>
                <w:rFonts w:cs="Arial"/>
                <w:noProof/>
              </w:rPr>
            </w:pPr>
            <w:r>
              <w:rPr>
                <w:rFonts w:cs="Arial"/>
                <w:noProof/>
              </w:rPr>
              <w:t>1</w:t>
            </w:r>
          </w:p>
        </w:tc>
        <w:tc>
          <w:tcPr>
            <w:tcW w:w="1134" w:type="dxa"/>
            <w:vAlign w:val="center"/>
          </w:tcPr>
          <w:p w14:paraId="7AA875AD" w14:textId="77777777" w:rsidR="00411892" w:rsidRPr="001D1C01" w:rsidRDefault="00411892" w:rsidP="0010294B">
            <w:pPr>
              <w:jc w:val="right"/>
              <w:rPr>
                <w:rFonts w:cs="Arial"/>
                <w:noProof/>
              </w:rPr>
            </w:pPr>
            <w:r>
              <w:rPr>
                <w:rFonts w:cs="Arial"/>
                <w:noProof/>
              </w:rPr>
              <w:t>4</w:t>
            </w:r>
          </w:p>
        </w:tc>
        <w:tc>
          <w:tcPr>
            <w:tcW w:w="851" w:type="dxa"/>
          </w:tcPr>
          <w:p w14:paraId="2BB75985" w14:textId="77777777" w:rsidR="00411892" w:rsidRPr="006B597B" w:rsidRDefault="00411892" w:rsidP="0010294B">
            <w:pPr>
              <w:jc w:val="right"/>
              <w:rPr>
                <w:rFonts w:cs="Arial"/>
                <w:b/>
                <w:bCs/>
                <w:noProof/>
              </w:rPr>
            </w:pPr>
            <w:r>
              <w:rPr>
                <w:rFonts w:cs="Arial"/>
                <w:b/>
                <w:bCs/>
                <w:noProof/>
              </w:rPr>
              <w:t>5</w:t>
            </w:r>
          </w:p>
        </w:tc>
      </w:tr>
      <w:tr w:rsidR="00411892" w14:paraId="6C5FB24D" w14:textId="77777777" w:rsidTr="0010294B">
        <w:trPr>
          <w:trHeight w:val="278"/>
        </w:trPr>
        <w:tc>
          <w:tcPr>
            <w:tcW w:w="1418" w:type="dxa"/>
            <w:vAlign w:val="center"/>
          </w:tcPr>
          <w:p w14:paraId="6A7217E8" w14:textId="77777777" w:rsidR="00411892" w:rsidRDefault="00411892" w:rsidP="0010294B">
            <w:pPr>
              <w:rPr>
                <w:rFonts w:cs="Arial"/>
                <w:noProof/>
              </w:rPr>
            </w:pPr>
            <w:r>
              <w:rPr>
                <w:rFonts w:cs="Arial"/>
                <w:noProof/>
              </w:rPr>
              <w:t>46-55</w:t>
            </w:r>
          </w:p>
        </w:tc>
        <w:tc>
          <w:tcPr>
            <w:tcW w:w="987" w:type="dxa"/>
            <w:vAlign w:val="center"/>
          </w:tcPr>
          <w:p w14:paraId="360C1C30" w14:textId="77777777" w:rsidR="00411892" w:rsidRPr="001D1C01" w:rsidRDefault="00411892" w:rsidP="0010294B">
            <w:pPr>
              <w:jc w:val="right"/>
              <w:rPr>
                <w:rFonts w:cs="Arial"/>
                <w:noProof/>
              </w:rPr>
            </w:pPr>
            <w:r>
              <w:rPr>
                <w:rFonts w:cs="Arial"/>
                <w:noProof/>
              </w:rPr>
              <w:t>1</w:t>
            </w:r>
          </w:p>
        </w:tc>
        <w:tc>
          <w:tcPr>
            <w:tcW w:w="1134" w:type="dxa"/>
            <w:vAlign w:val="center"/>
          </w:tcPr>
          <w:p w14:paraId="09A22F6A" w14:textId="77777777" w:rsidR="00411892" w:rsidRPr="001D1C01" w:rsidRDefault="00411892" w:rsidP="0010294B">
            <w:pPr>
              <w:jc w:val="right"/>
              <w:rPr>
                <w:rFonts w:cs="Arial"/>
                <w:noProof/>
              </w:rPr>
            </w:pPr>
            <w:r>
              <w:rPr>
                <w:rFonts w:cs="Arial"/>
                <w:noProof/>
              </w:rPr>
              <w:t>3</w:t>
            </w:r>
          </w:p>
        </w:tc>
        <w:tc>
          <w:tcPr>
            <w:tcW w:w="851" w:type="dxa"/>
          </w:tcPr>
          <w:p w14:paraId="2E019E0C" w14:textId="77777777" w:rsidR="00411892" w:rsidRPr="006B597B" w:rsidRDefault="00411892" w:rsidP="0010294B">
            <w:pPr>
              <w:jc w:val="right"/>
              <w:rPr>
                <w:rFonts w:cs="Arial"/>
                <w:b/>
                <w:bCs/>
                <w:noProof/>
              </w:rPr>
            </w:pPr>
            <w:r>
              <w:rPr>
                <w:rFonts w:cs="Arial"/>
                <w:b/>
                <w:bCs/>
                <w:noProof/>
              </w:rPr>
              <w:t>4</w:t>
            </w:r>
          </w:p>
        </w:tc>
        <w:tc>
          <w:tcPr>
            <w:tcW w:w="567" w:type="dxa"/>
            <w:tcBorders>
              <w:top w:val="nil"/>
              <w:bottom w:val="nil"/>
            </w:tcBorders>
          </w:tcPr>
          <w:p w14:paraId="0F18F01B" w14:textId="77777777" w:rsidR="00411892" w:rsidRDefault="00411892" w:rsidP="0010294B">
            <w:pPr>
              <w:rPr>
                <w:rFonts w:cs="Arial"/>
                <w:noProof/>
              </w:rPr>
            </w:pPr>
          </w:p>
        </w:tc>
        <w:tc>
          <w:tcPr>
            <w:tcW w:w="1417" w:type="dxa"/>
            <w:vAlign w:val="center"/>
          </w:tcPr>
          <w:p w14:paraId="4ABFE2B2" w14:textId="77777777" w:rsidR="00411892" w:rsidRPr="001D1C01" w:rsidRDefault="00411892" w:rsidP="0010294B">
            <w:pPr>
              <w:rPr>
                <w:rFonts w:cs="Arial"/>
                <w:noProof/>
              </w:rPr>
            </w:pPr>
            <w:r>
              <w:rPr>
                <w:rFonts w:cs="Arial"/>
                <w:noProof/>
              </w:rPr>
              <w:t>46-55</w:t>
            </w:r>
          </w:p>
        </w:tc>
        <w:tc>
          <w:tcPr>
            <w:tcW w:w="992" w:type="dxa"/>
            <w:vAlign w:val="center"/>
          </w:tcPr>
          <w:p w14:paraId="3E68AAEB" w14:textId="77777777" w:rsidR="00411892" w:rsidRDefault="00411892" w:rsidP="0010294B">
            <w:pPr>
              <w:jc w:val="right"/>
              <w:rPr>
                <w:rFonts w:cs="Arial"/>
                <w:noProof/>
              </w:rPr>
            </w:pPr>
            <w:r>
              <w:rPr>
                <w:rFonts w:cs="Arial"/>
                <w:noProof/>
              </w:rPr>
              <w:t>1</w:t>
            </w:r>
          </w:p>
        </w:tc>
        <w:tc>
          <w:tcPr>
            <w:tcW w:w="1134" w:type="dxa"/>
            <w:vAlign w:val="center"/>
          </w:tcPr>
          <w:p w14:paraId="5071D48F" w14:textId="77777777" w:rsidR="00411892" w:rsidRDefault="00411892" w:rsidP="0010294B">
            <w:pPr>
              <w:jc w:val="right"/>
              <w:rPr>
                <w:rFonts w:cs="Arial"/>
                <w:noProof/>
              </w:rPr>
            </w:pPr>
            <w:r>
              <w:rPr>
                <w:rFonts w:cs="Arial"/>
                <w:noProof/>
              </w:rPr>
              <w:t>0</w:t>
            </w:r>
          </w:p>
        </w:tc>
        <w:tc>
          <w:tcPr>
            <w:tcW w:w="851" w:type="dxa"/>
          </w:tcPr>
          <w:p w14:paraId="39F44DF6" w14:textId="77777777" w:rsidR="00411892" w:rsidRPr="006B597B" w:rsidRDefault="00411892" w:rsidP="0010294B">
            <w:pPr>
              <w:jc w:val="right"/>
              <w:rPr>
                <w:rFonts w:cs="Arial"/>
                <w:b/>
                <w:bCs/>
                <w:noProof/>
              </w:rPr>
            </w:pPr>
            <w:r>
              <w:rPr>
                <w:rFonts w:cs="Arial"/>
                <w:b/>
                <w:bCs/>
                <w:noProof/>
              </w:rPr>
              <w:t>1</w:t>
            </w:r>
          </w:p>
        </w:tc>
      </w:tr>
      <w:tr w:rsidR="00411892" w14:paraId="20F46758" w14:textId="77777777" w:rsidTr="0010294B">
        <w:trPr>
          <w:trHeight w:val="278"/>
        </w:trPr>
        <w:tc>
          <w:tcPr>
            <w:tcW w:w="1418" w:type="dxa"/>
            <w:vAlign w:val="center"/>
          </w:tcPr>
          <w:p w14:paraId="2E482F4E" w14:textId="77777777" w:rsidR="00411892" w:rsidRDefault="00411892" w:rsidP="0010294B">
            <w:pPr>
              <w:rPr>
                <w:rFonts w:cs="Arial"/>
                <w:noProof/>
              </w:rPr>
            </w:pPr>
            <w:r>
              <w:rPr>
                <w:rFonts w:cs="Arial"/>
                <w:noProof/>
              </w:rPr>
              <w:t>56-65</w:t>
            </w:r>
          </w:p>
        </w:tc>
        <w:tc>
          <w:tcPr>
            <w:tcW w:w="987" w:type="dxa"/>
            <w:vAlign w:val="center"/>
          </w:tcPr>
          <w:p w14:paraId="224B9C94" w14:textId="77777777" w:rsidR="00411892" w:rsidRPr="001D1C01" w:rsidRDefault="00411892" w:rsidP="0010294B">
            <w:pPr>
              <w:jc w:val="right"/>
              <w:rPr>
                <w:rFonts w:cs="Arial"/>
                <w:noProof/>
              </w:rPr>
            </w:pPr>
            <w:r>
              <w:rPr>
                <w:rFonts w:cs="Arial"/>
                <w:noProof/>
              </w:rPr>
              <w:t>0</w:t>
            </w:r>
          </w:p>
        </w:tc>
        <w:tc>
          <w:tcPr>
            <w:tcW w:w="1134" w:type="dxa"/>
            <w:vAlign w:val="center"/>
          </w:tcPr>
          <w:p w14:paraId="49C29A0E" w14:textId="77777777" w:rsidR="00411892" w:rsidRPr="001D1C01" w:rsidRDefault="00411892" w:rsidP="0010294B">
            <w:pPr>
              <w:jc w:val="right"/>
              <w:rPr>
                <w:rFonts w:cs="Arial"/>
                <w:noProof/>
              </w:rPr>
            </w:pPr>
            <w:r>
              <w:rPr>
                <w:rFonts w:cs="Arial"/>
                <w:noProof/>
              </w:rPr>
              <w:t>0</w:t>
            </w:r>
          </w:p>
        </w:tc>
        <w:tc>
          <w:tcPr>
            <w:tcW w:w="851" w:type="dxa"/>
          </w:tcPr>
          <w:p w14:paraId="499CDF15" w14:textId="77777777" w:rsidR="00411892" w:rsidRPr="006B597B" w:rsidRDefault="00411892" w:rsidP="0010294B">
            <w:pPr>
              <w:jc w:val="right"/>
              <w:rPr>
                <w:rFonts w:cs="Arial"/>
                <w:b/>
                <w:bCs/>
                <w:noProof/>
              </w:rPr>
            </w:pPr>
            <w:r>
              <w:rPr>
                <w:rFonts w:cs="Arial"/>
                <w:b/>
                <w:bCs/>
                <w:noProof/>
              </w:rPr>
              <w:t>0</w:t>
            </w:r>
          </w:p>
        </w:tc>
        <w:tc>
          <w:tcPr>
            <w:tcW w:w="567" w:type="dxa"/>
            <w:tcBorders>
              <w:top w:val="nil"/>
              <w:bottom w:val="nil"/>
            </w:tcBorders>
          </w:tcPr>
          <w:p w14:paraId="2226F3DC" w14:textId="77777777" w:rsidR="00411892" w:rsidRDefault="00411892" w:rsidP="0010294B">
            <w:pPr>
              <w:rPr>
                <w:rFonts w:cs="Arial"/>
                <w:noProof/>
              </w:rPr>
            </w:pPr>
          </w:p>
        </w:tc>
        <w:tc>
          <w:tcPr>
            <w:tcW w:w="1417" w:type="dxa"/>
            <w:vAlign w:val="center"/>
          </w:tcPr>
          <w:p w14:paraId="4B66007C" w14:textId="77777777" w:rsidR="00411892" w:rsidRPr="001D1C01" w:rsidRDefault="00411892" w:rsidP="0010294B">
            <w:pPr>
              <w:rPr>
                <w:rFonts w:cs="Arial"/>
                <w:noProof/>
              </w:rPr>
            </w:pPr>
            <w:r>
              <w:rPr>
                <w:rFonts w:cs="Arial"/>
                <w:noProof/>
              </w:rPr>
              <w:t>56-65</w:t>
            </w:r>
          </w:p>
        </w:tc>
        <w:tc>
          <w:tcPr>
            <w:tcW w:w="992" w:type="dxa"/>
            <w:vAlign w:val="center"/>
          </w:tcPr>
          <w:p w14:paraId="232D6C6A" w14:textId="77777777" w:rsidR="00411892" w:rsidRDefault="00411892" w:rsidP="0010294B">
            <w:pPr>
              <w:jc w:val="right"/>
              <w:rPr>
                <w:rFonts w:cs="Arial"/>
                <w:noProof/>
              </w:rPr>
            </w:pPr>
            <w:r>
              <w:rPr>
                <w:rFonts w:cs="Arial"/>
                <w:noProof/>
              </w:rPr>
              <w:t>3</w:t>
            </w:r>
          </w:p>
        </w:tc>
        <w:tc>
          <w:tcPr>
            <w:tcW w:w="1134" w:type="dxa"/>
            <w:vAlign w:val="center"/>
          </w:tcPr>
          <w:p w14:paraId="20A4F068" w14:textId="77777777" w:rsidR="00411892" w:rsidRDefault="00411892" w:rsidP="0010294B">
            <w:pPr>
              <w:jc w:val="right"/>
              <w:rPr>
                <w:rFonts w:cs="Arial"/>
                <w:noProof/>
              </w:rPr>
            </w:pPr>
            <w:r>
              <w:rPr>
                <w:rFonts w:cs="Arial"/>
                <w:noProof/>
              </w:rPr>
              <w:t>5</w:t>
            </w:r>
          </w:p>
        </w:tc>
        <w:tc>
          <w:tcPr>
            <w:tcW w:w="851" w:type="dxa"/>
          </w:tcPr>
          <w:p w14:paraId="72A78DB6" w14:textId="77777777" w:rsidR="00411892" w:rsidRPr="006B597B" w:rsidRDefault="00411892" w:rsidP="0010294B">
            <w:pPr>
              <w:jc w:val="right"/>
              <w:rPr>
                <w:rFonts w:cs="Arial"/>
                <w:b/>
                <w:bCs/>
                <w:noProof/>
              </w:rPr>
            </w:pPr>
            <w:r>
              <w:rPr>
                <w:rFonts w:cs="Arial"/>
                <w:b/>
                <w:bCs/>
                <w:noProof/>
              </w:rPr>
              <w:t>8</w:t>
            </w:r>
          </w:p>
        </w:tc>
      </w:tr>
      <w:tr w:rsidR="00411892" w14:paraId="4B3A8402" w14:textId="77777777" w:rsidTr="0010294B">
        <w:trPr>
          <w:trHeight w:val="278"/>
        </w:trPr>
        <w:tc>
          <w:tcPr>
            <w:tcW w:w="1418" w:type="dxa"/>
            <w:vAlign w:val="center"/>
          </w:tcPr>
          <w:p w14:paraId="5B2D67EB" w14:textId="77777777" w:rsidR="00411892" w:rsidRDefault="00411892" w:rsidP="0010294B">
            <w:pPr>
              <w:rPr>
                <w:rFonts w:cs="Arial"/>
                <w:noProof/>
              </w:rPr>
            </w:pPr>
            <w:r>
              <w:rPr>
                <w:rFonts w:cs="Arial"/>
                <w:noProof/>
              </w:rPr>
              <w:t>66-75</w:t>
            </w:r>
          </w:p>
        </w:tc>
        <w:tc>
          <w:tcPr>
            <w:tcW w:w="987" w:type="dxa"/>
            <w:vAlign w:val="center"/>
          </w:tcPr>
          <w:p w14:paraId="77F8911D" w14:textId="77777777" w:rsidR="00411892" w:rsidRPr="001D1C01" w:rsidRDefault="00411892" w:rsidP="0010294B">
            <w:pPr>
              <w:jc w:val="right"/>
              <w:rPr>
                <w:rFonts w:cs="Arial"/>
                <w:noProof/>
              </w:rPr>
            </w:pPr>
            <w:r>
              <w:rPr>
                <w:rFonts w:cs="Arial"/>
                <w:noProof/>
              </w:rPr>
              <w:t>0</w:t>
            </w:r>
          </w:p>
        </w:tc>
        <w:tc>
          <w:tcPr>
            <w:tcW w:w="1134" w:type="dxa"/>
            <w:vAlign w:val="center"/>
          </w:tcPr>
          <w:p w14:paraId="15E3F136" w14:textId="77777777" w:rsidR="00411892" w:rsidRPr="001D1C01" w:rsidRDefault="00411892" w:rsidP="0010294B">
            <w:pPr>
              <w:jc w:val="right"/>
              <w:rPr>
                <w:rFonts w:cs="Arial"/>
                <w:noProof/>
              </w:rPr>
            </w:pPr>
            <w:r>
              <w:rPr>
                <w:rFonts w:cs="Arial"/>
                <w:noProof/>
              </w:rPr>
              <w:t>0</w:t>
            </w:r>
          </w:p>
        </w:tc>
        <w:tc>
          <w:tcPr>
            <w:tcW w:w="851" w:type="dxa"/>
          </w:tcPr>
          <w:p w14:paraId="64A958D7" w14:textId="77777777" w:rsidR="00411892" w:rsidRPr="006B597B" w:rsidRDefault="00411892" w:rsidP="0010294B">
            <w:pPr>
              <w:jc w:val="right"/>
              <w:rPr>
                <w:rFonts w:cs="Arial"/>
                <w:b/>
                <w:bCs/>
                <w:noProof/>
              </w:rPr>
            </w:pPr>
            <w:r w:rsidRPr="006B597B">
              <w:rPr>
                <w:rFonts w:cs="Arial"/>
                <w:b/>
                <w:bCs/>
                <w:noProof/>
              </w:rPr>
              <w:t>0</w:t>
            </w:r>
          </w:p>
        </w:tc>
        <w:tc>
          <w:tcPr>
            <w:tcW w:w="567" w:type="dxa"/>
            <w:tcBorders>
              <w:top w:val="nil"/>
              <w:bottom w:val="nil"/>
            </w:tcBorders>
          </w:tcPr>
          <w:p w14:paraId="4FC22119" w14:textId="77777777" w:rsidR="00411892" w:rsidRDefault="00411892" w:rsidP="0010294B">
            <w:pPr>
              <w:rPr>
                <w:rFonts w:cs="Arial"/>
                <w:noProof/>
              </w:rPr>
            </w:pPr>
          </w:p>
        </w:tc>
        <w:tc>
          <w:tcPr>
            <w:tcW w:w="1417" w:type="dxa"/>
            <w:vAlign w:val="center"/>
          </w:tcPr>
          <w:p w14:paraId="657C929F" w14:textId="77777777" w:rsidR="00411892" w:rsidRPr="001D1C01" w:rsidRDefault="00411892" w:rsidP="0010294B">
            <w:pPr>
              <w:rPr>
                <w:rFonts w:cs="Arial"/>
                <w:noProof/>
              </w:rPr>
            </w:pPr>
            <w:r>
              <w:rPr>
                <w:rFonts w:cs="Arial"/>
                <w:noProof/>
              </w:rPr>
              <w:t>66-75</w:t>
            </w:r>
          </w:p>
        </w:tc>
        <w:tc>
          <w:tcPr>
            <w:tcW w:w="992" w:type="dxa"/>
            <w:vAlign w:val="center"/>
          </w:tcPr>
          <w:p w14:paraId="7711D618" w14:textId="77777777" w:rsidR="00411892" w:rsidRDefault="00411892" w:rsidP="0010294B">
            <w:pPr>
              <w:jc w:val="right"/>
              <w:rPr>
                <w:rFonts w:cs="Arial"/>
                <w:noProof/>
              </w:rPr>
            </w:pPr>
            <w:r>
              <w:rPr>
                <w:rFonts w:cs="Arial"/>
                <w:noProof/>
              </w:rPr>
              <w:t>2</w:t>
            </w:r>
          </w:p>
        </w:tc>
        <w:tc>
          <w:tcPr>
            <w:tcW w:w="1134" w:type="dxa"/>
            <w:vAlign w:val="center"/>
          </w:tcPr>
          <w:p w14:paraId="024F4BFC" w14:textId="77777777" w:rsidR="00411892" w:rsidRDefault="00411892" w:rsidP="0010294B">
            <w:pPr>
              <w:jc w:val="right"/>
              <w:rPr>
                <w:rFonts w:cs="Arial"/>
                <w:noProof/>
              </w:rPr>
            </w:pPr>
            <w:r>
              <w:rPr>
                <w:rFonts w:cs="Arial"/>
                <w:noProof/>
              </w:rPr>
              <w:t>2</w:t>
            </w:r>
          </w:p>
        </w:tc>
        <w:tc>
          <w:tcPr>
            <w:tcW w:w="851" w:type="dxa"/>
          </w:tcPr>
          <w:p w14:paraId="3722C05D" w14:textId="77777777" w:rsidR="00411892" w:rsidRPr="006B597B" w:rsidRDefault="00411892" w:rsidP="0010294B">
            <w:pPr>
              <w:jc w:val="right"/>
              <w:rPr>
                <w:rFonts w:cs="Arial"/>
                <w:b/>
                <w:bCs/>
                <w:noProof/>
              </w:rPr>
            </w:pPr>
            <w:r>
              <w:rPr>
                <w:rFonts w:cs="Arial"/>
                <w:b/>
                <w:bCs/>
                <w:noProof/>
              </w:rPr>
              <w:t>4</w:t>
            </w:r>
          </w:p>
        </w:tc>
      </w:tr>
      <w:tr w:rsidR="00411892" w14:paraId="63D3BFF3" w14:textId="77777777" w:rsidTr="0010294B">
        <w:trPr>
          <w:trHeight w:val="278"/>
        </w:trPr>
        <w:tc>
          <w:tcPr>
            <w:tcW w:w="1418" w:type="dxa"/>
            <w:vAlign w:val="center"/>
          </w:tcPr>
          <w:p w14:paraId="1EE71180" w14:textId="77777777" w:rsidR="00411892" w:rsidRDefault="00411892" w:rsidP="0010294B">
            <w:pPr>
              <w:rPr>
                <w:rFonts w:cs="Arial"/>
                <w:noProof/>
              </w:rPr>
            </w:pPr>
            <w:r>
              <w:rPr>
                <w:rFonts w:cs="Arial"/>
                <w:noProof/>
              </w:rPr>
              <w:t>76-85</w:t>
            </w:r>
          </w:p>
        </w:tc>
        <w:tc>
          <w:tcPr>
            <w:tcW w:w="987" w:type="dxa"/>
            <w:vAlign w:val="center"/>
          </w:tcPr>
          <w:p w14:paraId="21972E00" w14:textId="77777777" w:rsidR="00411892" w:rsidRPr="001D1C01" w:rsidRDefault="00411892" w:rsidP="0010294B">
            <w:pPr>
              <w:jc w:val="right"/>
              <w:rPr>
                <w:rFonts w:cs="Arial"/>
                <w:noProof/>
              </w:rPr>
            </w:pPr>
            <w:r>
              <w:rPr>
                <w:rFonts w:cs="Arial"/>
                <w:noProof/>
              </w:rPr>
              <w:t>0</w:t>
            </w:r>
          </w:p>
        </w:tc>
        <w:tc>
          <w:tcPr>
            <w:tcW w:w="1134" w:type="dxa"/>
            <w:vAlign w:val="center"/>
          </w:tcPr>
          <w:p w14:paraId="3FCC68F4" w14:textId="77777777" w:rsidR="00411892" w:rsidRPr="001D1C01" w:rsidRDefault="00411892" w:rsidP="0010294B">
            <w:pPr>
              <w:jc w:val="right"/>
              <w:rPr>
                <w:rFonts w:cs="Arial"/>
                <w:noProof/>
              </w:rPr>
            </w:pPr>
            <w:r>
              <w:rPr>
                <w:rFonts w:cs="Arial"/>
                <w:noProof/>
              </w:rPr>
              <w:t>0</w:t>
            </w:r>
          </w:p>
        </w:tc>
        <w:tc>
          <w:tcPr>
            <w:tcW w:w="851" w:type="dxa"/>
          </w:tcPr>
          <w:p w14:paraId="1FE31FE6" w14:textId="77777777" w:rsidR="00411892" w:rsidRPr="006B597B" w:rsidRDefault="00411892" w:rsidP="0010294B">
            <w:pPr>
              <w:jc w:val="right"/>
              <w:rPr>
                <w:rFonts w:cs="Arial"/>
                <w:b/>
                <w:bCs/>
                <w:noProof/>
              </w:rPr>
            </w:pPr>
            <w:r w:rsidRPr="006B597B">
              <w:rPr>
                <w:rFonts w:cs="Arial"/>
                <w:b/>
                <w:bCs/>
                <w:noProof/>
              </w:rPr>
              <w:t>0</w:t>
            </w:r>
          </w:p>
        </w:tc>
        <w:tc>
          <w:tcPr>
            <w:tcW w:w="567" w:type="dxa"/>
            <w:tcBorders>
              <w:top w:val="nil"/>
              <w:bottom w:val="nil"/>
            </w:tcBorders>
          </w:tcPr>
          <w:p w14:paraId="674B8A6D" w14:textId="77777777" w:rsidR="00411892" w:rsidRDefault="00411892" w:rsidP="0010294B">
            <w:pPr>
              <w:rPr>
                <w:rFonts w:cs="Arial"/>
                <w:noProof/>
              </w:rPr>
            </w:pPr>
          </w:p>
        </w:tc>
        <w:tc>
          <w:tcPr>
            <w:tcW w:w="1417" w:type="dxa"/>
            <w:vAlign w:val="center"/>
          </w:tcPr>
          <w:p w14:paraId="580A6990" w14:textId="77777777" w:rsidR="00411892" w:rsidRPr="001D1C01" w:rsidRDefault="00411892" w:rsidP="0010294B">
            <w:pPr>
              <w:rPr>
                <w:rFonts w:cs="Arial"/>
                <w:noProof/>
              </w:rPr>
            </w:pPr>
            <w:r>
              <w:rPr>
                <w:rFonts w:cs="Arial"/>
                <w:noProof/>
              </w:rPr>
              <w:t>76-85</w:t>
            </w:r>
          </w:p>
        </w:tc>
        <w:tc>
          <w:tcPr>
            <w:tcW w:w="992" w:type="dxa"/>
            <w:vAlign w:val="center"/>
          </w:tcPr>
          <w:p w14:paraId="22809DB8" w14:textId="77777777" w:rsidR="00411892" w:rsidRDefault="00411892" w:rsidP="0010294B">
            <w:pPr>
              <w:jc w:val="right"/>
              <w:rPr>
                <w:rFonts w:cs="Arial"/>
                <w:noProof/>
              </w:rPr>
            </w:pPr>
            <w:r>
              <w:rPr>
                <w:rFonts w:cs="Arial"/>
                <w:noProof/>
              </w:rPr>
              <w:t>0</w:t>
            </w:r>
          </w:p>
        </w:tc>
        <w:tc>
          <w:tcPr>
            <w:tcW w:w="1134" w:type="dxa"/>
            <w:vAlign w:val="center"/>
          </w:tcPr>
          <w:p w14:paraId="3B2F5E9B" w14:textId="77777777" w:rsidR="00411892" w:rsidRDefault="00411892" w:rsidP="0010294B">
            <w:pPr>
              <w:jc w:val="right"/>
              <w:rPr>
                <w:rFonts w:cs="Arial"/>
                <w:noProof/>
              </w:rPr>
            </w:pPr>
            <w:r>
              <w:rPr>
                <w:rFonts w:cs="Arial"/>
                <w:noProof/>
              </w:rPr>
              <w:t>0</w:t>
            </w:r>
          </w:p>
        </w:tc>
        <w:tc>
          <w:tcPr>
            <w:tcW w:w="851" w:type="dxa"/>
          </w:tcPr>
          <w:p w14:paraId="234D3415" w14:textId="77777777" w:rsidR="00411892" w:rsidRPr="006B597B" w:rsidRDefault="00411892" w:rsidP="0010294B">
            <w:pPr>
              <w:jc w:val="right"/>
              <w:rPr>
                <w:rFonts w:cs="Arial"/>
                <w:b/>
                <w:bCs/>
                <w:noProof/>
              </w:rPr>
            </w:pPr>
            <w:r>
              <w:rPr>
                <w:rFonts w:cs="Arial"/>
                <w:b/>
                <w:bCs/>
                <w:noProof/>
              </w:rPr>
              <w:t>0</w:t>
            </w:r>
          </w:p>
        </w:tc>
      </w:tr>
      <w:tr w:rsidR="00411892" w14:paraId="0E308614" w14:textId="77777777" w:rsidTr="0010294B">
        <w:trPr>
          <w:trHeight w:val="278"/>
        </w:trPr>
        <w:tc>
          <w:tcPr>
            <w:tcW w:w="1418" w:type="dxa"/>
            <w:vAlign w:val="center"/>
          </w:tcPr>
          <w:p w14:paraId="4D77C191" w14:textId="77777777" w:rsidR="00411892" w:rsidRPr="0093391D" w:rsidRDefault="00411892" w:rsidP="0010294B">
            <w:pPr>
              <w:rPr>
                <w:rFonts w:cs="Arial"/>
                <w:b/>
                <w:bCs/>
                <w:noProof/>
              </w:rPr>
            </w:pPr>
            <w:r w:rsidRPr="0093391D">
              <w:rPr>
                <w:rFonts w:cs="Arial"/>
                <w:b/>
                <w:bCs/>
                <w:noProof/>
              </w:rPr>
              <w:t>Total</w:t>
            </w:r>
          </w:p>
        </w:tc>
        <w:tc>
          <w:tcPr>
            <w:tcW w:w="987" w:type="dxa"/>
            <w:vAlign w:val="center"/>
          </w:tcPr>
          <w:p w14:paraId="0649ADEC" w14:textId="77777777" w:rsidR="00411892" w:rsidRPr="0093391D" w:rsidRDefault="00411892" w:rsidP="0010294B">
            <w:pPr>
              <w:jc w:val="right"/>
              <w:rPr>
                <w:rFonts w:cs="Arial"/>
                <w:b/>
                <w:bCs/>
                <w:noProof/>
              </w:rPr>
            </w:pPr>
            <w:r>
              <w:rPr>
                <w:rFonts w:cs="Arial"/>
                <w:b/>
                <w:bCs/>
                <w:noProof/>
              </w:rPr>
              <w:t>2</w:t>
            </w:r>
          </w:p>
        </w:tc>
        <w:tc>
          <w:tcPr>
            <w:tcW w:w="1134" w:type="dxa"/>
            <w:vAlign w:val="center"/>
          </w:tcPr>
          <w:p w14:paraId="53A1ECD5" w14:textId="77777777" w:rsidR="00411892" w:rsidRPr="0093391D" w:rsidRDefault="00411892" w:rsidP="0010294B">
            <w:pPr>
              <w:jc w:val="right"/>
              <w:rPr>
                <w:rFonts w:cs="Arial"/>
                <w:b/>
                <w:bCs/>
                <w:noProof/>
              </w:rPr>
            </w:pPr>
            <w:r>
              <w:rPr>
                <w:rFonts w:cs="Arial"/>
                <w:b/>
                <w:bCs/>
                <w:noProof/>
              </w:rPr>
              <w:t>11</w:t>
            </w:r>
          </w:p>
        </w:tc>
        <w:tc>
          <w:tcPr>
            <w:tcW w:w="851" w:type="dxa"/>
          </w:tcPr>
          <w:p w14:paraId="060786C4" w14:textId="77777777" w:rsidR="00411892" w:rsidRPr="006B597B" w:rsidRDefault="00411892" w:rsidP="0010294B">
            <w:pPr>
              <w:jc w:val="right"/>
              <w:rPr>
                <w:rFonts w:cs="Arial"/>
                <w:b/>
                <w:bCs/>
                <w:noProof/>
              </w:rPr>
            </w:pPr>
            <w:r>
              <w:rPr>
                <w:rFonts w:cs="Arial"/>
                <w:b/>
                <w:bCs/>
                <w:noProof/>
              </w:rPr>
              <w:t>13</w:t>
            </w:r>
          </w:p>
        </w:tc>
        <w:tc>
          <w:tcPr>
            <w:tcW w:w="567" w:type="dxa"/>
            <w:tcBorders>
              <w:top w:val="nil"/>
              <w:bottom w:val="nil"/>
            </w:tcBorders>
          </w:tcPr>
          <w:p w14:paraId="69C9C971" w14:textId="77777777" w:rsidR="00411892" w:rsidRDefault="00411892" w:rsidP="0010294B">
            <w:pPr>
              <w:rPr>
                <w:rFonts w:cs="Arial"/>
                <w:noProof/>
              </w:rPr>
            </w:pPr>
          </w:p>
        </w:tc>
        <w:tc>
          <w:tcPr>
            <w:tcW w:w="1417" w:type="dxa"/>
            <w:vAlign w:val="center"/>
          </w:tcPr>
          <w:p w14:paraId="7D41F5C0" w14:textId="77777777" w:rsidR="00411892" w:rsidRPr="0093391D" w:rsidRDefault="00411892" w:rsidP="0010294B">
            <w:pPr>
              <w:rPr>
                <w:rFonts w:cs="Arial"/>
                <w:b/>
                <w:bCs/>
                <w:noProof/>
              </w:rPr>
            </w:pPr>
            <w:r w:rsidRPr="0093391D">
              <w:rPr>
                <w:rFonts w:cs="Arial"/>
                <w:b/>
                <w:bCs/>
                <w:noProof/>
              </w:rPr>
              <w:t>Total</w:t>
            </w:r>
          </w:p>
        </w:tc>
        <w:tc>
          <w:tcPr>
            <w:tcW w:w="992" w:type="dxa"/>
            <w:vAlign w:val="center"/>
          </w:tcPr>
          <w:p w14:paraId="667DB0B2" w14:textId="77777777" w:rsidR="00411892" w:rsidRPr="0093391D" w:rsidRDefault="00411892" w:rsidP="0010294B">
            <w:pPr>
              <w:jc w:val="right"/>
              <w:rPr>
                <w:rFonts w:cs="Arial"/>
                <w:b/>
                <w:bCs/>
                <w:noProof/>
              </w:rPr>
            </w:pPr>
            <w:r>
              <w:rPr>
                <w:rFonts w:cs="Arial"/>
                <w:b/>
                <w:bCs/>
                <w:noProof/>
              </w:rPr>
              <w:t>9</w:t>
            </w:r>
          </w:p>
        </w:tc>
        <w:tc>
          <w:tcPr>
            <w:tcW w:w="1134" w:type="dxa"/>
            <w:vAlign w:val="center"/>
          </w:tcPr>
          <w:p w14:paraId="7EF096DE" w14:textId="77777777" w:rsidR="00411892" w:rsidRPr="0093391D" w:rsidRDefault="00411892" w:rsidP="0010294B">
            <w:pPr>
              <w:jc w:val="right"/>
              <w:rPr>
                <w:rFonts w:cs="Arial"/>
                <w:b/>
                <w:bCs/>
                <w:noProof/>
              </w:rPr>
            </w:pPr>
            <w:r>
              <w:rPr>
                <w:rFonts w:cs="Arial"/>
                <w:b/>
                <w:bCs/>
                <w:noProof/>
              </w:rPr>
              <w:t>19</w:t>
            </w:r>
          </w:p>
        </w:tc>
        <w:tc>
          <w:tcPr>
            <w:tcW w:w="851" w:type="dxa"/>
          </w:tcPr>
          <w:p w14:paraId="6ED8CCAA" w14:textId="77777777" w:rsidR="00411892" w:rsidRPr="0093391D" w:rsidRDefault="00411892" w:rsidP="0010294B">
            <w:pPr>
              <w:jc w:val="right"/>
              <w:rPr>
                <w:rFonts w:cs="Arial"/>
                <w:b/>
                <w:bCs/>
                <w:noProof/>
              </w:rPr>
            </w:pPr>
            <w:r>
              <w:rPr>
                <w:rFonts w:cs="Arial"/>
                <w:b/>
                <w:bCs/>
                <w:noProof/>
              </w:rPr>
              <w:t>28</w:t>
            </w:r>
          </w:p>
        </w:tc>
      </w:tr>
    </w:tbl>
    <w:p w14:paraId="0756F7E7" w14:textId="77777777" w:rsidR="002F2A2E" w:rsidRPr="002E156B" w:rsidRDefault="002F2A2E" w:rsidP="00086AA9">
      <w:pPr>
        <w:ind w:left="-142" w:right="-425"/>
        <w:jc w:val="both"/>
        <w:rPr>
          <w:rFonts w:cs="Arial"/>
        </w:rPr>
      </w:pPr>
    </w:p>
    <w:p w14:paraId="1159CB03" w14:textId="2C1BC395" w:rsidR="009466F4" w:rsidRPr="00076ED0" w:rsidRDefault="009466F4" w:rsidP="004D5B34">
      <w:pPr>
        <w:pStyle w:val="Heading2"/>
      </w:pPr>
      <w:r w:rsidRPr="00076ED0">
        <w:t>Case Management</w:t>
      </w:r>
    </w:p>
    <w:p w14:paraId="7A8A0342" w14:textId="038D7147" w:rsidR="00A009FE" w:rsidRDefault="00D32026" w:rsidP="001060CD">
      <w:pPr>
        <w:ind w:left="-142" w:right="-425"/>
        <w:jc w:val="both"/>
        <w:rPr>
          <w:rFonts w:cs="Arial"/>
        </w:rPr>
      </w:pPr>
      <w:r w:rsidRPr="00D32026">
        <w:rPr>
          <w:rFonts w:cs="Arial"/>
        </w:rPr>
        <w:t>Commissioners are guided by the FRC Act, sections 4 and 5, to encourage community members to engage in socially responsible ways,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r w:rsidR="001060CD">
        <w:rPr>
          <w:rFonts w:cs="Arial"/>
        </w:rPr>
        <w:t xml:space="preserve"> </w:t>
      </w:r>
      <w:r w:rsidR="009466F4" w:rsidRPr="00350FFE">
        <w:rPr>
          <w:rFonts w:cs="Arial"/>
        </w:rPr>
        <w:t xml:space="preserve">As </w:t>
      </w:r>
      <w:proofErr w:type="gramStart"/>
      <w:r w:rsidR="009466F4" w:rsidRPr="00350FFE">
        <w:rPr>
          <w:rFonts w:cs="Arial"/>
        </w:rPr>
        <w:t>at</w:t>
      </w:r>
      <w:proofErr w:type="gramEnd"/>
      <w:r w:rsidR="009466F4" w:rsidRPr="00350FFE">
        <w:rPr>
          <w:rFonts w:cs="Arial"/>
        </w:rPr>
        <w:t xml:space="preserve"> </w:t>
      </w:r>
      <w:r w:rsidR="007B7E78">
        <w:rPr>
          <w:rFonts w:cs="Arial"/>
        </w:rPr>
        <w:t xml:space="preserve">31 </w:t>
      </w:r>
      <w:r w:rsidR="00984BBB">
        <w:rPr>
          <w:rFonts w:cs="Arial"/>
        </w:rPr>
        <w:t>March 2023</w:t>
      </w:r>
      <w:r w:rsidR="009466F4" w:rsidRPr="00303C40">
        <w:rPr>
          <w:rFonts w:cs="Arial"/>
        </w:rPr>
        <w:t xml:space="preserve">, </w:t>
      </w:r>
      <w:r w:rsidR="00D6757C">
        <w:rPr>
          <w:rFonts w:cs="Arial"/>
        </w:rPr>
        <w:t xml:space="preserve">222 </w:t>
      </w:r>
      <w:r w:rsidR="009466F4" w:rsidRPr="00303C40">
        <w:rPr>
          <w:rFonts w:cs="Arial"/>
        </w:rPr>
        <w:t xml:space="preserve">clients were being </w:t>
      </w:r>
      <w:r w:rsidR="009466F4" w:rsidRPr="00490975">
        <w:rPr>
          <w:rFonts w:cs="Arial"/>
        </w:rPr>
        <w:t>case-managed</w:t>
      </w:r>
      <w:r w:rsidR="009466F4">
        <w:rPr>
          <w:rFonts w:cs="Arial"/>
        </w:rPr>
        <w:t xml:space="preserve"> through a current </w:t>
      </w:r>
      <w:r w:rsidR="002D09E1">
        <w:rPr>
          <w:rFonts w:cs="Arial"/>
        </w:rPr>
        <w:t xml:space="preserve">non-voluntary </w:t>
      </w:r>
      <w:r w:rsidR="009466F4">
        <w:rPr>
          <w:rFonts w:cs="Arial"/>
        </w:rPr>
        <w:t>case plan</w:t>
      </w:r>
      <w:r w:rsidR="001137C8">
        <w:rPr>
          <w:rFonts w:cs="Arial"/>
        </w:rPr>
        <w:t>.</w:t>
      </w:r>
    </w:p>
    <w:p w14:paraId="0DE12B56" w14:textId="77777777" w:rsidR="008D6080" w:rsidRDefault="008D6080" w:rsidP="00E2657A">
      <w:pPr>
        <w:ind w:left="-142" w:right="-425"/>
        <w:jc w:val="both"/>
        <w:rPr>
          <w:rFonts w:cs="Arial"/>
        </w:rPr>
      </w:pPr>
    </w:p>
    <w:p w14:paraId="6544B717" w14:textId="44C27BD3" w:rsidR="005A5B78" w:rsidRDefault="005A5B78" w:rsidP="004D5B34">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11A07D20" w:rsidR="00FF351C" w:rsidRDefault="0056263E" w:rsidP="00FF351C">
      <w:pPr>
        <w:ind w:left="-142" w:right="-425"/>
        <w:jc w:val="both"/>
        <w:rPr>
          <w:rFonts w:cs="Arial"/>
        </w:rPr>
      </w:pPr>
      <w:r>
        <w:rPr>
          <w:rFonts w:cs="Arial"/>
        </w:rPr>
        <w:t>Twelve</w:t>
      </w:r>
      <w:r w:rsidR="007D474D">
        <w:rPr>
          <w:rFonts w:cs="Arial"/>
        </w:rPr>
        <w:t xml:space="preserve"> </w:t>
      </w:r>
      <w:r w:rsidR="00FF351C">
        <w:rPr>
          <w:rFonts w:cs="Arial"/>
        </w:rPr>
        <w:t>a</w:t>
      </w:r>
      <w:r w:rsidR="00FF351C" w:rsidRPr="009E1D38">
        <w:rPr>
          <w:rFonts w:cs="Arial"/>
        </w:rPr>
        <w:t xml:space="preserve">pplications </w:t>
      </w:r>
      <w:r w:rsidR="00FF351C">
        <w:rPr>
          <w:rFonts w:cs="Arial"/>
        </w:rPr>
        <w:t xml:space="preserve">relating to </w:t>
      </w:r>
      <w:r w:rsidR="002F0F22">
        <w:rPr>
          <w:rFonts w:cs="Arial"/>
        </w:rPr>
        <w:t>1</w:t>
      </w:r>
      <w:r w:rsidR="00C95E01">
        <w:rPr>
          <w:rFonts w:cs="Arial"/>
        </w:rPr>
        <w:t>2</w:t>
      </w:r>
      <w:r w:rsidR="00390D07">
        <w:rPr>
          <w:rFonts w:cs="Arial"/>
        </w:rPr>
        <w:t xml:space="preserve"> </w:t>
      </w:r>
      <w:r w:rsidR="00FF351C">
        <w:rPr>
          <w:rFonts w:cs="Arial"/>
        </w:rPr>
        <w:t>clients (</w:t>
      </w:r>
      <w:r w:rsidR="009E4C69">
        <w:rPr>
          <w:rFonts w:cs="Arial"/>
        </w:rPr>
        <w:t>9</w:t>
      </w:r>
      <w:r w:rsidR="00390D07">
        <w:rPr>
          <w:rFonts w:cs="Arial"/>
        </w:rPr>
        <w:t xml:space="preserve"> </w:t>
      </w:r>
      <w:r w:rsidR="00FF351C">
        <w:rPr>
          <w:rFonts w:cs="Arial"/>
        </w:rPr>
        <w:t xml:space="preserve">female and </w:t>
      </w:r>
      <w:r w:rsidR="00C95E01">
        <w:rPr>
          <w:rFonts w:cs="Arial"/>
        </w:rPr>
        <w:t>3</w:t>
      </w:r>
      <w:r w:rsidR="002F0F22">
        <w:rPr>
          <w:rFonts w:cs="Arial"/>
        </w:rPr>
        <w:t xml:space="preserve">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413FAC">
        <w:rPr>
          <w:rFonts w:cs="Arial"/>
        </w:rPr>
        <w:t>59</w:t>
      </w:r>
      <w:r w:rsidR="00390D07">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4CB593E9" w14:textId="77777777" w:rsidR="00411892" w:rsidRDefault="00411892" w:rsidP="00FF351C">
      <w:pPr>
        <w:ind w:left="-142" w:right="-425"/>
        <w:jc w:val="both"/>
        <w:rPr>
          <w:rFonts w:cs="Arial"/>
        </w:rPr>
      </w:pPr>
    </w:p>
    <w:p w14:paraId="61C2A521" w14:textId="76813B3B" w:rsidR="00F9293E" w:rsidRDefault="00411892" w:rsidP="00F9293E">
      <w:pPr>
        <w:ind w:left="-142" w:right="-425"/>
        <w:jc w:val="both"/>
        <w:rPr>
          <w:rFonts w:cs="Arial"/>
          <w:sz w:val="16"/>
          <w:szCs w:val="16"/>
        </w:rPr>
      </w:pPr>
      <w:r>
        <w:rPr>
          <w:rFonts w:cs="Arial"/>
          <w:b/>
          <w:sz w:val="16"/>
          <w:szCs w:val="16"/>
        </w:rPr>
        <w:t>Table</w:t>
      </w:r>
      <w:r w:rsidRPr="00E34093">
        <w:rPr>
          <w:rFonts w:cs="Arial"/>
          <w:b/>
          <w:sz w:val="16"/>
          <w:szCs w:val="16"/>
        </w:rPr>
        <w:t xml:space="preserve"> </w:t>
      </w:r>
      <w:r>
        <w:rPr>
          <w:rFonts w:cs="Arial"/>
          <w:b/>
          <w:sz w:val="16"/>
          <w:szCs w:val="16"/>
        </w:rPr>
        <w:t>21</w:t>
      </w:r>
      <w:r w:rsidR="00F9293E" w:rsidRPr="00E34093">
        <w:rPr>
          <w:rFonts w:cs="Arial"/>
          <w:b/>
          <w:sz w:val="16"/>
          <w:szCs w:val="16"/>
        </w:rPr>
        <w:t>:</w:t>
      </w:r>
      <w:r w:rsidR="00F9293E">
        <w:rPr>
          <w:rFonts w:cs="Arial"/>
          <w:sz w:val="16"/>
          <w:szCs w:val="16"/>
        </w:rPr>
        <w:t xml:space="preserve"> Applications to amend or e</w:t>
      </w:r>
      <w:r w:rsidR="00F9293E" w:rsidRPr="00E34093">
        <w:rPr>
          <w:rFonts w:cs="Arial"/>
          <w:sz w:val="16"/>
          <w:szCs w:val="16"/>
        </w:rPr>
        <w:t xml:space="preserve">nd </w:t>
      </w:r>
      <w:r w:rsidR="00F9293E">
        <w:rPr>
          <w:rFonts w:cs="Arial"/>
          <w:sz w:val="16"/>
          <w:szCs w:val="16"/>
        </w:rPr>
        <w:t>agreements or o</w:t>
      </w:r>
      <w:r w:rsidR="00F9293E" w:rsidRPr="00E34093">
        <w:rPr>
          <w:rFonts w:cs="Arial"/>
          <w:sz w:val="16"/>
          <w:szCs w:val="16"/>
        </w:rPr>
        <w:t>rder</w:t>
      </w:r>
      <w:r w:rsidR="00F9293E">
        <w:rPr>
          <w:rFonts w:cs="Arial"/>
          <w:sz w:val="16"/>
          <w:szCs w:val="16"/>
        </w:rPr>
        <w:t>s</w:t>
      </w:r>
      <w:r w:rsidR="00F9293E" w:rsidRPr="00E34093">
        <w:rPr>
          <w:rFonts w:cs="Arial"/>
          <w:sz w:val="16"/>
          <w:szCs w:val="16"/>
        </w:rPr>
        <w:t xml:space="preserve"> by community and quarter </w:t>
      </w:r>
      <w:r w:rsidR="007B7E78">
        <w:rPr>
          <w:rFonts w:cs="Arial"/>
          <w:sz w:val="16"/>
          <w:szCs w:val="16"/>
        </w:rPr>
        <w:t xml:space="preserve">1 </w:t>
      </w:r>
      <w:r w:rsidR="00923416">
        <w:rPr>
          <w:rFonts w:cs="Arial"/>
          <w:sz w:val="16"/>
          <w:szCs w:val="16"/>
        </w:rPr>
        <w:t>January 2022</w:t>
      </w:r>
      <w:r w:rsidR="00F9293E">
        <w:rPr>
          <w:rFonts w:cs="Arial"/>
          <w:sz w:val="16"/>
          <w:szCs w:val="16"/>
        </w:rPr>
        <w:t xml:space="preserve"> to </w:t>
      </w:r>
      <w:r w:rsidR="007B7E78">
        <w:rPr>
          <w:rFonts w:cs="Arial"/>
          <w:sz w:val="16"/>
          <w:szCs w:val="16"/>
        </w:rPr>
        <w:t xml:space="preserve">31 </w:t>
      </w:r>
      <w:r w:rsidR="00984BBB">
        <w:rPr>
          <w:rFonts w:cs="Arial"/>
          <w:sz w:val="16"/>
          <w:szCs w:val="16"/>
        </w:rPr>
        <w:t>March 2023</w:t>
      </w:r>
    </w:p>
    <w:p w14:paraId="7F4326CD" w14:textId="77777777" w:rsidR="00411892" w:rsidRDefault="00411892" w:rsidP="00F9293E">
      <w:pPr>
        <w:ind w:left="-142" w:right="-425"/>
        <w:jc w:val="both"/>
        <w:rPr>
          <w:rFonts w:cs="Arial"/>
          <w:sz w:val="16"/>
          <w:szCs w:val="16"/>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411892" w:rsidRPr="00C5395B" w14:paraId="4806F275" w14:textId="77777777" w:rsidTr="0010294B">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4B9EFB14" w14:textId="77777777" w:rsidR="00411892" w:rsidRPr="00C5395B" w:rsidRDefault="00411892" w:rsidP="0010294B">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2D130FC0" w14:textId="77777777" w:rsidR="00411892" w:rsidRDefault="00411892" w:rsidP="0010294B">
            <w:pPr>
              <w:pStyle w:val="TableText"/>
              <w:jc w:val="right"/>
              <w:rPr>
                <w:b/>
                <w:lang w:eastAsia="en-AU"/>
              </w:rPr>
            </w:pPr>
            <w:proofErr w:type="spellStart"/>
            <w:r>
              <w:rPr>
                <w:b/>
                <w:lang w:eastAsia="en-AU"/>
              </w:rPr>
              <w:t>Qtr</w:t>
            </w:r>
            <w:proofErr w:type="spellEnd"/>
            <w:r>
              <w:rPr>
                <w:b/>
                <w:lang w:eastAsia="en-AU"/>
              </w:rPr>
              <w:t xml:space="preserve"> 55</w:t>
            </w:r>
          </w:p>
        </w:tc>
        <w:tc>
          <w:tcPr>
            <w:tcW w:w="960" w:type="dxa"/>
            <w:tcBorders>
              <w:top w:val="single" w:sz="4" w:space="0" w:color="auto"/>
              <w:left w:val="nil"/>
              <w:bottom w:val="single" w:sz="4" w:space="0" w:color="auto"/>
              <w:right w:val="single" w:sz="4" w:space="0" w:color="auto"/>
            </w:tcBorders>
          </w:tcPr>
          <w:p w14:paraId="4F4FF84A" w14:textId="77777777" w:rsidR="00411892" w:rsidRDefault="00411892"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960" w:type="dxa"/>
            <w:tcBorders>
              <w:top w:val="single" w:sz="4" w:space="0" w:color="auto"/>
              <w:left w:val="nil"/>
              <w:bottom w:val="single" w:sz="4" w:space="0" w:color="auto"/>
              <w:right w:val="single" w:sz="4" w:space="0" w:color="auto"/>
            </w:tcBorders>
          </w:tcPr>
          <w:p w14:paraId="49F509EC" w14:textId="77777777" w:rsidR="00411892" w:rsidRDefault="00411892"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960" w:type="dxa"/>
            <w:tcBorders>
              <w:top w:val="single" w:sz="4" w:space="0" w:color="auto"/>
              <w:left w:val="nil"/>
              <w:bottom w:val="single" w:sz="4" w:space="0" w:color="auto"/>
              <w:right w:val="single" w:sz="4" w:space="0" w:color="auto"/>
            </w:tcBorders>
          </w:tcPr>
          <w:p w14:paraId="588A70CF" w14:textId="77777777" w:rsidR="00411892" w:rsidRDefault="00411892"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960" w:type="dxa"/>
            <w:tcBorders>
              <w:top w:val="single" w:sz="4" w:space="0" w:color="auto"/>
              <w:left w:val="nil"/>
              <w:bottom w:val="single" w:sz="4" w:space="0" w:color="auto"/>
              <w:right w:val="single" w:sz="4" w:space="0" w:color="auto"/>
            </w:tcBorders>
          </w:tcPr>
          <w:p w14:paraId="52169961" w14:textId="77777777" w:rsidR="00411892" w:rsidRDefault="00411892" w:rsidP="0010294B">
            <w:pPr>
              <w:pStyle w:val="TableText"/>
              <w:jc w:val="right"/>
              <w:rPr>
                <w:b/>
                <w:lang w:eastAsia="en-AU"/>
              </w:rPr>
            </w:pPr>
            <w:proofErr w:type="spellStart"/>
            <w:r>
              <w:rPr>
                <w:b/>
                <w:lang w:eastAsia="en-AU"/>
              </w:rPr>
              <w:t>Qtr</w:t>
            </w:r>
            <w:proofErr w:type="spellEnd"/>
            <w:r>
              <w:rPr>
                <w:b/>
                <w:lang w:eastAsia="en-AU"/>
              </w:rPr>
              <w:t xml:space="preserve"> 59</w:t>
            </w:r>
          </w:p>
        </w:tc>
      </w:tr>
      <w:tr w:rsidR="00411892" w:rsidRPr="00C5395B" w14:paraId="297909D1"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4D9052A3" w14:textId="77777777" w:rsidR="00411892" w:rsidRPr="00C5395B" w:rsidRDefault="00411892" w:rsidP="0010294B">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34BF12C7" w14:textId="77777777" w:rsidR="00411892" w:rsidRPr="00D919B5" w:rsidRDefault="00411892" w:rsidP="0010294B">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214034C9" w14:textId="77777777" w:rsidR="00411892" w:rsidRPr="00D919B5" w:rsidRDefault="00411892" w:rsidP="0010294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3735CA5A" w14:textId="77777777" w:rsidR="00411892" w:rsidRDefault="00411892" w:rsidP="0010294B">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25A0B58A" w14:textId="77777777" w:rsidR="00411892" w:rsidRDefault="00411892" w:rsidP="0010294B">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2161369E" w14:textId="77777777" w:rsidR="00411892" w:rsidRDefault="00411892" w:rsidP="0010294B">
            <w:pPr>
              <w:jc w:val="right"/>
              <w:rPr>
                <w:rFonts w:cs="Arial"/>
              </w:rPr>
            </w:pPr>
            <w:r>
              <w:rPr>
                <w:rFonts w:cs="Arial"/>
              </w:rPr>
              <w:t>5</w:t>
            </w:r>
          </w:p>
        </w:tc>
      </w:tr>
      <w:tr w:rsidR="00411892" w:rsidRPr="00C5395B" w14:paraId="3674D48E"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237A562B" w14:textId="77777777" w:rsidR="00411892" w:rsidRPr="00C5395B" w:rsidRDefault="00411892" w:rsidP="0010294B">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27486ECA" w14:textId="77777777" w:rsidR="00411892" w:rsidRPr="00D919B5" w:rsidRDefault="0041189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0CEF395" w14:textId="77777777" w:rsidR="00411892" w:rsidRPr="00D919B5" w:rsidRDefault="00411892"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E635772" w14:textId="77777777" w:rsidR="00411892" w:rsidRDefault="0041189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41E92B9" w14:textId="77777777" w:rsidR="00411892" w:rsidRDefault="0041189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3EF82AC" w14:textId="77777777" w:rsidR="00411892" w:rsidRDefault="00411892" w:rsidP="0010294B">
            <w:pPr>
              <w:jc w:val="right"/>
              <w:rPr>
                <w:rFonts w:cs="Arial"/>
              </w:rPr>
            </w:pPr>
            <w:r>
              <w:rPr>
                <w:rFonts w:cs="Arial"/>
              </w:rPr>
              <w:t>0</w:t>
            </w:r>
          </w:p>
        </w:tc>
      </w:tr>
      <w:tr w:rsidR="00411892" w:rsidRPr="00C5395B" w14:paraId="41AEB023" w14:textId="77777777" w:rsidTr="0010294B">
        <w:trPr>
          <w:trHeight w:val="255"/>
        </w:trPr>
        <w:tc>
          <w:tcPr>
            <w:tcW w:w="2040" w:type="dxa"/>
            <w:tcBorders>
              <w:top w:val="nil"/>
              <w:left w:val="single" w:sz="4" w:space="0" w:color="auto"/>
              <w:bottom w:val="single" w:sz="4" w:space="0" w:color="auto"/>
              <w:right w:val="single" w:sz="4" w:space="0" w:color="auto"/>
            </w:tcBorders>
            <w:noWrap/>
          </w:tcPr>
          <w:p w14:paraId="3B0B1DC8" w14:textId="77777777" w:rsidR="00411892" w:rsidRPr="00C5395B" w:rsidRDefault="00411892" w:rsidP="0010294B">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34826576" w14:textId="77777777" w:rsidR="00411892" w:rsidRPr="00D919B5" w:rsidRDefault="0041189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97B379D" w14:textId="77777777" w:rsidR="00411892" w:rsidRPr="00D919B5" w:rsidRDefault="00411892"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57112A0C" w14:textId="77777777" w:rsidR="00411892" w:rsidRDefault="00411892"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886E80C" w14:textId="77777777" w:rsidR="00411892" w:rsidRDefault="0041189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A80FE74" w14:textId="77777777" w:rsidR="00411892" w:rsidRDefault="00411892" w:rsidP="0010294B">
            <w:pPr>
              <w:jc w:val="right"/>
              <w:rPr>
                <w:rFonts w:cs="Arial"/>
              </w:rPr>
            </w:pPr>
            <w:r>
              <w:rPr>
                <w:rFonts w:cs="Arial"/>
              </w:rPr>
              <w:t>2</w:t>
            </w:r>
          </w:p>
        </w:tc>
      </w:tr>
      <w:tr w:rsidR="00411892" w:rsidRPr="00C5395B" w14:paraId="63F674FC"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65A7FC43" w14:textId="77777777" w:rsidR="00411892" w:rsidRPr="00C5395B" w:rsidRDefault="00411892" w:rsidP="0010294B">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78859677" w14:textId="77777777" w:rsidR="00411892" w:rsidRPr="00D919B5" w:rsidRDefault="00411892" w:rsidP="0010294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37EA444C" w14:textId="77777777" w:rsidR="00411892" w:rsidRPr="00D919B5" w:rsidRDefault="00411892"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14AF532" w14:textId="77777777" w:rsidR="00411892" w:rsidRDefault="0041189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3AD53FC" w14:textId="77777777" w:rsidR="00411892" w:rsidRDefault="00411892"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B7BB5B3" w14:textId="77777777" w:rsidR="00411892" w:rsidRDefault="00411892" w:rsidP="0010294B">
            <w:pPr>
              <w:jc w:val="right"/>
              <w:rPr>
                <w:rFonts w:cs="Arial"/>
              </w:rPr>
            </w:pPr>
            <w:r>
              <w:rPr>
                <w:rFonts w:cs="Arial"/>
              </w:rPr>
              <w:t>4</w:t>
            </w:r>
          </w:p>
        </w:tc>
      </w:tr>
      <w:tr w:rsidR="00411892" w:rsidRPr="00C5395B" w14:paraId="5E5AD7A1"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00F2C30A" w14:textId="77777777" w:rsidR="00411892" w:rsidRPr="00C5395B" w:rsidRDefault="00411892" w:rsidP="0010294B">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7C3101CA" w14:textId="77777777" w:rsidR="00411892" w:rsidRPr="00D919B5" w:rsidRDefault="0041189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F1E9432" w14:textId="77777777" w:rsidR="00411892" w:rsidRPr="00D919B5" w:rsidRDefault="0041189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3284A9C" w14:textId="77777777" w:rsidR="00411892" w:rsidRDefault="00411892"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BC313AB" w14:textId="77777777" w:rsidR="00411892" w:rsidRDefault="0041189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5D66E86" w14:textId="77777777" w:rsidR="00411892" w:rsidRDefault="00411892" w:rsidP="0010294B">
            <w:pPr>
              <w:jc w:val="right"/>
              <w:rPr>
                <w:rFonts w:cs="Arial"/>
              </w:rPr>
            </w:pPr>
            <w:r>
              <w:rPr>
                <w:rFonts w:cs="Arial"/>
              </w:rPr>
              <w:t>1</w:t>
            </w:r>
          </w:p>
        </w:tc>
      </w:tr>
      <w:tr w:rsidR="00411892" w:rsidRPr="00C5395B" w14:paraId="44E1C88B"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5E0F2A3B" w14:textId="77777777" w:rsidR="00411892" w:rsidRPr="00C5395B" w:rsidRDefault="00411892" w:rsidP="0010294B">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06D4051C" w14:textId="77777777" w:rsidR="00411892" w:rsidRPr="00D919B5" w:rsidRDefault="00411892" w:rsidP="0010294B">
            <w:pPr>
              <w:jc w:val="right"/>
              <w:rPr>
                <w:rFonts w:cs="Arial"/>
                <w:b/>
                <w:bCs/>
              </w:rPr>
            </w:pPr>
            <w:r>
              <w:rPr>
                <w:rFonts w:cs="Arial"/>
                <w:b/>
                <w:bCs/>
              </w:rPr>
              <w:t>16</w:t>
            </w:r>
          </w:p>
        </w:tc>
        <w:tc>
          <w:tcPr>
            <w:tcW w:w="960" w:type="dxa"/>
            <w:tcBorders>
              <w:top w:val="nil"/>
              <w:left w:val="nil"/>
              <w:bottom w:val="single" w:sz="4" w:space="0" w:color="auto"/>
              <w:right w:val="single" w:sz="4" w:space="0" w:color="auto"/>
            </w:tcBorders>
          </w:tcPr>
          <w:p w14:paraId="0ED4B753" w14:textId="77777777" w:rsidR="00411892" w:rsidRPr="00D919B5" w:rsidRDefault="00411892" w:rsidP="0010294B">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1189AED1" w14:textId="77777777" w:rsidR="00411892" w:rsidRDefault="00411892" w:rsidP="0010294B">
            <w:pPr>
              <w:jc w:val="right"/>
              <w:rPr>
                <w:rFonts w:cs="Arial"/>
                <w:b/>
                <w:bCs/>
              </w:rPr>
            </w:pPr>
            <w:r>
              <w:rPr>
                <w:rFonts w:cs="Arial"/>
                <w:b/>
                <w:bCs/>
              </w:rPr>
              <w:t>10</w:t>
            </w:r>
          </w:p>
        </w:tc>
        <w:tc>
          <w:tcPr>
            <w:tcW w:w="960" w:type="dxa"/>
            <w:tcBorders>
              <w:top w:val="nil"/>
              <w:left w:val="nil"/>
              <w:bottom w:val="single" w:sz="4" w:space="0" w:color="auto"/>
              <w:right w:val="single" w:sz="4" w:space="0" w:color="auto"/>
            </w:tcBorders>
          </w:tcPr>
          <w:p w14:paraId="6A043C39" w14:textId="77777777" w:rsidR="00411892" w:rsidRDefault="00411892" w:rsidP="0010294B">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3F874EAB" w14:textId="77777777" w:rsidR="00411892" w:rsidRDefault="00411892" w:rsidP="0010294B">
            <w:pPr>
              <w:jc w:val="right"/>
              <w:rPr>
                <w:rFonts w:cs="Arial"/>
                <w:b/>
                <w:bCs/>
              </w:rPr>
            </w:pPr>
            <w:r>
              <w:rPr>
                <w:rFonts w:cs="Arial"/>
                <w:b/>
                <w:bCs/>
              </w:rPr>
              <w:t>12</w:t>
            </w:r>
          </w:p>
        </w:tc>
      </w:tr>
    </w:tbl>
    <w:p w14:paraId="46EB1DDC" w14:textId="77777777" w:rsidR="003E589C" w:rsidRPr="00CF3AF9" w:rsidRDefault="003E589C" w:rsidP="00CF3AF9">
      <w:pPr>
        <w:ind w:left="-142" w:right="-425"/>
        <w:jc w:val="both"/>
        <w:rPr>
          <w:rFonts w:cs="Arial"/>
        </w:rPr>
      </w:pPr>
    </w:p>
    <w:p w14:paraId="0C44E9B8" w14:textId="207B5029" w:rsidR="004E7166" w:rsidRPr="00076ED0" w:rsidRDefault="004E7166" w:rsidP="004D5B34">
      <w:pPr>
        <w:pStyle w:val="Heading2"/>
      </w:pPr>
      <w:r w:rsidRPr="00076ED0">
        <w:lastRenderedPageBreak/>
        <w:t>Application</w:t>
      </w:r>
      <w:r>
        <w:t xml:space="preserve"> </w:t>
      </w:r>
      <w:r w:rsidR="001D6F7E">
        <w:t>decisions</w:t>
      </w:r>
    </w:p>
    <w:p w14:paraId="0887A42F" w14:textId="23713DCE" w:rsidR="00280607" w:rsidRPr="00E92E29" w:rsidRDefault="00B60CF7" w:rsidP="00E92E29">
      <w:pPr>
        <w:ind w:left="-142" w:right="-425"/>
        <w:jc w:val="both"/>
        <w:rPr>
          <w:rFonts w:cs="Arial"/>
        </w:rPr>
      </w:pPr>
      <w:r w:rsidRPr="00E92E29">
        <w:rPr>
          <w:rFonts w:cs="Arial"/>
        </w:rPr>
        <w:t>Each application follows a transparent process and is considered by the Commissioners on its own merit whilst observing the principles of natural justice. A timely decision on the application is made under the FRC Act pursuant to section 99 for a family responsibilities agreement (FRA) or order</w:t>
      </w:r>
      <w:r w:rsidR="00461B5F">
        <w:rPr>
          <w:rFonts w:cs="Arial"/>
        </w:rPr>
        <w:t>,</w:t>
      </w:r>
      <w:r w:rsidRPr="00E92E29">
        <w:rPr>
          <w:rFonts w:cs="Arial"/>
        </w:rPr>
        <w:t xml:space="preserve"> or section 109 for a voluntary agreement, and may include either agreeing or refusing to amend or end an agreement or order, or if the Commissioners deem the application for a</w:t>
      </w:r>
      <w:r w:rsidR="00461B5F">
        <w:rPr>
          <w:rFonts w:cs="Arial"/>
        </w:rPr>
        <w:t>n</w:t>
      </w:r>
      <w:r w:rsidRPr="00E92E29">
        <w:rPr>
          <w:rFonts w:cs="Arial"/>
        </w:rPr>
        <w:t xml:space="preserve"> FRA or order frivolous or vexatious, dismissing the application. For an application received under section 97 of the FRC Act</w:t>
      </w:r>
      <w:r w:rsidR="00461B5F">
        <w:rPr>
          <w:rFonts w:cs="Arial"/>
        </w:rPr>
        <w:t>,</w:t>
      </w:r>
      <w:r w:rsidRPr="00E92E29">
        <w:rPr>
          <w:rFonts w:cs="Arial"/>
        </w:rPr>
        <w:t xml:space="preserve"> if the Commission fails to </w:t>
      </w:r>
      <w:proofErr w:type="gramStart"/>
      <w:r w:rsidRPr="00E92E29">
        <w:rPr>
          <w:rFonts w:cs="Arial"/>
        </w:rPr>
        <w:t>make a decision</w:t>
      </w:r>
      <w:proofErr w:type="gramEnd"/>
      <w:r w:rsidRPr="00E92E29">
        <w:rPr>
          <w:rFonts w:cs="Arial"/>
        </w:rPr>
        <w:t xml:space="preserve"> within two months of receipt of the application section 101 of the FRC Act determines that the failure is taken to be a decision by the Commission to refuse to amend or end the FRA or order. For an application to amend or end a voluntary agreement 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w:t>
      </w:r>
      <w:r w:rsidR="00280607" w:rsidRPr="00E92E29">
        <w:rPr>
          <w:rFonts w:cs="Arial"/>
        </w:rPr>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50602F91" w14:textId="31D7762A" w:rsidR="00C029A0" w:rsidRDefault="00B408D8" w:rsidP="00B408D8">
      <w:pPr>
        <w:ind w:left="-142" w:right="-425"/>
        <w:jc w:val="both"/>
        <w:rPr>
          <w:rFonts w:cs="Arial"/>
        </w:rPr>
      </w:pPr>
      <w:r>
        <w:rPr>
          <w:rFonts w:cs="Arial"/>
        </w:rPr>
        <w:t xml:space="preserve">A total of </w:t>
      </w:r>
      <w:r w:rsidR="0052778A">
        <w:rPr>
          <w:rFonts w:cs="Arial"/>
        </w:rPr>
        <w:t xml:space="preserve">two </w:t>
      </w:r>
      <w:r w:rsidR="00CA1B19">
        <w:rPr>
          <w:rFonts w:cs="Arial"/>
        </w:rPr>
        <w:t xml:space="preserve">amend/end </w:t>
      </w:r>
      <w:r>
        <w:rPr>
          <w:rFonts w:cs="Arial"/>
        </w:rPr>
        <w:t>application</w:t>
      </w:r>
      <w:r w:rsidR="0052778A">
        <w:rPr>
          <w:rFonts w:cs="Arial"/>
        </w:rPr>
        <w:t>s</w:t>
      </w:r>
      <w:r w:rsidR="00CA1B19">
        <w:rPr>
          <w:rFonts w:cs="Arial"/>
        </w:rPr>
        <w:t xml:space="preserve"> for </w:t>
      </w:r>
      <w:r w:rsidR="00446508">
        <w:rPr>
          <w:rFonts w:cs="Arial"/>
        </w:rPr>
        <w:t xml:space="preserve">a </w:t>
      </w:r>
      <w:r w:rsidR="00CA1B19">
        <w:rPr>
          <w:rFonts w:cs="Arial"/>
        </w:rPr>
        <w:t xml:space="preserve">Family Responsibilities Order </w:t>
      </w:r>
      <w:r w:rsidR="008C53B7">
        <w:rPr>
          <w:rFonts w:cs="Arial"/>
        </w:rPr>
        <w:t>(</w:t>
      </w:r>
      <w:r w:rsidR="00906D8C">
        <w:rPr>
          <w:rFonts w:cs="Arial"/>
        </w:rPr>
        <w:t>to end a CIM</w:t>
      </w:r>
      <w:r w:rsidR="008C53B7">
        <w:rPr>
          <w:rFonts w:cs="Arial"/>
        </w:rPr>
        <w:t>)</w:t>
      </w:r>
      <w:r w:rsidR="00906D8C">
        <w:rPr>
          <w:rFonts w:cs="Arial"/>
        </w:rPr>
        <w:t xml:space="preserve"> </w:t>
      </w:r>
      <w:r w:rsidR="00446508">
        <w:rPr>
          <w:rFonts w:cs="Arial"/>
        </w:rPr>
        <w:t xml:space="preserve">was </w:t>
      </w:r>
      <w:r w:rsidR="00CA1B19">
        <w:rPr>
          <w:rFonts w:cs="Arial"/>
        </w:rPr>
        <w:t xml:space="preserve">decided </w:t>
      </w:r>
      <w:r>
        <w:rPr>
          <w:rFonts w:cs="Arial"/>
        </w:rPr>
        <w:t xml:space="preserve">in quarter </w:t>
      </w:r>
      <w:r w:rsidR="00413FAC">
        <w:rPr>
          <w:rFonts w:cs="Arial"/>
        </w:rPr>
        <w:t>59</w:t>
      </w:r>
      <w:r w:rsidR="00686C92">
        <w:rPr>
          <w:rFonts w:cs="Arial"/>
        </w:rPr>
        <w:t xml:space="preserve"> with </w:t>
      </w:r>
      <w:r w:rsidR="0052778A">
        <w:rPr>
          <w:rFonts w:cs="Arial"/>
        </w:rPr>
        <w:t xml:space="preserve">one </w:t>
      </w:r>
      <w:r w:rsidR="00686C92">
        <w:rPr>
          <w:rFonts w:cs="Arial"/>
        </w:rPr>
        <w:t xml:space="preserve">application </w:t>
      </w:r>
      <w:r w:rsidR="00211380">
        <w:rPr>
          <w:rFonts w:cs="Arial"/>
        </w:rPr>
        <w:t xml:space="preserve">accepted </w:t>
      </w:r>
      <w:r w:rsidR="0052778A">
        <w:rPr>
          <w:rFonts w:cs="Arial"/>
        </w:rPr>
        <w:t xml:space="preserve">and one application refused </w:t>
      </w:r>
      <w:r w:rsidR="00211380">
        <w:rPr>
          <w:rFonts w:cs="Arial"/>
        </w:rPr>
        <w:t>by the FRC.</w:t>
      </w:r>
    </w:p>
    <w:p w14:paraId="14C1CE35" w14:textId="77777777" w:rsidR="0052778A" w:rsidRDefault="0052778A" w:rsidP="00B408D8">
      <w:pPr>
        <w:ind w:left="-142" w:right="-425"/>
        <w:jc w:val="both"/>
        <w:rPr>
          <w:rFonts w:cs="Arial"/>
        </w:rPr>
      </w:pPr>
    </w:p>
    <w:p w14:paraId="44D0AC43" w14:textId="3353C878" w:rsidR="00B9549C" w:rsidRDefault="0052778A" w:rsidP="00B408D8">
      <w:pPr>
        <w:ind w:left="-142" w:right="-425"/>
        <w:jc w:val="both"/>
        <w:rPr>
          <w:rFonts w:cs="Arial"/>
        </w:rPr>
      </w:pPr>
      <w:r>
        <w:rPr>
          <w:rFonts w:cs="Arial"/>
        </w:rPr>
        <w:t>Ten</w:t>
      </w:r>
      <w:r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voluntary agreement</w:t>
      </w:r>
      <w:r w:rsidR="008C53B7">
        <w:rPr>
          <w:rFonts w:cs="Arial"/>
        </w:rPr>
        <w:t>s</w:t>
      </w:r>
      <w:r w:rsidR="00464E31">
        <w:rPr>
          <w:rFonts w:cs="Arial"/>
        </w:rPr>
        <w:t xml:space="preserve"> were decided</w:t>
      </w:r>
      <w:r w:rsidR="00211380">
        <w:rPr>
          <w:rFonts w:cs="Arial"/>
        </w:rPr>
        <w:t xml:space="preserve"> in the reporting period with </w:t>
      </w:r>
      <w:r>
        <w:rPr>
          <w:rFonts w:cs="Arial"/>
        </w:rPr>
        <w:t xml:space="preserve">nine </w:t>
      </w:r>
      <w:r w:rsidR="00211380">
        <w:rPr>
          <w:rFonts w:cs="Arial"/>
        </w:rPr>
        <w:t>applications made by clients accepted by the FRC</w:t>
      </w:r>
      <w:r w:rsidR="00C37FA9">
        <w:rPr>
          <w:rFonts w:cs="Arial"/>
        </w:rPr>
        <w:t>.</w:t>
      </w:r>
      <w:r w:rsidR="00211380">
        <w:rPr>
          <w:rFonts w:cs="Arial"/>
        </w:rPr>
        <w:t xml:space="preserve"> A breakdown of the </w:t>
      </w:r>
      <w:r>
        <w:rPr>
          <w:rFonts w:cs="Arial"/>
        </w:rPr>
        <w:t xml:space="preserve">decisions </w:t>
      </w:r>
      <w:r w:rsidR="00211380">
        <w:rPr>
          <w:rFonts w:cs="Arial"/>
        </w:rPr>
        <w:t xml:space="preserve">of </w:t>
      </w:r>
      <w:r>
        <w:rPr>
          <w:rFonts w:cs="Arial"/>
        </w:rPr>
        <w:t xml:space="preserve">the </w:t>
      </w:r>
      <w:r w:rsidR="00211380">
        <w:rPr>
          <w:rFonts w:cs="Arial"/>
        </w:rPr>
        <w:t>applications is as follows</w:t>
      </w:r>
      <w:r w:rsidR="00C029A0">
        <w:rPr>
          <w:rFonts w:cs="Arial"/>
        </w:rPr>
        <w:t>:</w:t>
      </w:r>
    </w:p>
    <w:p w14:paraId="5C96541D" w14:textId="77777777" w:rsidR="00C81DF4" w:rsidRDefault="00C81DF4" w:rsidP="00B408D8">
      <w:pPr>
        <w:ind w:left="-142" w:right="-425"/>
        <w:jc w:val="both"/>
        <w:rPr>
          <w:rFonts w:cs="Arial"/>
        </w:rPr>
      </w:pPr>
    </w:p>
    <w:p w14:paraId="1E5C4343" w14:textId="4ED46B72" w:rsidR="00C029A0" w:rsidRDefault="0052778A"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5</w:t>
      </w:r>
      <w:r w:rsidR="005B0BC6" w:rsidRPr="00FB5E8C">
        <w:rPr>
          <w:rFonts w:ascii="Verdana" w:hAnsi="Verdana" w:cs="Arial"/>
          <w:sz w:val="20"/>
          <w:szCs w:val="20"/>
        </w:rPr>
        <w:t xml:space="preserve"> </w:t>
      </w:r>
      <w:r w:rsidR="00C029A0" w:rsidRPr="00FB5E8C">
        <w:rPr>
          <w:rFonts w:ascii="Verdana" w:hAnsi="Verdana" w:cs="Arial"/>
          <w:sz w:val="20"/>
          <w:szCs w:val="20"/>
        </w:rPr>
        <w:t xml:space="preserve">Applications were accepted and voluntary income management agreements </w:t>
      </w:r>
      <w:proofErr w:type="gramStart"/>
      <w:r w:rsidR="00C029A0" w:rsidRPr="00FB5E8C">
        <w:rPr>
          <w:rFonts w:ascii="Verdana" w:hAnsi="Verdana" w:cs="Arial"/>
          <w:sz w:val="20"/>
          <w:szCs w:val="20"/>
        </w:rPr>
        <w:t>ended</w:t>
      </w:r>
      <w:proofErr w:type="gramEnd"/>
    </w:p>
    <w:p w14:paraId="761D989F" w14:textId="37FF2C81" w:rsidR="0052778A" w:rsidRDefault="0052778A" w:rsidP="00010F70">
      <w:pPr>
        <w:pStyle w:val="ListParagraph"/>
        <w:numPr>
          <w:ilvl w:val="0"/>
          <w:numId w:val="11"/>
        </w:numPr>
        <w:tabs>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 xml:space="preserve">1 Application was </w:t>
      </w:r>
      <w:proofErr w:type="gramStart"/>
      <w:r w:rsidRPr="00FB5E8C">
        <w:rPr>
          <w:rFonts w:ascii="Verdana" w:hAnsi="Verdana" w:cs="Arial"/>
          <w:sz w:val="20"/>
          <w:szCs w:val="20"/>
        </w:rPr>
        <w:t>accepted</w:t>
      </w:r>
      <w:proofErr w:type="gramEnd"/>
      <w:r w:rsidRPr="00FB5E8C">
        <w:rPr>
          <w:rFonts w:ascii="Verdana" w:hAnsi="Verdana" w:cs="Arial"/>
          <w:sz w:val="20"/>
          <w:szCs w:val="20"/>
        </w:rPr>
        <w:t xml:space="preserve"> and the voluntary income management agreement amended</w:t>
      </w:r>
      <w:r>
        <w:rPr>
          <w:rFonts w:ascii="Verdana" w:hAnsi="Verdana" w:cs="Arial"/>
          <w:sz w:val="20"/>
          <w:szCs w:val="20"/>
        </w:rPr>
        <w:t>,</w:t>
      </w:r>
      <w:r w:rsidRPr="00FB5E8C">
        <w:rPr>
          <w:rFonts w:ascii="Verdana" w:hAnsi="Verdana" w:cs="Arial"/>
          <w:sz w:val="20"/>
          <w:szCs w:val="20"/>
        </w:rPr>
        <w:t xml:space="preserve"> </w:t>
      </w:r>
      <w:r>
        <w:rPr>
          <w:rFonts w:ascii="Verdana" w:hAnsi="Verdana" w:cs="Arial"/>
          <w:sz w:val="20"/>
          <w:szCs w:val="20"/>
        </w:rPr>
        <w:t>increasing</w:t>
      </w:r>
      <w:r w:rsidRPr="00FB5E8C">
        <w:rPr>
          <w:rFonts w:ascii="Verdana" w:hAnsi="Verdana" w:cs="Arial"/>
          <w:sz w:val="20"/>
          <w:szCs w:val="20"/>
        </w:rPr>
        <w:t xml:space="preserve"> from </w:t>
      </w:r>
      <w:r>
        <w:rPr>
          <w:rFonts w:ascii="Verdana" w:hAnsi="Verdana" w:cs="Arial"/>
          <w:sz w:val="20"/>
          <w:szCs w:val="20"/>
        </w:rPr>
        <w:t>60</w:t>
      </w:r>
      <w:r w:rsidRPr="00FB5E8C">
        <w:rPr>
          <w:rFonts w:ascii="Verdana" w:hAnsi="Verdana" w:cs="Arial"/>
          <w:sz w:val="20"/>
          <w:szCs w:val="20"/>
        </w:rPr>
        <w:t xml:space="preserve">% to </w:t>
      </w:r>
      <w:r>
        <w:rPr>
          <w:rFonts w:ascii="Verdana" w:hAnsi="Verdana" w:cs="Arial"/>
          <w:sz w:val="20"/>
          <w:szCs w:val="20"/>
        </w:rPr>
        <w:t>9</w:t>
      </w:r>
      <w:r w:rsidRPr="00FB5E8C">
        <w:rPr>
          <w:rFonts w:ascii="Verdana" w:hAnsi="Verdana" w:cs="Arial"/>
          <w:sz w:val="20"/>
          <w:szCs w:val="20"/>
        </w:rPr>
        <w:t>0% for the remaining period of the voluntary agreement</w:t>
      </w:r>
    </w:p>
    <w:p w14:paraId="3A8A99F6" w14:textId="535B156C" w:rsidR="0052778A" w:rsidRPr="0052778A" w:rsidRDefault="00F768C2" w:rsidP="0052778A">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2</w:t>
      </w:r>
      <w:r w:rsidRPr="00FB5E8C">
        <w:rPr>
          <w:rFonts w:ascii="Verdana" w:hAnsi="Verdana" w:cs="Arial"/>
          <w:sz w:val="20"/>
          <w:szCs w:val="20"/>
        </w:rPr>
        <w:t xml:space="preserve"> </w:t>
      </w:r>
      <w:r w:rsidR="0052778A" w:rsidRPr="00FB5E8C">
        <w:rPr>
          <w:rFonts w:ascii="Verdana" w:hAnsi="Verdana" w:cs="Arial"/>
          <w:sz w:val="20"/>
          <w:szCs w:val="20"/>
        </w:rPr>
        <w:t>Application</w:t>
      </w:r>
      <w:r>
        <w:rPr>
          <w:rFonts w:ascii="Verdana" w:hAnsi="Verdana" w:cs="Arial"/>
          <w:sz w:val="20"/>
          <w:szCs w:val="20"/>
        </w:rPr>
        <w:t>s</w:t>
      </w:r>
      <w:r w:rsidR="0052778A" w:rsidRPr="00FB5E8C">
        <w:rPr>
          <w:rFonts w:ascii="Verdana" w:hAnsi="Verdana" w:cs="Arial"/>
          <w:sz w:val="20"/>
          <w:szCs w:val="20"/>
        </w:rPr>
        <w:t xml:space="preserve"> </w:t>
      </w:r>
      <w:r>
        <w:rPr>
          <w:rFonts w:ascii="Verdana" w:hAnsi="Verdana" w:cs="Arial"/>
          <w:sz w:val="20"/>
          <w:szCs w:val="20"/>
        </w:rPr>
        <w:t>were</w:t>
      </w:r>
      <w:r w:rsidRPr="00FB5E8C">
        <w:rPr>
          <w:rFonts w:ascii="Verdana" w:hAnsi="Verdana" w:cs="Arial"/>
          <w:sz w:val="20"/>
          <w:szCs w:val="20"/>
        </w:rPr>
        <w:t xml:space="preserve"> </w:t>
      </w:r>
      <w:proofErr w:type="gramStart"/>
      <w:r w:rsidR="0052778A" w:rsidRPr="00FB5E8C">
        <w:rPr>
          <w:rFonts w:ascii="Verdana" w:hAnsi="Verdana" w:cs="Arial"/>
          <w:sz w:val="20"/>
          <w:szCs w:val="20"/>
        </w:rPr>
        <w:t>accepted</w:t>
      </w:r>
      <w:proofErr w:type="gramEnd"/>
      <w:r w:rsidR="0052778A" w:rsidRPr="00FB5E8C">
        <w:rPr>
          <w:rFonts w:ascii="Verdana" w:hAnsi="Verdana" w:cs="Arial"/>
          <w:sz w:val="20"/>
          <w:szCs w:val="20"/>
        </w:rPr>
        <w:t xml:space="preserve"> and the voluntary income management agreement amended</w:t>
      </w:r>
      <w:r w:rsidR="0052778A">
        <w:rPr>
          <w:rFonts w:ascii="Verdana" w:hAnsi="Verdana" w:cs="Arial"/>
          <w:sz w:val="20"/>
          <w:szCs w:val="20"/>
        </w:rPr>
        <w:t>,</w:t>
      </w:r>
      <w:r w:rsidR="0052778A" w:rsidRPr="00FB5E8C">
        <w:rPr>
          <w:rFonts w:ascii="Verdana" w:hAnsi="Verdana" w:cs="Arial"/>
          <w:sz w:val="20"/>
          <w:szCs w:val="20"/>
        </w:rPr>
        <w:t xml:space="preserve"> </w:t>
      </w:r>
      <w:r w:rsidR="002712D7">
        <w:rPr>
          <w:rFonts w:ascii="Verdana" w:hAnsi="Verdana" w:cs="Arial"/>
          <w:sz w:val="20"/>
          <w:szCs w:val="20"/>
        </w:rPr>
        <w:t>decreasing</w:t>
      </w:r>
      <w:r w:rsidR="0052778A" w:rsidRPr="00FB5E8C">
        <w:rPr>
          <w:rFonts w:ascii="Verdana" w:hAnsi="Verdana" w:cs="Arial"/>
          <w:sz w:val="20"/>
          <w:szCs w:val="20"/>
        </w:rPr>
        <w:t xml:space="preserve"> from </w:t>
      </w:r>
      <w:r w:rsidR="002712D7">
        <w:rPr>
          <w:rFonts w:ascii="Verdana" w:hAnsi="Verdana" w:cs="Arial"/>
          <w:sz w:val="20"/>
          <w:szCs w:val="20"/>
        </w:rPr>
        <w:t>75</w:t>
      </w:r>
      <w:r w:rsidR="0052778A" w:rsidRPr="00FB5E8C">
        <w:rPr>
          <w:rFonts w:ascii="Verdana" w:hAnsi="Verdana" w:cs="Arial"/>
          <w:sz w:val="20"/>
          <w:szCs w:val="20"/>
        </w:rPr>
        <w:t xml:space="preserve">% to </w:t>
      </w:r>
      <w:r w:rsidR="002712D7">
        <w:rPr>
          <w:rFonts w:ascii="Verdana" w:hAnsi="Verdana" w:cs="Arial"/>
          <w:sz w:val="20"/>
          <w:szCs w:val="20"/>
        </w:rPr>
        <w:t>60</w:t>
      </w:r>
      <w:r w:rsidR="0052778A" w:rsidRPr="00FB5E8C">
        <w:rPr>
          <w:rFonts w:ascii="Verdana" w:hAnsi="Verdana" w:cs="Arial"/>
          <w:sz w:val="20"/>
          <w:szCs w:val="20"/>
        </w:rPr>
        <w:t>% for the remaining period of the voluntary agreement</w:t>
      </w:r>
    </w:p>
    <w:p w14:paraId="0F9C698F" w14:textId="025A14A6" w:rsidR="002712D7" w:rsidRPr="0052778A" w:rsidRDefault="002712D7" w:rsidP="002712D7">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 xml:space="preserve">1 Application was </w:t>
      </w:r>
      <w:proofErr w:type="gramStart"/>
      <w:r w:rsidRPr="00FB5E8C">
        <w:rPr>
          <w:rFonts w:ascii="Verdana" w:hAnsi="Verdana" w:cs="Arial"/>
          <w:sz w:val="20"/>
          <w:szCs w:val="20"/>
        </w:rPr>
        <w:t>accepted</w:t>
      </w:r>
      <w:proofErr w:type="gramEnd"/>
      <w:r w:rsidRPr="00FB5E8C">
        <w:rPr>
          <w:rFonts w:ascii="Verdana" w:hAnsi="Verdana" w:cs="Arial"/>
          <w:sz w:val="20"/>
          <w:szCs w:val="20"/>
        </w:rPr>
        <w:t xml:space="preserve"> and the voluntary income management agreement amended</w:t>
      </w:r>
      <w:r>
        <w:rPr>
          <w:rFonts w:ascii="Verdana" w:hAnsi="Verdana" w:cs="Arial"/>
          <w:sz w:val="20"/>
          <w:szCs w:val="20"/>
        </w:rPr>
        <w:t>,</w:t>
      </w:r>
      <w:r w:rsidRPr="00FB5E8C">
        <w:rPr>
          <w:rFonts w:ascii="Verdana" w:hAnsi="Verdana" w:cs="Arial"/>
          <w:sz w:val="20"/>
          <w:szCs w:val="20"/>
        </w:rPr>
        <w:t xml:space="preserve"> </w:t>
      </w:r>
      <w:r>
        <w:rPr>
          <w:rFonts w:ascii="Verdana" w:hAnsi="Verdana" w:cs="Arial"/>
          <w:sz w:val="20"/>
          <w:szCs w:val="20"/>
        </w:rPr>
        <w:t>decreasing</w:t>
      </w:r>
      <w:r w:rsidRPr="00FB5E8C">
        <w:rPr>
          <w:rFonts w:ascii="Verdana" w:hAnsi="Verdana" w:cs="Arial"/>
          <w:sz w:val="20"/>
          <w:szCs w:val="20"/>
        </w:rPr>
        <w:t xml:space="preserve"> from </w:t>
      </w:r>
      <w:r>
        <w:rPr>
          <w:rFonts w:ascii="Verdana" w:hAnsi="Verdana" w:cs="Arial"/>
          <w:sz w:val="20"/>
          <w:szCs w:val="20"/>
        </w:rPr>
        <w:t>90</w:t>
      </w:r>
      <w:r w:rsidRPr="00FB5E8C">
        <w:rPr>
          <w:rFonts w:ascii="Verdana" w:hAnsi="Verdana" w:cs="Arial"/>
          <w:sz w:val="20"/>
          <w:szCs w:val="20"/>
        </w:rPr>
        <w:t xml:space="preserve">% to </w:t>
      </w:r>
      <w:r>
        <w:rPr>
          <w:rFonts w:ascii="Verdana" w:hAnsi="Verdana" w:cs="Arial"/>
          <w:sz w:val="20"/>
          <w:szCs w:val="20"/>
        </w:rPr>
        <w:t>60</w:t>
      </w:r>
      <w:r w:rsidRPr="00FB5E8C">
        <w:rPr>
          <w:rFonts w:ascii="Verdana" w:hAnsi="Verdana" w:cs="Arial"/>
          <w:sz w:val="20"/>
          <w:szCs w:val="20"/>
        </w:rPr>
        <w:t>% for the remaining period of the voluntary agreement</w:t>
      </w:r>
      <w:r>
        <w:rPr>
          <w:rFonts w:ascii="Verdana" w:hAnsi="Verdana" w:cs="Arial"/>
          <w:sz w:val="20"/>
          <w:szCs w:val="20"/>
        </w:rPr>
        <w:t xml:space="preserve"> and</w:t>
      </w:r>
    </w:p>
    <w:p w14:paraId="4351163E" w14:textId="10D634B9" w:rsidR="0052778A" w:rsidRPr="0052778A" w:rsidRDefault="0052778A" w:rsidP="0052778A">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 xml:space="preserve">1 Application was </w:t>
      </w:r>
      <w:r>
        <w:rPr>
          <w:rFonts w:ascii="Verdana" w:hAnsi="Verdana" w:cs="Arial"/>
          <w:sz w:val="20"/>
          <w:szCs w:val="20"/>
        </w:rPr>
        <w:t>refused.</w:t>
      </w:r>
    </w:p>
    <w:p w14:paraId="50DBFCDE" w14:textId="77777777" w:rsidR="00643E4F" w:rsidRDefault="00643E4F" w:rsidP="00FF351C">
      <w:pPr>
        <w:ind w:left="-142" w:right="-425"/>
        <w:jc w:val="both"/>
      </w:pPr>
    </w:p>
    <w:p w14:paraId="487734F6" w14:textId="063A3F04" w:rsidR="00964C44" w:rsidRDefault="00353EB2" w:rsidP="00FF351C">
      <w:pPr>
        <w:ind w:left="-142" w:right="-425"/>
        <w:jc w:val="both"/>
      </w:pPr>
      <w:r>
        <w:t>Th</w:t>
      </w:r>
      <w:r w:rsidR="005A5B78" w:rsidRPr="00E34093">
        <w:t>e Commission continues to encourage clients to participa</w:t>
      </w:r>
      <w:r w:rsidR="0061573D">
        <w:t xml:space="preserve">te in the </w:t>
      </w:r>
      <w:r w:rsidR="007A7B2F">
        <w:t>a</w:t>
      </w:r>
      <w:r w:rsidR="0061573D">
        <w:t xml:space="preserve">mend or </w:t>
      </w:r>
      <w:r w:rsidR="007A7B2F">
        <w:t>e</w:t>
      </w:r>
      <w:r w:rsidR="0061573D">
        <w:t>nd process.</w:t>
      </w:r>
      <w:r w:rsidR="005A5B78" w:rsidRPr="00E34093">
        <w:t xml:space="preserve"> Commissioners </w:t>
      </w:r>
      <w:r w:rsidR="00FB4B1F">
        <w:t>consider that the participation of clients in the amend/end process is indicative of c</w:t>
      </w:r>
      <w:r w:rsidR="005A5B78" w:rsidRPr="00E34093">
        <w:t>lient confidence to question decisions and the reasons behind decisions, both for decisions delivered by the Commission and decisions delivered by external agencies and bodies.</w:t>
      </w:r>
      <w:bookmarkStart w:id="20" w:name="_Toc222226583"/>
      <w:bookmarkStart w:id="21" w:name="_Toc304386232"/>
      <w:bookmarkStart w:id="22" w:name="_Toc304386309"/>
      <w:bookmarkStart w:id="23" w:name="_Toc306011182"/>
    </w:p>
    <w:p w14:paraId="1024B39C" w14:textId="77777777" w:rsidR="00964C44" w:rsidRDefault="00964C44" w:rsidP="00E77802">
      <w:pPr>
        <w:ind w:left="-142" w:right="-425"/>
        <w:jc w:val="both"/>
      </w:pPr>
    </w:p>
    <w:p w14:paraId="17EA7652" w14:textId="77777777" w:rsidR="00086AA9" w:rsidRDefault="00086AA9">
      <w:pPr>
        <w:spacing w:line="240" w:lineRule="auto"/>
        <w:rPr>
          <w:rFonts w:cs="Arial"/>
          <w:b/>
          <w:bCs/>
          <w:spacing w:val="-4"/>
          <w:kern w:val="28"/>
          <w:sz w:val="22"/>
          <w:szCs w:val="22"/>
        </w:rPr>
      </w:pPr>
      <w:r>
        <w:br w:type="page"/>
      </w:r>
    </w:p>
    <w:p w14:paraId="0CA7602F" w14:textId="69485B7B" w:rsidR="0013112F" w:rsidRDefault="0013112F" w:rsidP="004D5B34">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6C95F6E6" w:rsidR="0013112F" w:rsidRDefault="0013112F" w:rsidP="0013112F">
      <w:pPr>
        <w:ind w:left="-142"/>
        <w:jc w:val="both"/>
      </w:pPr>
      <w:r w:rsidRPr="006C6A65">
        <w:rPr>
          <w:b/>
          <w:sz w:val="16"/>
          <w:szCs w:val="16"/>
        </w:rPr>
        <w:t xml:space="preserve">Table </w:t>
      </w:r>
      <w:r w:rsidR="00411892">
        <w:rPr>
          <w:b/>
          <w:sz w:val="16"/>
          <w:szCs w:val="16"/>
        </w:rPr>
        <w:t>22</w:t>
      </w:r>
      <w:r w:rsidRPr="006C6A65">
        <w:rPr>
          <w:b/>
          <w:sz w:val="16"/>
          <w:szCs w:val="16"/>
        </w:rPr>
        <w:t>:</w:t>
      </w:r>
      <w:r w:rsidRPr="006C6A65">
        <w:rPr>
          <w:sz w:val="16"/>
          <w:szCs w:val="16"/>
        </w:rPr>
        <w:t xml:space="preserve"> </w:t>
      </w:r>
      <w:r>
        <w:rPr>
          <w:sz w:val="16"/>
          <w:szCs w:val="16"/>
        </w:rPr>
        <w:t xml:space="preserve">FRC client population by gender and age </w:t>
      </w:r>
      <w:r w:rsidR="007B7E78">
        <w:rPr>
          <w:sz w:val="16"/>
          <w:szCs w:val="16"/>
        </w:rPr>
        <w:t xml:space="preserve">1 </w:t>
      </w:r>
      <w:r w:rsidR="00413FAC">
        <w:rPr>
          <w:sz w:val="16"/>
          <w:szCs w:val="16"/>
        </w:rPr>
        <w:t>January 2023</w:t>
      </w:r>
      <w:r w:rsidR="00FC7F2E">
        <w:rPr>
          <w:sz w:val="16"/>
          <w:szCs w:val="16"/>
        </w:rPr>
        <w:t xml:space="preserve"> to </w:t>
      </w:r>
      <w:r w:rsidR="007B7E78">
        <w:rPr>
          <w:sz w:val="16"/>
          <w:szCs w:val="16"/>
        </w:rPr>
        <w:t xml:space="preserve">31 </w:t>
      </w:r>
      <w:r w:rsidR="00984BBB">
        <w:rPr>
          <w:sz w:val="16"/>
          <w:szCs w:val="16"/>
        </w:rPr>
        <w:t>March 2023</w:t>
      </w:r>
    </w:p>
    <w:p w14:paraId="24F3C459" w14:textId="77777777" w:rsidR="0013112F" w:rsidRPr="00CF3AF9"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2712D7" w14:paraId="0C5B3812" w14:textId="77777777" w:rsidTr="00925DD5">
        <w:tc>
          <w:tcPr>
            <w:tcW w:w="5127" w:type="dxa"/>
          </w:tcPr>
          <w:p w14:paraId="465196A7" w14:textId="2741AD5F" w:rsidR="002712D7" w:rsidRDefault="002712D7" w:rsidP="002712D7">
            <w:pPr>
              <w:spacing w:line="240" w:lineRule="auto"/>
            </w:pPr>
            <w:r>
              <w:t>Clients for whom a notice was received</w:t>
            </w:r>
            <w:r>
              <w:rPr>
                <w:rStyle w:val="FootnoteReference"/>
              </w:rPr>
              <w:footnoteReference w:id="11"/>
            </w:r>
          </w:p>
        </w:tc>
        <w:tc>
          <w:tcPr>
            <w:tcW w:w="1026" w:type="dxa"/>
            <w:vAlign w:val="center"/>
          </w:tcPr>
          <w:p w14:paraId="430D610E" w14:textId="2398113C" w:rsidR="002712D7" w:rsidRPr="00EF2D65" w:rsidRDefault="002712D7" w:rsidP="002712D7">
            <w:pPr>
              <w:spacing w:line="240" w:lineRule="auto"/>
              <w:jc w:val="right"/>
            </w:pPr>
            <w:r>
              <w:rPr>
                <w:rFonts w:cs="Arial"/>
              </w:rPr>
              <w:t>490</w:t>
            </w:r>
          </w:p>
        </w:tc>
        <w:tc>
          <w:tcPr>
            <w:tcW w:w="875" w:type="dxa"/>
            <w:vAlign w:val="center"/>
          </w:tcPr>
          <w:p w14:paraId="73512E80" w14:textId="6518C401" w:rsidR="002712D7" w:rsidRPr="00EF2D65" w:rsidRDefault="002712D7" w:rsidP="002712D7">
            <w:pPr>
              <w:spacing w:line="240" w:lineRule="auto"/>
              <w:jc w:val="right"/>
            </w:pPr>
            <w:r>
              <w:rPr>
                <w:rFonts w:cs="Arial"/>
              </w:rPr>
              <w:t>297</w:t>
            </w:r>
          </w:p>
        </w:tc>
        <w:tc>
          <w:tcPr>
            <w:tcW w:w="463" w:type="dxa"/>
            <w:vAlign w:val="center"/>
          </w:tcPr>
          <w:p w14:paraId="0C71CB3B" w14:textId="50863EF2" w:rsidR="002712D7" w:rsidRPr="00EF2D65" w:rsidRDefault="002712D7" w:rsidP="002712D7">
            <w:pPr>
              <w:spacing w:line="240" w:lineRule="auto"/>
              <w:jc w:val="right"/>
            </w:pPr>
          </w:p>
        </w:tc>
        <w:tc>
          <w:tcPr>
            <w:tcW w:w="1140" w:type="dxa"/>
            <w:vAlign w:val="center"/>
          </w:tcPr>
          <w:p w14:paraId="048E4B1D" w14:textId="5133D37D" w:rsidR="002712D7" w:rsidRPr="00EF2D65" w:rsidRDefault="002712D7" w:rsidP="002712D7">
            <w:pPr>
              <w:spacing w:line="240" w:lineRule="auto"/>
              <w:jc w:val="right"/>
            </w:pPr>
            <w:r>
              <w:rPr>
                <w:rFonts w:cs="Arial"/>
              </w:rPr>
              <w:t>37</w:t>
            </w:r>
          </w:p>
        </w:tc>
        <w:tc>
          <w:tcPr>
            <w:tcW w:w="1140" w:type="dxa"/>
            <w:vAlign w:val="center"/>
          </w:tcPr>
          <w:p w14:paraId="61E43F3F" w14:textId="17EE6BDF" w:rsidR="002712D7" w:rsidRPr="00EF2D65" w:rsidRDefault="002712D7" w:rsidP="002712D7">
            <w:pPr>
              <w:spacing w:line="240" w:lineRule="auto"/>
              <w:jc w:val="right"/>
            </w:pPr>
            <w:r>
              <w:rPr>
                <w:rFonts w:cs="Arial"/>
              </w:rPr>
              <w:t>37</w:t>
            </w:r>
          </w:p>
        </w:tc>
      </w:tr>
      <w:tr w:rsidR="002712D7" w14:paraId="0C43D4D1" w14:textId="77777777" w:rsidTr="00925DD5">
        <w:tc>
          <w:tcPr>
            <w:tcW w:w="5127" w:type="dxa"/>
          </w:tcPr>
          <w:p w14:paraId="2282B866" w14:textId="484D223C" w:rsidR="002712D7" w:rsidRDefault="002712D7" w:rsidP="002712D7">
            <w:pPr>
              <w:spacing w:line="240" w:lineRule="auto"/>
            </w:pPr>
            <w:r>
              <w:t>Clients conferenced</w:t>
            </w:r>
            <w:r>
              <w:rPr>
                <w:rStyle w:val="FootnoteReference"/>
              </w:rPr>
              <w:footnoteReference w:id="12"/>
            </w:r>
          </w:p>
        </w:tc>
        <w:tc>
          <w:tcPr>
            <w:tcW w:w="1026" w:type="dxa"/>
            <w:vAlign w:val="center"/>
          </w:tcPr>
          <w:p w14:paraId="0BE8DAD4" w14:textId="13CE8B76" w:rsidR="002712D7" w:rsidRPr="00143912" w:rsidRDefault="002712D7" w:rsidP="002712D7">
            <w:pPr>
              <w:spacing w:line="240" w:lineRule="auto"/>
              <w:jc w:val="right"/>
            </w:pPr>
            <w:r>
              <w:rPr>
                <w:rFonts w:cs="Arial"/>
              </w:rPr>
              <w:t>164</w:t>
            </w:r>
          </w:p>
        </w:tc>
        <w:tc>
          <w:tcPr>
            <w:tcW w:w="875" w:type="dxa"/>
            <w:vAlign w:val="center"/>
          </w:tcPr>
          <w:p w14:paraId="7F1FAC36" w14:textId="45F2D286" w:rsidR="002712D7" w:rsidRPr="00143912" w:rsidRDefault="002712D7" w:rsidP="002712D7">
            <w:pPr>
              <w:spacing w:line="240" w:lineRule="auto"/>
              <w:jc w:val="right"/>
            </w:pPr>
            <w:r>
              <w:rPr>
                <w:rFonts w:cs="Arial"/>
              </w:rPr>
              <w:t>80</w:t>
            </w:r>
          </w:p>
        </w:tc>
        <w:tc>
          <w:tcPr>
            <w:tcW w:w="463" w:type="dxa"/>
            <w:vAlign w:val="center"/>
          </w:tcPr>
          <w:p w14:paraId="7D1E9278" w14:textId="77071142" w:rsidR="002712D7" w:rsidRPr="00EF2D65" w:rsidRDefault="002712D7" w:rsidP="002712D7">
            <w:pPr>
              <w:spacing w:line="240" w:lineRule="auto"/>
              <w:jc w:val="right"/>
            </w:pPr>
          </w:p>
        </w:tc>
        <w:tc>
          <w:tcPr>
            <w:tcW w:w="1140" w:type="dxa"/>
            <w:vAlign w:val="center"/>
          </w:tcPr>
          <w:p w14:paraId="18E5F35E" w14:textId="7A37570A" w:rsidR="002712D7" w:rsidRPr="00143912" w:rsidRDefault="002712D7" w:rsidP="002712D7">
            <w:pPr>
              <w:spacing w:line="240" w:lineRule="auto"/>
              <w:jc w:val="right"/>
            </w:pPr>
            <w:r>
              <w:rPr>
                <w:rFonts w:cs="Arial"/>
              </w:rPr>
              <w:t>37</w:t>
            </w:r>
          </w:p>
        </w:tc>
        <w:tc>
          <w:tcPr>
            <w:tcW w:w="1140" w:type="dxa"/>
            <w:vAlign w:val="center"/>
          </w:tcPr>
          <w:p w14:paraId="48B614AC" w14:textId="512A07C8" w:rsidR="002712D7" w:rsidRPr="00143912" w:rsidRDefault="002712D7" w:rsidP="002712D7">
            <w:pPr>
              <w:spacing w:line="240" w:lineRule="auto"/>
              <w:jc w:val="right"/>
            </w:pPr>
            <w:r>
              <w:rPr>
                <w:rFonts w:cs="Arial"/>
              </w:rPr>
              <w:t>36</w:t>
            </w:r>
          </w:p>
        </w:tc>
      </w:tr>
      <w:tr w:rsidR="002712D7" w14:paraId="4205C91F" w14:textId="77777777" w:rsidTr="00925DD5">
        <w:tc>
          <w:tcPr>
            <w:tcW w:w="5127" w:type="dxa"/>
          </w:tcPr>
          <w:p w14:paraId="2820947A" w14:textId="0B2D1E31" w:rsidR="002712D7" w:rsidRDefault="002712D7" w:rsidP="002712D7">
            <w:pPr>
              <w:spacing w:line="240" w:lineRule="auto"/>
            </w:pPr>
            <w:r w:rsidRPr="00423006">
              <w:t>Clients referred through Family Responsibilities Agreements and Family Responsibilities Orders</w:t>
            </w:r>
            <w:r>
              <w:rPr>
                <w:rStyle w:val="FootnoteReference"/>
              </w:rPr>
              <w:footnoteReference w:id="13"/>
            </w:r>
          </w:p>
        </w:tc>
        <w:tc>
          <w:tcPr>
            <w:tcW w:w="1026" w:type="dxa"/>
            <w:vAlign w:val="center"/>
          </w:tcPr>
          <w:p w14:paraId="04ECC2CC" w14:textId="38C42442" w:rsidR="002712D7" w:rsidRPr="00143912" w:rsidRDefault="002712D7" w:rsidP="002712D7">
            <w:pPr>
              <w:spacing w:line="240" w:lineRule="auto"/>
              <w:jc w:val="right"/>
            </w:pPr>
            <w:r>
              <w:rPr>
                <w:rFonts w:cs="Arial"/>
              </w:rPr>
              <w:t>64</w:t>
            </w:r>
          </w:p>
        </w:tc>
        <w:tc>
          <w:tcPr>
            <w:tcW w:w="875" w:type="dxa"/>
            <w:vAlign w:val="center"/>
          </w:tcPr>
          <w:p w14:paraId="09F9C19D" w14:textId="36A67FCE" w:rsidR="002712D7" w:rsidRPr="00143912" w:rsidRDefault="002712D7" w:rsidP="002712D7">
            <w:pPr>
              <w:spacing w:line="240" w:lineRule="auto"/>
              <w:jc w:val="right"/>
            </w:pPr>
            <w:r>
              <w:rPr>
                <w:rFonts w:cs="Arial"/>
              </w:rPr>
              <w:t>29</w:t>
            </w:r>
          </w:p>
        </w:tc>
        <w:tc>
          <w:tcPr>
            <w:tcW w:w="463" w:type="dxa"/>
            <w:vAlign w:val="center"/>
          </w:tcPr>
          <w:p w14:paraId="4D854BAC" w14:textId="4C16E2E6" w:rsidR="002712D7" w:rsidRPr="00EF2D65" w:rsidRDefault="002712D7" w:rsidP="002712D7">
            <w:pPr>
              <w:spacing w:line="240" w:lineRule="auto"/>
              <w:jc w:val="right"/>
            </w:pPr>
          </w:p>
        </w:tc>
        <w:tc>
          <w:tcPr>
            <w:tcW w:w="1140" w:type="dxa"/>
            <w:vAlign w:val="center"/>
          </w:tcPr>
          <w:p w14:paraId="0DB4E2B3" w14:textId="4DC5912A" w:rsidR="002712D7" w:rsidRPr="00143912" w:rsidRDefault="002712D7" w:rsidP="002712D7">
            <w:pPr>
              <w:spacing w:line="240" w:lineRule="auto"/>
              <w:jc w:val="right"/>
            </w:pPr>
            <w:r>
              <w:rPr>
                <w:rFonts w:cs="Arial"/>
              </w:rPr>
              <w:t>37</w:t>
            </w:r>
          </w:p>
        </w:tc>
        <w:tc>
          <w:tcPr>
            <w:tcW w:w="1140" w:type="dxa"/>
            <w:vAlign w:val="center"/>
          </w:tcPr>
          <w:p w14:paraId="6F699F00" w14:textId="632D8092" w:rsidR="002712D7" w:rsidRPr="00143912" w:rsidRDefault="002712D7" w:rsidP="002712D7">
            <w:pPr>
              <w:spacing w:line="240" w:lineRule="auto"/>
              <w:jc w:val="right"/>
            </w:pPr>
            <w:r>
              <w:rPr>
                <w:rFonts w:cs="Arial"/>
              </w:rPr>
              <w:t>38</w:t>
            </w:r>
          </w:p>
        </w:tc>
      </w:tr>
      <w:tr w:rsidR="002712D7" w14:paraId="70BB454E" w14:textId="77777777" w:rsidTr="00A242DD">
        <w:tc>
          <w:tcPr>
            <w:tcW w:w="5127" w:type="dxa"/>
          </w:tcPr>
          <w:p w14:paraId="5B5E85C7" w14:textId="7C85BD17" w:rsidR="002712D7" w:rsidRPr="00C6538C" w:rsidRDefault="002712D7" w:rsidP="002712D7">
            <w:pPr>
              <w:spacing w:line="240" w:lineRule="auto"/>
            </w:pPr>
            <w:r w:rsidRPr="00423006">
              <w:t>Clients placed on CIM</w:t>
            </w:r>
            <w:r w:rsidRPr="00C6538C">
              <w:rPr>
                <w:rStyle w:val="FootnoteReference"/>
              </w:rPr>
              <w:footnoteReference w:id="14"/>
            </w:r>
          </w:p>
        </w:tc>
        <w:tc>
          <w:tcPr>
            <w:tcW w:w="1026" w:type="dxa"/>
            <w:vAlign w:val="center"/>
          </w:tcPr>
          <w:p w14:paraId="543F073F" w14:textId="0F840B6E" w:rsidR="002712D7" w:rsidRPr="00143912" w:rsidRDefault="002712D7" w:rsidP="002712D7">
            <w:pPr>
              <w:spacing w:line="240" w:lineRule="auto"/>
              <w:jc w:val="right"/>
              <w:rPr>
                <w:rFonts w:cs="Arial"/>
              </w:rPr>
            </w:pPr>
            <w:r>
              <w:rPr>
                <w:rFonts w:cs="Arial"/>
              </w:rPr>
              <w:t>11</w:t>
            </w:r>
          </w:p>
        </w:tc>
        <w:tc>
          <w:tcPr>
            <w:tcW w:w="875" w:type="dxa"/>
            <w:vAlign w:val="center"/>
          </w:tcPr>
          <w:p w14:paraId="1105ED08" w14:textId="0B348046" w:rsidR="002712D7" w:rsidRPr="00143912" w:rsidRDefault="002712D7" w:rsidP="002712D7">
            <w:pPr>
              <w:spacing w:line="240" w:lineRule="auto"/>
              <w:jc w:val="right"/>
              <w:rPr>
                <w:rFonts w:cs="Arial"/>
              </w:rPr>
            </w:pPr>
            <w:r>
              <w:rPr>
                <w:rFonts w:cs="Arial"/>
              </w:rPr>
              <w:t>2</w:t>
            </w:r>
          </w:p>
        </w:tc>
        <w:tc>
          <w:tcPr>
            <w:tcW w:w="463" w:type="dxa"/>
            <w:vAlign w:val="center"/>
          </w:tcPr>
          <w:p w14:paraId="2B630A06" w14:textId="2AB3F5A4" w:rsidR="002712D7" w:rsidRPr="00EF2D65" w:rsidRDefault="002712D7" w:rsidP="002712D7">
            <w:pPr>
              <w:spacing w:line="240" w:lineRule="auto"/>
              <w:jc w:val="right"/>
              <w:rPr>
                <w:rFonts w:cs="Arial"/>
              </w:rPr>
            </w:pPr>
          </w:p>
        </w:tc>
        <w:tc>
          <w:tcPr>
            <w:tcW w:w="1140" w:type="dxa"/>
            <w:vAlign w:val="center"/>
          </w:tcPr>
          <w:p w14:paraId="118451EA" w14:textId="195BC4F7" w:rsidR="002712D7" w:rsidRPr="00143912" w:rsidRDefault="002712D7" w:rsidP="002712D7">
            <w:pPr>
              <w:spacing w:line="240" w:lineRule="auto"/>
              <w:jc w:val="right"/>
              <w:rPr>
                <w:rFonts w:cs="Arial"/>
              </w:rPr>
            </w:pPr>
            <w:r>
              <w:rPr>
                <w:rFonts w:cs="Arial"/>
              </w:rPr>
              <w:t>40</w:t>
            </w:r>
          </w:p>
        </w:tc>
        <w:tc>
          <w:tcPr>
            <w:tcW w:w="1140" w:type="dxa"/>
            <w:vAlign w:val="center"/>
          </w:tcPr>
          <w:p w14:paraId="1C47274C" w14:textId="46730F5C" w:rsidR="002712D7" w:rsidRPr="00143912" w:rsidRDefault="002712D7" w:rsidP="002712D7">
            <w:pPr>
              <w:spacing w:line="240" w:lineRule="auto"/>
              <w:jc w:val="right"/>
              <w:rPr>
                <w:rFonts w:cs="Arial"/>
              </w:rPr>
            </w:pPr>
            <w:r>
              <w:rPr>
                <w:rFonts w:cs="Arial"/>
              </w:rPr>
              <w:t>47</w:t>
            </w:r>
          </w:p>
        </w:tc>
      </w:tr>
      <w:tr w:rsidR="002712D7" w14:paraId="5BC6E4C0" w14:textId="77777777" w:rsidTr="00DB33CA">
        <w:tc>
          <w:tcPr>
            <w:tcW w:w="5127" w:type="dxa"/>
          </w:tcPr>
          <w:p w14:paraId="1F3A9B4D" w14:textId="68F637B4" w:rsidR="002712D7" w:rsidRDefault="002712D7" w:rsidP="002712D7">
            <w:pPr>
              <w:spacing w:line="240" w:lineRule="auto"/>
            </w:pPr>
            <w:r w:rsidRPr="00423006">
              <w:t>Clients referred through a Voluntary Agreement</w:t>
            </w:r>
            <w:r>
              <w:t xml:space="preserve"> for a case plan</w:t>
            </w:r>
            <w:r>
              <w:rPr>
                <w:rStyle w:val="FootnoteReference"/>
              </w:rPr>
              <w:footnoteReference w:id="15"/>
            </w:r>
          </w:p>
        </w:tc>
        <w:tc>
          <w:tcPr>
            <w:tcW w:w="1026" w:type="dxa"/>
            <w:vAlign w:val="center"/>
          </w:tcPr>
          <w:p w14:paraId="26649358" w14:textId="27B724CB" w:rsidR="002712D7" w:rsidRPr="00143912" w:rsidRDefault="002712D7" w:rsidP="002712D7">
            <w:pPr>
              <w:spacing w:line="240" w:lineRule="auto"/>
              <w:jc w:val="right"/>
            </w:pPr>
            <w:r>
              <w:rPr>
                <w:rFonts w:cs="Arial"/>
              </w:rPr>
              <w:t>14</w:t>
            </w:r>
          </w:p>
        </w:tc>
        <w:tc>
          <w:tcPr>
            <w:tcW w:w="875" w:type="dxa"/>
            <w:vAlign w:val="center"/>
          </w:tcPr>
          <w:p w14:paraId="7B755D8C" w14:textId="75B34093" w:rsidR="002712D7" w:rsidRPr="00143912" w:rsidRDefault="002712D7" w:rsidP="002712D7">
            <w:pPr>
              <w:spacing w:line="240" w:lineRule="auto"/>
              <w:jc w:val="right"/>
            </w:pPr>
            <w:r>
              <w:rPr>
                <w:rFonts w:cs="Arial"/>
              </w:rPr>
              <w:t>5</w:t>
            </w:r>
          </w:p>
        </w:tc>
        <w:tc>
          <w:tcPr>
            <w:tcW w:w="463" w:type="dxa"/>
            <w:vAlign w:val="center"/>
          </w:tcPr>
          <w:p w14:paraId="6092C81B" w14:textId="60F990D6" w:rsidR="002712D7" w:rsidRPr="00EF2D65" w:rsidRDefault="002712D7" w:rsidP="002712D7">
            <w:pPr>
              <w:spacing w:line="240" w:lineRule="auto"/>
              <w:jc w:val="right"/>
            </w:pPr>
          </w:p>
        </w:tc>
        <w:tc>
          <w:tcPr>
            <w:tcW w:w="1140" w:type="dxa"/>
            <w:vAlign w:val="center"/>
          </w:tcPr>
          <w:p w14:paraId="7A13A493" w14:textId="472115D0" w:rsidR="002712D7" w:rsidRPr="00143912" w:rsidRDefault="002712D7" w:rsidP="002712D7">
            <w:pPr>
              <w:spacing w:line="240" w:lineRule="auto"/>
              <w:jc w:val="right"/>
            </w:pPr>
            <w:r>
              <w:rPr>
                <w:rFonts w:cs="Arial"/>
              </w:rPr>
              <w:t>49</w:t>
            </w:r>
          </w:p>
        </w:tc>
        <w:tc>
          <w:tcPr>
            <w:tcW w:w="1140" w:type="dxa"/>
            <w:vAlign w:val="center"/>
          </w:tcPr>
          <w:p w14:paraId="5E9D8367" w14:textId="5B4E9AC9" w:rsidR="002712D7" w:rsidRPr="00143912" w:rsidRDefault="002712D7" w:rsidP="002712D7">
            <w:pPr>
              <w:spacing w:line="240" w:lineRule="auto"/>
              <w:jc w:val="right"/>
            </w:pPr>
            <w:r>
              <w:rPr>
                <w:rFonts w:cs="Arial"/>
              </w:rPr>
              <w:t>58</w:t>
            </w:r>
          </w:p>
        </w:tc>
      </w:tr>
      <w:tr w:rsidR="002712D7" w14:paraId="323DBB29" w14:textId="77777777" w:rsidTr="00DB33CA">
        <w:tc>
          <w:tcPr>
            <w:tcW w:w="5127" w:type="dxa"/>
          </w:tcPr>
          <w:p w14:paraId="2B63FDBC" w14:textId="0B2D08D4" w:rsidR="002712D7" w:rsidRDefault="002712D7" w:rsidP="002712D7">
            <w:pPr>
              <w:spacing w:line="240" w:lineRule="auto"/>
            </w:pPr>
            <w:r w:rsidRPr="00EB1F9E">
              <w:t>Clients who chose to participate in VIM</w:t>
            </w:r>
            <w:r>
              <w:rPr>
                <w:rStyle w:val="FootnoteReference"/>
              </w:rPr>
              <w:footnoteReference w:id="16"/>
            </w:r>
          </w:p>
        </w:tc>
        <w:tc>
          <w:tcPr>
            <w:tcW w:w="1026" w:type="dxa"/>
            <w:vAlign w:val="center"/>
          </w:tcPr>
          <w:p w14:paraId="3609E59F" w14:textId="380B5816" w:rsidR="002712D7" w:rsidRPr="00143912" w:rsidRDefault="002712D7" w:rsidP="002712D7">
            <w:pPr>
              <w:spacing w:line="240" w:lineRule="auto"/>
              <w:jc w:val="right"/>
              <w:rPr>
                <w:rFonts w:cs="Arial"/>
              </w:rPr>
            </w:pPr>
            <w:r>
              <w:rPr>
                <w:rFonts w:cs="Arial"/>
              </w:rPr>
              <w:t>19</w:t>
            </w:r>
          </w:p>
        </w:tc>
        <w:tc>
          <w:tcPr>
            <w:tcW w:w="875" w:type="dxa"/>
            <w:vAlign w:val="center"/>
          </w:tcPr>
          <w:p w14:paraId="34BAD3D0" w14:textId="78C14581" w:rsidR="002712D7" w:rsidRPr="00143912" w:rsidRDefault="002712D7" w:rsidP="002712D7">
            <w:pPr>
              <w:spacing w:line="240" w:lineRule="auto"/>
              <w:jc w:val="right"/>
              <w:rPr>
                <w:rFonts w:cs="Arial"/>
              </w:rPr>
            </w:pPr>
            <w:r>
              <w:rPr>
                <w:rFonts w:cs="Arial"/>
              </w:rPr>
              <w:t>9</w:t>
            </w:r>
          </w:p>
        </w:tc>
        <w:tc>
          <w:tcPr>
            <w:tcW w:w="463" w:type="dxa"/>
            <w:vAlign w:val="center"/>
          </w:tcPr>
          <w:p w14:paraId="7E5C9E3D" w14:textId="5CA7C37C" w:rsidR="002712D7" w:rsidRPr="00EF2D65" w:rsidRDefault="002712D7" w:rsidP="002712D7">
            <w:pPr>
              <w:spacing w:line="240" w:lineRule="auto"/>
              <w:jc w:val="right"/>
            </w:pPr>
          </w:p>
        </w:tc>
        <w:tc>
          <w:tcPr>
            <w:tcW w:w="1140" w:type="dxa"/>
            <w:vAlign w:val="center"/>
          </w:tcPr>
          <w:p w14:paraId="422F7588" w14:textId="71950322" w:rsidR="002712D7" w:rsidRPr="00143912" w:rsidRDefault="002712D7" w:rsidP="002712D7">
            <w:pPr>
              <w:spacing w:line="240" w:lineRule="auto"/>
              <w:jc w:val="right"/>
              <w:rPr>
                <w:rFonts w:cs="Arial"/>
              </w:rPr>
            </w:pPr>
            <w:r>
              <w:rPr>
                <w:rFonts w:cs="Arial"/>
              </w:rPr>
              <w:t>44</w:t>
            </w:r>
          </w:p>
        </w:tc>
        <w:tc>
          <w:tcPr>
            <w:tcW w:w="1140" w:type="dxa"/>
            <w:vAlign w:val="center"/>
          </w:tcPr>
          <w:p w14:paraId="31BCC77C" w14:textId="7CA621B0" w:rsidR="002712D7" w:rsidRPr="00143912" w:rsidRDefault="002712D7" w:rsidP="002712D7">
            <w:pPr>
              <w:spacing w:line="240" w:lineRule="auto"/>
              <w:jc w:val="right"/>
              <w:rPr>
                <w:rFonts w:cs="Arial"/>
              </w:rPr>
            </w:pPr>
            <w:r>
              <w:rPr>
                <w:rFonts w:cs="Arial"/>
              </w:rPr>
              <w:t>51</w:t>
            </w:r>
          </w:p>
        </w:tc>
      </w:tr>
      <w:tr w:rsidR="002712D7" w14:paraId="444AB815" w14:textId="77777777" w:rsidTr="00DB33CA">
        <w:tc>
          <w:tcPr>
            <w:tcW w:w="5127" w:type="dxa"/>
          </w:tcPr>
          <w:p w14:paraId="018D049C" w14:textId="2D915E58" w:rsidR="002712D7" w:rsidRPr="00423006" w:rsidRDefault="002712D7" w:rsidP="002712D7">
            <w:pPr>
              <w:spacing w:line="240" w:lineRule="auto"/>
            </w:pPr>
            <w:r w:rsidRPr="00423006">
              <w:t>Clients who submitted an amend/end application</w:t>
            </w:r>
            <w:r>
              <w:rPr>
                <w:rStyle w:val="FootnoteReference"/>
              </w:rPr>
              <w:footnoteReference w:id="17"/>
            </w:r>
          </w:p>
        </w:tc>
        <w:tc>
          <w:tcPr>
            <w:tcW w:w="1026" w:type="dxa"/>
            <w:vAlign w:val="center"/>
          </w:tcPr>
          <w:p w14:paraId="19F68514" w14:textId="263F23C1" w:rsidR="002712D7" w:rsidRPr="00143912" w:rsidRDefault="002712D7" w:rsidP="002712D7">
            <w:pPr>
              <w:spacing w:line="240" w:lineRule="auto"/>
              <w:jc w:val="right"/>
              <w:rPr>
                <w:rFonts w:cs="Arial"/>
              </w:rPr>
            </w:pPr>
            <w:r>
              <w:rPr>
                <w:rFonts w:cs="Arial"/>
              </w:rPr>
              <w:t>9</w:t>
            </w:r>
          </w:p>
        </w:tc>
        <w:tc>
          <w:tcPr>
            <w:tcW w:w="875" w:type="dxa"/>
            <w:vAlign w:val="center"/>
          </w:tcPr>
          <w:p w14:paraId="215C10C8" w14:textId="4D5F3E71" w:rsidR="002712D7" w:rsidRPr="00143912" w:rsidRDefault="00225148" w:rsidP="002712D7">
            <w:pPr>
              <w:spacing w:line="240" w:lineRule="auto"/>
              <w:jc w:val="right"/>
              <w:rPr>
                <w:rFonts w:cs="Arial"/>
              </w:rPr>
            </w:pPr>
            <w:r>
              <w:rPr>
                <w:rFonts w:cs="Arial"/>
              </w:rPr>
              <w:t>3</w:t>
            </w:r>
          </w:p>
        </w:tc>
        <w:tc>
          <w:tcPr>
            <w:tcW w:w="463" w:type="dxa"/>
            <w:vAlign w:val="center"/>
          </w:tcPr>
          <w:p w14:paraId="63FC96B1" w14:textId="0CA51538" w:rsidR="002712D7" w:rsidRPr="00EF2D65" w:rsidRDefault="002712D7" w:rsidP="002712D7">
            <w:pPr>
              <w:spacing w:line="240" w:lineRule="auto"/>
              <w:jc w:val="right"/>
            </w:pPr>
          </w:p>
        </w:tc>
        <w:tc>
          <w:tcPr>
            <w:tcW w:w="1140" w:type="dxa"/>
            <w:vAlign w:val="center"/>
          </w:tcPr>
          <w:p w14:paraId="6C2DF82D" w14:textId="0C676456" w:rsidR="002712D7" w:rsidRPr="00143912" w:rsidRDefault="002712D7" w:rsidP="002712D7">
            <w:pPr>
              <w:spacing w:line="240" w:lineRule="auto"/>
              <w:jc w:val="right"/>
              <w:rPr>
                <w:rFonts w:cs="Arial"/>
              </w:rPr>
            </w:pPr>
            <w:r>
              <w:rPr>
                <w:rFonts w:cs="Arial"/>
              </w:rPr>
              <w:t>40</w:t>
            </w:r>
          </w:p>
        </w:tc>
        <w:tc>
          <w:tcPr>
            <w:tcW w:w="1140" w:type="dxa"/>
            <w:vAlign w:val="center"/>
          </w:tcPr>
          <w:p w14:paraId="3A96BFD9" w14:textId="59EB5422" w:rsidR="002712D7" w:rsidRPr="00143912" w:rsidRDefault="00225148" w:rsidP="002712D7">
            <w:pPr>
              <w:spacing w:line="240" w:lineRule="auto"/>
              <w:jc w:val="right"/>
              <w:rPr>
                <w:rFonts w:cs="Arial"/>
              </w:rPr>
            </w:pPr>
            <w:r>
              <w:rPr>
                <w:rFonts w:cs="Arial"/>
              </w:rPr>
              <w:t>46</w:t>
            </w:r>
          </w:p>
        </w:tc>
      </w:tr>
    </w:tbl>
    <w:p w14:paraId="0E8FF706" w14:textId="78D57602" w:rsidR="003C5234" w:rsidRPr="00C029A0" w:rsidRDefault="003C5234" w:rsidP="00C029A0">
      <w:pPr>
        <w:spacing w:line="240" w:lineRule="auto"/>
        <w:ind w:left="-142" w:right="-425"/>
        <w:jc w:val="both"/>
      </w:pPr>
    </w:p>
    <w:p w14:paraId="0EE0119D" w14:textId="1686B732" w:rsidR="00F500CF" w:rsidRPr="00F500CF" w:rsidRDefault="00F500CF" w:rsidP="004D5B34">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2596C64E"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587B7C">
        <w:t>786</w:t>
      </w:r>
      <w:r w:rsidR="00587B7C" w:rsidRPr="008E7494">
        <w:t xml:space="preserve"> </w:t>
      </w:r>
      <w:r w:rsidR="00F500CF" w:rsidRPr="008E7494">
        <w:t xml:space="preserve">people as </w:t>
      </w:r>
      <w:proofErr w:type="gramStart"/>
      <w:r w:rsidR="00F500CF" w:rsidRPr="008E7494">
        <w:t>at</w:t>
      </w:r>
      <w:proofErr w:type="gramEnd"/>
      <w:r w:rsidR="00F500CF" w:rsidRPr="008E7494">
        <w:t xml:space="preserve"> 30 June </w:t>
      </w:r>
      <w:bookmarkStart w:id="24" w:name="_Ref362343764"/>
      <w:bookmarkStart w:id="25" w:name="_Ref459716764"/>
      <w:r w:rsidR="00F500CF" w:rsidRPr="008E7494">
        <w:t>20</w:t>
      </w:r>
      <w:r w:rsidR="00C673E7">
        <w:t>2</w:t>
      </w:r>
      <w:r w:rsidR="00587B7C">
        <w:t>1</w:t>
      </w:r>
      <w:bookmarkStart w:id="26" w:name="_Ref64367928"/>
      <w:r w:rsidR="00F500CF" w:rsidRPr="00F500CF">
        <w:rPr>
          <w:vertAlign w:val="superscript"/>
        </w:rPr>
        <w:footnoteReference w:id="18"/>
      </w:r>
      <w:bookmarkEnd w:id="24"/>
      <w:bookmarkEnd w:id="25"/>
      <w:bookmarkEnd w:id="26"/>
      <w:r w:rsidR="00F500CF" w:rsidRPr="00F500CF">
        <w:rPr>
          <w:vertAlign w:val="superscript"/>
        </w:rPr>
        <w:t>,</w:t>
      </w:r>
      <w:bookmarkStart w:id="27" w:name="_Ref459716829"/>
      <w:r w:rsidR="00F500CF" w:rsidRPr="00F500CF">
        <w:rPr>
          <w:vertAlign w:val="superscript"/>
        </w:rPr>
        <w:footnoteReference w:id="19"/>
      </w:r>
      <w:bookmarkEnd w:id="27"/>
      <w:r w:rsidR="00F500CF" w:rsidRPr="008E7494">
        <w:t>.</w:t>
      </w:r>
    </w:p>
    <w:p w14:paraId="1D1F7E14" w14:textId="77777777" w:rsidR="00F500CF" w:rsidRDefault="00F500CF" w:rsidP="00EC14C1">
      <w:pPr>
        <w:spacing w:line="240" w:lineRule="auto"/>
        <w:ind w:left="-142" w:right="-425"/>
        <w:jc w:val="both"/>
      </w:pPr>
    </w:p>
    <w:p w14:paraId="5C34875A" w14:textId="1154DC16"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28" w:name="_Ref459717187"/>
      <w:r w:rsidR="00587B7C">
        <w:t>182</w:t>
      </w:r>
      <w:r w:rsidR="00587B7C" w:rsidRPr="008E7494">
        <w:t xml:space="preserve"> </w:t>
      </w:r>
      <w:r w:rsidR="00F500CF" w:rsidRPr="008E7494">
        <w:t xml:space="preserve">people as </w:t>
      </w:r>
      <w:proofErr w:type="gramStart"/>
      <w:r w:rsidR="00F500CF" w:rsidRPr="008E7494">
        <w:t>at</w:t>
      </w:r>
      <w:proofErr w:type="gramEnd"/>
      <w:r w:rsidR="00F500CF" w:rsidRPr="008E7494">
        <w:t xml:space="preserve"> 30 June 20</w:t>
      </w:r>
      <w:r w:rsidR="00C673E7">
        <w:t>2</w:t>
      </w:r>
      <w:r w:rsidR="00587B7C">
        <w:t>1</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267D24">
        <w:rPr>
          <w:vertAlign w:val="superscript"/>
        </w:rPr>
        <w:t>17</w:t>
      </w:r>
      <w:r w:rsidR="003D357C">
        <w:rPr>
          <w:vertAlign w:val="superscript"/>
        </w:rPr>
        <w:fldChar w:fldCharType="end"/>
      </w:r>
      <w:r w:rsidR="00F500CF" w:rsidRPr="00F500CF">
        <w:rPr>
          <w:vertAlign w:val="superscript"/>
        </w:rPr>
        <w:t>,</w:t>
      </w:r>
      <w:bookmarkStart w:id="29" w:name="_Ref74754871"/>
      <w:r w:rsidR="00F500CF" w:rsidRPr="00F500CF">
        <w:rPr>
          <w:vertAlign w:val="superscript"/>
        </w:rPr>
        <w:footnoteReference w:id="20"/>
      </w:r>
      <w:bookmarkEnd w:id="28"/>
      <w:bookmarkEnd w:id="29"/>
      <w:r w:rsidR="00F500CF" w:rsidRPr="008E7494">
        <w:t>.</w:t>
      </w:r>
    </w:p>
    <w:p w14:paraId="6639697A" w14:textId="77777777" w:rsidR="00F500CF" w:rsidRDefault="00F500CF" w:rsidP="00EC14C1">
      <w:pPr>
        <w:spacing w:line="240" w:lineRule="auto"/>
        <w:ind w:left="-142" w:right="-425"/>
        <w:jc w:val="both"/>
      </w:pPr>
    </w:p>
    <w:p w14:paraId="439048BC" w14:textId="2B7DB9B3"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587B7C">
        <w:t>933</w:t>
      </w:r>
      <w:r w:rsidR="00587B7C" w:rsidRPr="008E7494">
        <w:t xml:space="preserve"> </w:t>
      </w:r>
      <w:r w:rsidR="00F500CF" w:rsidRPr="008E7494">
        <w:t>people as at 30 June 20</w:t>
      </w:r>
      <w:r w:rsidR="00C673E7">
        <w:t>2</w:t>
      </w:r>
      <w:r w:rsidR="00587B7C">
        <w:t>1</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267D24">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267D24">
        <w:rPr>
          <w:vertAlign w:val="superscript"/>
        </w:rPr>
        <w:t>18</w:t>
      </w:r>
      <w:r w:rsidR="00C673E7">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6DC95C3C"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587B7C">
        <w:t>660</w:t>
      </w:r>
      <w:r w:rsidR="00587B7C" w:rsidRPr="008E7494">
        <w:t xml:space="preserve"> </w:t>
      </w:r>
      <w:r w:rsidR="00F500CF" w:rsidRPr="008E7494">
        <w:t>people as at 30 June 20</w:t>
      </w:r>
      <w:r w:rsidR="00C673E7">
        <w:t>2</w:t>
      </w:r>
      <w:r w:rsidR="00587B7C">
        <w:t>1</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267D24">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267D24">
        <w:rPr>
          <w:vertAlign w:val="superscript"/>
        </w:rPr>
        <w:t>18</w:t>
      </w:r>
      <w:r w:rsidR="00C673E7">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284FB3E9" w14:textId="31E6803C" w:rsidR="00663321" w:rsidRPr="00587B7C" w:rsidRDefault="000B5FD9" w:rsidP="00587B7C">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587B7C">
        <w:t>100</w:t>
      </w:r>
      <w:r w:rsidR="00587B7C" w:rsidRPr="008E7494">
        <w:t xml:space="preserve"> </w:t>
      </w:r>
      <w:r w:rsidR="00F500CF" w:rsidRPr="008E7494">
        <w:t xml:space="preserve">people as </w:t>
      </w:r>
      <w:proofErr w:type="gramStart"/>
      <w:r w:rsidR="00F500CF" w:rsidRPr="008E7494">
        <w:t>at</w:t>
      </w:r>
      <w:proofErr w:type="gramEnd"/>
      <w:r w:rsidR="00F500CF" w:rsidRPr="008E7494">
        <w:t xml:space="preserve"> 30 June 20</w:t>
      </w:r>
      <w:r w:rsidR="00C673E7">
        <w:t>2</w:t>
      </w:r>
      <w:r w:rsidR="00587B7C">
        <w:t>1</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267D24">
        <w:rPr>
          <w:vertAlign w:val="superscript"/>
        </w:rPr>
        <w:t>17</w:t>
      </w:r>
      <w:r w:rsidR="00C673E7" w:rsidRPr="00C673E7">
        <w:rPr>
          <w:vertAlign w:val="superscript"/>
        </w:rPr>
        <w:fldChar w:fldCharType="end"/>
      </w:r>
      <w:r w:rsidR="00C673E7">
        <w:rPr>
          <w:vertAlign w:val="superscript"/>
        </w:rPr>
        <w:t>,</w:t>
      </w:r>
      <w:r w:rsidR="00F500CF" w:rsidRPr="00F500CF">
        <w:rPr>
          <w:vertAlign w:val="superscript"/>
        </w:rPr>
        <w:footnoteReference w:id="21"/>
      </w:r>
      <w:r w:rsidR="00F500CF" w:rsidRPr="008E7494">
        <w:t>.</w:t>
      </w:r>
      <w:r w:rsidR="00663321">
        <w:br w:type="page"/>
      </w:r>
    </w:p>
    <w:p w14:paraId="2C7D86BB" w14:textId="589EEA41" w:rsidR="005A5B78" w:rsidRPr="00E34093" w:rsidRDefault="005A5B78" w:rsidP="005A5B78">
      <w:pPr>
        <w:pStyle w:val="Heading1"/>
        <w:ind w:left="-142" w:right="-426"/>
      </w:pPr>
      <w:bookmarkStart w:id="30" w:name="_Toc39657992"/>
      <w:r w:rsidRPr="00E34093">
        <w:lastRenderedPageBreak/>
        <w:t>2.  Future Direction</w:t>
      </w:r>
      <w:bookmarkEnd w:id="20"/>
      <w:bookmarkEnd w:id="21"/>
      <w:bookmarkEnd w:id="22"/>
      <w:bookmarkEnd w:id="23"/>
      <w:r w:rsidRPr="00E34093">
        <w:t xml:space="preserve"> and Challenges</w:t>
      </w:r>
      <w:bookmarkEnd w:id="30"/>
    </w:p>
    <w:p w14:paraId="66A68EAB" w14:textId="5BC344B1" w:rsidR="005A5B78" w:rsidRPr="00351891" w:rsidRDefault="005A5B78" w:rsidP="005A5B78">
      <w:pPr>
        <w:ind w:left="-142" w:right="-425"/>
        <w:jc w:val="both"/>
        <w:rPr>
          <w:rFonts w:cs="Arial"/>
          <w:bCs/>
        </w:rPr>
      </w:pPr>
    </w:p>
    <w:p w14:paraId="0674E398" w14:textId="77777777" w:rsidR="001E5D5F" w:rsidRDefault="001E5D5F" w:rsidP="002B2692">
      <w:pPr>
        <w:ind w:left="-142" w:right="-425"/>
        <w:jc w:val="both"/>
        <w:rPr>
          <w:rFonts w:cs="Arial"/>
          <w:b/>
          <w:bCs/>
          <w:sz w:val="22"/>
          <w:szCs w:val="22"/>
        </w:rPr>
      </w:pPr>
      <w:bookmarkStart w:id="31" w:name="_Hlk149053389"/>
      <w:bookmarkStart w:id="32" w:name="_Hlk143596962"/>
      <w:r w:rsidRPr="001E5D5F">
        <w:rPr>
          <w:rFonts w:cs="Arial"/>
          <w:b/>
          <w:bCs/>
          <w:sz w:val="22"/>
          <w:szCs w:val="22"/>
        </w:rPr>
        <w:t>Department of Education – Instrument of Delegation</w:t>
      </w:r>
    </w:p>
    <w:p w14:paraId="11456E7A" w14:textId="4AC91C0C" w:rsidR="00CC6F5F" w:rsidRDefault="00F54480" w:rsidP="00F54480">
      <w:pPr>
        <w:ind w:left="-142" w:right="-425"/>
        <w:jc w:val="both"/>
      </w:pPr>
      <w:r w:rsidRPr="00F54480">
        <w:t xml:space="preserve">On </w:t>
      </w:r>
      <w:r>
        <w:t xml:space="preserve">7 February 2023 the Commission was informed by the Department of Education their Director-General had signed a new Instrument of Delegation under the </w:t>
      </w:r>
      <w:r w:rsidRPr="00F54480">
        <w:rPr>
          <w:i/>
          <w:iCs/>
        </w:rPr>
        <w:t>Family Responsibilities Commission Act 2008</w:t>
      </w:r>
      <w:r>
        <w:t xml:space="preserve">. </w:t>
      </w:r>
      <w:r w:rsidR="001F2626">
        <w:t xml:space="preserve">The delegation </w:t>
      </w:r>
      <w:r w:rsidR="00CC6F5F">
        <w:t>authorised Principals and Deputy Principals of schools in FRC communities, as well as the Executive Director, Performance Monitoring and Reporting, to directly provide notice to the Commissioner of:</w:t>
      </w:r>
    </w:p>
    <w:p w14:paraId="65CBB460" w14:textId="3263B638" w:rsidR="00CC6F5F" w:rsidRPr="008B0772" w:rsidRDefault="00CC6F5F" w:rsidP="00C40DE8">
      <w:pPr>
        <w:pStyle w:val="ListParagraph"/>
        <w:numPr>
          <w:ilvl w:val="0"/>
          <w:numId w:val="13"/>
        </w:numPr>
        <w:spacing w:line="288" w:lineRule="auto"/>
        <w:ind w:left="572" w:right="-425" w:hanging="357"/>
        <w:jc w:val="both"/>
        <w:rPr>
          <w:rFonts w:ascii="Verdana" w:hAnsi="Verdana" w:cs="Arial"/>
          <w:bCs/>
          <w:sz w:val="20"/>
          <w:szCs w:val="20"/>
        </w:rPr>
      </w:pPr>
      <w:r w:rsidRPr="00C40DE8">
        <w:rPr>
          <w:rFonts w:ascii="Verdana" w:hAnsi="Verdana"/>
          <w:sz w:val="20"/>
          <w:szCs w:val="20"/>
        </w:rPr>
        <w:t>a child of compulsory school age that is not enrolled at a school (s41 FRC Act)</w:t>
      </w:r>
    </w:p>
    <w:p w14:paraId="1020A163" w14:textId="266698AC" w:rsidR="00CC6F5F" w:rsidRPr="008B0772" w:rsidRDefault="00CC6F5F" w:rsidP="00C40DE8">
      <w:pPr>
        <w:pStyle w:val="ListParagraph"/>
        <w:numPr>
          <w:ilvl w:val="0"/>
          <w:numId w:val="13"/>
        </w:numPr>
        <w:spacing w:line="288" w:lineRule="auto"/>
        <w:ind w:left="572" w:right="-425" w:hanging="357"/>
        <w:jc w:val="both"/>
        <w:rPr>
          <w:rFonts w:ascii="Verdana" w:hAnsi="Verdana" w:cs="Arial"/>
          <w:bCs/>
          <w:sz w:val="20"/>
          <w:szCs w:val="20"/>
        </w:rPr>
      </w:pPr>
      <w:r w:rsidRPr="00C40DE8">
        <w:rPr>
          <w:rFonts w:ascii="Verdana" w:hAnsi="Verdana"/>
          <w:sz w:val="20"/>
          <w:szCs w:val="20"/>
        </w:rPr>
        <w:t>information directly to the Commissioner in response to information about a student at a school (s93 FRC Act)</w:t>
      </w:r>
      <w:r w:rsidR="00A25B7D">
        <w:rPr>
          <w:rFonts w:ascii="Verdana" w:hAnsi="Verdana"/>
          <w:sz w:val="20"/>
          <w:szCs w:val="20"/>
        </w:rPr>
        <w:t>. F</w:t>
      </w:r>
      <w:r w:rsidR="007F0EA2" w:rsidRPr="00C40DE8">
        <w:rPr>
          <w:rFonts w:ascii="Verdana" w:hAnsi="Verdana"/>
          <w:sz w:val="20"/>
          <w:szCs w:val="20"/>
        </w:rPr>
        <w:t xml:space="preserve">or Principals, this information is limited to requests for enrolment and/or attendance information regarding a student </w:t>
      </w:r>
      <w:proofErr w:type="gramStart"/>
      <w:r w:rsidR="007F0EA2" w:rsidRPr="00C40DE8">
        <w:rPr>
          <w:rFonts w:ascii="Verdana" w:hAnsi="Verdana"/>
          <w:sz w:val="20"/>
          <w:szCs w:val="20"/>
        </w:rPr>
        <w:t>of</w:t>
      </w:r>
      <w:proofErr w:type="gramEnd"/>
      <w:r w:rsidR="007F0EA2" w:rsidRPr="00C40DE8">
        <w:rPr>
          <w:rFonts w:ascii="Verdana" w:hAnsi="Verdana"/>
          <w:sz w:val="20"/>
          <w:szCs w:val="20"/>
        </w:rPr>
        <w:t xml:space="preserve"> their own school</w:t>
      </w:r>
      <w:r w:rsidRPr="00C40DE8">
        <w:rPr>
          <w:rFonts w:ascii="Verdana" w:hAnsi="Verdana"/>
          <w:sz w:val="20"/>
          <w:szCs w:val="20"/>
        </w:rPr>
        <w:t>.</w:t>
      </w:r>
    </w:p>
    <w:p w14:paraId="10902F9A" w14:textId="1F3AC6B1" w:rsidR="00CC6F5F" w:rsidRPr="00CC6F5F" w:rsidRDefault="00CC6F5F" w:rsidP="00CC6F5F">
      <w:pPr>
        <w:ind w:left="-142" w:right="-425"/>
        <w:jc w:val="both"/>
      </w:pPr>
    </w:p>
    <w:p w14:paraId="2CE52BD3" w14:textId="4A6162DA" w:rsidR="00CC6F5F" w:rsidRDefault="00CC6F5F" w:rsidP="00CC6F5F">
      <w:pPr>
        <w:ind w:left="-142" w:right="-425"/>
        <w:jc w:val="both"/>
      </w:pPr>
      <w:r>
        <w:t>Th</w:t>
      </w:r>
      <w:r w:rsidR="000B51AB">
        <w:t xml:space="preserve">e Commission is happy to report that the Instrument of Delegation has </w:t>
      </w:r>
      <w:r w:rsidRPr="00CC6F5F">
        <w:t>streamline</w:t>
      </w:r>
      <w:r w:rsidR="000B51AB">
        <w:t>d</w:t>
      </w:r>
      <w:r w:rsidRPr="00CC6F5F">
        <w:t xml:space="preserve"> response processes and timelines</w:t>
      </w:r>
      <w:r w:rsidR="000B51AB">
        <w:t xml:space="preserve"> </w:t>
      </w:r>
      <w:proofErr w:type="gramStart"/>
      <w:r w:rsidR="000B51AB">
        <w:t>in regard to</w:t>
      </w:r>
      <w:proofErr w:type="gramEnd"/>
      <w:r w:rsidR="000B51AB">
        <w:t xml:space="preserve"> requests for information aimed at providing Commissioners with relevant information and data upon which to base their decisions.</w:t>
      </w:r>
    </w:p>
    <w:p w14:paraId="29956152" w14:textId="7DB233C4" w:rsidR="00F5403C" w:rsidRDefault="00F5403C" w:rsidP="00CC6F5F">
      <w:pPr>
        <w:ind w:left="-142" w:right="-425"/>
        <w:jc w:val="both"/>
      </w:pPr>
    </w:p>
    <w:p w14:paraId="3878D1BA" w14:textId="770770D0" w:rsidR="00F5403C" w:rsidRPr="00D8362A" w:rsidRDefault="00F5403C" w:rsidP="00CC6F5F">
      <w:pPr>
        <w:ind w:left="-142" w:right="-425"/>
        <w:jc w:val="both"/>
        <w:rPr>
          <w:rFonts w:cs="Arial"/>
          <w:b/>
          <w:bCs/>
          <w:sz w:val="22"/>
          <w:szCs w:val="22"/>
        </w:rPr>
      </w:pPr>
      <w:r w:rsidRPr="00D8362A">
        <w:rPr>
          <w:rFonts w:cs="Arial"/>
          <w:b/>
          <w:bCs/>
          <w:sz w:val="22"/>
          <w:szCs w:val="22"/>
        </w:rPr>
        <w:t>School attendance</w:t>
      </w:r>
    </w:p>
    <w:p w14:paraId="737FC356" w14:textId="2CFBFA0E" w:rsidR="00F5403C" w:rsidRPr="00CC6F5F" w:rsidRDefault="00DC4A39" w:rsidP="00CC6F5F">
      <w:pPr>
        <w:ind w:left="-142" w:right="-425"/>
        <w:jc w:val="both"/>
      </w:pPr>
      <w:r>
        <w:t xml:space="preserve">The Commission is heartened to report that </w:t>
      </w:r>
      <w:r w:rsidR="006D62D7">
        <w:t xml:space="preserve">the </w:t>
      </w:r>
      <w:r>
        <w:t>D</w:t>
      </w:r>
      <w:r w:rsidR="006D62D7">
        <w:t>epartment of Education</w:t>
      </w:r>
      <w:r>
        <w:t xml:space="preserve"> published primary school attendance for </w:t>
      </w:r>
      <w:r w:rsidR="00CB3D3A">
        <w:t xml:space="preserve">term 1 2023 which covers </w:t>
      </w:r>
      <w:r>
        <w:t xml:space="preserve">quarter 59 (January to March 2023) reflects improvement across the board for the communities of Aurukun, Coen, Doomadgee, Hope </w:t>
      </w:r>
      <w:proofErr w:type="gramStart"/>
      <w:r>
        <w:t>Vale</w:t>
      </w:r>
      <w:proofErr w:type="gramEnd"/>
      <w:r>
        <w:t xml:space="preserve"> and Mossman Gorge when compared to term 4 2022. </w:t>
      </w:r>
      <w:r w:rsidR="008D1A95">
        <w:t>Primary school attendance i</w:t>
      </w:r>
      <w:r>
        <w:t xml:space="preserve">mprovements are also shown in each community when comparing term 1 2022 to term 1 2023. </w:t>
      </w:r>
      <w:r w:rsidR="00A71A19">
        <w:t>The Coen Campus of CYAAA reported primary school attendance for term 1 of 88</w:t>
      </w:r>
      <w:r w:rsidR="00E965BF">
        <w:t>%</w:t>
      </w:r>
      <w:r w:rsidR="00A71A19">
        <w:t xml:space="preserve">, topping </w:t>
      </w:r>
      <w:r w:rsidR="002170E7">
        <w:t>Queensland</w:t>
      </w:r>
      <w:r w:rsidR="00A71A19">
        <w:t xml:space="preserve"> for selected Aboriginal and Torres Strait Islander community schools. The Commission continues implementing what is termed an elevated school response </w:t>
      </w:r>
      <w:r w:rsidR="002170E7">
        <w:t xml:space="preserve">strategy </w:t>
      </w:r>
      <w:r w:rsidR="00A71A19">
        <w:t>to identify and case-manage FRC clients whose children a</w:t>
      </w:r>
      <w:r w:rsidR="00E16AD6">
        <w:t>re</w:t>
      </w:r>
      <w:r w:rsidR="00A71A19">
        <w:t xml:space="preserve"> not attending school, or not attending on a regular basis. </w:t>
      </w:r>
      <w:r w:rsidR="00C21555">
        <w:t xml:space="preserve">The FRC is not a school attendance model </w:t>
      </w:r>
      <w:r w:rsidR="008D1A95">
        <w:t xml:space="preserve">per </w:t>
      </w:r>
      <w:r w:rsidR="00491F74">
        <w:t>se but</w:t>
      </w:r>
      <w:r w:rsidR="00C21555">
        <w:t xml:space="preserve"> </w:t>
      </w:r>
      <w:r w:rsidR="008D1A95">
        <w:t xml:space="preserve">does </w:t>
      </w:r>
      <w:r w:rsidR="00C21555">
        <w:t>ha</w:t>
      </w:r>
      <w:r w:rsidR="008D1A95">
        <w:t>ve</w:t>
      </w:r>
      <w:r w:rsidR="00C21555">
        <w:t xml:space="preserve"> a </w:t>
      </w:r>
      <w:r w:rsidR="008D1A95">
        <w:t xml:space="preserve">pivotal </w:t>
      </w:r>
      <w:r w:rsidR="00C21555">
        <w:t xml:space="preserve">role with community </w:t>
      </w:r>
      <w:r w:rsidR="008D1A95">
        <w:t xml:space="preserve">members </w:t>
      </w:r>
      <w:r w:rsidR="00C21555">
        <w:t>who fall within its jurisdiction to be held to account if they are not prioritising education for their children.</w:t>
      </w:r>
      <w:r w:rsidR="008D1A95">
        <w:t xml:space="preserve"> </w:t>
      </w:r>
      <w:proofErr w:type="gramStart"/>
      <w:r w:rsidR="002170E7">
        <w:t>Past experience</w:t>
      </w:r>
      <w:proofErr w:type="gramEnd"/>
      <w:r w:rsidR="002170E7">
        <w:t xml:space="preserve"> has shown that changing community norms in valuing education requires a multi-party</w:t>
      </w:r>
      <w:r w:rsidR="00E16AD6">
        <w:t>/stakeholder</w:t>
      </w:r>
      <w:r w:rsidR="002170E7">
        <w:t xml:space="preserve"> commitment and approach. Gains in school attendance are generally achieved when there </w:t>
      </w:r>
      <w:r w:rsidR="00491F74">
        <w:t xml:space="preserve">is a community-led strategy to encourage attendance, </w:t>
      </w:r>
      <w:r w:rsidR="002170E7">
        <w:t>low rates of community unrest, community</w:t>
      </w:r>
      <w:r w:rsidR="00491F74">
        <w:t>-led management of sorry business and weather events or seasons which inhibit travel.</w:t>
      </w:r>
    </w:p>
    <w:p w14:paraId="3DD7F5EB" w14:textId="77777777" w:rsidR="000036F5" w:rsidRDefault="000036F5" w:rsidP="000036F5">
      <w:pPr>
        <w:ind w:left="-142" w:right="-425"/>
        <w:jc w:val="both"/>
      </w:pPr>
    </w:p>
    <w:p w14:paraId="57A77EA1" w14:textId="2ADAC77F" w:rsidR="000036F5" w:rsidRPr="000036F5" w:rsidRDefault="000036F5" w:rsidP="000036F5">
      <w:pPr>
        <w:ind w:left="-142" w:right="-425"/>
        <w:jc w:val="both"/>
        <w:rPr>
          <w:rFonts w:cs="Arial"/>
          <w:b/>
          <w:bCs/>
          <w:sz w:val="22"/>
          <w:szCs w:val="22"/>
        </w:rPr>
      </w:pPr>
      <w:r w:rsidRPr="000036F5">
        <w:rPr>
          <w:rFonts w:cs="Arial"/>
          <w:b/>
          <w:bCs/>
          <w:sz w:val="22"/>
          <w:szCs w:val="22"/>
        </w:rPr>
        <w:t xml:space="preserve">ICT </w:t>
      </w:r>
      <w:r>
        <w:rPr>
          <w:rFonts w:cs="Arial"/>
          <w:b/>
          <w:bCs/>
          <w:sz w:val="22"/>
          <w:szCs w:val="22"/>
        </w:rPr>
        <w:t>upgrade</w:t>
      </w:r>
    </w:p>
    <w:p w14:paraId="03C70399" w14:textId="12279021" w:rsidR="000036F5" w:rsidRPr="000036F5" w:rsidRDefault="000036F5" w:rsidP="000036F5">
      <w:pPr>
        <w:ind w:left="-142" w:right="-425"/>
        <w:jc w:val="both"/>
      </w:pPr>
      <w:r>
        <w:t>The Commission’s</w:t>
      </w:r>
      <w:r w:rsidRPr="000036F5">
        <w:t xml:space="preserve"> Dynamics 2015</w:t>
      </w:r>
      <w:r w:rsidR="00CB390B">
        <w:t xml:space="preserve"> Customer Relationship Management (</w:t>
      </w:r>
      <w:r w:rsidRPr="000036F5">
        <w:t>CRM</w:t>
      </w:r>
      <w:r w:rsidR="00CB390B">
        <w:t>)</w:t>
      </w:r>
      <w:r w:rsidRPr="000036F5">
        <w:t xml:space="preserve"> </w:t>
      </w:r>
      <w:r w:rsidR="00010F70">
        <w:t xml:space="preserve">database </w:t>
      </w:r>
      <w:r w:rsidRPr="000036F5">
        <w:t xml:space="preserve">and associated infrastructure </w:t>
      </w:r>
      <w:r>
        <w:t>is approaching ‘</w:t>
      </w:r>
      <w:r w:rsidRPr="000036F5">
        <w:t>end of life</w:t>
      </w:r>
      <w:r>
        <w:t>’</w:t>
      </w:r>
      <w:r w:rsidRPr="000036F5">
        <w:t xml:space="preserve"> in October 2023. The I</w:t>
      </w:r>
      <w:r>
        <w:t>C</w:t>
      </w:r>
      <w:r w:rsidRPr="000036F5">
        <w:t xml:space="preserve">T </w:t>
      </w:r>
      <w:r>
        <w:t xml:space="preserve">Administrator and </w:t>
      </w:r>
      <w:r w:rsidR="00A97EE2">
        <w:t>ICT S</w:t>
      </w:r>
      <w:r>
        <w:t xml:space="preserve">upport </w:t>
      </w:r>
      <w:r w:rsidR="00A97EE2">
        <w:t>O</w:t>
      </w:r>
      <w:r>
        <w:t>fficer have</w:t>
      </w:r>
      <w:r w:rsidRPr="000036F5">
        <w:t xml:space="preserve"> been actively engaging with various teams within the </w:t>
      </w:r>
      <w:r>
        <w:t>Commission</w:t>
      </w:r>
      <w:r w:rsidRPr="000036F5">
        <w:t xml:space="preserve"> to gather information concerning required functionality and suitability </w:t>
      </w:r>
      <w:r w:rsidR="00A97EE2">
        <w:t>to meet the changing needs of the Commission</w:t>
      </w:r>
      <w:r w:rsidRPr="000036F5">
        <w:t xml:space="preserve">. A preliminary tender document has been </w:t>
      </w:r>
      <w:r w:rsidR="00A97EE2">
        <w:t>drafted</w:t>
      </w:r>
      <w:r w:rsidRPr="000036F5">
        <w:t xml:space="preserve"> to initiate the procurement process for a </w:t>
      </w:r>
      <w:r w:rsidR="00A97EE2">
        <w:t>data</w:t>
      </w:r>
      <w:r w:rsidRPr="000036F5">
        <w:t xml:space="preserve"> system and is </w:t>
      </w:r>
      <w:r w:rsidR="00A97EE2">
        <w:t xml:space="preserve">under current </w:t>
      </w:r>
      <w:r w:rsidRPr="000036F5">
        <w:t xml:space="preserve">review. </w:t>
      </w:r>
      <w:r w:rsidR="00A97EE2">
        <w:t>R</w:t>
      </w:r>
      <w:r w:rsidRPr="000036F5">
        <w:t xml:space="preserve">esearch is concurrently being undertaken as a preparatory measure should </w:t>
      </w:r>
      <w:r w:rsidR="00A97EE2">
        <w:t>the</w:t>
      </w:r>
      <w:r w:rsidRPr="000036F5">
        <w:t xml:space="preserve"> need </w:t>
      </w:r>
      <w:r w:rsidR="00A97EE2">
        <w:t xml:space="preserve">arise </w:t>
      </w:r>
      <w:r w:rsidRPr="000036F5">
        <w:t>to extend the utilisation of the current system beyond its support cycle.</w:t>
      </w:r>
    </w:p>
    <w:p w14:paraId="04E1BD3B" w14:textId="77777777" w:rsidR="000036F5" w:rsidRPr="000036F5" w:rsidRDefault="000036F5" w:rsidP="000036F5">
      <w:pPr>
        <w:ind w:left="-142" w:right="-425"/>
        <w:jc w:val="both"/>
      </w:pPr>
    </w:p>
    <w:p w14:paraId="63254032" w14:textId="3885A2FA" w:rsidR="000036F5" w:rsidRDefault="000036F5" w:rsidP="000036F5">
      <w:pPr>
        <w:ind w:left="-142" w:right="-425"/>
        <w:jc w:val="both"/>
      </w:pPr>
      <w:r w:rsidRPr="000036F5">
        <w:t xml:space="preserve">In response to the growing concern </w:t>
      </w:r>
      <w:r w:rsidR="00A97EE2">
        <w:t xml:space="preserve">nationally </w:t>
      </w:r>
      <w:proofErr w:type="gramStart"/>
      <w:r w:rsidR="00A97EE2">
        <w:t>in regard to</w:t>
      </w:r>
      <w:proofErr w:type="gramEnd"/>
      <w:r w:rsidR="00A97EE2">
        <w:t xml:space="preserve"> </w:t>
      </w:r>
      <w:r w:rsidRPr="000036F5">
        <w:t>data breaches</w:t>
      </w:r>
      <w:r w:rsidR="00A97EE2">
        <w:t>,</w:t>
      </w:r>
      <w:r w:rsidRPr="000036F5">
        <w:t xml:space="preserve"> </w:t>
      </w:r>
      <w:r w:rsidR="00A97EE2">
        <w:t>particularly</w:t>
      </w:r>
      <w:r w:rsidRPr="000036F5">
        <w:t xml:space="preserve"> given the sensitive nature of the data </w:t>
      </w:r>
      <w:r w:rsidR="00A97EE2">
        <w:t>held by the Commission, a</w:t>
      </w:r>
      <w:r w:rsidRPr="000036F5">
        <w:t xml:space="preserve"> detailed Data Breach Response Plan has been drafted</w:t>
      </w:r>
      <w:r w:rsidR="00A97EE2">
        <w:t>, approved and adopted by the Executive management Team</w:t>
      </w:r>
      <w:r w:rsidR="00746EA6">
        <w:t xml:space="preserve">. </w:t>
      </w:r>
      <w:r w:rsidRPr="000036F5">
        <w:t xml:space="preserve">The Data Breach Response Plan </w:t>
      </w:r>
      <w:r w:rsidR="00746EA6">
        <w:t>provides the Commission with</w:t>
      </w:r>
      <w:r w:rsidRPr="000036F5">
        <w:t xml:space="preserve"> clear direction on steps to undertake in the event of a data breach while simultaneously ensuring compliance with regulatory bodies such as the OIC (Office of the Information Commissioner) and OAIC (Office of the Australian Information Commissioner).</w:t>
      </w:r>
    </w:p>
    <w:p w14:paraId="79CA202B" w14:textId="41DEC4BD" w:rsidR="008C58E9" w:rsidRDefault="008C58E9" w:rsidP="000036F5">
      <w:pPr>
        <w:ind w:left="-142" w:right="-425"/>
        <w:jc w:val="both"/>
      </w:pPr>
    </w:p>
    <w:p w14:paraId="07AB5FE2" w14:textId="77777777" w:rsidR="00C40DE8" w:rsidRPr="00086AA9" w:rsidRDefault="00C40DE8">
      <w:pPr>
        <w:spacing w:line="240" w:lineRule="auto"/>
        <w:rPr>
          <w:rFonts w:cs="Arial"/>
          <w:sz w:val="22"/>
          <w:szCs w:val="22"/>
        </w:rPr>
      </w:pPr>
      <w:r w:rsidRPr="00086AA9">
        <w:rPr>
          <w:rFonts w:cs="Arial"/>
          <w:sz w:val="22"/>
          <w:szCs w:val="22"/>
        </w:rPr>
        <w:br w:type="page"/>
      </w:r>
    </w:p>
    <w:p w14:paraId="1A2E605A" w14:textId="71E56046" w:rsidR="008C58E9" w:rsidRPr="008C58E9" w:rsidRDefault="008C58E9" w:rsidP="000036F5">
      <w:pPr>
        <w:ind w:left="-142" w:right="-425"/>
        <w:jc w:val="both"/>
        <w:rPr>
          <w:rFonts w:cs="Arial"/>
          <w:b/>
          <w:bCs/>
          <w:sz w:val="22"/>
          <w:szCs w:val="22"/>
        </w:rPr>
      </w:pPr>
      <w:r w:rsidRPr="008C58E9">
        <w:rPr>
          <w:rFonts w:cs="Arial"/>
          <w:b/>
          <w:bCs/>
          <w:sz w:val="22"/>
          <w:szCs w:val="22"/>
        </w:rPr>
        <w:lastRenderedPageBreak/>
        <w:t>Voluntary Income Management (VIM)</w:t>
      </w:r>
    </w:p>
    <w:p w14:paraId="1B89E147" w14:textId="1D3D04E9" w:rsidR="00976991" w:rsidRPr="00976991" w:rsidRDefault="00976991" w:rsidP="00976991">
      <w:pPr>
        <w:ind w:left="-142" w:right="-425"/>
        <w:jc w:val="both"/>
      </w:pPr>
      <w:r w:rsidRPr="00976991">
        <w:t>Over the last two financial years, the FRC has seen a significant increase in the uptake of VIM agreements. In the 2019-20 financial year there were 20 agreements for VIM, in 2020-21 there were 94, and in 2021-2022 there were 140 agreements for VIM.</w:t>
      </w:r>
    </w:p>
    <w:p w14:paraId="23B89CBA" w14:textId="77777777" w:rsidR="00624BE9" w:rsidRDefault="00624BE9" w:rsidP="00976991">
      <w:pPr>
        <w:ind w:left="-142" w:right="-425"/>
        <w:jc w:val="both"/>
      </w:pPr>
    </w:p>
    <w:p w14:paraId="350253E9" w14:textId="60469F6F" w:rsidR="00976991" w:rsidRDefault="0012174A" w:rsidP="00976991">
      <w:pPr>
        <w:ind w:left="-142" w:right="-425"/>
        <w:jc w:val="both"/>
      </w:pPr>
      <w:r>
        <w:t>It is significant that a</w:t>
      </w:r>
      <w:r w:rsidR="00976991" w:rsidRPr="00976991">
        <w:t xml:space="preserve">s </w:t>
      </w:r>
      <w:proofErr w:type="gramStart"/>
      <w:r w:rsidR="00976991" w:rsidRPr="00976991">
        <w:t>at</w:t>
      </w:r>
      <w:proofErr w:type="gramEnd"/>
      <w:r w:rsidR="00976991" w:rsidRPr="00976991">
        <w:t xml:space="preserve"> 7 March 2023 the FRC has processed a total of </w:t>
      </w:r>
      <w:r w:rsidR="00D41C19">
        <w:t>465</w:t>
      </w:r>
      <w:r w:rsidR="00976991" w:rsidRPr="00976991">
        <w:t xml:space="preserve"> income management arrangements</w:t>
      </w:r>
      <w:r w:rsidR="00330377">
        <w:t xml:space="preserve"> since 17 March 2021</w:t>
      </w:r>
      <w:r w:rsidR="00976991" w:rsidRPr="00976991">
        <w:t>, of which 65</w:t>
      </w:r>
      <w:r w:rsidR="0089093F">
        <w:t xml:space="preserve">% </w:t>
      </w:r>
      <w:r w:rsidR="00976991" w:rsidRPr="00976991">
        <w:t>were voluntary. It is also notable that the increase in uptake can be seen across all age groups, including the younger cohort of 18–</w:t>
      </w:r>
      <w:proofErr w:type="gramStart"/>
      <w:r w:rsidR="00976991" w:rsidRPr="00976991">
        <w:t>25</w:t>
      </w:r>
      <w:r w:rsidR="00FC3D2E">
        <w:t xml:space="preserve"> </w:t>
      </w:r>
      <w:r w:rsidR="00976991" w:rsidRPr="00976991">
        <w:t>year</w:t>
      </w:r>
      <w:r w:rsidR="00FC3D2E">
        <w:t xml:space="preserve"> </w:t>
      </w:r>
      <w:r w:rsidR="00976991" w:rsidRPr="00976991">
        <w:t>old</w:t>
      </w:r>
      <w:r w:rsidR="00A31EA3">
        <w:t>s</w:t>
      </w:r>
      <w:proofErr w:type="gramEnd"/>
      <w:r w:rsidR="00976991" w:rsidRPr="00976991">
        <w:t xml:space="preserve">. As </w:t>
      </w:r>
      <w:proofErr w:type="gramStart"/>
      <w:r w:rsidR="00976991" w:rsidRPr="00976991">
        <w:t>at</w:t>
      </w:r>
      <w:proofErr w:type="gramEnd"/>
      <w:r w:rsidR="00976991" w:rsidRPr="00976991">
        <w:t xml:space="preserve"> 7 March 2023 there were 80 clients, who have 86 children in their care, on a current VIM agreement.</w:t>
      </w:r>
    </w:p>
    <w:p w14:paraId="2FA7365F" w14:textId="77777777" w:rsidR="00624BE9" w:rsidRPr="00976991" w:rsidRDefault="00624BE9" w:rsidP="00976991">
      <w:pPr>
        <w:ind w:left="-142" w:right="-425"/>
        <w:jc w:val="both"/>
      </w:pPr>
    </w:p>
    <w:p w14:paraId="33020F65" w14:textId="34796B94" w:rsidR="00A31EA3" w:rsidRDefault="00976991" w:rsidP="00171DC6">
      <w:pPr>
        <w:ind w:left="-142" w:right="-425"/>
        <w:jc w:val="both"/>
      </w:pPr>
      <w:r w:rsidRPr="00976991">
        <w:t xml:space="preserve">VIM is </w:t>
      </w:r>
      <w:r w:rsidR="00755871">
        <w:t>a</w:t>
      </w:r>
      <w:r w:rsidRPr="00976991">
        <w:t xml:space="preserve"> popular tool for those wishing to get support to manage their money and ensure household needs and financial obligations are met. The FRC has tracked</w:t>
      </w:r>
      <w:r w:rsidR="003D1592">
        <w:t xml:space="preserve"> </w:t>
      </w:r>
      <w:r w:rsidR="00171DC6" w:rsidRPr="00171DC6">
        <w:t>the reasons people enter into a VIM agreement since 17 March 2021 following the introduction of the Cashless Debit Card and now, more recently, the SmartCard. The most common reasons across all age groups were to buy food and to pay bills.</w:t>
      </w:r>
    </w:p>
    <w:p w14:paraId="5A94D5B6" w14:textId="20879A16" w:rsidR="00171DC6" w:rsidRPr="00171DC6" w:rsidRDefault="00171DC6" w:rsidP="00171DC6">
      <w:pPr>
        <w:ind w:left="-142" w:right="-425"/>
        <w:jc w:val="both"/>
      </w:pPr>
    </w:p>
    <w:p w14:paraId="3610524A" w14:textId="4FC2EB8A" w:rsidR="00171DC6" w:rsidRPr="00171DC6" w:rsidRDefault="00171DC6" w:rsidP="00171DC6">
      <w:pPr>
        <w:ind w:left="-142" w:right="-425"/>
        <w:jc w:val="both"/>
      </w:pPr>
      <w:r w:rsidRPr="00171DC6">
        <w:t>VIM has also proven to be a useful protective mechanism for those struggling with complex and entrenched disadvantage. The FRC’s experience is that women have found VIM particularly helpful in protecting their income in relationships characterised by domestic violence, including coercive control. Elderly community members are also self-referring to help safeguard funds for their own needs and protect against humbugging or other elder abuse.</w:t>
      </w:r>
    </w:p>
    <w:p w14:paraId="1D490421" w14:textId="77777777" w:rsidR="003A3080" w:rsidRDefault="003A3080" w:rsidP="00976991">
      <w:pPr>
        <w:ind w:left="-142" w:right="-425"/>
        <w:jc w:val="both"/>
      </w:pPr>
    </w:p>
    <w:p w14:paraId="3E74AC3D" w14:textId="14F56A85" w:rsidR="00755871" w:rsidRPr="00755871" w:rsidRDefault="00755871" w:rsidP="00755871">
      <w:pPr>
        <w:ind w:left="-142" w:right="-425"/>
        <w:jc w:val="both"/>
      </w:pPr>
      <w:r>
        <w:t>Data since the introduction of the CDC, from 17 March 2021 until 20 March 2023, show</w:t>
      </w:r>
      <w:r w:rsidR="002C424D">
        <w:t>s</w:t>
      </w:r>
      <w:r>
        <w:t xml:space="preserve"> of the 215 VIM Clients:</w:t>
      </w:r>
    </w:p>
    <w:p w14:paraId="414E74BD" w14:textId="7983C9E8" w:rsidR="008C58E9" w:rsidRPr="00C40DE8" w:rsidRDefault="008C58E9" w:rsidP="00C40DE8">
      <w:pPr>
        <w:pStyle w:val="ListParagraph"/>
        <w:numPr>
          <w:ilvl w:val="0"/>
          <w:numId w:val="14"/>
        </w:numPr>
        <w:spacing w:line="288" w:lineRule="auto"/>
        <w:ind w:left="572" w:right="-425" w:hanging="357"/>
        <w:jc w:val="both"/>
        <w:rPr>
          <w:rFonts w:ascii="Verdana" w:hAnsi="Verdana"/>
          <w:sz w:val="20"/>
          <w:szCs w:val="20"/>
        </w:rPr>
      </w:pPr>
      <w:r w:rsidRPr="00C40DE8">
        <w:rPr>
          <w:rFonts w:ascii="Verdana" w:hAnsi="Verdana"/>
          <w:sz w:val="20"/>
          <w:szCs w:val="20"/>
        </w:rPr>
        <w:t>112 (52</w:t>
      </w:r>
      <w:r w:rsidR="00E965BF">
        <w:rPr>
          <w:rFonts w:ascii="Verdana" w:hAnsi="Verdana"/>
          <w:sz w:val="20"/>
          <w:szCs w:val="20"/>
        </w:rPr>
        <w:t>%</w:t>
      </w:r>
      <w:r w:rsidRPr="00C40DE8">
        <w:rPr>
          <w:rFonts w:ascii="Verdana" w:hAnsi="Verdana"/>
          <w:sz w:val="20"/>
          <w:szCs w:val="20"/>
        </w:rPr>
        <w:t>) had an ordered income management (CIM) prior to a VIM</w:t>
      </w:r>
    </w:p>
    <w:p w14:paraId="59D05181" w14:textId="1600FC35" w:rsidR="008C58E9" w:rsidRPr="00C40DE8" w:rsidRDefault="008C58E9" w:rsidP="00C40DE8">
      <w:pPr>
        <w:pStyle w:val="ListParagraph"/>
        <w:numPr>
          <w:ilvl w:val="0"/>
          <w:numId w:val="14"/>
        </w:numPr>
        <w:spacing w:line="288" w:lineRule="auto"/>
        <w:ind w:left="572" w:right="-425" w:hanging="357"/>
        <w:jc w:val="both"/>
        <w:rPr>
          <w:rFonts w:ascii="Verdana" w:hAnsi="Verdana"/>
          <w:sz w:val="20"/>
          <w:szCs w:val="20"/>
        </w:rPr>
      </w:pPr>
      <w:r w:rsidRPr="00C40DE8">
        <w:rPr>
          <w:rFonts w:ascii="Verdana" w:hAnsi="Verdana"/>
          <w:sz w:val="20"/>
          <w:szCs w:val="20"/>
        </w:rPr>
        <w:t>103 (48</w:t>
      </w:r>
      <w:r w:rsidR="00E965BF">
        <w:rPr>
          <w:rFonts w:ascii="Verdana" w:hAnsi="Verdana"/>
          <w:sz w:val="20"/>
          <w:szCs w:val="20"/>
        </w:rPr>
        <w:t>%</w:t>
      </w:r>
      <w:r w:rsidRPr="00C40DE8">
        <w:rPr>
          <w:rFonts w:ascii="Verdana" w:hAnsi="Verdana"/>
          <w:sz w:val="20"/>
          <w:szCs w:val="20"/>
        </w:rPr>
        <w:t>) had only had a VIM</w:t>
      </w:r>
    </w:p>
    <w:p w14:paraId="460E8F65" w14:textId="77777777" w:rsidR="008C58E9" w:rsidRPr="000036F5" w:rsidRDefault="008C58E9" w:rsidP="008C58E9">
      <w:pPr>
        <w:ind w:left="-142" w:right="-425"/>
        <w:jc w:val="both"/>
      </w:pPr>
    </w:p>
    <w:p w14:paraId="1E5C4AB3" w14:textId="00CF361C" w:rsidR="008D5387" w:rsidRDefault="008D5387" w:rsidP="000036F5">
      <w:pPr>
        <w:ind w:left="-142" w:right="-425"/>
        <w:jc w:val="both"/>
      </w:pPr>
      <w:r>
        <w:t>The percentage split of clients on a VIM having had a prior CIM has increased from 48</w:t>
      </w:r>
      <w:r w:rsidR="00E965BF">
        <w:t>%</w:t>
      </w:r>
      <w:r>
        <w:t xml:space="preserve"> (17 March 2021 to 30 April 2022) to 52</w:t>
      </w:r>
      <w:r w:rsidR="00E965BF">
        <w:t>%</w:t>
      </w:r>
      <w:r>
        <w:t xml:space="preserve"> (17 March 2021 to </w:t>
      </w:r>
      <w:r w:rsidR="00466978">
        <w:t xml:space="preserve">20 </w:t>
      </w:r>
      <w:r>
        <w:t>March 2023).</w:t>
      </w:r>
      <w:r w:rsidR="003A3080">
        <w:t xml:space="preserve"> </w:t>
      </w:r>
      <w:r w:rsidR="003A3080" w:rsidRPr="00171DC6">
        <w:t>This demonstrates that clients recognise that things improve for them and their families with income management in place and have taken steps to continue this improvement.</w:t>
      </w:r>
      <w:r w:rsidR="00E82495">
        <w:t xml:space="preserve"> </w:t>
      </w:r>
      <w:r w:rsidR="00E82495" w:rsidRPr="00171DC6">
        <w:t>The uptake of VIM is significant in the FRC’s progress towards supporting increased personal responsibility in FRC communities.</w:t>
      </w:r>
    </w:p>
    <w:p w14:paraId="2664AB19" w14:textId="77777777" w:rsidR="00AC13B1" w:rsidRDefault="00AC13B1" w:rsidP="000036F5">
      <w:pPr>
        <w:ind w:left="-142" w:right="-425"/>
        <w:jc w:val="both"/>
      </w:pPr>
    </w:p>
    <w:p w14:paraId="77BCB71C" w14:textId="77777777" w:rsidR="00AC13B1" w:rsidRPr="00AC13B1" w:rsidRDefault="00AC13B1" w:rsidP="000036F5">
      <w:pPr>
        <w:ind w:left="-142" w:right="-425"/>
        <w:jc w:val="both"/>
        <w:rPr>
          <w:rFonts w:cs="Arial"/>
          <w:b/>
          <w:bCs/>
          <w:sz w:val="22"/>
          <w:szCs w:val="22"/>
        </w:rPr>
      </w:pPr>
      <w:r w:rsidRPr="00AC13B1">
        <w:rPr>
          <w:rFonts w:cs="Arial"/>
          <w:b/>
          <w:bCs/>
          <w:sz w:val="22"/>
          <w:szCs w:val="22"/>
        </w:rPr>
        <w:t>Potential Government collaborations</w:t>
      </w:r>
    </w:p>
    <w:p w14:paraId="2EC71108" w14:textId="47B3D4DD" w:rsidR="00D7515B" w:rsidRDefault="00D7515B" w:rsidP="000036F5">
      <w:pPr>
        <w:ind w:left="-142" w:right="-425"/>
        <w:jc w:val="both"/>
      </w:pPr>
      <w:r>
        <w:t xml:space="preserve">In line with recommendation 4 of the FRC’s submission to the Queensland Government’s FRC Future Directions Review, titled </w:t>
      </w:r>
      <w:proofErr w:type="gramStart"/>
      <w:r w:rsidRPr="00D7515B">
        <w:rPr>
          <w:i/>
          <w:iCs/>
        </w:rPr>
        <w:t>The</w:t>
      </w:r>
      <w:proofErr w:type="gramEnd"/>
      <w:r w:rsidRPr="00D7515B">
        <w:rPr>
          <w:i/>
          <w:iCs/>
        </w:rPr>
        <w:t xml:space="preserve"> FRC: A model of self-determination – An operational analysis of the Family Responsibilities Commission from 2008 to 2022</w:t>
      </w:r>
      <w:r w:rsidR="00F308B4">
        <w:rPr>
          <w:i/>
          <w:iCs/>
        </w:rPr>
        <w:t xml:space="preserve"> </w:t>
      </w:r>
      <w:r w:rsidR="00F308B4" w:rsidRPr="00F308B4">
        <w:t>(see below)</w:t>
      </w:r>
      <w:r>
        <w:t>, the Commission has been investigating possible collaboration with other government agencies to enhance information sharing and support positive behavioural change.</w:t>
      </w:r>
    </w:p>
    <w:p w14:paraId="48B08687" w14:textId="3725CD26" w:rsidR="00F308B4" w:rsidRDefault="00F308B4" w:rsidP="000036F5">
      <w:pPr>
        <w:ind w:left="-142" w:right="-425"/>
        <w:jc w:val="both"/>
      </w:pPr>
    </w:p>
    <w:p w14:paraId="664785CB" w14:textId="2072B8E0" w:rsidR="00F308B4" w:rsidRDefault="00F308B4" w:rsidP="00CB3D3A">
      <w:pPr>
        <w:ind w:left="-142" w:right="-425"/>
        <w:jc w:val="both"/>
        <w:rPr>
          <w:i/>
          <w:iCs/>
        </w:rPr>
      </w:pPr>
      <w:r w:rsidRPr="00F308B4">
        <w:t xml:space="preserve">Recommendation 4. </w:t>
      </w:r>
      <w:r w:rsidRPr="00F308B4">
        <w:rPr>
          <w:i/>
          <w:iCs/>
        </w:rPr>
        <w:t>‘The partners agree to collaborate to support a renewed focus on service provider and government agency collaboration and performance:</w:t>
      </w:r>
    </w:p>
    <w:p w14:paraId="6C2B343A" w14:textId="77777777" w:rsidR="00CB3D3A" w:rsidRPr="00F308B4" w:rsidRDefault="00CB3D3A" w:rsidP="00CB3D3A">
      <w:pPr>
        <w:ind w:left="-142" w:right="-425"/>
        <w:jc w:val="both"/>
        <w:rPr>
          <w:i/>
          <w:iCs/>
        </w:rPr>
      </w:pPr>
    </w:p>
    <w:p w14:paraId="60E498C2" w14:textId="384B27C6" w:rsidR="00F308B4" w:rsidRPr="00F308B4" w:rsidRDefault="00F308B4" w:rsidP="00F308B4">
      <w:pPr>
        <w:ind w:left="-142" w:right="-425"/>
        <w:jc w:val="both"/>
      </w:pPr>
      <w:r w:rsidRPr="00F308B4">
        <w:rPr>
          <w:i/>
          <w:iCs/>
        </w:rPr>
        <w:t>4.3 To put in place agreed processes for FRC information sharing to provide FRC input into the decision making of Courts … which would help ensure that disparate elements of the system are working together to incentivise and support positive behavioural change and benefit children.</w:t>
      </w:r>
    </w:p>
    <w:p w14:paraId="3CC5266A" w14:textId="77777777" w:rsidR="00F308B4" w:rsidRPr="00F308B4" w:rsidRDefault="00F308B4" w:rsidP="00F308B4">
      <w:pPr>
        <w:ind w:left="-142" w:right="-425"/>
        <w:jc w:val="both"/>
      </w:pPr>
    </w:p>
    <w:bookmarkEnd w:id="31"/>
    <w:p w14:paraId="51A2F3A9" w14:textId="77777777" w:rsidR="00C40DE8" w:rsidRPr="00FC3D2E" w:rsidRDefault="00C40DE8" w:rsidP="00305A05">
      <w:r>
        <w:rPr>
          <w:b/>
          <w:bCs/>
          <w:u w:val="single"/>
        </w:rPr>
        <w:br w:type="page"/>
      </w:r>
    </w:p>
    <w:p w14:paraId="4682DAAD" w14:textId="548A1DB8" w:rsidR="0058320D" w:rsidRPr="00862243" w:rsidRDefault="00AF528A" w:rsidP="000036F5">
      <w:pPr>
        <w:ind w:left="-142" w:right="-425"/>
        <w:jc w:val="both"/>
        <w:rPr>
          <w:b/>
          <w:bCs/>
          <w:u w:val="single"/>
        </w:rPr>
      </w:pPr>
      <w:r>
        <w:rPr>
          <w:b/>
          <w:bCs/>
          <w:u w:val="single"/>
        </w:rPr>
        <w:lastRenderedPageBreak/>
        <w:t>Family Court partnership</w:t>
      </w:r>
    </w:p>
    <w:p w14:paraId="1517CC8B" w14:textId="77777777" w:rsidR="0058320D" w:rsidRDefault="0058320D" w:rsidP="000036F5">
      <w:pPr>
        <w:ind w:left="-142" w:right="-425"/>
        <w:jc w:val="both"/>
      </w:pPr>
      <w:r>
        <w:t xml:space="preserve">During this quarter the Commission provided a submission to the Attorney-General as part of the Australian Government’s consultation regarding proposed amendments to the </w:t>
      </w:r>
      <w:r w:rsidRPr="0058320D">
        <w:rPr>
          <w:i/>
          <w:iCs/>
        </w:rPr>
        <w:t>Family Law Act 1975</w:t>
      </w:r>
      <w:r>
        <w:t>. The submission proposed that a regulation be made to allow the Family Law Court and the FRC to exchange limited information, in certain circumstances, with the consent of the FRC client.</w:t>
      </w:r>
    </w:p>
    <w:p w14:paraId="46EEAB08" w14:textId="77777777" w:rsidR="0058320D" w:rsidRDefault="0058320D" w:rsidP="000036F5">
      <w:pPr>
        <w:ind w:left="-142" w:right="-425"/>
        <w:jc w:val="both"/>
      </w:pPr>
    </w:p>
    <w:p w14:paraId="0C860DFC" w14:textId="40EC476F" w:rsidR="00862243" w:rsidRPr="00862243" w:rsidRDefault="00862243" w:rsidP="00862243">
      <w:pPr>
        <w:ind w:left="-142" w:right="-425"/>
        <w:jc w:val="both"/>
      </w:pPr>
      <w:r w:rsidRPr="00862243">
        <w:t xml:space="preserve">When the Court is making a parenting order, it must consider (s60CC(2)(d) </w:t>
      </w:r>
      <w:r w:rsidR="006121FF">
        <w:t xml:space="preserve">of the </w:t>
      </w:r>
      <w:r w:rsidRPr="006121FF">
        <w:rPr>
          <w:i/>
          <w:iCs/>
        </w:rPr>
        <w:t>Family Law Act</w:t>
      </w:r>
      <w:r w:rsidR="006121FF" w:rsidRPr="006121FF">
        <w:rPr>
          <w:i/>
          <w:iCs/>
        </w:rPr>
        <w:t xml:space="preserve"> 1975</w:t>
      </w:r>
      <w:r w:rsidRPr="00862243">
        <w:t xml:space="preserve">) whether ‘the parent has capacity to provide for the child’s developmental, psychological and emotional needs, </w:t>
      </w:r>
      <w:r w:rsidRPr="00862243">
        <w:rPr>
          <w:b/>
          <w:bCs/>
          <w:i/>
          <w:iCs/>
        </w:rPr>
        <w:t>having regard to the carer’s ability and willingness to seek support to assist them with caring’</w:t>
      </w:r>
      <w:r w:rsidRPr="00862243">
        <w:t xml:space="preserve"> [emphasis added].</w:t>
      </w:r>
    </w:p>
    <w:p w14:paraId="0DD32815" w14:textId="77777777" w:rsidR="00862243" w:rsidRPr="00862243" w:rsidRDefault="00862243" w:rsidP="00862243">
      <w:pPr>
        <w:ind w:left="-142" w:right="-425"/>
        <w:jc w:val="both"/>
      </w:pPr>
    </w:p>
    <w:p w14:paraId="0B930FC4" w14:textId="2CD39910" w:rsidR="00AF528A" w:rsidRDefault="00862243" w:rsidP="000036F5">
      <w:pPr>
        <w:ind w:left="-142" w:right="-425"/>
        <w:jc w:val="both"/>
      </w:pPr>
      <w:r>
        <w:t>Essentially, t</w:t>
      </w:r>
      <w:r w:rsidRPr="00862243">
        <w:t xml:space="preserve">he aim of this proposal is to permit the FRC, with consent of </w:t>
      </w:r>
      <w:r w:rsidR="00F308B4">
        <w:t>the</w:t>
      </w:r>
      <w:r w:rsidRPr="00862243">
        <w:t xml:space="preserve"> client (who is a party to Family Court proceedings), to provide the Court with certification from the </w:t>
      </w:r>
      <w:r>
        <w:t xml:space="preserve">FRC </w:t>
      </w:r>
      <w:r w:rsidRPr="00862243">
        <w:t xml:space="preserve">Commissioner, confirming that they have a case plan with a referral to a support service, and </w:t>
      </w:r>
      <w:proofErr w:type="gramStart"/>
      <w:r w:rsidRPr="00862243">
        <w:t>whether or not</w:t>
      </w:r>
      <w:proofErr w:type="gramEnd"/>
      <w:r w:rsidRPr="00862243">
        <w:t xml:space="preserve"> they have been </w:t>
      </w:r>
      <w:r>
        <w:t xml:space="preserve">participating in </w:t>
      </w:r>
      <w:r w:rsidRPr="00862243">
        <w:t>the case plan.</w:t>
      </w:r>
      <w:r w:rsidR="00471BA1">
        <w:t xml:space="preserve"> </w:t>
      </w:r>
      <w:r w:rsidRPr="00862243">
        <w:t xml:space="preserve">This may be evidence which the Court could </w:t>
      </w:r>
      <w:proofErr w:type="gramStart"/>
      <w:r w:rsidRPr="00862243">
        <w:t>take into account</w:t>
      </w:r>
      <w:proofErr w:type="gramEnd"/>
      <w:r w:rsidRPr="00862243">
        <w:t xml:space="preserve"> considering whether the parent is someone willing to seek support.</w:t>
      </w:r>
      <w:r w:rsidR="00471BA1">
        <w:t xml:space="preserve"> </w:t>
      </w:r>
      <w:r w:rsidR="00AF528A">
        <w:t xml:space="preserve">The process could </w:t>
      </w:r>
      <w:r w:rsidRPr="00862243">
        <w:t>provide a mechanism for input into critical decisions made by the Court with respect to the joint FRC clients. The object of this recommendation is to incentivise client participation in case plans required under the FRC Act; and for those who successfully complete the programs/counselling for which they were referred, that the client receives recognition or credit for doing so, where it is relevant consideration by another decision-maker.</w:t>
      </w:r>
    </w:p>
    <w:p w14:paraId="1303E61C" w14:textId="77777777" w:rsidR="00AF528A" w:rsidRDefault="00AF528A" w:rsidP="000036F5">
      <w:pPr>
        <w:ind w:left="-142" w:right="-425"/>
        <w:jc w:val="both"/>
      </w:pPr>
    </w:p>
    <w:p w14:paraId="4F724722" w14:textId="77777777" w:rsidR="00AF528A" w:rsidRPr="00AF528A" w:rsidRDefault="00AF528A" w:rsidP="000036F5">
      <w:pPr>
        <w:ind w:left="-142" w:right="-425"/>
        <w:jc w:val="both"/>
        <w:rPr>
          <w:b/>
          <w:bCs/>
          <w:u w:val="single"/>
        </w:rPr>
      </w:pPr>
      <w:r w:rsidRPr="00AF528A">
        <w:rPr>
          <w:b/>
          <w:bCs/>
          <w:u w:val="single"/>
        </w:rPr>
        <w:t>ATSILS partnership</w:t>
      </w:r>
    </w:p>
    <w:p w14:paraId="10A44132" w14:textId="34CC8F14" w:rsidR="009733CA" w:rsidRDefault="00AC355D" w:rsidP="000036F5">
      <w:pPr>
        <w:ind w:left="-142" w:right="-425"/>
        <w:jc w:val="both"/>
      </w:pPr>
      <w:r>
        <w:t xml:space="preserve">Another Government agency with which the FRC </w:t>
      </w:r>
      <w:r w:rsidR="00901CC0">
        <w:t>seeks to</w:t>
      </w:r>
      <w:r>
        <w:t xml:space="preserve"> establish a</w:t>
      </w:r>
      <w:r w:rsidR="00FA233D">
        <w:t>n information sharing</w:t>
      </w:r>
      <w:r>
        <w:t xml:space="preserve"> collaboration is with the Aboriginal and Torres Strait Islander Legal Service (ATSILS). Initial discussions have taken place between the FRC and ATSILS to explore an information sharing agreement to support </w:t>
      </w:r>
      <w:r w:rsidR="009733CA">
        <w:t xml:space="preserve">FRC/ATSILS </w:t>
      </w:r>
      <w:r>
        <w:t xml:space="preserve">clients appearing in court. An FRC client appearing as a defendant before a court in sentencing proceedings could, where the client agrees, have certification provided by the FRC </w:t>
      </w:r>
      <w:r w:rsidR="009733CA">
        <w:t xml:space="preserve">Commissioner </w:t>
      </w:r>
      <w:r>
        <w:t>of the client’s engagement with the FRC in orders or agreements, and their willingness and success in complying with those orders/agreements.</w:t>
      </w:r>
      <w:r w:rsidR="00B173B1">
        <w:t xml:space="preserve"> Evidence of FRC client’s engagement may aid Judges in their consideration of factors relevant to sentencing.</w:t>
      </w:r>
    </w:p>
    <w:p w14:paraId="4539754D" w14:textId="77777777" w:rsidR="009733CA" w:rsidRDefault="009733CA" w:rsidP="000036F5">
      <w:pPr>
        <w:ind w:left="-142" w:right="-425"/>
        <w:jc w:val="both"/>
      </w:pPr>
    </w:p>
    <w:p w14:paraId="586D3D91" w14:textId="2436CE0B" w:rsidR="00471BA1" w:rsidRDefault="009733CA" w:rsidP="000036F5">
      <w:pPr>
        <w:ind w:left="-142" w:right="-425"/>
        <w:jc w:val="both"/>
      </w:pPr>
      <w:r>
        <w:t xml:space="preserve">The above two partnership proposals are </w:t>
      </w:r>
      <w:proofErr w:type="gramStart"/>
      <w:r w:rsidR="00C608B0">
        <w:t>as yet</w:t>
      </w:r>
      <w:proofErr w:type="gramEnd"/>
      <w:r w:rsidR="00C608B0">
        <w:t xml:space="preserve"> </w:t>
      </w:r>
      <w:r>
        <w:t xml:space="preserve">works in progress </w:t>
      </w:r>
      <w:r w:rsidR="00901CC0">
        <w:t xml:space="preserve">which the FRC </w:t>
      </w:r>
      <w:r w:rsidR="00C608B0">
        <w:t xml:space="preserve">seeks </w:t>
      </w:r>
      <w:r w:rsidR="00901CC0">
        <w:t>to establish in order to support greater coherence of decision-making across the service delivery ecosystem to encourage and incentivise clients’ behavioural change</w:t>
      </w:r>
      <w:r w:rsidR="00BB3DD2">
        <w:t>.</w:t>
      </w:r>
    </w:p>
    <w:bookmarkEnd w:id="32"/>
    <w:p w14:paraId="2B6661F5" w14:textId="71DFD38A" w:rsidR="00886014" w:rsidRPr="000036F5" w:rsidRDefault="00886014" w:rsidP="000036F5">
      <w:pPr>
        <w:ind w:left="-142" w:right="-425"/>
        <w:jc w:val="both"/>
      </w:pPr>
      <w:r w:rsidRPr="000036F5">
        <w:br w:type="page"/>
      </w:r>
    </w:p>
    <w:p w14:paraId="59FA8724" w14:textId="55F36592" w:rsidR="005A5B78" w:rsidRPr="00E34093" w:rsidRDefault="005A5B78" w:rsidP="005A5B78">
      <w:pPr>
        <w:pStyle w:val="Heading1"/>
        <w:ind w:left="-142" w:right="-426"/>
      </w:pPr>
      <w:bookmarkStart w:id="33" w:name="RANGE!A4:I20"/>
      <w:bookmarkStart w:id="34" w:name="_Toc39657993"/>
      <w:bookmarkEnd w:id="33"/>
      <w:r w:rsidRPr="00E34093">
        <w:lastRenderedPageBreak/>
        <w:t xml:space="preserve">3.  </w:t>
      </w:r>
      <w:r w:rsidR="000541CA">
        <w:t>Governance</w:t>
      </w:r>
      <w:bookmarkEnd w:id="34"/>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4D5B34">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w:t>
      </w:r>
      <w:proofErr w:type="gramStart"/>
      <w:r w:rsidRPr="00E34093">
        <w:rPr>
          <w:rFonts w:cs="Arial"/>
        </w:rPr>
        <w:t>communication,</w:t>
      </w:r>
      <w:proofErr w:type="gramEnd"/>
      <w:r w:rsidRPr="00E34093">
        <w:rPr>
          <w:rFonts w:cs="Arial"/>
        </w:rPr>
        <w:t xml:space="preserve">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20AC5DF4" w14:textId="77777777" w:rsidR="00A42E2F" w:rsidRDefault="00404FC4" w:rsidP="00FC008A">
      <w:pPr>
        <w:pStyle w:val="ListBullet"/>
        <w:ind w:left="2863" w:hanging="3005"/>
      </w:pPr>
      <w:r w:rsidRPr="00A42E2F">
        <w:t>Mr Robert (Bob) Gee</w:t>
      </w:r>
      <w:r w:rsidR="004E7795" w:rsidRPr="00A42E2F">
        <w:t xml:space="preserve"> APM</w:t>
      </w:r>
      <w:r w:rsidR="005A5B78" w:rsidRPr="00A42E2F">
        <w:tab/>
        <w:t xml:space="preserve">Director-General, Department of </w:t>
      </w:r>
      <w:r w:rsidRPr="00A42E2F">
        <w:t>Agriculture</w:t>
      </w:r>
      <w:r w:rsidR="000A3D78" w:rsidRPr="00A42E2F">
        <w:t xml:space="preserve"> and </w:t>
      </w:r>
      <w:r w:rsidRPr="00A42E2F">
        <w:t>Fisheries</w:t>
      </w:r>
    </w:p>
    <w:p w14:paraId="191A2368" w14:textId="1CA5D36A" w:rsidR="005A5B78" w:rsidRPr="00A42E2F" w:rsidRDefault="0057512A" w:rsidP="00A42E2F">
      <w:pPr>
        <w:pStyle w:val="ListBullet"/>
        <w:numPr>
          <w:ilvl w:val="0"/>
          <w:numId w:val="0"/>
        </w:numPr>
        <w:ind w:left="3600"/>
      </w:pPr>
      <w:r w:rsidRPr="00A42E2F">
        <w:t>(Chair)</w:t>
      </w:r>
    </w:p>
    <w:p w14:paraId="53F6CEC1" w14:textId="6315DF2B" w:rsidR="00281E73" w:rsidRPr="00A42E2F" w:rsidRDefault="00B04535" w:rsidP="00FC008A">
      <w:pPr>
        <w:pStyle w:val="ListBullet"/>
        <w:ind w:left="2863" w:hanging="3005"/>
      </w:pPr>
      <w:r>
        <w:t>Ms Jody Broun</w:t>
      </w:r>
      <w:r w:rsidR="00A42E2F" w:rsidRPr="00A42E2F">
        <w:tab/>
      </w:r>
      <w:r w:rsidR="00A42E2F" w:rsidRPr="00A42E2F">
        <w:tab/>
      </w:r>
      <w:r w:rsidR="00A42E2F" w:rsidRPr="00A42E2F">
        <w:tab/>
      </w:r>
      <w:r>
        <w:t>CEO, National Indigenous Australians Agency</w:t>
      </w:r>
    </w:p>
    <w:p w14:paraId="57D8A012" w14:textId="6E5E7BC4" w:rsidR="00A42E2F" w:rsidRDefault="0057512A" w:rsidP="00CF3AF9">
      <w:pPr>
        <w:pStyle w:val="ListBullet"/>
        <w:ind w:left="2835" w:hanging="2977"/>
      </w:pPr>
      <w:r w:rsidRPr="00E34093">
        <w:t>Mr Noel Pearson</w:t>
      </w:r>
      <w:r w:rsidR="00A42E2F" w:rsidRPr="00A42E2F">
        <w:tab/>
      </w:r>
      <w:r w:rsidR="00A42E2F" w:rsidRPr="00A42E2F">
        <w:tab/>
      </w:r>
      <w:r w:rsidR="00A42E2F" w:rsidRPr="00A42E2F">
        <w:tab/>
      </w:r>
      <w:r>
        <w:t xml:space="preserve">Founder, Cape York </w:t>
      </w:r>
      <w:r w:rsidR="00751CB6">
        <w:t>Partnership representing the</w:t>
      </w:r>
    </w:p>
    <w:p w14:paraId="4966C96B" w14:textId="1A2EF1B6" w:rsidR="0057512A" w:rsidRDefault="00A42E2F" w:rsidP="00CF3AF9">
      <w:pPr>
        <w:pStyle w:val="ListBullet"/>
        <w:numPr>
          <w:ilvl w:val="0"/>
          <w:numId w:val="0"/>
        </w:numPr>
        <w:ind w:left="3600"/>
      </w:pPr>
      <w:r>
        <w:t xml:space="preserve">Cape York </w:t>
      </w:r>
      <w:r w:rsidR="00751CB6">
        <w:t>Institute</w:t>
      </w:r>
      <w:r w:rsidR="0057512A">
        <w:t>.</w:t>
      </w:r>
    </w:p>
    <w:p w14:paraId="667BEFF1" w14:textId="77777777" w:rsidR="00320827" w:rsidRPr="00CF3AF9" w:rsidRDefault="00320827" w:rsidP="00CF3AF9">
      <w:pPr>
        <w:ind w:left="-142" w:right="-425"/>
        <w:rPr>
          <w:rFonts w:cs="Arial"/>
        </w:rPr>
      </w:pPr>
    </w:p>
    <w:p w14:paraId="660BA16D" w14:textId="4D44E116" w:rsidR="00320827" w:rsidRPr="00E34093" w:rsidRDefault="00320827" w:rsidP="004D5B34">
      <w:pPr>
        <w:pStyle w:val="Heading2"/>
      </w:pPr>
      <w:r w:rsidRPr="00E34093">
        <w:t>Operational</w:t>
      </w:r>
    </w:p>
    <w:p w14:paraId="673CAD09" w14:textId="77777777" w:rsidR="00320827" w:rsidRPr="00E34093" w:rsidRDefault="00320827" w:rsidP="00320827">
      <w:pPr>
        <w:ind w:left="-142" w:right="-425"/>
        <w:rPr>
          <w:rFonts w:cs="Arial"/>
        </w:rPr>
      </w:pPr>
    </w:p>
    <w:p w14:paraId="1DC71554" w14:textId="535B397C"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w:t>
      </w:r>
      <w:proofErr w:type="gramStart"/>
      <w:r w:rsidRPr="00E34093">
        <w:rPr>
          <w:rFonts w:cs="Arial"/>
        </w:rPr>
        <w:t>Commissioners</w:t>
      </w:r>
      <w:proofErr w:type="gramEnd"/>
      <w:r w:rsidRPr="00E34093">
        <w:rPr>
          <w:rFonts w:cs="Arial"/>
        </w:rPr>
        <w:t xml:space="preserve">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35" w:name="_Toc39657994"/>
      <w:r>
        <w:lastRenderedPageBreak/>
        <w:t>4</w:t>
      </w:r>
      <w:r w:rsidRPr="00E34093">
        <w:t>.  Financial Operations</w:t>
      </w:r>
      <w:bookmarkEnd w:id="35"/>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4D5B34">
      <w:pPr>
        <w:pStyle w:val="Heading2"/>
      </w:pPr>
      <w:r w:rsidRPr="00BF1639">
        <w:t>Income:</w:t>
      </w:r>
    </w:p>
    <w:p w14:paraId="6D17618C" w14:textId="4F82F36B" w:rsidR="009F0A67" w:rsidRPr="008E6DBA" w:rsidRDefault="009F0A67" w:rsidP="00FC008A">
      <w:pPr>
        <w:pStyle w:val="ListBullet"/>
        <w:ind w:left="215" w:hanging="357"/>
      </w:pPr>
      <w:r w:rsidRPr="008E6DBA">
        <w:t xml:space="preserve">Income </w:t>
      </w:r>
      <w:r w:rsidR="00266AAA">
        <w:t xml:space="preserve">of the </w:t>
      </w:r>
      <w:r w:rsidRPr="008E6DBA">
        <w:t xml:space="preserve">Commission </w:t>
      </w:r>
      <w:r w:rsidR="00266AAA">
        <w:t xml:space="preserve">attributable to </w:t>
      </w:r>
      <w:r w:rsidRPr="008E6DBA">
        <w:t xml:space="preserve">the </w:t>
      </w:r>
      <w:r w:rsidR="00266AAA">
        <w:t>quarter (</w:t>
      </w:r>
      <w:r w:rsidR="007B7E78">
        <w:t xml:space="preserve">1 </w:t>
      </w:r>
      <w:r w:rsidR="00413FAC">
        <w:t>January 2023</w:t>
      </w:r>
      <w:r w:rsidRPr="008E6DBA">
        <w:t xml:space="preserve"> to </w:t>
      </w:r>
      <w:r w:rsidR="007B7E78">
        <w:t xml:space="preserve">31 </w:t>
      </w:r>
      <w:r w:rsidR="00984BBB">
        <w:t>March 2023</w:t>
      </w:r>
      <w:r w:rsidR="00266AAA">
        <w:t>)</w:t>
      </w:r>
      <w:r w:rsidRPr="008E6DBA">
        <w:t xml:space="preserve"> totalled $</w:t>
      </w:r>
      <w:r w:rsidR="000F5E08">
        <w:t>1,</w:t>
      </w:r>
      <w:r w:rsidR="000F316B">
        <w:t>124,442</w:t>
      </w:r>
      <w:r w:rsidR="00A504A2" w:rsidRPr="00266AAA">
        <w:t>.</w:t>
      </w:r>
      <w:r w:rsidR="00CE6E33" w:rsidRPr="008E6DBA">
        <w:t xml:space="preserve"> </w:t>
      </w:r>
      <w:r w:rsidRPr="008E6DBA">
        <w:t>This income consisted of:</w:t>
      </w:r>
    </w:p>
    <w:p w14:paraId="350616B8" w14:textId="00AE8791" w:rsidR="009F0A67" w:rsidRPr="00D83D2C" w:rsidRDefault="009F0A67" w:rsidP="009F0A67">
      <w:pPr>
        <w:pStyle w:val="ListBullet2"/>
      </w:pPr>
      <w:r w:rsidRPr="00D83D2C">
        <w:t>$</w:t>
      </w:r>
      <w:r w:rsidR="001C1C0C" w:rsidRPr="000F5E08">
        <w:t>6</w:t>
      </w:r>
      <w:r w:rsidR="000F316B">
        <w:t>27,250</w:t>
      </w:r>
      <w:r w:rsidRPr="00D83D2C">
        <w:t xml:space="preserve"> Queensland Government funding</w:t>
      </w:r>
    </w:p>
    <w:p w14:paraId="02AA0FD6" w14:textId="7EAEF0C4" w:rsidR="009F0A67" w:rsidRPr="00850051" w:rsidRDefault="009F0A67" w:rsidP="009F0A67">
      <w:pPr>
        <w:pStyle w:val="ListBullet2"/>
      </w:pPr>
      <w:r w:rsidRPr="00D83D2C">
        <w:t>$</w:t>
      </w:r>
      <w:r w:rsidR="00A253AB" w:rsidRPr="00D83D2C">
        <w:t>450,000</w:t>
      </w:r>
      <w:r w:rsidR="00932339" w:rsidRPr="00850051">
        <w:t xml:space="preserve"> </w:t>
      </w:r>
      <w:r w:rsidRPr="00850051">
        <w:t>Australian Government funding</w:t>
      </w:r>
    </w:p>
    <w:p w14:paraId="512E3D76" w14:textId="754FB5F2" w:rsidR="009F0A67" w:rsidRDefault="009F0A67" w:rsidP="009F0A67">
      <w:pPr>
        <w:pStyle w:val="ListBullet2"/>
      </w:pPr>
      <w:r w:rsidRPr="00850051">
        <w:t>$</w:t>
      </w:r>
      <w:r w:rsidR="000F316B">
        <w:t>47,170</w:t>
      </w:r>
      <w:r w:rsidR="00CF1D2E">
        <w:t xml:space="preserve"> </w:t>
      </w:r>
      <w:r w:rsidRPr="00850051">
        <w:t xml:space="preserve">interest </w:t>
      </w:r>
      <w:proofErr w:type="gramStart"/>
      <w:r w:rsidRPr="00850051">
        <w:t>received</w:t>
      </w:r>
      <w:proofErr w:type="gramEnd"/>
    </w:p>
    <w:p w14:paraId="1FD7CA72" w14:textId="63206602" w:rsidR="009F3C63" w:rsidRPr="00850051" w:rsidRDefault="009F3C63" w:rsidP="009F0A67">
      <w:pPr>
        <w:pStyle w:val="ListBullet2"/>
      </w:pPr>
      <w:r>
        <w:t>$</w:t>
      </w:r>
      <w:r w:rsidR="000F316B">
        <w:t xml:space="preserve">22 </w:t>
      </w:r>
      <w:r>
        <w:t>sundry income</w:t>
      </w:r>
    </w:p>
    <w:p w14:paraId="7F7D4816" w14:textId="77777777" w:rsidR="00266AAA" w:rsidRDefault="00266AAA" w:rsidP="009F0A67">
      <w:pPr>
        <w:ind w:left="-142" w:right="-425"/>
        <w:jc w:val="both"/>
        <w:rPr>
          <w:rFonts w:cs="Arial"/>
        </w:rPr>
      </w:pPr>
    </w:p>
    <w:p w14:paraId="63A91431" w14:textId="557E376D" w:rsidR="009F0A67" w:rsidRDefault="009F0A67" w:rsidP="009F0A67">
      <w:pPr>
        <w:ind w:left="-142" w:right="-425"/>
        <w:jc w:val="both"/>
        <w:rPr>
          <w:rFonts w:cs="Arial"/>
        </w:rPr>
      </w:pPr>
      <w:r w:rsidRPr="0073709D">
        <w:rPr>
          <w:rFonts w:cs="Arial"/>
        </w:rPr>
        <w:t xml:space="preserve">The balance of available funds in the bank as </w:t>
      </w:r>
      <w:proofErr w:type="gramStart"/>
      <w:r w:rsidRPr="0073709D">
        <w:rPr>
          <w:rFonts w:cs="Arial"/>
        </w:rPr>
        <w:t>at</w:t>
      </w:r>
      <w:proofErr w:type="gramEnd"/>
      <w:r w:rsidRPr="0073709D">
        <w:rPr>
          <w:rFonts w:cs="Arial"/>
        </w:rPr>
        <w:t xml:space="preserve"> </w:t>
      </w:r>
      <w:r w:rsidR="007B7E78">
        <w:rPr>
          <w:rFonts w:cs="Arial"/>
        </w:rPr>
        <w:t xml:space="preserve">31 </w:t>
      </w:r>
      <w:r w:rsidR="00984BBB">
        <w:rPr>
          <w:rFonts w:cs="Arial"/>
        </w:rPr>
        <w:t>March 2023</w:t>
      </w:r>
      <w:r w:rsidRPr="0073709D">
        <w:rPr>
          <w:rFonts w:cs="Arial"/>
        </w:rPr>
        <w:t xml:space="preserve"> </w:t>
      </w:r>
      <w:r w:rsidRPr="008E6DBA">
        <w:rPr>
          <w:rFonts w:cs="Arial"/>
        </w:rPr>
        <w:t>is $</w:t>
      </w:r>
      <w:r w:rsidR="000F316B">
        <w:rPr>
          <w:rFonts w:cs="Arial"/>
        </w:rPr>
        <w:t>5,004,606</w:t>
      </w:r>
      <w:r w:rsidR="00606CC5">
        <w:rPr>
          <w:rFonts w:cs="Arial"/>
        </w:rPr>
        <w:t>.</w:t>
      </w:r>
    </w:p>
    <w:p w14:paraId="4662D0B3" w14:textId="57ED4AA7" w:rsidR="00D840DE" w:rsidRDefault="00D840DE" w:rsidP="009F0A67">
      <w:pPr>
        <w:ind w:left="-142" w:right="-425"/>
        <w:jc w:val="both"/>
        <w:rPr>
          <w:rFonts w:cs="Arial"/>
        </w:rPr>
      </w:pPr>
    </w:p>
    <w:p w14:paraId="609DB8D6" w14:textId="77777777" w:rsidR="00C74BF5" w:rsidRPr="00BF1639" w:rsidRDefault="00C74BF5" w:rsidP="004D5B34">
      <w:pPr>
        <w:pStyle w:val="Heading2"/>
      </w:pPr>
      <w:r w:rsidRPr="00BF1639">
        <w:t>Expenditure:</w:t>
      </w:r>
    </w:p>
    <w:p w14:paraId="1DC8DF62" w14:textId="3CBECA8C" w:rsidR="00C74BF5" w:rsidRPr="001720D5" w:rsidRDefault="00C74BF5" w:rsidP="00C74BF5">
      <w:pPr>
        <w:pStyle w:val="ListBullet"/>
        <w:ind w:left="2863" w:hanging="3005"/>
      </w:pPr>
      <w:r w:rsidRPr="00BD380A">
        <w:t xml:space="preserve">Expenditure for the </w:t>
      </w:r>
      <w:r w:rsidR="00FA676F">
        <w:t>quarter (</w:t>
      </w:r>
      <w:r w:rsidR="007B7E78">
        <w:t xml:space="preserve">1 </w:t>
      </w:r>
      <w:r w:rsidR="00413FAC">
        <w:t>January 2023</w:t>
      </w:r>
      <w:r w:rsidRPr="00BD380A">
        <w:t xml:space="preserve"> to </w:t>
      </w:r>
      <w:r w:rsidR="007B7E78">
        <w:t xml:space="preserve">31 </w:t>
      </w:r>
      <w:r w:rsidR="00984BBB">
        <w:t>March 2023</w:t>
      </w:r>
      <w:r w:rsidR="00FA676F">
        <w:t>)</w:t>
      </w:r>
      <w:r w:rsidRPr="00BD380A">
        <w:t xml:space="preserve"> wa</w:t>
      </w:r>
      <w:r w:rsidRPr="0001339A">
        <w:t>s $</w:t>
      </w:r>
      <w:r w:rsidR="00124FF2" w:rsidRPr="0001339A">
        <w:t>1,</w:t>
      </w:r>
      <w:r w:rsidR="0065788B" w:rsidRPr="0001339A">
        <w:t>040,</w:t>
      </w:r>
      <w:r w:rsidR="0000747A" w:rsidRPr="0001339A">
        <w:t>094</w:t>
      </w:r>
      <w:r w:rsidRPr="0001339A">
        <w:t>.</w:t>
      </w:r>
    </w:p>
    <w:p w14:paraId="4555CA86" w14:textId="07475910" w:rsidR="00D840DE" w:rsidRDefault="00D840DE" w:rsidP="009F0A67">
      <w:pPr>
        <w:ind w:left="-142" w:right="-425"/>
        <w:jc w:val="both"/>
        <w:rPr>
          <w:rFonts w:cs="Arial"/>
        </w:rPr>
      </w:pPr>
    </w:p>
    <w:p w14:paraId="40442581" w14:textId="4902D070" w:rsidR="00EB0526" w:rsidRDefault="00EB0526" w:rsidP="009D766A">
      <w:pPr>
        <w:ind w:left="-142" w:right="-425"/>
        <w:jc w:val="both"/>
        <w:rPr>
          <w:rFonts w:cs="Arial"/>
          <w:sz w:val="16"/>
          <w:szCs w:val="16"/>
        </w:rPr>
      </w:pPr>
      <w:r w:rsidRPr="009D766A">
        <w:rPr>
          <w:rFonts w:cs="Arial"/>
          <w:b/>
          <w:sz w:val="16"/>
          <w:szCs w:val="16"/>
        </w:rPr>
        <w:t xml:space="preserve">Table </w:t>
      </w:r>
      <w:r w:rsidR="00411892">
        <w:rPr>
          <w:rFonts w:cs="Arial"/>
          <w:b/>
          <w:sz w:val="16"/>
          <w:szCs w:val="16"/>
        </w:rPr>
        <w:t>23</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413FAC">
        <w:rPr>
          <w:rFonts w:cs="Arial"/>
          <w:sz w:val="16"/>
          <w:szCs w:val="16"/>
        </w:rPr>
        <w:t>59</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7237B1D4" w:rsidR="009F0A67" w:rsidRPr="00872CBA" w:rsidRDefault="007B7E78" w:rsidP="009F55E0">
            <w:pPr>
              <w:pStyle w:val="StyleTableTextBoldCentered"/>
              <w:rPr>
                <w:lang w:eastAsia="en-AU"/>
              </w:rPr>
            </w:pPr>
            <w:r>
              <w:rPr>
                <w:lang w:eastAsia="en-AU"/>
              </w:rPr>
              <w:t xml:space="preserve">1 </w:t>
            </w:r>
            <w:r w:rsidR="00413FAC">
              <w:rPr>
                <w:lang w:eastAsia="en-AU"/>
              </w:rPr>
              <w:t>January 2023</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1896235C" w:rsidR="009F0A67" w:rsidRPr="00872CBA" w:rsidRDefault="007B7E78" w:rsidP="009F55E0">
            <w:pPr>
              <w:pStyle w:val="StyleTableTextBoldCentered"/>
              <w:rPr>
                <w:lang w:eastAsia="en-AU"/>
              </w:rPr>
            </w:pPr>
            <w:r>
              <w:rPr>
                <w:lang w:eastAsia="en-AU"/>
              </w:rPr>
              <w:t xml:space="preserve">1 </w:t>
            </w:r>
            <w:r w:rsidR="00413FAC">
              <w:rPr>
                <w:lang w:eastAsia="en-AU"/>
              </w:rPr>
              <w:t>January 2023</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4EB15676" w:rsidR="009F0A67" w:rsidRPr="00872CBA" w:rsidRDefault="007B7E78" w:rsidP="009F55E0">
            <w:pPr>
              <w:pStyle w:val="StyleTableTextBoldCentered"/>
              <w:rPr>
                <w:lang w:eastAsia="en-AU"/>
              </w:rPr>
            </w:pPr>
            <w:r>
              <w:rPr>
                <w:lang w:eastAsia="en-AU"/>
              </w:rPr>
              <w:t xml:space="preserve">31 </w:t>
            </w:r>
            <w:r w:rsidR="0039275D">
              <w:rPr>
                <w:lang w:eastAsia="en-AU"/>
              </w:rPr>
              <w:t>March 2023</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6027685D" w:rsidR="009F0A67" w:rsidRPr="00872CBA" w:rsidRDefault="009F0A67" w:rsidP="004F7197">
            <w:pPr>
              <w:pStyle w:val="StyleTableTextBoldCentered"/>
              <w:rPr>
                <w:lang w:eastAsia="en-AU"/>
              </w:rPr>
            </w:pPr>
            <w:r w:rsidRPr="00872CBA">
              <w:rPr>
                <w:lang w:eastAsia="en-AU"/>
              </w:rPr>
              <w:t xml:space="preserve">Qtr </w:t>
            </w:r>
            <w:r w:rsidR="00413FAC">
              <w:rPr>
                <w:lang w:eastAsia="en-AU"/>
              </w:rPr>
              <w:t>59</w:t>
            </w:r>
          </w:p>
        </w:tc>
        <w:tc>
          <w:tcPr>
            <w:tcW w:w="2552" w:type="dxa"/>
            <w:tcBorders>
              <w:top w:val="nil"/>
              <w:left w:val="nil"/>
              <w:bottom w:val="nil"/>
              <w:right w:val="single" w:sz="4" w:space="0" w:color="FFFFFF"/>
            </w:tcBorders>
            <w:shd w:val="clear" w:color="auto" w:fill="000000"/>
            <w:noWrap/>
            <w:vAlign w:val="bottom"/>
          </w:tcPr>
          <w:p w14:paraId="7FB7D45D" w14:textId="53A576F1" w:rsidR="009F0A67" w:rsidRPr="00872CBA" w:rsidRDefault="007B7E78" w:rsidP="009F55E0">
            <w:pPr>
              <w:pStyle w:val="StyleTableTextBoldCentered"/>
              <w:rPr>
                <w:lang w:eastAsia="en-AU"/>
              </w:rPr>
            </w:pPr>
            <w:r>
              <w:rPr>
                <w:lang w:eastAsia="en-AU"/>
              </w:rPr>
              <w:t xml:space="preserve">31 </w:t>
            </w:r>
            <w:r w:rsidR="0039275D">
              <w:rPr>
                <w:lang w:eastAsia="en-AU"/>
              </w:rPr>
              <w:t>March 2023</w:t>
            </w:r>
          </w:p>
        </w:tc>
        <w:tc>
          <w:tcPr>
            <w:tcW w:w="1701" w:type="dxa"/>
            <w:tcBorders>
              <w:top w:val="nil"/>
              <w:left w:val="nil"/>
              <w:bottom w:val="nil"/>
              <w:right w:val="nil"/>
            </w:tcBorders>
            <w:shd w:val="clear" w:color="auto" w:fill="000000"/>
            <w:noWrap/>
            <w:vAlign w:val="bottom"/>
          </w:tcPr>
          <w:p w14:paraId="4A5AEAEC" w14:textId="3088A25D" w:rsidR="009F0A67" w:rsidRPr="00872CBA" w:rsidRDefault="009F0A67" w:rsidP="004F7197">
            <w:pPr>
              <w:pStyle w:val="StyleTableTextBoldCentered"/>
              <w:rPr>
                <w:lang w:eastAsia="en-AU"/>
              </w:rPr>
            </w:pPr>
            <w:r w:rsidRPr="00872CBA">
              <w:rPr>
                <w:lang w:eastAsia="en-AU"/>
              </w:rPr>
              <w:t xml:space="preserve">Qtr </w:t>
            </w:r>
            <w:r w:rsidR="00413FAC">
              <w:rPr>
                <w:lang w:eastAsia="en-AU"/>
              </w:rPr>
              <w:t>59</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5E60B51E" w:rsidR="009F0A67" w:rsidRPr="00B548B9" w:rsidRDefault="000F316B" w:rsidP="002E59A0">
            <w:pPr>
              <w:jc w:val="right"/>
            </w:pPr>
            <w:r>
              <w:t>527,860</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12264D6F" w:rsidR="009F0A67" w:rsidRPr="007F7AD6" w:rsidRDefault="00C20DF5" w:rsidP="009F0A67">
            <w:pPr>
              <w:pStyle w:val="TableText"/>
            </w:pPr>
            <w:r>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2AF99FD3" w:rsidR="009F0A67" w:rsidRPr="00B548B9" w:rsidRDefault="000F316B" w:rsidP="002E59A0">
            <w:pPr>
              <w:jc w:val="right"/>
            </w:pPr>
            <w:r>
              <w:t>62,494</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5F8B499E" w:rsidR="009F0A67" w:rsidRPr="00B548B9" w:rsidRDefault="000F316B" w:rsidP="002E59A0">
            <w:pPr>
              <w:jc w:val="right"/>
            </w:pPr>
            <w:r>
              <w:t>87,500</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01E9942" w:rsidR="009F0A67" w:rsidRPr="007F7AD6" w:rsidRDefault="00C20DF5" w:rsidP="009F0A67">
            <w:pPr>
              <w:pStyle w:val="TableText"/>
            </w:pPr>
            <w:r>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18824933" w:rsidR="009F0A67" w:rsidRPr="00B548B9" w:rsidRDefault="000F316B" w:rsidP="002E59A0">
            <w:pPr>
              <w:jc w:val="right"/>
            </w:pPr>
            <w:r>
              <w:t>11,248</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34F20E5B" w:rsidR="009F0A67" w:rsidRPr="00B548B9" w:rsidRDefault="000F316B" w:rsidP="002E59A0">
            <w:pPr>
              <w:jc w:val="right"/>
            </w:pPr>
            <w:r>
              <w:t>83,333</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51EDB0C6" w:rsidR="009F0A67" w:rsidRPr="007F7AD6" w:rsidRDefault="00C20DF5" w:rsidP="009F0A67">
            <w:pPr>
              <w:pStyle w:val="TableText"/>
            </w:pPr>
            <w:r>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1C525A53" w:rsidR="009F0A67" w:rsidRPr="00B548B9" w:rsidRDefault="000F316B" w:rsidP="002E59A0">
            <w:pPr>
              <w:jc w:val="right"/>
            </w:pPr>
            <w:r>
              <w:t>62,027</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515F557E" w:rsidR="009F0A67" w:rsidRPr="00B548B9" w:rsidRDefault="000F316B" w:rsidP="002E59A0">
            <w:pPr>
              <w:jc w:val="right"/>
            </w:pPr>
            <w:r>
              <w:t>12,125</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44EAF726" w:rsidR="009F0A67" w:rsidRPr="007F7AD6" w:rsidRDefault="00C20DF5" w:rsidP="009F0A67">
            <w:pPr>
              <w:pStyle w:val="TableText"/>
            </w:pPr>
            <w:r>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558B537B" w:rsidR="009F0A67" w:rsidRPr="00B548B9" w:rsidRDefault="000F316B" w:rsidP="002E59A0">
            <w:pPr>
              <w:jc w:val="right"/>
            </w:pPr>
            <w:r>
              <w:t>66,785</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3269592B" w:rsidR="009F0A67" w:rsidRPr="00B548B9" w:rsidRDefault="000F316B" w:rsidP="002E59A0">
            <w:pPr>
              <w:jc w:val="right"/>
            </w:pPr>
            <w:r>
              <w:t>74,356</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423EB685" w:rsidR="009F0A67" w:rsidRPr="007F7AD6" w:rsidRDefault="00C20DF5" w:rsidP="009F0A67">
            <w:pPr>
              <w:pStyle w:val="TableText"/>
            </w:pPr>
            <w:r>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2E19921B" w:rsidR="009F0A67" w:rsidRPr="00B548B9" w:rsidRDefault="000F316B" w:rsidP="002E59A0">
            <w:pPr>
              <w:jc w:val="right"/>
            </w:pPr>
            <w:r>
              <w:t>36,442</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599A6D94" w:rsidR="007966F3" w:rsidRPr="00B548B9" w:rsidRDefault="000F316B" w:rsidP="002E59A0">
            <w:pPr>
              <w:jc w:val="right"/>
            </w:pPr>
            <w:r>
              <w:t>3,954</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5257A3C9" w:rsidR="007966F3" w:rsidRPr="007F7AD6" w:rsidRDefault="00C20DF5" w:rsidP="009F0A67">
            <w:pPr>
              <w:pStyle w:val="TableText"/>
            </w:pPr>
            <w:r>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67B6EF6A" w:rsidR="007966F3" w:rsidRPr="00B548B9" w:rsidRDefault="000F316B" w:rsidP="002E59A0">
            <w:pPr>
              <w:jc w:val="right"/>
            </w:pPr>
            <w:r>
              <w:t>11,970</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7F7AD6"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7F7AD6" w:rsidRDefault="001458A2" w:rsidP="009F0A67">
            <w:pPr>
              <w:pStyle w:val="TableText"/>
              <w:rPr>
                <w:b/>
                <w:bCs/>
              </w:rPr>
            </w:pPr>
            <w:r w:rsidRPr="007F7AD6">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1C9C5159" w:rsidR="009F0A67" w:rsidRPr="00B548B9" w:rsidRDefault="000F316B" w:rsidP="002E59A0">
            <w:pPr>
              <w:jc w:val="right"/>
              <w:rPr>
                <w:b/>
              </w:rPr>
            </w:pPr>
            <w:r>
              <w:rPr>
                <w:b/>
              </w:rPr>
              <w:t>$1,040,094</w:t>
            </w:r>
          </w:p>
        </w:tc>
      </w:tr>
    </w:tbl>
    <w:p w14:paraId="226C022A" w14:textId="70193197" w:rsidR="000541CA" w:rsidRDefault="000541CA" w:rsidP="00591CF3">
      <w:pPr>
        <w:ind w:left="-142" w:right="-425"/>
        <w:jc w:val="both"/>
        <w:rPr>
          <w:rFonts w:cs="Arial"/>
        </w:rPr>
      </w:pPr>
    </w:p>
    <w:p w14:paraId="7161BC7E" w14:textId="04E46251" w:rsidR="00331081" w:rsidRDefault="00331081" w:rsidP="0020608D">
      <w:pPr>
        <w:ind w:left="-142" w:right="-425"/>
        <w:jc w:val="both"/>
        <w:rPr>
          <w:rFonts w:cs="Arial"/>
        </w:rPr>
      </w:pPr>
      <w:r w:rsidRPr="00331081">
        <w:rPr>
          <w:rFonts w:cs="Arial"/>
        </w:rPr>
        <w:t>The expenditure of the FRC can be categorised as follows:</w:t>
      </w:r>
    </w:p>
    <w:p w14:paraId="489C69DC" w14:textId="77777777" w:rsidR="00331081" w:rsidRDefault="00331081" w:rsidP="0020608D">
      <w:pPr>
        <w:ind w:left="-142" w:right="-425"/>
        <w:jc w:val="both"/>
        <w:rPr>
          <w:rFonts w:cs="Arial"/>
        </w:rPr>
      </w:pPr>
    </w:p>
    <w:p w14:paraId="0F9AC87F" w14:textId="77777777" w:rsidR="00331081" w:rsidRPr="00331081" w:rsidRDefault="00331081" w:rsidP="00CD4DBB">
      <w:pPr>
        <w:pStyle w:val="ListParagraph"/>
        <w:numPr>
          <w:ilvl w:val="0"/>
          <w:numId w:val="9"/>
        </w:numPr>
        <w:spacing w:after="120" w:line="288" w:lineRule="auto"/>
        <w:ind w:left="215" w:right="-425" w:hanging="357"/>
        <w:jc w:val="both"/>
        <w:rPr>
          <w:rFonts w:ascii="Verdana" w:hAnsi="Verdana" w:cs="Arial"/>
          <w:b/>
          <w:sz w:val="20"/>
          <w:szCs w:val="20"/>
        </w:rPr>
      </w:pPr>
      <w:r w:rsidRPr="00331081">
        <w:rPr>
          <w:rFonts w:ascii="Verdana" w:hAnsi="Verdana" w:cs="Arial"/>
          <w:b/>
          <w:sz w:val="20"/>
          <w:szCs w:val="20"/>
        </w:rPr>
        <w:t xml:space="preserve">Community operations </w:t>
      </w:r>
      <w:r w:rsidRPr="00331081">
        <w:rPr>
          <w:rFonts w:ascii="Verdana" w:hAnsi="Verdana" w:cs="Arial"/>
          <w:bCs/>
          <w:sz w:val="20"/>
          <w:szCs w:val="20"/>
        </w:rPr>
        <w:t>– further broken down into:</w:t>
      </w:r>
    </w:p>
    <w:p w14:paraId="400A74B2" w14:textId="77777777" w:rsidR="00331081" w:rsidRPr="00331081"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331081">
        <w:rPr>
          <w:rFonts w:ascii="Verdana" w:hAnsi="Verdana" w:cs="Arial"/>
          <w:b/>
          <w:sz w:val="20"/>
          <w:szCs w:val="20"/>
        </w:rPr>
        <w:t xml:space="preserve">On-the-ground community operational expenses including the operational expenses </w:t>
      </w:r>
      <w:r w:rsidRPr="00331081">
        <w:rPr>
          <w:rFonts w:ascii="Verdana" w:hAnsi="Verdana" w:cs="Arial"/>
          <w:bCs/>
          <w:sz w:val="20"/>
          <w:szCs w:val="20"/>
        </w:rPr>
        <w:t>in each of the five communities to conduct conferences and hearings, prepare and monitor case plans for clients for attendance at community support services and prepare and monitor income management agreements and orders.</w:t>
      </w:r>
    </w:p>
    <w:p w14:paraId="6C2BB238" w14:textId="77777777" w:rsidR="00331081" w:rsidRPr="00331081" w:rsidRDefault="00331081" w:rsidP="00CD4DBB">
      <w:pPr>
        <w:pStyle w:val="ListParagraph"/>
        <w:numPr>
          <w:ilvl w:val="1"/>
          <w:numId w:val="9"/>
        </w:numPr>
        <w:spacing w:after="120" w:line="288" w:lineRule="auto"/>
        <w:ind w:left="851" w:right="-425" w:hanging="284"/>
        <w:jc w:val="both"/>
        <w:rPr>
          <w:rFonts w:ascii="Verdana" w:hAnsi="Verdana" w:cs="Arial"/>
          <w:b/>
          <w:sz w:val="20"/>
          <w:szCs w:val="20"/>
        </w:rPr>
      </w:pPr>
      <w:r w:rsidRPr="00331081">
        <w:rPr>
          <w:rFonts w:ascii="Verdana" w:hAnsi="Verdana" w:cs="Arial"/>
          <w:b/>
          <w:sz w:val="20"/>
          <w:szCs w:val="20"/>
        </w:rPr>
        <w:t xml:space="preserve">Support and facilitation expenses </w:t>
      </w:r>
      <w:r w:rsidRPr="00331081">
        <w:rPr>
          <w:rFonts w:ascii="Verdana" w:hAnsi="Verdana" w:cs="Arial"/>
          <w:bCs/>
          <w:sz w:val="20"/>
          <w:szCs w:val="20"/>
        </w:rPr>
        <w:t xml:space="preserve">including costs associated with facilitating the holding of conferences and hearings in the five communities, providing support to the Local Commissioners and Local Registry Coordinators to hold conferences and hearings, assisting with the on-going monitoring of case plans for clients through the provision of data and other information and processing income management </w:t>
      </w:r>
      <w:proofErr w:type="gramStart"/>
      <w:r w:rsidRPr="00331081">
        <w:rPr>
          <w:rFonts w:ascii="Verdana" w:hAnsi="Verdana" w:cs="Arial"/>
          <w:bCs/>
          <w:sz w:val="20"/>
          <w:szCs w:val="20"/>
        </w:rPr>
        <w:t>where</w:t>
      </w:r>
      <w:proofErr w:type="gramEnd"/>
      <w:r w:rsidRPr="00331081">
        <w:rPr>
          <w:rFonts w:ascii="Verdana" w:hAnsi="Verdana" w:cs="Arial"/>
          <w:bCs/>
          <w:sz w:val="20"/>
          <w:szCs w:val="20"/>
        </w:rPr>
        <w:t xml:space="preserve"> considered necessary.</w:t>
      </w:r>
    </w:p>
    <w:p w14:paraId="6360FB36" w14:textId="77777777" w:rsidR="00331081" w:rsidRPr="00331081" w:rsidRDefault="00331081" w:rsidP="00331081">
      <w:pPr>
        <w:pStyle w:val="ListParagraph"/>
        <w:numPr>
          <w:ilvl w:val="0"/>
          <w:numId w:val="9"/>
        </w:numPr>
        <w:spacing w:line="288" w:lineRule="auto"/>
        <w:ind w:left="215" w:right="-425" w:hanging="357"/>
        <w:jc w:val="both"/>
        <w:rPr>
          <w:rFonts w:ascii="Verdana" w:hAnsi="Verdana" w:cs="Arial"/>
          <w:b/>
          <w:sz w:val="20"/>
          <w:szCs w:val="20"/>
        </w:rPr>
      </w:pPr>
      <w:r w:rsidRPr="00331081">
        <w:rPr>
          <w:rFonts w:ascii="Verdana" w:hAnsi="Verdana" w:cs="Arial"/>
          <w:b/>
          <w:sz w:val="20"/>
          <w:szCs w:val="20"/>
        </w:rPr>
        <w:t xml:space="preserve">Corporate governance </w:t>
      </w:r>
      <w:r w:rsidRPr="00331081">
        <w:rPr>
          <w:rFonts w:ascii="Verdana" w:hAnsi="Verdana" w:cs="Arial"/>
          <w:bCs/>
          <w:sz w:val="20"/>
          <w:szCs w:val="20"/>
        </w:rPr>
        <w:t xml:space="preserve">includes finance, statistical reporting, corporate governance, </w:t>
      </w:r>
      <w:proofErr w:type="gramStart"/>
      <w:r w:rsidRPr="00331081">
        <w:rPr>
          <w:rFonts w:ascii="Verdana" w:hAnsi="Verdana" w:cs="Arial"/>
          <w:bCs/>
          <w:sz w:val="20"/>
          <w:szCs w:val="20"/>
        </w:rPr>
        <w:t>training</w:t>
      </w:r>
      <w:proofErr w:type="gramEnd"/>
      <w:r w:rsidRPr="00331081">
        <w:rPr>
          <w:rFonts w:ascii="Verdana" w:hAnsi="Verdana" w:cs="Arial"/>
          <w:bCs/>
          <w:sz w:val="20"/>
          <w:szCs w:val="20"/>
        </w:rPr>
        <w:t xml:space="preserve"> and other administrative functions to ensure the effective and efficient operations of the Commission.</w:t>
      </w:r>
    </w:p>
    <w:p w14:paraId="12F9D400" w14:textId="77777777" w:rsidR="00331081" w:rsidRDefault="00331081" w:rsidP="0020608D">
      <w:pPr>
        <w:ind w:left="-142" w:right="-425"/>
        <w:jc w:val="both"/>
        <w:rPr>
          <w:rFonts w:cs="Arial"/>
        </w:rPr>
      </w:pPr>
    </w:p>
    <w:p w14:paraId="55D8945D" w14:textId="35843ED3" w:rsidR="00C14FC9" w:rsidRPr="0020608D" w:rsidRDefault="00C14FC9" w:rsidP="0020608D">
      <w:pPr>
        <w:ind w:left="-142" w:right="-425"/>
        <w:jc w:val="both"/>
        <w:rPr>
          <w:rFonts w:cs="Arial"/>
        </w:rPr>
      </w:pPr>
      <w:r w:rsidRPr="0020608D">
        <w:rPr>
          <w:rFonts w:cs="Arial"/>
        </w:rPr>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 xml:space="preserve">and </w:t>
      </w:r>
      <w:r w:rsidRPr="0020608D">
        <w:rPr>
          <w:rFonts w:cs="Arial"/>
        </w:rPr>
        <w:t xml:space="preserve">Local Commissioners, resident in their respective communities, </w:t>
      </w:r>
      <w:r w:rsidR="007E266F">
        <w:rPr>
          <w:rFonts w:cs="Arial"/>
        </w:rPr>
        <w:t>who</w:t>
      </w:r>
      <w:r w:rsidRPr="0020608D">
        <w:rPr>
          <w:rFonts w:cs="Arial"/>
        </w:rPr>
        <w:t xml:space="preserve"> are paid as sessional sitting Commission members for conferencing, serving notices, </w:t>
      </w:r>
      <w:proofErr w:type="gramStart"/>
      <w:r w:rsidRPr="0020608D">
        <w:rPr>
          <w:rFonts w:cs="Arial"/>
        </w:rPr>
        <w:t>meetings</w:t>
      </w:r>
      <w:proofErr w:type="gramEnd"/>
      <w:r w:rsidRPr="0020608D">
        <w:rPr>
          <w:rFonts w:cs="Arial"/>
        </w:rPr>
        <w:t xml:space="preserve"> and professional development.</w:t>
      </w:r>
    </w:p>
    <w:p w14:paraId="5863E544" w14:textId="34B56F8B" w:rsidR="00C14FC9" w:rsidRDefault="00C14FC9" w:rsidP="00994941">
      <w:pPr>
        <w:ind w:left="-142" w:right="-425"/>
        <w:jc w:val="both"/>
        <w:rPr>
          <w:rFonts w:cs="Arial"/>
        </w:rPr>
      </w:pPr>
    </w:p>
    <w:p w14:paraId="1988F4D6" w14:textId="3103EB6C" w:rsidR="00C14FC9" w:rsidRDefault="00B156C7" w:rsidP="0020608D">
      <w:pPr>
        <w:ind w:left="-142" w:right="-425"/>
        <w:jc w:val="both"/>
        <w:rPr>
          <w:rFonts w:cs="Arial"/>
        </w:rPr>
      </w:pPr>
      <w:r>
        <w:rPr>
          <w:rFonts w:cs="Arial"/>
        </w:rPr>
        <w:t xml:space="preserve">As can be observed in </w:t>
      </w:r>
      <w:r w:rsidR="00D13419">
        <w:rPr>
          <w:rFonts w:cs="Arial"/>
        </w:rPr>
        <w:t>t</w:t>
      </w:r>
      <w:r w:rsidR="00232C52">
        <w:rPr>
          <w:rFonts w:cs="Arial"/>
        </w:rPr>
        <w:t>able 24</w:t>
      </w:r>
      <w:r w:rsidR="002C1115">
        <w:rPr>
          <w:rFonts w:cs="Arial"/>
        </w:rPr>
        <w:t xml:space="preserve"> </w:t>
      </w:r>
      <w:r>
        <w:rPr>
          <w:rFonts w:cs="Arial"/>
        </w:rPr>
        <w:t xml:space="preserve">below which displays the allocation of </w:t>
      </w:r>
      <w:r w:rsidR="00C14FC9" w:rsidRPr="00B156C7">
        <w:rPr>
          <w:rFonts w:cs="Arial"/>
        </w:rPr>
        <w:t>FRC costs</w:t>
      </w:r>
      <w:r w:rsidR="00C14FC9" w:rsidRPr="0020608D">
        <w:rPr>
          <w:rFonts w:cs="Arial"/>
        </w:rPr>
        <w:t xml:space="preserve"> </w:t>
      </w:r>
      <w:r>
        <w:rPr>
          <w:rFonts w:cs="Arial"/>
        </w:rPr>
        <w:t xml:space="preserve">across the core functions </w:t>
      </w:r>
      <w:r w:rsidR="00C74BF5">
        <w:rPr>
          <w:rFonts w:cs="Arial"/>
        </w:rPr>
        <w:t>i</w:t>
      </w:r>
      <w:r w:rsidR="00D770E9">
        <w:rPr>
          <w:rFonts w:cs="Arial"/>
        </w:rPr>
        <w:t xml:space="preserve">n quarter </w:t>
      </w:r>
      <w:r w:rsidR="00413FAC">
        <w:rPr>
          <w:rFonts w:cs="Arial"/>
        </w:rPr>
        <w:t>59</w:t>
      </w:r>
      <w:r>
        <w:rPr>
          <w:rFonts w:cs="Arial"/>
        </w:rPr>
        <w:t xml:space="preserve">, the largest allocation during the reporting period is in relation to </w:t>
      </w:r>
      <w:r w:rsidR="00B01B37">
        <w:rPr>
          <w:rFonts w:cs="Arial"/>
        </w:rPr>
        <w:t xml:space="preserve">community </w:t>
      </w:r>
      <w:r w:rsidR="00B01B37" w:rsidRPr="00FA676F">
        <w:rPr>
          <w:rFonts w:cs="Arial"/>
        </w:rPr>
        <w:t>operations</w:t>
      </w:r>
      <w:r w:rsidRPr="00FA676F">
        <w:rPr>
          <w:rFonts w:cs="Arial"/>
        </w:rPr>
        <w:t xml:space="preserve"> (</w:t>
      </w:r>
      <w:r w:rsidR="005E4692">
        <w:rPr>
          <w:rFonts w:cs="Arial"/>
        </w:rPr>
        <w:t>69.0</w:t>
      </w:r>
      <w:r w:rsidR="00E965BF">
        <w:rPr>
          <w:rFonts w:cs="Arial"/>
        </w:rPr>
        <w:t>%</w:t>
      </w:r>
      <w:r>
        <w:rPr>
          <w:rFonts w:cs="Arial"/>
        </w:rPr>
        <w:t>).</w:t>
      </w:r>
    </w:p>
    <w:p w14:paraId="1AB3D9CE" w14:textId="094D9805" w:rsidR="005E4692" w:rsidRDefault="005E4692" w:rsidP="00086AA9">
      <w:pPr>
        <w:ind w:left="-142" w:right="-425"/>
        <w:jc w:val="both"/>
        <w:rPr>
          <w:rFonts w:cs="Arial"/>
        </w:rPr>
      </w:pPr>
    </w:p>
    <w:p w14:paraId="65719AEC" w14:textId="2A5CAFB5" w:rsidR="00091AF9" w:rsidRDefault="007264C6" w:rsidP="00091AF9">
      <w:pPr>
        <w:spacing w:line="240" w:lineRule="auto"/>
        <w:ind w:left="-142"/>
        <w:jc w:val="both"/>
        <w:rPr>
          <w:rFonts w:cs="Arial"/>
          <w:sz w:val="16"/>
          <w:szCs w:val="16"/>
        </w:rPr>
      </w:pPr>
      <w:r>
        <w:rPr>
          <w:rFonts w:cs="Arial"/>
          <w:b/>
          <w:sz w:val="16"/>
          <w:szCs w:val="16"/>
        </w:rPr>
        <w:t>Table 24</w:t>
      </w:r>
      <w:r w:rsidR="00091AF9" w:rsidRPr="006A4DD7">
        <w:rPr>
          <w:rFonts w:cs="Arial"/>
          <w:b/>
          <w:sz w:val="16"/>
          <w:szCs w:val="16"/>
        </w:rPr>
        <w:t xml:space="preserve">: </w:t>
      </w:r>
      <w:r w:rsidR="000D72EE">
        <w:rPr>
          <w:rFonts w:cs="Arial"/>
          <w:sz w:val="16"/>
          <w:szCs w:val="16"/>
        </w:rPr>
        <w:t xml:space="preserve">Allocation of </w:t>
      </w:r>
      <w:r w:rsidR="00BF1639">
        <w:rPr>
          <w:rFonts w:cs="Arial"/>
          <w:sz w:val="16"/>
          <w:szCs w:val="16"/>
        </w:rPr>
        <w:t>e</w:t>
      </w:r>
      <w:r w:rsidR="000D72EE">
        <w:rPr>
          <w:rFonts w:cs="Arial"/>
          <w:sz w:val="16"/>
          <w:szCs w:val="16"/>
        </w:rPr>
        <w:t xml:space="preserve">xpenses </w:t>
      </w:r>
      <w:r w:rsidR="007B7E78">
        <w:rPr>
          <w:rFonts w:cs="Arial"/>
          <w:sz w:val="16"/>
          <w:szCs w:val="16"/>
        </w:rPr>
        <w:t xml:space="preserve">1 </w:t>
      </w:r>
      <w:r w:rsidR="00413FAC">
        <w:rPr>
          <w:rFonts w:cs="Arial"/>
          <w:sz w:val="16"/>
          <w:szCs w:val="16"/>
        </w:rPr>
        <w:t>January 2023</w:t>
      </w:r>
      <w:r w:rsidR="00091AF9">
        <w:rPr>
          <w:rFonts w:cs="Arial"/>
          <w:sz w:val="16"/>
          <w:szCs w:val="16"/>
        </w:rPr>
        <w:t xml:space="preserve"> to </w:t>
      </w:r>
      <w:r w:rsidR="007B7E78">
        <w:rPr>
          <w:rFonts w:cs="Arial"/>
          <w:sz w:val="16"/>
          <w:szCs w:val="16"/>
        </w:rPr>
        <w:t xml:space="preserve">31 </w:t>
      </w:r>
      <w:r w:rsidR="00984BBB">
        <w:rPr>
          <w:rFonts w:cs="Arial"/>
          <w:sz w:val="16"/>
          <w:szCs w:val="16"/>
        </w:rPr>
        <w:t>March 2023</w:t>
      </w:r>
    </w:p>
    <w:p w14:paraId="248123F8" w14:textId="77777777" w:rsidR="007264C6" w:rsidRPr="00086AA9" w:rsidRDefault="007264C6" w:rsidP="00091AF9">
      <w:pPr>
        <w:spacing w:line="240" w:lineRule="auto"/>
        <w:ind w:left="-142"/>
        <w:jc w:val="both"/>
        <w:rPr>
          <w:rFonts w:cs="Arial"/>
        </w:rPr>
      </w:pPr>
    </w:p>
    <w:tbl>
      <w:tblPr>
        <w:tblW w:w="5431" w:type="dxa"/>
        <w:tblInd w:w="93" w:type="dxa"/>
        <w:tblLook w:val="04A0" w:firstRow="1" w:lastRow="0" w:firstColumn="1" w:lastColumn="0" w:noHBand="0" w:noVBand="1"/>
      </w:tblPr>
      <w:tblGrid>
        <w:gridCol w:w="3871"/>
        <w:gridCol w:w="1560"/>
      </w:tblGrid>
      <w:tr w:rsidR="007264C6" w:rsidRPr="00920636" w14:paraId="78462918" w14:textId="77777777" w:rsidTr="0010294B">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7348993C" w14:textId="77777777" w:rsidR="007264C6" w:rsidRPr="000F130C" w:rsidRDefault="007264C6" w:rsidP="0010294B">
            <w:pPr>
              <w:pStyle w:val="TableText"/>
              <w:ind w:left="49"/>
              <w:rPr>
                <w:b/>
                <w:lang w:eastAsia="en-AU"/>
              </w:rPr>
            </w:pPr>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432B897C" w14:textId="77777777" w:rsidR="007264C6" w:rsidRDefault="007264C6" w:rsidP="0010294B">
            <w:pPr>
              <w:pStyle w:val="TableText"/>
              <w:jc w:val="right"/>
              <w:rPr>
                <w:b/>
                <w:lang w:eastAsia="en-AU"/>
              </w:rPr>
            </w:pPr>
            <w:r>
              <w:rPr>
                <w:b/>
                <w:lang w:eastAsia="en-AU"/>
              </w:rPr>
              <w:t>Percentage of Allocated Expenses</w:t>
            </w:r>
          </w:p>
        </w:tc>
      </w:tr>
      <w:tr w:rsidR="007264C6" w:rsidRPr="00920636" w14:paraId="15473994" w14:textId="77777777" w:rsidTr="0010294B">
        <w:trPr>
          <w:trHeight w:val="255"/>
        </w:trPr>
        <w:tc>
          <w:tcPr>
            <w:tcW w:w="3871" w:type="dxa"/>
            <w:tcBorders>
              <w:top w:val="nil"/>
              <w:left w:val="single" w:sz="4" w:space="0" w:color="auto"/>
              <w:bottom w:val="single" w:sz="4" w:space="0" w:color="auto"/>
              <w:right w:val="single" w:sz="4" w:space="0" w:color="auto"/>
            </w:tcBorders>
            <w:noWrap/>
          </w:tcPr>
          <w:p w14:paraId="36A36FC3" w14:textId="77777777" w:rsidR="007264C6" w:rsidRPr="00E72DFB" w:rsidRDefault="007264C6" w:rsidP="0010294B">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37035100" w14:textId="77777777" w:rsidR="007264C6" w:rsidRDefault="007264C6" w:rsidP="0010294B">
            <w:pPr>
              <w:pStyle w:val="TableText"/>
              <w:jc w:val="right"/>
              <w:rPr>
                <w:lang w:eastAsia="en-AU"/>
              </w:rPr>
            </w:pPr>
            <w:r>
              <w:rPr>
                <w:lang w:eastAsia="en-AU"/>
              </w:rPr>
              <w:t>31.0%</w:t>
            </w:r>
          </w:p>
        </w:tc>
      </w:tr>
      <w:tr w:rsidR="007264C6" w:rsidRPr="00920636" w14:paraId="1F5B21E9" w14:textId="77777777" w:rsidTr="0010294B">
        <w:trPr>
          <w:trHeight w:val="255"/>
        </w:trPr>
        <w:tc>
          <w:tcPr>
            <w:tcW w:w="3871" w:type="dxa"/>
            <w:tcBorders>
              <w:top w:val="nil"/>
              <w:left w:val="single" w:sz="4" w:space="0" w:color="auto"/>
              <w:bottom w:val="single" w:sz="4" w:space="0" w:color="auto"/>
              <w:right w:val="single" w:sz="4" w:space="0" w:color="auto"/>
            </w:tcBorders>
            <w:noWrap/>
            <w:hideMark/>
          </w:tcPr>
          <w:p w14:paraId="6878AEAA" w14:textId="77777777" w:rsidR="007264C6" w:rsidRPr="00E72DFB" w:rsidRDefault="007264C6" w:rsidP="0010294B">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78D1B008" w14:textId="77777777" w:rsidR="007264C6" w:rsidRDefault="007264C6" w:rsidP="0010294B">
            <w:pPr>
              <w:pStyle w:val="TableText"/>
              <w:jc w:val="right"/>
              <w:rPr>
                <w:lang w:eastAsia="en-AU"/>
              </w:rPr>
            </w:pPr>
            <w:r>
              <w:rPr>
                <w:lang w:eastAsia="en-AU"/>
              </w:rPr>
              <w:t>69.0%</w:t>
            </w:r>
          </w:p>
        </w:tc>
      </w:tr>
      <w:tr w:rsidR="007264C6" w:rsidRPr="00920636" w14:paraId="1FF831CC" w14:textId="77777777" w:rsidTr="0010294B">
        <w:trPr>
          <w:trHeight w:val="255"/>
        </w:trPr>
        <w:tc>
          <w:tcPr>
            <w:tcW w:w="3871" w:type="dxa"/>
            <w:tcBorders>
              <w:top w:val="nil"/>
              <w:left w:val="single" w:sz="4" w:space="0" w:color="auto"/>
              <w:bottom w:val="single" w:sz="4" w:space="0" w:color="auto"/>
              <w:right w:val="single" w:sz="4" w:space="0" w:color="auto"/>
            </w:tcBorders>
            <w:noWrap/>
            <w:hideMark/>
          </w:tcPr>
          <w:p w14:paraId="0630BCFE" w14:textId="77777777" w:rsidR="007264C6" w:rsidRPr="000F130C" w:rsidRDefault="007264C6" w:rsidP="0010294B">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16CF0B7B" w14:textId="77777777" w:rsidR="007264C6" w:rsidRDefault="007264C6" w:rsidP="0010294B">
            <w:pPr>
              <w:pStyle w:val="TableText"/>
              <w:jc w:val="right"/>
              <w:rPr>
                <w:b/>
                <w:lang w:eastAsia="en-AU"/>
              </w:rPr>
            </w:pPr>
            <w:r>
              <w:rPr>
                <w:b/>
                <w:lang w:eastAsia="en-AU"/>
              </w:rPr>
              <w:t>100.0%</w:t>
            </w:r>
          </w:p>
        </w:tc>
      </w:tr>
    </w:tbl>
    <w:p w14:paraId="2B981668" w14:textId="77777777" w:rsidR="007264C6" w:rsidRDefault="007264C6" w:rsidP="00086AA9">
      <w:pPr>
        <w:ind w:left="-142" w:right="-425"/>
        <w:jc w:val="both"/>
        <w:rPr>
          <w:rFonts w:cs="Arial"/>
        </w:rPr>
      </w:pPr>
    </w:p>
    <w:p w14:paraId="43471FC5" w14:textId="04CF9BC9" w:rsidR="00994941" w:rsidRDefault="00994941" w:rsidP="00086AA9">
      <w:pPr>
        <w:ind w:left="-142" w:right="-425"/>
        <w:jc w:val="both"/>
        <w:rPr>
          <w:rFonts w:cs="Arial"/>
        </w:rPr>
      </w:pPr>
      <w:r>
        <w:rPr>
          <w:rFonts w:cs="Arial"/>
        </w:rPr>
        <w:t>R</w:t>
      </w:r>
      <w:r w:rsidRPr="00190B3A">
        <w:rPr>
          <w:rFonts w:cs="Arial"/>
        </w:rPr>
        <w:t>egional operational expenditure by location and quarter</w:t>
      </w:r>
      <w:r>
        <w:rPr>
          <w:rFonts w:cs="Arial"/>
        </w:rPr>
        <w:t>.</w:t>
      </w:r>
    </w:p>
    <w:p w14:paraId="1A9A9A9E" w14:textId="554E4BED" w:rsidR="00402726" w:rsidRDefault="00402726" w:rsidP="00086AA9">
      <w:pPr>
        <w:ind w:left="-142" w:right="-425"/>
        <w:jc w:val="both"/>
        <w:rPr>
          <w:rFonts w:cs="Arial"/>
        </w:rPr>
      </w:pPr>
    </w:p>
    <w:p w14:paraId="4A21D3E7" w14:textId="28128487" w:rsidR="00994941" w:rsidRPr="00706A6C" w:rsidRDefault="007264C6" w:rsidP="00994941">
      <w:pPr>
        <w:spacing w:line="240" w:lineRule="auto"/>
        <w:ind w:left="-142"/>
        <w:jc w:val="both"/>
        <w:rPr>
          <w:rFonts w:cs="Arial"/>
          <w:sz w:val="16"/>
          <w:szCs w:val="16"/>
        </w:rPr>
      </w:pPr>
      <w:r>
        <w:rPr>
          <w:rFonts w:cs="Arial"/>
          <w:b/>
          <w:sz w:val="16"/>
          <w:szCs w:val="16"/>
        </w:rPr>
        <w:t>Table 25</w:t>
      </w:r>
      <w:r w:rsidR="00994941" w:rsidRPr="006A4DD7">
        <w:rPr>
          <w:rFonts w:cs="Arial"/>
          <w:b/>
          <w:sz w:val="16"/>
          <w:szCs w:val="16"/>
        </w:rPr>
        <w:t xml:space="preserve">: </w:t>
      </w:r>
      <w:r w:rsidR="00A23629">
        <w:rPr>
          <w:rFonts w:cs="Arial"/>
          <w:sz w:val="16"/>
          <w:szCs w:val="16"/>
        </w:rPr>
        <w:t>Operating c</w:t>
      </w:r>
      <w:r w:rsidR="00994941" w:rsidRPr="006A4DD7">
        <w:rPr>
          <w:rFonts w:cs="Arial"/>
          <w:sz w:val="16"/>
          <w:szCs w:val="16"/>
        </w:rPr>
        <w:t xml:space="preserve">osts by remote </w:t>
      </w:r>
      <w:r w:rsidR="00994941" w:rsidRPr="0031561D">
        <w:rPr>
          <w:rFonts w:cs="Arial"/>
          <w:sz w:val="16"/>
          <w:szCs w:val="16"/>
        </w:rPr>
        <w:t xml:space="preserve">location </w:t>
      </w:r>
      <w:r w:rsidR="007B7E78">
        <w:rPr>
          <w:rFonts w:cs="Arial"/>
          <w:sz w:val="16"/>
          <w:szCs w:val="16"/>
        </w:rPr>
        <w:t xml:space="preserve">1 </w:t>
      </w:r>
      <w:r w:rsidR="0039275D">
        <w:rPr>
          <w:rFonts w:cs="Arial"/>
          <w:sz w:val="16"/>
          <w:szCs w:val="16"/>
        </w:rPr>
        <w:t>January 2022</w:t>
      </w:r>
      <w:r w:rsidR="004364B8">
        <w:rPr>
          <w:rFonts w:cs="Arial"/>
          <w:sz w:val="16"/>
          <w:szCs w:val="16"/>
        </w:rPr>
        <w:t xml:space="preserve"> to </w:t>
      </w:r>
      <w:r w:rsidR="007B7E78">
        <w:rPr>
          <w:rFonts w:cs="Arial"/>
          <w:sz w:val="16"/>
          <w:szCs w:val="16"/>
        </w:rPr>
        <w:t xml:space="preserve">31 </w:t>
      </w:r>
      <w:r w:rsidR="00984BBB">
        <w:rPr>
          <w:rFonts w:cs="Arial"/>
          <w:sz w:val="16"/>
          <w:szCs w:val="16"/>
        </w:rPr>
        <w:t>March 2023</w:t>
      </w:r>
    </w:p>
    <w:p w14:paraId="0ECB128C" w14:textId="77777777" w:rsidR="00994941" w:rsidRDefault="00994941" w:rsidP="00994941">
      <w:pPr>
        <w:ind w:left="-142" w:right="-425"/>
        <w:jc w:val="both"/>
        <w:rPr>
          <w:rFonts w:cs="Arial"/>
        </w:rPr>
      </w:pP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7264C6" w:rsidRPr="000F130C" w14:paraId="10C2C6F4" w14:textId="77777777" w:rsidTr="0010294B">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2F2A4D85" w14:textId="77777777" w:rsidR="007264C6" w:rsidRPr="000F130C" w:rsidRDefault="007264C6" w:rsidP="0010294B">
            <w:pPr>
              <w:pStyle w:val="TableText"/>
              <w:ind w:left="49"/>
              <w:rPr>
                <w:b/>
                <w:lang w:eastAsia="en-AU"/>
              </w:rPr>
            </w:pPr>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04ECC3A2" w14:textId="77777777" w:rsidR="007264C6" w:rsidRDefault="007264C6" w:rsidP="0010294B">
            <w:pPr>
              <w:pStyle w:val="TableText"/>
              <w:jc w:val="right"/>
              <w:rPr>
                <w:b/>
                <w:lang w:eastAsia="en-AU"/>
              </w:rPr>
            </w:pPr>
            <w:proofErr w:type="spellStart"/>
            <w:r>
              <w:rPr>
                <w:b/>
                <w:lang w:eastAsia="en-AU"/>
              </w:rPr>
              <w:t>Qtr</w:t>
            </w:r>
            <w:proofErr w:type="spellEnd"/>
            <w:r>
              <w:rPr>
                <w:b/>
                <w:lang w:eastAsia="en-AU"/>
              </w:rPr>
              <w:t xml:space="preserve"> 55</w:t>
            </w:r>
          </w:p>
        </w:tc>
        <w:tc>
          <w:tcPr>
            <w:tcW w:w="1242" w:type="dxa"/>
            <w:tcBorders>
              <w:top w:val="single" w:sz="4" w:space="0" w:color="auto"/>
              <w:left w:val="nil"/>
              <w:bottom w:val="single" w:sz="4" w:space="0" w:color="auto"/>
              <w:right w:val="single" w:sz="4" w:space="0" w:color="auto"/>
            </w:tcBorders>
          </w:tcPr>
          <w:p w14:paraId="0A19C8F0" w14:textId="77777777" w:rsidR="007264C6" w:rsidRDefault="007264C6"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1242" w:type="dxa"/>
            <w:tcBorders>
              <w:top w:val="single" w:sz="4" w:space="0" w:color="auto"/>
              <w:left w:val="nil"/>
              <w:bottom w:val="single" w:sz="4" w:space="0" w:color="auto"/>
              <w:right w:val="single" w:sz="4" w:space="0" w:color="auto"/>
            </w:tcBorders>
          </w:tcPr>
          <w:p w14:paraId="1A3E63AD" w14:textId="77777777" w:rsidR="007264C6" w:rsidRDefault="007264C6"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1242" w:type="dxa"/>
            <w:tcBorders>
              <w:top w:val="single" w:sz="4" w:space="0" w:color="auto"/>
              <w:left w:val="nil"/>
              <w:bottom w:val="single" w:sz="4" w:space="0" w:color="auto"/>
              <w:right w:val="single" w:sz="4" w:space="0" w:color="auto"/>
            </w:tcBorders>
          </w:tcPr>
          <w:p w14:paraId="66829812" w14:textId="77777777" w:rsidR="007264C6" w:rsidRDefault="007264C6"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1242" w:type="dxa"/>
            <w:tcBorders>
              <w:top w:val="single" w:sz="4" w:space="0" w:color="auto"/>
              <w:left w:val="nil"/>
              <w:bottom w:val="single" w:sz="4" w:space="0" w:color="auto"/>
              <w:right w:val="single" w:sz="4" w:space="0" w:color="auto"/>
            </w:tcBorders>
          </w:tcPr>
          <w:p w14:paraId="3B10DB88" w14:textId="77777777" w:rsidR="007264C6" w:rsidRDefault="007264C6" w:rsidP="0010294B">
            <w:pPr>
              <w:pStyle w:val="TableText"/>
              <w:jc w:val="right"/>
              <w:rPr>
                <w:b/>
                <w:lang w:eastAsia="en-AU"/>
              </w:rPr>
            </w:pPr>
            <w:proofErr w:type="spellStart"/>
            <w:r>
              <w:rPr>
                <w:b/>
                <w:lang w:eastAsia="en-AU"/>
              </w:rPr>
              <w:t>Qtr</w:t>
            </w:r>
            <w:proofErr w:type="spellEnd"/>
            <w:r>
              <w:rPr>
                <w:b/>
                <w:lang w:eastAsia="en-AU"/>
              </w:rPr>
              <w:t xml:space="preserve"> 59</w:t>
            </w:r>
          </w:p>
        </w:tc>
      </w:tr>
      <w:tr w:rsidR="007264C6" w:rsidRPr="000F130C" w14:paraId="1468E700"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1B572A40" w14:textId="77777777" w:rsidR="007264C6" w:rsidRPr="000F130C" w:rsidRDefault="007264C6" w:rsidP="0010294B">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tcPr>
          <w:p w14:paraId="79FCA825" w14:textId="77777777" w:rsidR="007264C6" w:rsidRPr="00705863" w:rsidRDefault="007264C6" w:rsidP="0010294B">
            <w:pPr>
              <w:pStyle w:val="TableText"/>
              <w:jc w:val="right"/>
              <w:rPr>
                <w:color w:val="000000"/>
              </w:rPr>
            </w:pPr>
            <w:r>
              <w:rPr>
                <w:rFonts w:cs="Calibri"/>
                <w:color w:val="000000"/>
              </w:rPr>
              <w:t>$87K</w:t>
            </w:r>
          </w:p>
        </w:tc>
        <w:tc>
          <w:tcPr>
            <w:tcW w:w="1242" w:type="dxa"/>
            <w:tcBorders>
              <w:top w:val="nil"/>
              <w:left w:val="nil"/>
              <w:bottom w:val="single" w:sz="4" w:space="0" w:color="auto"/>
              <w:right w:val="single" w:sz="4" w:space="0" w:color="auto"/>
            </w:tcBorders>
          </w:tcPr>
          <w:p w14:paraId="6CCB9DE8" w14:textId="77777777" w:rsidR="007264C6" w:rsidRDefault="007264C6" w:rsidP="0010294B">
            <w:pPr>
              <w:pStyle w:val="TableText"/>
              <w:jc w:val="right"/>
              <w:rPr>
                <w:rFonts w:cs="Calibri"/>
                <w:color w:val="000000"/>
              </w:rPr>
            </w:pPr>
            <w:r>
              <w:rPr>
                <w:rFonts w:cs="Calibri"/>
                <w:color w:val="000000"/>
              </w:rPr>
              <w:t>$118K</w:t>
            </w:r>
          </w:p>
        </w:tc>
        <w:tc>
          <w:tcPr>
            <w:tcW w:w="1242" w:type="dxa"/>
            <w:tcBorders>
              <w:top w:val="nil"/>
              <w:left w:val="nil"/>
              <w:bottom w:val="single" w:sz="4" w:space="0" w:color="auto"/>
              <w:right w:val="single" w:sz="4" w:space="0" w:color="auto"/>
            </w:tcBorders>
          </w:tcPr>
          <w:p w14:paraId="5A75C0E5" w14:textId="77777777" w:rsidR="007264C6" w:rsidRDefault="007264C6" w:rsidP="0010294B">
            <w:pPr>
              <w:pStyle w:val="TableText"/>
              <w:jc w:val="right"/>
              <w:rPr>
                <w:rFonts w:cs="Calibri"/>
                <w:color w:val="000000"/>
              </w:rPr>
            </w:pPr>
            <w:r>
              <w:rPr>
                <w:rFonts w:cs="Calibri"/>
                <w:color w:val="000000"/>
              </w:rPr>
              <w:t>$98K</w:t>
            </w:r>
          </w:p>
        </w:tc>
        <w:tc>
          <w:tcPr>
            <w:tcW w:w="1242" w:type="dxa"/>
            <w:tcBorders>
              <w:top w:val="nil"/>
              <w:left w:val="nil"/>
              <w:bottom w:val="single" w:sz="4" w:space="0" w:color="auto"/>
              <w:right w:val="single" w:sz="4" w:space="0" w:color="auto"/>
            </w:tcBorders>
          </w:tcPr>
          <w:p w14:paraId="7275F585" w14:textId="77777777" w:rsidR="007264C6" w:rsidRDefault="007264C6" w:rsidP="0010294B">
            <w:pPr>
              <w:pStyle w:val="TableText"/>
              <w:jc w:val="right"/>
              <w:rPr>
                <w:rFonts w:cs="Calibri"/>
                <w:color w:val="000000"/>
              </w:rPr>
            </w:pPr>
            <w:r>
              <w:rPr>
                <w:rFonts w:cs="Calibri"/>
                <w:color w:val="000000"/>
              </w:rPr>
              <w:t>124K</w:t>
            </w:r>
          </w:p>
        </w:tc>
        <w:tc>
          <w:tcPr>
            <w:tcW w:w="1242" w:type="dxa"/>
            <w:tcBorders>
              <w:top w:val="nil"/>
              <w:left w:val="nil"/>
              <w:bottom w:val="single" w:sz="4" w:space="0" w:color="auto"/>
              <w:right w:val="single" w:sz="4" w:space="0" w:color="auto"/>
            </w:tcBorders>
          </w:tcPr>
          <w:p w14:paraId="3258D179" w14:textId="77777777" w:rsidR="007264C6" w:rsidRDefault="007264C6" w:rsidP="0010294B">
            <w:pPr>
              <w:pStyle w:val="TableText"/>
              <w:jc w:val="right"/>
              <w:rPr>
                <w:rFonts w:cs="Calibri"/>
                <w:color w:val="000000"/>
              </w:rPr>
            </w:pPr>
            <w:r>
              <w:rPr>
                <w:rFonts w:cs="Calibri"/>
                <w:color w:val="000000"/>
              </w:rPr>
              <w:t>131K</w:t>
            </w:r>
          </w:p>
        </w:tc>
      </w:tr>
      <w:tr w:rsidR="007264C6" w:rsidRPr="000F130C" w14:paraId="6EEA11A4"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1772AEE3" w14:textId="77777777" w:rsidR="007264C6" w:rsidRPr="000F130C" w:rsidRDefault="007264C6" w:rsidP="0010294B">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tcPr>
          <w:p w14:paraId="25AC03AC" w14:textId="77777777" w:rsidR="007264C6" w:rsidRPr="00705863" w:rsidRDefault="007264C6" w:rsidP="0010294B">
            <w:pPr>
              <w:pStyle w:val="TableText"/>
              <w:jc w:val="right"/>
              <w:rPr>
                <w:color w:val="000000"/>
              </w:rPr>
            </w:pPr>
            <w:r>
              <w:rPr>
                <w:rFonts w:cs="Calibri"/>
                <w:color w:val="000000"/>
              </w:rPr>
              <w:t>$21K</w:t>
            </w:r>
          </w:p>
        </w:tc>
        <w:tc>
          <w:tcPr>
            <w:tcW w:w="1242" w:type="dxa"/>
            <w:tcBorders>
              <w:top w:val="nil"/>
              <w:left w:val="nil"/>
              <w:bottom w:val="single" w:sz="4" w:space="0" w:color="auto"/>
              <w:right w:val="single" w:sz="4" w:space="0" w:color="auto"/>
            </w:tcBorders>
          </w:tcPr>
          <w:p w14:paraId="5315A2B8" w14:textId="77777777" w:rsidR="007264C6" w:rsidRDefault="007264C6" w:rsidP="0010294B">
            <w:pPr>
              <w:pStyle w:val="TableText"/>
              <w:jc w:val="right"/>
              <w:rPr>
                <w:rFonts w:cs="Calibri"/>
                <w:color w:val="000000"/>
              </w:rPr>
            </w:pPr>
            <w:r>
              <w:rPr>
                <w:rFonts w:cs="Calibri"/>
                <w:color w:val="000000"/>
              </w:rPr>
              <w:t>$47K</w:t>
            </w:r>
          </w:p>
        </w:tc>
        <w:tc>
          <w:tcPr>
            <w:tcW w:w="1242" w:type="dxa"/>
            <w:tcBorders>
              <w:top w:val="nil"/>
              <w:left w:val="nil"/>
              <w:bottom w:val="single" w:sz="4" w:space="0" w:color="auto"/>
              <w:right w:val="single" w:sz="4" w:space="0" w:color="auto"/>
            </w:tcBorders>
          </w:tcPr>
          <w:p w14:paraId="00104065" w14:textId="77777777" w:rsidR="007264C6" w:rsidRDefault="007264C6" w:rsidP="0010294B">
            <w:pPr>
              <w:pStyle w:val="TableText"/>
              <w:jc w:val="right"/>
              <w:rPr>
                <w:rFonts w:cs="Calibri"/>
                <w:color w:val="000000"/>
              </w:rPr>
            </w:pPr>
            <w:r>
              <w:rPr>
                <w:rFonts w:cs="Calibri"/>
                <w:color w:val="000000"/>
              </w:rPr>
              <w:t>$22K</w:t>
            </w:r>
          </w:p>
        </w:tc>
        <w:tc>
          <w:tcPr>
            <w:tcW w:w="1242" w:type="dxa"/>
            <w:tcBorders>
              <w:top w:val="nil"/>
              <w:left w:val="nil"/>
              <w:bottom w:val="single" w:sz="4" w:space="0" w:color="auto"/>
              <w:right w:val="single" w:sz="4" w:space="0" w:color="auto"/>
            </w:tcBorders>
          </w:tcPr>
          <w:p w14:paraId="0A83041D" w14:textId="77777777" w:rsidR="007264C6" w:rsidRDefault="007264C6" w:rsidP="0010294B">
            <w:pPr>
              <w:pStyle w:val="TableText"/>
              <w:jc w:val="right"/>
              <w:rPr>
                <w:rFonts w:cs="Calibri"/>
                <w:color w:val="000000"/>
              </w:rPr>
            </w:pPr>
            <w:r>
              <w:rPr>
                <w:rFonts w:cs="Calibri"/>
                <w:color w:val="000000"/>
              </w:rPr>
              <w:t>33K</w:t>
            </w:r>
          </w:p>
        </w:tc>
        <w:tc>
          <w:tcPr>
            <w:tcW w:w="1242" w:type="dxa"/>
            <w:tcBorders>
              <w:top w:val="nil"/>
              <w:left w:val="nil"/>
              <w:bottom w:val="single" w:sz="4" w:space="0" w:color="auto"/>
              <w:right w:val="single" w:sz="4" w:space="0" w:color="auto"/>
            </w:tcBorders>
          </w:tcPr>
          <w:p w14:paraId="5F418076" w14:textId="77777777" w:rsidR="007264C6" w:rsidRDefault="007264C6" w:rsidP="0010294B">
            <w:pPr>
              <w:pStyle w:val="TableText"/>
              <w:jc w:val="right"/>
              <w:rPr>
                <w:rFonts w:cs="Calibri"/>
                <w:color w:val="000000"/>
              </w:rPr>
            </w:pPr>
            <w:r>
              <w:rPr>
                <w:rFonts w:cs="Calibri"/>
                <w:color w:val="000000"/>
              </w:rPr>
              <w:t>28K</w:t>
            </w:r>
          </w:p>
        </w:tc>
      </w:tr>
      <w:tr w:rsidR="007264C6" w:rsidRPr="000F130C" w14:paraId="3B9ADC4C" w14:textId="77777777" w:rsidTr="0010294B">
        <w:trPr>
          <w:trHeight w:val="255"/>
        </w:trPr>
        <w:tc>
          <w:tcPr>
            <w:tcW w:w="2596" w:type="dxa"/>
            <w:tcBorders>
              <w:top w:val="nil"/>
              <w:left w:val="single" w:sz="4" w:space="0" w:color="auto"/>
              <w:bottom w:val="single" w:sz="4" w:space="0" w:color="auto"/>
              <w:right w:val="single" w:sz="4" w:space="0" w:color="auto"/>
            </w:tcBorders>
            <w:noWrap/>
          </w:tcPr>
          <w:p w14:paraId="24B3A1FD" w14:textId="77777777" w:rsidR="007264C6" w:rsidRPr="000F130C" w:rsidRDefault="007264C6" w:rsidP="0010294B">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tcPr>
          <w:p w14:paraId="1A5A1F7C" w14:textId="77777777" w:rsidR="007264C6" w:rsidRPr="00705863" w:rsidRDefault="007264C6" w:rsidP="0010294B">
            <w:pPr>
              <w:pStyle w:val="TableText"/>
              <w:jc w:val="right"/>
              <w:rPr>
                <w:color w:val="000000"/>
              </w:rPr>
            </w:pPr>
            <w:r>
              <w:rPr>
                <w:rFonts w:cs="Calibri"/>
                <w:color w:val="000000"/>
              </w:rPr>
              <w:t>$87K</w:t>
            </w:r>
          </w:p>
        </w:tc>
        <w:tc>
          <w:tcPr>
            <w:tcW w:w="1242" w:type="dxa"/>
            <w:tcBorders>
              <w:top w:val="nil"/>
              <w:left w:val="nil"/>
              <w:bottom w:val="single" w:sz="4" w:space="0" w:color="auto"/>
              <w:right w:val="single" w:sz="4" w:space="0" w:color="auto"/>
            </w:tcBorders>
          </w:tcPr>
          <w:p w14:paraId="0E7690D9" w14:textId="77777777" w:rsidR="007264C6" w:rsidRDefault="007264C6" w:rsidP="0010294B">
            <w:pPr>
              <w:pStyle w:val="TableText"/>
              <w:jc w:val="right"/>
              <w:rPr>
                <w:rFonts w:cs="Calibri"/>
                <w:color w:val="000000"/>
              </w:rPr>
            </w:pPr>
            <w:r>
              <w:rPr>
                <w:rFonts w:cs="Calibri"/>
                <w:color w:val="000000"/>
              </w:rPr>
              <w:t>$139K</w:t>
            </w:r>
          </w:p>
        </w:tc>
        <w:tc>
          <w:tcPr>
            <w:tcW w:w="1242" w:type="dxa"/>
            <w:tcBorders>
              <w:top w:val="nil"/>
              <w:left w:val="nil"/>
              <w:bottom w:val="single" w:sz="4" w:space="0" w:color="auto"/>
              <w:right w:val="single" w:sz="4" w:space="0" w:color="auto"/>
            </w:tcBorders>
          </w:tcPr>
          <w:p w14:paraId="759F7C2B" w14:textId="77777777" w:rsidR="007264C6" w:rsidRDefault="007264C6" w:rsidP="0010294B">
            <w:pPr>
              <w:pStyle w:val="TableText"/>
              <w:jc w:val="right"/>
              <w:rPr>
                <w:rFonts w:cs="Calibri"/>
                <w:color w:val="000000"/>
              </w:rPr>
            </w:pPr>
            <w:r>
              <w:rPr>
                <w:rFonts w:cs="Calibri"/>
                <w:color w:val="000000"/>
              </w:rPr>
              <w:t>$123K</w:t>
            </w:r>
          </w:p>
        </w:tc>
        <w:tc>
          <w:tcPr>
            <w:tcW w:w="1242" w:type="dxa"/>
            <w:tcBorders>
              <w:top w:val="nil"/>
              <w:left w:val="nil"/>
              <w:bottom w:val="single" w:sz="4" w:space="0" w:color="auto"/>
              <w:right w:val="single" w:sz="4" w:space="0" w:color="auto"/>
            </w:tcBorders>
          </w:tcPr>
          <w:p w14:paraId="026B6553" w14:textId="77777777" w:rsidR="007264C6" w:rsidRDefault="007264C6" w:rsidP="0010294B">
            <w:pPr>
              <w:pStyle w:val="TableText"/>
              <w:jc w:val="right"/>
              <w:rPr>
                <w:rFonts w:cs="Calibri"/>
                <w:color w:val="000000"/>
              </w:rPr>
            </w:pPr>
            <w:r>
              <w:rPr>
                <w:rFonts w:cs="Calibri"/>
                <w:color w:val="000000"/>
              </w:rPr>
              <w:t>123K</w:t>
            </w:r>
          </w:p>
        </w:tc>
        <w:tc>
          <w:tcPr>
            <w:tcW w:w="1242" w:type="dxa"/>
            <w:tcBorders>
              <w:top w:val="nil"/>
              <w:left w:val="nil"/>
              <w:bottom w:val="single" w:sz="4" w:space="0" w:color="auto"/>
              <w:right w:val="single" w:sz="4" w:space="0" w:color="auto"/>
            </w:tcBorders>
          </w:tcPr>
          <w:p w14:paraId="6D1AE39C" w14:textId="77777777" w:rsidR="007264C6" w:rsidRDefault="007264C6" w:rsidP="0010294B">
            <w:pPr>
              <w:pStyle w:val="TableText"/>
              <w:jc w:val="right"/>
              <w:rPr>
                <w:rFonts w:cs="Calibri"/>
                <w:color w:val="000000"/>
              </w:rPr>
            </w:pPr>
            <w:r>
              <w:rPr>
                <w:rFonts w:cs="Calibri"/>
                <w:color w:val="000000"/>
              </w:rPr>
              <w:t>106K</w:t>
            </w:r>
          </w:p>
        </w:tc>
      </w:tr>
      <w:tr w:rsidR="007264C6" w:rsidRPr="000F130C" w14:paraId="37D61850"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3F022D7F" w14:textId="77777777" w:rsidR="007264C6" w:rsidRPr="000F130C" w:rsidRDefault="007264C6" w:rsidP="0010294B">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tcPr>
          <w:p w14:paraId="51982B77" w14:textId="77777777" w:rsidR="007264C6" w:rsidRPr="00705863" w:rsidRDefault="007264C6" w:rsidP="0010294B">
            <w:pPr>
              <w:pStyle w:val="TableText"/>
              <w:jc w:val="right"/>
              <w:rPr>
                <w:color w:val="000000"/>
              </w:rPr>
            </w:pPr>
            <w:r>
              <w:rPr>
                <w:rFonts w:cs="Calibri"/>
                <w:color w:val="000000"/>
              </w:rPr>
              <w:t>$60K</w:t>
            </w:r>
          </w:p>
        </w:tc>
        <w:tc>
          <w:tcPr>
            <w:tcW w:w="1242" w:type="dxa"/>
            <w:tcBorders>
              <w:top w:val="nil"/>
              <w:left w:val="nil"/>
              <w:bottom w:val="single" w:sz="4" w:space="0" w:color="auto"/>
              <w:right w:val="single" w:sz="4" w:space="0" w:color="auto"/>
            </w:tcBorders>
          </w:tcPr>
          <w:p w14:paraId="55C85543" w14:textId="77777777" w:rsidR="007264C6" w:rsidRDefault="007264C6" w:rsidP="0010294B">
            <w:pPr>
              <w:pStyle w:val="TableText"/>
              <w:jc w:val="right"/>
              <w:rPr>
                <w:rFonts w:cs="Calibri"/>
                <w:color w:val="000000"/>
              </w:rPr>
            </w:pPr>
            <w:r>
              <w:rPr>
                <w:rFonts w:cs="Calibri"/>
                <w:color w:val="000000"/>
              </w:rPr>
              <w:t>$83K</w:t>
            </w:r>
          </w:p>
        </w:tc>
        <w:tc>
          <w:tcPr>
            <w:tcW w:w="1242" w:type="dxa"/>
            <w:tcBorders>
              <w:top w:val="nil"/>
              <w:left w:val="nil"/>
              <w:bottom w:val="single" w:sz="4" w:space="0" w:color="auto"/>
              <w:right w:val="single" w:sz="4" w:space="0" w:color="auto"/>
            </w:tcBorders>
          </w:tcPr>
          <w:p w14:paraId="017BCDCD" w14:textId="77777777" w:rsidR="007264C6" w:rsidRDefault="007264C6" w:rsidP="0010294B">
            <w:pPr>
              <w:pStyle w:val="TableText"/>
              <w:jc w:val="right"/>
              <w:rPr>
                <w:rFonts w:cs="Calibri"/>
                <w:color w:val="000000"/>
              </w:rPr>
            </w:pPr>
            <w:r>
              <w:rPr>
                <w:rFonts w:cs="Calibri"/>
                <w:color w:val="000000"/>
              </w:rPr>
              <w:t>$85K</w:t>
            </w:r>
          </w:p>
        </w:tc>
        <w:tc>
          <w:tcPr>
            <w:tcW w:w="1242" w:type="dxa"/>
            <w:tcBorders>
              <w:top w:val="nil"/>
              <w:left w:val="nil"/>
              <w:bottom w:val="single" w:sz="4" w:space="0" w:color="auto"/>
              <w:right w:val="single" w:sz="4" w:space="0" w:color="auto"/>
            </w:tcBorders>
          </w:tcPr>
          <w:p w14:paraId="0592D884" w14:textId="77777777" w:rsidR="007264C6" w:rsidRDefault="007264C6" w:rsidP="0010294B">
            <w:pPr>
              <w:pStyle w:val="TableText"/>
              <w:jc w:val="right"/>
              <w:rPr>
                <w:rFonts w:cs="Calibri"/>
                <w:color w:val="000000"/>
              </w:rPr>
            </w:pPr>
            <w:r>
              <w:rPr>
                <w:rFonts w:cs="Calibri"/>
                <w:color w:val="000000"/>
              </w:rPr>
              <w:t>70K</w:t>
            </w:r>
          </w:p>
        </w:tc>
        <w:tc>
          <w:tcPr>
            <w:tcW w:w="1242" w:type="dxa"/>
            <w:tcBorders>
              <w:top w:val="nil"/>
              <w:left w:val="nil"/>
              <w:bottom w:val="single" w:sz="4" w:space="0" w:color="auto"/>
              <w:right w:val="single" w:sz="4" w:space="0" w:color="auto"/>
            </w:tcBorders>
          </w:tcPr>
          <w:p w14:paraId="6D88E56A" w14:textId="77777777" w:rsidR="007264C6" w:rsidRDefault="007264C6" w:rsidP="0010294B">
            <w:pPr>
              <w:pStyle w:val="TableText"/>
              <w:jc w:val="right"/>
              <w:rPr>
                <w:rFonts w:cs="Calibri"/>
                <w:color w:val="000000"/>
              </w:rPr>
            </w:pPr>
            <w:r>
              <w:rPr>
                <w:rFonts w:cs="Calibri"/>
                <w:color w:val="000000"/>
              </w:rPr>
              <w:t>62K</w:t>
            </w:r>
          </w:p>
        </w:tc>
      </w:tr>
      <w:tr w:rsidR="007264C6" w:rsidRPr="000F130C" w14:paraId="4FFF91B4"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2B6F98F2" w14:textId="77777777" w:rsidR="007264C6" w:rsidRPr="000F130C" w:rsidRDefault="007264C6" w:rsidP="0010294B">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tcPr>
          <w:p w14:paraId="734B3442" w14:textId="77777777" w:rsidR="007264C6" w:rsidRPr="00705863" w:rsidRDefault="007264C6" w:rsidP="0010294B">
            <w:pPr>
              <w:pStyle w:val="TableText"/>
              <w:jc w:val="right"/>
              <w:rPr>
                <w:color w:val="000000"/>
              </w:rPr>
            </w:pPr>
            <w:r>
              <w:rPr>
                <w:rFonts w:cs="Calibri"/>
                <w:color w:val="000000"/>
              </w:rPr>
              <w:t>$28K</w:t>
            </w:r>
          </w:p>
        </w:tc>
        <w:tc>
          <w:tcPr>
            <w:tcW w:w="1242" w:type="dxa"/>
            <w:tcBorders>
              <w:top w:val="nil"/>
              <w:left w:val="nil"/>
              <w:bottom w:val="single" w:sz="4" w:space="0" w:color="auto"/>
              <w:right w:val="single" w:sz="4" w:space="0" w:color="auto"/>
            </w:tcBorders>
          </w:tcPr>
          <w:p w14:paraId="2720B898" w14:textId="77777777" w:rsidR="007264C6" w:rsidRDefault="007264C6" w:rsidP="0010294B">
            <w:pPr>
              <w:pStyle w:val="TableText"/>
              <w:jc w:val="right"/>
              <w:rPr>
                <w:rFonts w:cs="Calibri"/>
                <w:color w:val="000000"/>
              </w:rPr>
            </w:pPr>
            <w:r>
              <w:rPr>
                <w:rFonts w:cs="Calibri"/>
                <w:color w:val="000000"/>
              </w:rPr>
              <w:t>$33K</w:t>
            </w:r>
          </w:p>
        </w:tc>
        <w:tc>
          <w:tcPr>
            <w:tcW w:w="1242" w:type="dxa"/>
            <w:tcBorders>
              <w:top w:val="nil"/>
              <w:left w:val="nil"/>
              <w:bottom w:val="single" w:sz="4" w:space="0" w:color="auto"/>
              <w:right w:val="single" w:sz="4" w:space="0" w:color="auto"/>
            </w:tcBorders>
          </w:tcPr>
          <w:p w14:paraId="2D56795C" w14:textId="77777777" w:rsidR="007264C6" w:rsidRDefault="007264C6" w:rsidP="0010294B">
            <w:pPr>
              <w:pStyle w:val="TableText"/>
              <w:jc w:val="right"/>
              <w:rPr>
                <w:rFonts w:cs="Calibri"/>
                <w:color w:val="000000"/>
              </w:rPr>
            </w:pPr>
            <w:r>
              <w:rPr>
                <w:rFonts w:cs="Calibri"/>
                <w:color w:val="000000"/>
              </w:rPr>
              <w:t>$47K</w:t>
            </w:r>
          </w:p>
        </w:tc>
        <w:tc>
          <w:tcPr>
            <w:tcW w:w="1242" w:type="dxa"/>
            <w:tcBorders>
              <w:top w:val="nil"/>
              <w:left w:val="nil"/>
              <w:bottom w:val="single" w:sz="4" w:space="0" w:color="auto"/>
              <w:right w:val="single" w:sz="4" w:space="0" w:color="auto"/>
            </w:tcBorders>
          </w:tcPr>
          <w:p w14:paraId="697A859A" w14:textId="77777777" w:rsidR="007264C6" w:rsidRDefault="007264C6" w:rsidP="0010294B">
            <w:pPr>
              <w:pStyle w:val="TableText"/>
              <w:jc w:val="right"/>
              <w:rPr>
                <w:rFonts w:cs="Calibri"/>
                <w:color w:val="000000"/>
              </w:rPr>
            </w:pPr>
            <w:r>
              <w:rPr>
                <w:rFonts w:cs="Calibri"/>
                <w:color w:val="000000"/>
              </w:rPr>
              <w:t>54K</w:t>
            </w:r>
          </w:p>
        </w:tc>
        <w:tc>
          <w:tcPr>
            <w:tcW w:w="1242" w:type="dxa"/>
            <w:tcBorders>
              <w:top w:val="nil"/>
              <w:left w:val="nil"/>
              <w:bottom w:val="single" w:sz="4" w:space="0" w:color="auto"/>
              <w:right w:val="single" w:sz="4" w:space="0" w:color="auto"/>
            </w:tcBorders>
          </w:tcPr>
          <w:p w14:paraId="1C645437" w14:textId="77777777" w:rsidR="007264C6" w:rsidRDefault="007264C6" w:rsidP="0010294B">
            <w:pPr>
              <w:pStyle w:val="TableText"/>
              <w:jc w:val="right"/>
              <w:rPr>
                <w:rFonts w:cs="Calibri"/>
                <w:color w:val="000000"/>
              </w:rPr>
            </w:pPr>
            <w:r>
              <w:rPr>
                <w:rFonts w:cs="Calibri"/>
                <w:color w:val="000000"/>
              </w:rPr>
              <w:t>39K</w:t>
            </w:r>
          </w:p>
        </w:tc>
      </w:tr>
      <w:tr w:rsidR="007264C6" w:rsidRPr="000F130C" w14:paraId="40B99304"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1A858A6C" w14:textId="77777777" w:rsidR="007264C6" w:rsidRPr="000F130C" w:rsidRDefault="007264C6" w:rsidP="0010294B">
            <w:pPr>
              <w:pStyle w:val="TableText"/>
              <w:ind w:left="49"/>
              <w:rPr>
                <w:b/>
                <w:lang w:eastAsia="en-AU"/>
              </w:rPr>
            </w:pPr>
            <w:r w:rsidRPr="000F130C">
              <w:rPr>
                <w:b/>
                <w:lang w:eastAsia="en-AU"/>
              </w:rPr>
              <w:t>TOTAL</w:t>
            </w:r>
          </w:p>
        </w:tc>
        <w:tc>
          <w:tcPr>
            <w:tcW w:w="1242" w:type="dxa"/>
            <w:tcBorders>
              <w:top w:val="nil"/>
              <w:left w:val="nil"/>
              <w:bottom w:val="single" w:sz="4" w:space="0" w:color="auto"/>
              <w:right w:val="single" w:sz="4" w:space="0" w:color="auto"/>
            </w:tcBorders>
          </w:tcPr>
          <w:p w14:paraId="101C1785" w14:textId="77777777" w:rsidR="007264C6" w:rsidRPr="00705863" w:rsidRDefault="007264C6" w:rsidP="0010294B">
            <w:pPr>
              <w:pStyle w:val="TableText"/>
              <w:jc w:val="right"/>
              <w:rPr>
                <w:b/>
                <w:bCs/>
                <w:color w:val="000000"/>
              </w:rPr>
            </w:pPr>
            <w:r>
              <w:rPr>
                <w:rFonts w:cs="Calibri"/>
                <w:b/>
                <w:bCs/>
                <w:color w:val="000000"/>
              </w:rPr>
              <w:t>$283K</w:t>
            </w:r>
          </w:p>
        </w:tc>
        <w:tc>
          <w:tcPr>
            <w:tcW w:w="1242" w:type="dxa"/>
            <w:tcBorders>
              <w:top w:val="nil"/>
              <w:left w:val="nil"/>
              <w:bottom w:val="single" w:sz="4" w:space="0" w:color="auto"/>
              <w:right w:val="single" w:sz="4" w:space="0" w:color="auto"/>
            </w:tcBorders>
          </w:tcPr>
          <w:p w14:paraId="20BF0B55" w14:textId="77777777" w:rsidR="007264C6" w:rsidRDefault="007264C6" w:rsidP="0010294B">
            <w:pPr>
              <w:pStyle w:val="TableText"/>
              <w:jc w:val="right"/>
              <w:rPr>
                <w:rFonts w:cs="Calibri"/>
                <w:b/>
                <w:bCs/>
                <w:color w:val="000000"/>
              </w:rPr>
            </w:pPr>
            <w:r>
              <w:rPr>
                <w:rFonts w:cs="Calibri"/>
                <w:b/>
                <w:bCs/>
                <w:color w:val="000000"/>
              </w:rPr>
              <w:t>$420K</w:t>
            </w:r>
          </w:p>
        </w:tc>
        <w:tc>
          <w:tcPr>
            <w:tcW w:w="1242" w:type="dxa"/>
            <w:tcBorders>
              <w:top w:val="nil"/>
              <w:left w:val="nil"/>
              <w:bottom w:val="single" w:sz="4" w:space="0" w:color="auto"/>
              <w:right w:val="single" w:sz="4" w:space="0" w:color="auto"/>
            </w:tcBorders>
          </w:tcPr>
          <w:p w14:paraId="5C227054" w14:textId="77777777" w:rsidR="007264C6" w:rsidRDefault="007264C6" w:rsidP="0010294B">
            <w:pPr>
              <w:pStyle w:val="TableText"/>
              <w:jc w:val="right"/>
              <w:rPr>
                <w:rFonts w:cs="Calibri"/>
                <w:b/>
                <w:bCs/>
                <w:color w:val="000000"/>
              </w:rPr>
            </w:pPr>
            <w:r>
              <w:rPr>
                <w:rFonts w:cs="Calibri"/>
                <w:b/>
                <w:bCs/>
                <w:color w:val="000000"/>
              </w:rPr>
              <w:t>$375K</w:t>
            </w:r>
          </w:p>
        </w:tc>
        <w:tc>
          <w:tcPr>
            <w:tcW w:w="1242" w:type="dxa"/>
            <w:tcBorders>
              <w:top w:val="nil"/>
              <w:left w:val="nil"/>
              <w:bottom w:val="single" w:sz="4" w:space="0" w:color="auto"/>
              <w:right w:val="single" w:sz="4" w:space="0" w:color="auto"/>
            </w:tcBorders>
          </w:tcPr>
          <w:p w14:paraId="303C260D" w14:textId="77777777" w:rsidR="007264C6" w:rsidRDefault="007264C6" w:rsidP="0010294B">
            <w:pPr>
              <w:pStyle w:val="TableText"/>
              <w:jc w:val="right"/>
              <w:rPr>
                <w:rFonts w:cs="Calibri"/>
                <w:b/>
                <w:bCs/>
                <w:color w:val="000000"/>
              </w:rPr>
            </w:pPr>
            <w:r>
              <w:rPr>
                <w:rFonts w:cs="Calibri"/>
                <w:b/>
                <w:bCs/>
                <w:color w:val="000000"/>
              </w:rPr>
              <w:t>404K</w:t>
            </w:r>
          </w:p>
        </w:tc>
        <w:tc>
          <w:tcPr>
            <w:tcW w:w="1242" w:type="dxa"/>
            <w:tcBorders>
              <w:top w:val="nil"/>
              <w:left w:val="nil"/>
              <w:bottom w:val="single" w:sz="4" w:space="0" w:color="auto"/>
              <w:right w:val="single" w:sz="4" w:space="0" w:color="auto"/>
            </w:tcBorders>
          </w:tcPr>
          <w:p w14:paraId="0E8C8AE8" w14:textId="77777777" w:rsidR="007264C6" w:rsidRDefault="007264C6" w:rsidP="0010294B">
            <w:pPr>
              <w:pStyle w:val="TableText"/>
              <w:jc w:val="right"/>
              <w:rPr>
                <w:rFonts w:cs="Calibri"/>
                <w:b/>
                <w:bCs/>
                <w:color w:val="000000"/>
              </w:rPr>
            </w:pPr>
            <w:r>
              <w:rPr>
                <w:rFonts w:cs="Calibri"/>
                <w:b/>
                <w:bCs/>
                <w:color w:val="000000"/>
              </w:rPr>
              <w:t>366K</w:t>
            </w:r>
          </w:p>
        </w:tc>
      </w:tr>
    </w:tbl>
    <w:p w14:paraId="443E9015" w14:textId="77777777" w:rsidR="007264C6" w:rsidRDefault="007264C6" w:rsidP="00994941">
      <w:pPr>
        <w:ind w:left="-142" w:right="-425"/>
        <w:jc w:val="both"/>
        <w:rPr>
          <w:rFonts w:cs="Arial"/>
        </w:rPr>
      </w:pPr>
    </w:p>
    <w:p w14:paraId="1F933F3B" w14:textId="5407A6B6" w:rsidR="00994941" w:rsidRDefault="00B20EFA" w:rsidP="00994941">
      <w:pPr>
        <w:ind w:left="-142" w:right="-425"/>
        <w:jc w:val="both"/>
        <w:rPr>
          <w:rFonts w:cs="Arial"/>
        </w:rPr>
      </w:pPr>
      <w:r>
        <w:rPr>
          <w:rFonts w:cs="Arial"/>
        </w:rPr>
        <w:t>Cairns Registry</w:t>
      </w:r>
      <w:r w:rsidR="00994941">
        <w:rPr>
          <w:rFonts w:cs="Arial"/>
        </w:rPr>
        <w:t xml:space="preserve"> expenditure for </w:t>
      </w:r>
      <w:r w:rsidR="00856C85">
        <w:rPr>
          <w:rFonts w:cs="Arial"/>
        </w:rPr>
        <w:t xml:space="preserve">quarter </w:t>
      </w:r>
      <w:r w:rsidR="00413FAC">
        <w:rPr>
          <w:rFonts w:cs="Arial"/>
        </w:rPr>
        <w:t>59</w:t>
      </w:r>
      <w:r w:rsidR="007914E0">
        <w:rPr>
          <w:rFonts w:cs="Arial"/>
        </w:rPr>
        <w:t xml:space="preserve"> </w:t>
      </w:r>
      <w:r w:rsidR="00994941" w:rsidRPr="006A0DDF">
        <w:rPr>
          <w:rFonts w:cs="Arial"/>
        </w:rPr>
        <w:t xml:space="preserve">compared to </w:t>
      </w:r>
      <w:r w:rsidR="00994941">
        <w:rPr>
          <w:rFonts w:cs="Arial"/>
        </w:rPr>
        <w:t xml:space="preserve">the </w:t>
      </w:r>
      <w:r w:rsidR="00994941" w:rsidRPr="006A0DDF">
        <w:rPr>
          <w:rFonts w:cs="Arial"/>
        </w:rPr>
        <w:t xml:space="preserve">previous </w:t>
      </w:r>
      <w:r w:rsidR="00D144AA">
        <w:rPr>
          <w:rFonts w:cs="Arial"/>
        </w:rPr>
        <w:t>four</w:t>
      </w:r>
      <w:r w:rsidR="00FB4C44" w:rsidRPr="006A0DDF">
        <w:rPr>
          <w:rFonts w:cs="Arial"/>
        </w:rPr>
        <w:t xml:space="preserve"> </w:t>
      </w:r>
      <w:r w:rsidR="00994941" w:rsidRPr="006A0DDF">
        <w:rPr>
          <w:rFonts w:cs="Arial"/>
        </w:rPr>
        <w:t>quarter</w:t>
      </w:r>
      <w:r w:rsidR="00994941">
        <w:rPr>
          <w:rFonts w:cs="Arial"/>
        </w:rPr>
        <w:t>s.</w:t>
      </w:r>
    </w:p>
    <w:p w14:paraId="770BF35B" w14:textId="1FF5E129" w:rsidR="005E4692" w:rsidRDefault="005E4692" w:rsidP="00086AA9">
      <w:pPr>
        <w:ind w:left="-142" w:right="-425"/>
        <w:jc w:val="both"/>
        <w:rPr>
          <w:rFonts w:cs="Arial"/>
        </w:rPr>
      </w:pPr>
    </w:p>
    <w:p w14:paraId="1E5F5803" w14:textId="77AF950F" w:rsidR="00994941" w:rsidRDefault="007264C6" w:rsidP="00994941">
      <w:pPr>
        <w:spacing w:line="240" w:lineRule="auto"/>
        <w:ind w:left="-142"/>
        <w:jc w:val="both"/>
        <w:rPr>
          <w:rFonts w:cs="Arial"/>
          <w:sz w:val="16"/>
          <w:szCs w:val="16"/>
        </w:rPr>
      </w:pPr>
      <w:r>
        <w:rPr>
          <w:rFonts w:cs="Arial"/>
          <w:b/>
          <w:sz w:val="16"/>
          <w:szCs w:val="16"/>
        </w:rPr>
        <w:t>Table 26</w:t>
      </w:r>
      <w:r w:rsidR="00994941" w:rsidRPr="0089132B">
        <w:rPr>
          <w:rFonts w:cs="Arial"/>
          <w:b/>
          <w:sz w:val="16"/>
          <w:szCs w:val="16"/>
        </w:rPr>
        <w:t xml:space="preserve">: </w:t>
      </w:r>
      <w:r w:rsidR="00A23629">
        <w:rPr>
          <w:rFonts w:cs="Arial"/>
          <w:sz w:val="16"/>
          <w:szCs w:val="16"/>
        </w:rPr>
        <w:t>Quarterly operating c</w:t>
      </w:r>
      <w:r w:rsidR="00994941" w:rsidRPr="006C5060">
        <w:rPr>
          <w:rFonts w:cs="Arial"/>
          <w:sz w:val="16"/>
          <w:szCs w:val="16"/>
        </w:rPr>
        <w:t xml:space="preserve">osts Cairns </w:t>
      </w:r>
      <w:r w:rsidR="007B7E78">
        <w:rPr>
          <w:rFonts w:cs="Arial"/>
          <w:sz w:val="16"/>
          <w:szCs w:val="16"/>
        </w:rPr>
        <w:t xml:space="preserve">1 </w:t>
      </w:r>
      <w:r w:rsidR="0039275D">
        <w:rPr>
          <w:rFonts w:cs="Arial"/>
          <w:sz w:val="16"/>
          <w:szCs w:val="16"/>
        </w:rPr>
        <w:t>January 2022</w:t>
      </w:r>
      <w:r w:rsidR="004364B8">
        <w:rPr>
          <w:rFonts w:cs="Arial"/>
          <w:sz w:val="16"/>
          <w:szCs w:val="16"/>
        </w:rPr>
        <w:t xml:space="preserve"> to </w:t>
      </w:r>
      <w:r w:rsidR="007B7E78">
        <w:rPr>
          <w:rFonts w:cs="Arial"/>
          <w:sz w:val="16"/>
          <w:szCs w:val="16"/>
        </w:rPr>
        <w:t xml:space="preserve">31 </w:t>
      </w:r>
      <w:r w:rsidR="00984BBB">
        <w:rPr>
          <w:rFonts w:cs="Arial"/>
          <w:sz w:val="16"/>
          <w:szCs w:val="16"/>
        </w:rPr>
        <w:t>March 2023</w:t>
      </w:r>
    </w:p>
    <w:p w14:paraId="76CE45D8" w14:textId="77777777" w:rsidR="007264C6" w:rsidRDefault="007264C6" w:rsidP="00994941">
      <w:pPr>
        <w:spacing w:line="240" w:lineRule="auto"/>
        <w:ind w:left="-142"/>
        <w:jc w:val="both"/>
        <w:rPr>
          <w:rFonts w:cs="Arial"/>
          <w:sz w:val="16"/>
          <w:szCs w:val="16"/>
        </w:rPr>
      </w:pP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7264C6" w:rsidRPr="00920636" w14:paraId="3BE3B53A" w14:textId="77777777" w:rsidTr="0010294B">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011127AF" w14:textId="77777777" w:rsidR="007264C6" w:rsidRPr="000F130C" w:rsidRDefault="007264C6" w:rsidP="0010294B">
            <w:pPr>
              <w:pStyle w:val="TableText"/>
              <w:ind w:left="49"/>
              <w:rPr>
                <w:b/>
                <w:lang w:eastAsia="en-AU"/>
              </w:rPr>
            </w:pPr>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0A2C2744" w14:textId="77777777" w:rsidR="007264C6" w:rsidRDefault="007264C6" w:rsidP="0010294B">
            <w:pPr>
              <w:pStyle w:val="TableText"/>
              <w:jc w:val="right"/>
              <w:rPr>
                <w:b/>
                <w:lang w:eastAsia="en-AU"/>
              </w:rPr>
            </w:pPr>
            <w:proofErr w:type="spellStart"/>
            <w:r>
              <w:rPr>
                <w:b/>
                <w:lang w:eastAsia="en-AU"/>
              </w:rPr>
              <w:t>Qtr</w:t>
            </w:r>
            <w:proofErr w:type="spellEnd"/>
            <w:r>
              <w:rPr>
                <w:b/>
                <w:lang w:eastAsia="en-AU"/>
              </w:rPr>
              <w:t xml:space="preserve"> 55</w:t>
            </w:r>
          </w:p>
        </w:tc>
        <w:tc>
          <w:tcPr>
            <w:tcW w:w="1250" w:type="dxa"/>
            <w:tcBorders>
              <w:top w:val="single" w:sz="4" w:space="0" w:color="auto"/>
              <w:left w:val="nil"/>
              <w:bottom w:val="single" w:sz="4" w:space="0" w:color="auto"/>
              <w:right w:val="single" w:sz="4" w:space="0" w:color="auto"/>
            </w:tcBorders>
          </w:tcPr>
          <w:p w14:paraId="5AEB0224" w14:textId="77777777" w:rsidR="007264C6" w:rsidRDefault="007264C6" w:rsidP="0010294B">
            <w:pPr>
              <w:pStyle w:val="TableText"/>
              <w:jc w:val="right"/>
              <w:rPr>
                <w:b/>
                <w:lang w:eastAsia="en-AU"/>
              </w:rPr>
            </w:pPr>
            <w:proofErr w:type="spellStart"/>
            <w:r>
              <w:rPr>
                <w:b/>
                <w:lang w:eastAsia="en-AU"/>
              </w:rPr>
              <w:t>Qtr</w:t>
            </w:r>
            <w:proofErr w:type="spellEnd"/>
            <w:r>
              <w:rPr>
                <w:b/>
                <w:lang w:eastAsia="en-AU"/>
              </w:rPr>
              <w:t xml:space="preserve"> 56</w:t>
            </w:r>
          </w:p>
        </w:tc>
        <w:tc>
          <w:tcPr>
            <w:tcW w:w="1250" w:type="dxa"/>
            <w:tcBorders>
              <w:top w:val="single" w:sz="4" w:space="0" w:color="auto"/>
              <w:left w:val="nil"/>
              <w:bottom w:val="single" w:sz="4" w:space="0" w:color="auto"/>
              <w:right w:val="single" w:sz="4" w:space="0" w:color="auto"/>
            </w:tcBorders>
          </w:tcPr>
          <w:p w14:paraId="04BE0B64" w14:textId="77777777" w:rsidR="007264C6" w:rsidRDefault="007264C6" w:rsidP="0010294B">
            <w:pPr>
              <w:pStyle w:val="TableText"/>
              <w:jc w:val="right"/>
              <w:rPr>
                <w:b/>
                <w:lang w:eastAsia="en-AU"/>
              </w:rPr>
            </w:pPr>
            <w:proofErr w:type="spellStart"/>
            <w:r>
              <w:rPr>
                <w:b/>
                <w:lang w:eastAsia="en-AU"/>
              </w:rPr>
              <w:t>Qtr</w:t>
            </w:r>
            <w:proofErr w:type="spellEnd"/>
            <w:r>
              <w:rPr>
                <w:b/>
                <w:lang w:eastAsia="en-AU"/>
              </w:rPr>
              <w:t xml:space="preserve"> 57</w:t>
            </w:r>
          </w:p>
        </w:tc>
        <w:tc>
          <w:tcPr>
            <w:tcW w:w="1250" w:type="dxa"/>
            <w:tcBorders>
              <w:top w:val="single" w:sz="4" w:space="0" w:color="auto"/>
              <w:left w:val="nil"/>
              <w:bottom w:val="single" w:sz="4" w:space="0" w:color="auto"/>
              <w:right w:val="single" w:sz="4" w:space="0" w:color="auto"/>
            </w:tcBorders>
          </w:tcPr>
          <w:p w14:paraId="09C7B121" w14:textId="77777777" w:rsidR="007264C6" w:rsidRDefault="007264C6" w:rsidP="0010294B">
            <w:pPr>
              <w:pStyle w:val="TableText"/>
              <w:jc w:val="right"/>
              <w:rPr>
                <w:b/>
                <w:lang w:eastAsia="en-AU"/>
              </w:rPr>
            </w:pPr>
            <w:proofErr w:type="spellStart"/>
            <w:r>
              <w:rPr>
                <w:b/>
                <w:lang w:eastAsia="en-AU"/>
              </w:rPr>
              <w:t>Qtr</w:t>
            </w:r>
            <w:proofErr w:type="spellEnd"/>
            <w:r>
              <w:rPr>
                <w:b/>
                <w:lang w:eastAsia="en-AU"/>
              </w:rPr>
              <w:t xml:space="preserve"> 58</w:t>
            </w:r>
          </w:p>
        </w:tc>
        <w:tc>
          <w:tcPr>
            <w:tcW w:w="1250" w:type="dxa"/>
            <w:tcBorders>
              <w:top w:val="single" w:sz="4" w:space="0" w:color="auto"/>
              <w:left w:val="nil"/>
              <w:bottom w:val="single" w:sz="4" w:space="0" w:color="auto"/>
              <w:right w:val="single" w:sz="4" w:space="0" w:color="auto"/>
            </w:tcBorders>
          </w:tcPr>
          <w:p w14:paraId="4CE30280" w14:textId="16B7345D" w:rsidR="007264C6" w:rsidRDefault="007264C6" w:rsidP="0010294B">
            <w:pPr>
              <w:pStyle w:val="TableText"/>
              <w:jc w:val="right"/>
              <w:rPr>
                <w:b/>
                <w:lang w:eastAsia="en-AU"/>
              </w:rPr>
            </w:pPr>
            <w:proofErr w:type="spellStart"/>
            <w:r>
              <w:rPr>
                <w:b/>
                <w:lang w:eastAsia="en-AU"/>
              </w:rPr>
              <w:t>Qtr</w:t>
            </w:r>
            <w:proofErr w:type="spellEnd"/>
            <w:r>
              <w:rPr>
                <w:b/>
                <w:lang w:eastAsia="en-AU"/>
              </w:rPr>
              <w:t xml:space="preserve"> 59</w:t>
            </w:r>
          </w:p>
        </w:tc>
      </w:tr>
      <w:tr w:rsidR="007264C6" w:rsidRPr="00920636" w14:paraId="5760C200" w14:textId="77777777" w:rsidTr="0010294B">
        <w:trPr>
          <w:trHeight w:val="255"/>
        </w:trPr>
        <w:tc>
          <w:tcPr>
            <w:tcW w:w="2596" w:type="dxa"/>
            <w:tcBorders>
              <w:top w:val="nil"/>
              <w:left w:val="single" w:sz="4" w:space="0" w:color="auto"/>
              <w:bottom w:val="single" w:sz="4" w:space="0" w:color="auto"/>
              <w:right w:val="single" w:sz="4" w:space="0" w:color="auto"/>
            </w:tcBorders>
            <w:noWrap/>
          </w:tcPr>
          <w:p w14:paraId="29AC4BE9" w14:textId="77777777" w:rsidR="007264C6" w:rsidRPr="00E72DFB" w:rsidRDefault="007264C6" w:rsidP="0010294B">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51E8FB51" w14:textId="77777777" w:rsidR="007264C6" w:rsidRPr="0074086C" w:rsidRDefault="007264C6" w:rsidP="0010294B">
            <w:pPr>
              <w:pStyle w:val="TableText"/>
              <w:jc w:val="right"/>
              <w:rPr>
                <w:lang w:eastAsia="en-AU"/>
              </w:rPr>
            </w:pPr>
            <w:r>
              <w:rPr>
                <w:rFonts w:cs="Arial"/>
              </w:rPr>
              <w:t>$270K</w:t>
            </w:r>
          </w:p>
        </w:tc>
        <w:tc>
          <w:tcPr>
            <w:tcW w:w="1250" w:type="dxa"/>
            <w:tcBorders>
              <w:top w:val="nil"/>
              <w:left w:val="nil"/>
              <w:bottom w:val="single" w:sz="4" w:space="0" w:color="auto"/>
              <w:right w:val="single" w:sz="4" w:space="0" w:color="auto"/>
            </w:tcBorders>
          </w:tcPr>
          <w:p w14:paraId="71FE2BD0" w14:textId="77777777" w:rsidR="007264C6" w:rsidRDefault="007264C6" w:rsidP="0010294B">
            <w:pPr>
              <w:pStyle w:val="TableText"/>
              <w:jc w:val="right"/>
              <w:rPr>
                <w:rFonts w:cs="Arial"/>
              </w:rPr>
            </w:pPr>
            <w:r>
              <w:rPr>
                <w:rFonts w:cs="Arial"/>
              </w:rPr>
              <w:t>$289K</w:t>
            </w:r>
          </w:p>
        </w:tc>
        <w:tc>
          <w:tcPr>
            <w:tcW w:w="1250" w:type="dxa"/>
            <w:tcBorders>
              <w:top w:val="nil"/>
              <w:left w:val="nil"/>
              <w:bottom w:val="single" w:sz="4" w:space="0" w:color="auto"/>
              <w:right w:val="single" w:sz="4" w:space="0" w:color="auto"/>
            </w:tcBorders>
          </w:tcPr>
          <w:p w14:paraId="3EE3BF27" w14:textId="77777777" w:rsidR="007264C6" w:rsidRDefault="007264C6" w:rsidP="0010294B">
            <w:pPr>
              <w:pStyle w:val="TableText"/>
              <w:jc w:val="right"/>
              <w:rPr>
                <w:rFonts w:cs="Arial"/>
              </w:rPr>
            </w:pPr>
            <w:r>
              <w:rPr>
                <w:rFonts w:cs="Arial"/>
              </w:rPr>
              <w:t>$322K</w:t>
            </w:r>
          </w:p>
        </w:tc>
        <w:tc>
          <w:tcPr>
            <w:tcW w:w="1250" w:type="dxa"/>
            <w:tcBorders>
              <w:top w:val="nil"/>
              <w:left w:val="nil"/>
              <w:bottom w:val="single" w:sz="4" w:space="0" w:color="auto"/>
              <w:right w:val="single" w:sz="4" w:space="0" w:color="auto"/>
            </w:tcBorders>
          </w:tcPr>
          <w:p w14:paraId="422906EC" w14:textId="77777777" w:rsidR="007264C6" w:rsidRDefault="007264C6" w:rsidP="0010294B">
            <w:pPr>
              <w:pStyle w:val="TableText"/>
              <w:jc w:val="right"/>
              <w:rPr>
                <w:rFonts w:cs="Arial"/>
              </w:rPr>
            </w:pPr>
            <w:r>
              <w:rPr>
                <w:rFonts w:cs="Arial"/>
              </w:rPr>
              <w:t>308K</w:t>
            </w:r>
          </w:p>
        </w:tc>
        <w:tc>
          <w:tcPr>
            <w:tcW w:w="1250" w:type="dxa"/>
            <w:tcBorders>
              <w:top w:val="nil"/>
              <w:left w:val="nil"/>
              <w:bottom w:val="single" w:sz="4" w:space="0" w:color="auto"/>
              <w:right w:val="single" w:sz="4" w:space="0" w:color="auto"/>
            </w:tcBorders>
          </w:tcPr>
          <w:p w14:paraId="3AFB57B6" w14:textId="77777777" w:rsidR="007264C6" w:rsidRDefault="007264C6" w:rsidP="0010294B">
            <w:pPr>
              <w:pStyle w:val="TableText"/>
              <w:jc w:val="right"/>
              <w:rPr>
                <w:rFonts w:cs="Arial"/>
              </w:rPr>
            </w:pPr>
            <w:r>
              <w:rPr>
                <w:rFonts w:cs="Arial"/>
              </w:rPr>
              <w:t>322K</w:t>
            </w:r>
          </w:p>
        </w:tc>
      </w:tr>
      <w:tr w:rsidR="007264C6" w:rsidRPr="00920636" w14:paraId="25D29D47"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35FF4E85" w14:textId="77777777" w:rsidR="007264C6" w:rsidRPr="00E72DFB" w:rsidRDefault="007264C6" w:rsidP="0010294B">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1E7419F6" w14:textId="77777777" w:rsidR="007264C6" w:rsidRPr="0074086C" w:rsidRDefault="007264C6" w:rsidP="0010294B">
            <w:pPr>
              <w:pStyle w:val="TableText"/>
              <w:jc w:val="right"/>
              <w:rPr>
                <w:lang w:eastAsia="en-AU"/>
              </w:rPr>
            </w:pPr>
            <w:r>
              <w:rPr>
                <w:rFonts w:cs="Arial"/>
              </w:rPr>
              <w:t>$373K</w:t>
            </w:r>
          </w:p>
        </w:tc>
        <w:tc>
          <w:tcPr>
            <w:tcW w:w="1250" w:type="dxa"/>
            <w:tcBorders>
              <w:top w:val="nil"/>
              <w:left w:val="nil"/>
              <w:bottom w:val="single" w:sz="4" w:space="0" w:color="auto"/>
              <w:right w:val="single" w:sz="4" w:space="0" w:color="auto"/>
            </w:tcBorders>
          </w:tcPr>
          <w:p w14:paraId="6714BD71" w14:textId="77777777" w:rsidR="007264C6" w:rsidRDefault="007264C6" w:rsidP="0010294B">
            <w:pPr>
              <w:pStyle w:val="TableText"/>
              <w:jc w:val="right"/>
              <w:rPr>
                <w:rFonts w:cs="Arial"/>
              </w:rPr>
            </w:pPr>
            <w:r>
              <w:rPr>
                <w:rFonts w:cs="Arial"/>
              </w:rPr>
              <w:t>$371K</w:t>
            </w:r>
          </w:p>
        </w:tc>
        <w:tc>
          <w:tcPr>
            <w:tcW w:w="1250" w:type="dxa"/>
            <w:tcBorders>
              <w:top w:val="nil"/>
              <w:left w:val="nil"/>
              <w:bottom w:val="single" w:sz="4" w:space="0" w:color="auto"/>
              <w:right w:val="single" w:sz="4" w:space="0" w:color="auto"/>
            </w:tcBorders>
          </w:tcPr>
          <w:p w14:paraId="21B49868" w14:textId="77777777" w:rsidR="007264C6" w:rsidRDefault="007264C6" w:rsidP="0010294B">
            <w:pPr>
              <w:pStyle w:val="TableText"/>
              <w:jc w:val="right"/>
              <w:rPr>
                <w:rFonts w:cs="Arial"/>
              </w:rPr>
            </w:pPr>
            <w:r>
              <w:rPr>
                <w:rFonts w:cs="Arial"/>
              </w:rPr>
              <w:t>$384K</w:t>
            </w:r>
          </w:p>
        </w:tc>
        <w:tc>
          <w:tcPr>
            <w:tcW w:w="1250" w:type="dxa"/>
            <w:tcBorders>
              <w:top w:val="nil"/>
              <w:left w:val="nil"/>
              <w:bottom w:val="single" w:sz="4" w:space="0" w:color="auto"/>
              <w:right w:val="single" w:sz="4" w:space="0" w:color="auto"/>
            </w:tcBorders>
          </w:tcPr>
          <w:p w14:paraId="28478707" w14:textId="77777777" w:rsidR="007264C6" w:rsidRDefault="007264C6" w:rsidP="0010294B">
            <w:pPr>
              <w:pStyle w:val="TableText"/>
              <w:jc w:val="right"/>
              <w:rPr>
                <w:rFonts w:cs="Arial"/>
              </w:rPr>
            </w:pPr>
            <w:r>
              <w:rPr>
                <w:rFonts w:cs="Arial"/>
              </w:rPr>
              <w:t>348K</w:t>
            </w:r>
          </w:p>
        </w:tc>
        <w:tc>
          <w:tcPr>
            <w:tcW w:w="1250" w:type="dxa"/>
            <w:tcBorders>
              <w:top w:val="nil"/>
              <w:left w:val="nil"/>
              <w:bottom w:val="single" w:sz="4" w:space="0" w:color="auto"/>
              <w:right w:val="single" w:sz="4" w:space="0" w:color="auto"/>
            </w:tcBorders>
          </w:tcPr>
          <w:p w14:paraId="5B13E8B0" w14:textId="77777777" w:rsidR="007264C6" w:rsidRDefault="007264C6" w:rsidP="0010294B">
            <w:pPr>
              <w:pStyle w:val="TableText"/>
              <w:jc w:val="right"/>
              <w:rPr>
                <w:rFonts w:cs="Arial"/>
              </w:rPr>
            </w:pPr>
            <w:r>
              <w:rPr>
                <w:rFonts w:cs="Arial"/>
              </w:rPr>
              <w:t>352K</w:t>
            </w:r>
          </w:p>
        </w:tc>
      </w:tr>
      <w:tr w:rsidR="007264C6" w:rsidRPr="00920636" w14:paraId="483D0274"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1BE87181" w14:textId="77777777" w:rsidR="007264C6" w:rsidRPr="000F130C" w:rsidRDefault="007264C6" w:rsidP="0010294B">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3F572AFE" w14:textId="77777777" w:rsidR="007264C6" w:rsidRPr="0074086C" w:rsidRDefault="007264C6" w:rsidP="0010294B">
            <w:pPr>
              <w:pStyle w:val="TableText"/>
              <w:jc w:val="right"/>
              <w:rPr>
                <w:b/>
                <w:bCs/>
                <w:lang w:eastAsia="en-AU"/>
              </w:rPr>
            </w:pPr>
            <w:r>
              <w:rPr>
                <w:rFonts w:cs="Arial"/>
                <w:b/>
                <w:bCs/>
              </w:rPr>
              <w:t>$643K</w:t>
            </w:r>
          </w:p>
        </w:tc>
        <w:tc>
          <w:tcPr>
            <w:tcW w:w="1250" w:type="dxa"/>
            <w:tcBorders>
              <w:top w:val="nil"/>
              <w:left w:val="nil"/>
              <w:bottom w:val="single" w:sz="4" w:space="0" w:color="auto"/>
              <w:right w:val="single" w:sz="4" w:space="0" w:color="auto"/>
            </w:tcBorders>
          </w:tcPr>
          <w:p w14:paraId="0E1936E8" w14:textId="77777777" w:rsidR="007264C6" w:rsidRDefault="007264C6" w:rsidP="0010294B">
            <w:pPr>
              <w:pStyle w:val="TableText"/>
              <w:jc w:val="right"/>
              <w:rPr>
                <w:rFonts w:cs="Arial"/>
                <w:b/>
                <w:bCs/>
              </w:rPr>
            </w:pPr>
            <w:r>
              <w:rPr>
                <w:rFonts w:cs="Arial"/>
                <w:b/>
                <w:bCs/>
              </w:rPr>
              <w:t>$660K</w:t>
            </w:r>
          </w:p>
        </w:tc>
        <w:tc>
          <w:tcPr>
            <w:tcW w:w="1250" w:type="dxa"/>
            <w:tcBorders>
              <w:top w:val="nil"/>
              <w:left w:val="nil"/>
              <w:bottom w:val="single" w:sz="4" w:space="0" w:color="auto"/>
              <w:right w:val="single" w:sz="4" w:space="0" w:color="auto"/>
            </w:tcBorders>
          </w:tcPr>
          <w:p w14:paraId="785C1395" w14:textId="77777777" w:rsidR="007264C6" w:rsidRDefault="007264C6" w:rsidP="0010294B">
            <w:pPr>
              <w:pStyle w:val="TableText"/>
              <w:jc w:val="right"/>
              <w:rPr>
                <w:rFonts w:cs="Arial"/>
                <w:b/>
                <w:bCs/>
              </w:rPr>
            </w:pPr>
            <w:r>
              <w:rPr>
                <w:rFonts w:cs="Arial"/>
                <w:b/>
                <w:bCs/>
              </w:rPr>
              <w:t>$706K</w:t>
            </w:r>
          </w:p>
        </w:tc>
        <w:tc>
          <w:tcPr>
            <w:tcW w:w="1250" w:type="dxa"/>
            <w:tcBorders>
              <w:top w:val="nil"/>
              <w:left w:val="nil"/>
              <w:bottom w:val="single" w:sz="4" w:space="0" w:color="auto"/>
              <w:right w:val="single" w:sz="4" w:space="0" w:color="auto"/>
            </w:tcBorders>
          </w:tcPr>
          <w:p w14:paraId="7F6828E5" w14:textId="77777777" w:rsidR="007264C6" w:rsidRDefault="007264C6" w:rsidP="0010294B">
            <w:pPr>
              <w:pStyle w:val="TableText"/>
              <w:jc w:val="right"/>
              <w:rPr>
                <w:rFonts w:cs="Arial"/>
                <w:b/>
                <w:bCs/>
              </w:rPr>
            </w:pPr>
            <w:r>
              <w:rPr>
                <w:rFonts w:cs="Arial"/>
                <w:b/>
                <w:bCs/>
              </w:rPr>
              <w:t>656K</w:t>
            </w:r>
          </w:p>
        </w:tc>
        <w:tc>
          <w:tcPr>
            <w:tcW w:w="1250" w:type="dxa"/>
            <w:tcBorders>
              <w:top w:val="nil"/>
              <w:left w:val="nil"/>
              <w:bottom w:val="single" w:sz="4" w:space="0" w:color="auto"/>
              <w:right w:val="single" w:sz="4" w:space="0" w:color="auto"/>
            </w:tcBorders>
          </w:tcPr>
          <w:p w14:paraId="59F5DD70" w14:textId="77777777" w:rsidR="007264C6" w:rsidRDefault="007264C6" w:rsidP="0010294B">
            <w:pPr>
              <w:pStyle w:val="TableText"/>
              <w:jc w:val="right"/>
              <w:rPr>
                <w:rFonts w:cs="Arial"/>
                <w:b/>
                <w:bCs/>
              </w:rPr>
            </w:pPr>
            <w:r>
              <w:rPr>
                <w:rFonts w:cs="Arial"/>
                <w:b/>
                <w:bCs/>
              </w:rPr>
              <w:t>674K</w:t>
            </w:r>
          </w:p>
        </w:tc>
      </w:tr>
    </w:tbl>
    <w:p w14:paraId="5365BD04" w14:textId="77777777" w:rsidR="007264C6" w:rsidRPr="00086AA9" w:rsidRDefault="007264C6" w:rsidP="00994941">
      <w:pPr>
        <w:spacing w:line="240" w:lineRule="auto"/>
        <w:ind w:left="-142"/>
        <w:jc w:val="both"/>
        <w:rPr>
          <w:rFonts w:cs="Arial"/>
        </w:rPr>
      </w:pPr>
    </w:p>
    <w:p w14:paraId="791E5F7C" w14:textId="1D422118" w:rsidR="00D017C0" w:rsidRPr="00086AA9" w:rsidRDefault="00D017C0" w:rsidP="00994941">
      <w:pPr>
        <w:spacing w:line="240" w:lineRule="auto"/>
        <w:ind w:left="-142"/>
        <w:jc w:val="both"/>
        <w:rPr>
          <w:rFonts w:cs="Arial"/>
        </w:rPr>
      </w:pPr>
    </w:p>
    <w:p w14:paraId="0CFC51BD" w14:textId="5837FB5E" w:rsidR="00D017C0" w:rsidRPr="00086AA9" w:rsidRDefault="00D017C0">
      <w:pPr>
        <w:spacing w:line="240" w:lineRule="auto"/>
        <w:rPr>
          <w:rFonts w:cs="Arial"/>
        </w:rPr>
      </w:pPr>
      <w:r w:rsidRPr="00086AA9">
        <w:rPr>
          <w:rFonts w:cs="Arial"/>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418"/>
        <w:gridCol w:w="1134"/>
        <w:gridCol w:w="1187"/>
        <w:gridCol w:w="1162"/>
        <w:gridCol w:w="1162"/>
        <w:gridCol w:w="1162"/>
        <w:gridCol w:w="1816"/>
        <w:gridCol w:w="1817"/>
      </w:tblGrid>
      <w:tr w:rsidR="000D6508" w:rsidRPr="0056129C" w14:paraId="23D22753" w14:textId="77777777" w:rsidTr="000C160F">
        <w:trPr>
          <w:trHeight w:val="279"/>
          <w:tblHeader/>
        </w:trPr>
        <w:tc>
          <w:tcPr>
            <w:tcW w:w="10858" w:type="dxa"/>
            <w:gridSpan w:val="8"/>
            <w:tcBorders>
              <w:top w:val="nil"/>
              <w:left w:val="nil"/>
              <w:bottom w:val="nil"/>
              <w:right w:val="nil"/>
            </w:tcBorders>
            <w:shd w:val="clear" w:color="auto" w:fill="auto"/>
            <w:vAlign w:val="center"/>
          </w:tcPr>
          <w:p w14:paraId="218C70DA" w14:textId="2EA2AB90" w:rsidR="000D6508" w:rsidRPr="00B22AF8" w:rsidRDefault="000D6508" w:rsidP="000D6508">
            <w:pPr>
              <w:rPr>
                <w:noProof/>
                <w:lang w:eastAsia="en-AU"/>
              </w:rPr>
            </w:pPr>
            <w:r>
              <w:rPr>
                <w:rFonts w:cs="Arial"/>
                <w:b/>
              </w:rPr>
              <w:lastRenderedPageBreak/>
              <w:t xml:space="preserve">APPENDIX </w:t>
            </w:r>
            <w:r w:rsidRPr="00E65AEC">
              <w:rPr>
                <w:rFonts w:cs="Arial"/>
                <w:b/>
              </w:rPr>
              <w:t>A</w:t>
            </w:r>
          </w:p>
        </w:tc>
      </w:tr>
      <w:tr w:rsidR="00D017C0" w:rsidRPr="0056129C" w14:paraId="344929DC" w14:textId="77777777" w:rsidTr="000D6508">
        <w:trPr>
          <w:trHeight w:val="1140"/>
          <w:tblHeader/>
        </w:trPr>
        <w:tc>
          <w:tcPr>
            <w:tcW w:w="1418" w:type="dxa"/>
            <w:tcBorders>
              <w:top w:val="nil"/>
              <w:left w:val="nil"/>
              <w:bottom w:val="single" w:sz="18" w:space="0" w:color="auto"/>
              <w:right w:val="nil"/>
            </w:tcBorders>
            <w:shd w:val="clear" w:color="auto" w:fill="auto"/>
            <w:vAlign w:val="center"/>
          </w:tcPr>
          <w:p w14:paraId="503B639B" w14:textId="1BE4C4F9" w:rsidR="00D017C0" w:rsidRPr="0056129C" w:rsidRDefault="00D017C0" w:rsidP="00E37E96">
            <w:pPr>
              <w:ind w:right="-100"/>
              <w:rPr>
                <w:rFonts w:ascii="Arial Narrow" w:hAnsi="Arial Narrow" w:cs="Arial"/>
                <w:b/>
                <w:bCs/>
              </w:rPr>
            </w:pPr>
            <w:r w:rsidRPr="00B9709A">
              <w:rPr>
                <w:rFonts w:cs="Arial"/>
              </w:rPr>
              <w:br w:type="page"/>
            </w:r>
          </w:p>
        </w:tc>
        <w:tc>
          <w:tcPr>
            <w:tcW w:w="7623" w:type="dxa"/>
            <w:gridSpan w:val="6"/>
            <w:tcBorders>
              <w:top w:val="nil"/>
              <w:left w:val="nil"/>
              <w:bottom w:val="single" w:sz="18" w:space="0" w:color="auto"/>
              <w:right w:val="nil"/>
            </w:tcBorders>
            <w:shd w:val="clear" w:color="auto" w:fill="auto"/>
            <w:vAlign w:val="center"/>
          </w:tcPr>
          <w:p w14:paraId="116923F4" w14:textId="42A9F6EC"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w:t>
            </w:r>
            <w:r w:rsidR="00920BC4">
              <w:rPr>
                <w:rFonts w:ascii="Arial" w:hAnsi="Arial" w:cs="Arial"/>
                <w:b/>
                <w:bCs/>
                <w:noProof/>
                <w:lang w:val="en-US"/>
              </w:rPr>
              <w:t>3</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5E87AB2C"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920BC4">
              <w:rPr>
                <w:rFonts w:ascii="Arial" w:hAnsi="Arial" w:cs="Arial"/>
                <w:b/>
                <w:bCs/>
                <w:noProof/>
                <w:lang w:val="en-US"/>
              </w:rPr>
              <w:t>January 2023</w:t>
            </w:r>
            <w:r>
              <w:rPr>
                <w:rFonts w:ascii="Arial" w:hAnsi="Arial" w:cs="Arial"/>
                <w:b/>
                <w:bCs/>
                <w:noProof/>
                <w:lang w:val="en-US"/>
              </w:rPr>
              <w:t xml:space="preserve"> to 3</w:t>
            </w:r>
            <w:r w:rsidR="00920BC4">
              <w:rPr>
                <w:rFonts w:ascii="Arial" w:hAnsi="Arial" w:cs="Arial"/>
                <w:b/>
                <w:bCs/>
                <w:noProof/>
                <w:lang w:val="en-US"/>
              </w:rPr>
              <w:t>0</w:t>
            </w:r>
            <w:r w:rsidR="0011256D">
              <w:rPr>
                <w:rFonts w:ascii="Arial" w:hAnsi="Arial" w:cs="Arial"/>
                <w:b/>
                <w:bCs/>
                <w:noProof/>
                <w:lang w:val="en-US"/>
              </w:rPr>
              <w:t xml:space="preserve"> </w:t>
            </w:r>
            <w:r w:rsidR="00920BC4">
              <w:rPr>
                <w:rFonts w:ascii="Arial" w:hAnsi="Arial" w:cs="Arial"/>
                <w:b/>
                <w:bCs/>
                <w:noProof/>
                <w:lang w:val="en-US"/>
              </w:rPr>
              <w:t>June</w:t>
            </w:r>
            <w:r w:rsidR="00984BBB">
              <w:rPr>
                <w:rFonts w:ascii="Arial" w:hAnsi="Arial" w:cs="Arial"/>
                <w:b/>
                <w:bCs/>
                <w:noProof/>
                <w:lang w:val="en-US"/>
              </w:rPr>
              <w:t xml:space="preserve"> 2023</w:t>
            </w:r>
          </w:p>
        </w:tc>
        <w:tc>
          <w:tcPr>
            <w:tcW w:w="1817" w:type="dxa"/>
            <w:tcBorders>
              <w:top w:val="nil"/>
              <w:left w:val="nil"/>
              <w:bottom w:val="single" w:sz="18" w:space="0" w:color="auto"/>
              <w:right w:val="nil"/>
            </w:tcBorders>
            <w:shd w:val="clear" w:color="auto" w:fill="auto"/>
            <w:vAlign w:val="center"/>
          </w:tcPr>
          <w:p w14:paraId="79EDD674" w14:textId="28D8B000" w:rsidR="00D017C0" w:rsidRPr="0056129C" w:rsidRDefault="00D017C0" w:rsidP="00E37E96">
            <w:pPr>
              <w:jc w:val="right"/>
              <w:rPr>
                <w:rFonts w:ascii="Arial Narrow" w:hAnsi="Arial Narrow" w:cs="Arial"/>
                <w:b/>
                <w:bCs/>
              </w:rPr>
            </w:pPr>
          </w:p>
        </w:tc>
      </w:tr>
      <w:tr w:rsidR="00D017C0" w:rsidRPr="00BC2C5D" w14:paraId="2D8D131F" w14:textId="77777777" w:rsidTr="000D6508">
        <w:trPr>
          <w:trHeight w:val="567"/>
          <w:tblHeader/>
        </w:trPr>
        <w:tc>
          <w:tcPr>
            <w:tcW w:w="1418"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134"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87"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EB0D94" w:rsidRPr="00BC2C5D" w14:paraId="137E730A" w14:textId="77777777" w:rsidTr="000D6508">
        <w:trPr>
          <w:trHeight w:val="567"/>
        </w:trPr>
        <w:tc>
          <w:tcPr>
            <w:tcW w:w="1418"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1817332B" w:rsidR="00EB0D94" w:rsidRPr="00A634FA" w:rsidRDefault="00444C25" w:rsidP="00EB0D94">
            <w:pPr>
              <w:jc w:val="center"/>
              <w:rPr>
                <w:rFonts w:ascii="Arial Narrow" w:hAnsi="Arial Narrow" w:cs="Arial"/>
                <w:sz w:val="16"/>
                <w:szCs w:val="16"/>
              </w:rPr>
            </w:pPr>
            <w:r>
              <w:rPr>
                <w:rFonts w:ascii="Arial Narrow" w:hAnsi="Arial Narrow" w:cs="Arial"/>
                <w:sz w:val="16"/>
                <w:szCs w:val="16"/>
              </w:rPr>
              <w:t>2 January</w:t>
            </w:r>
          </w:p>
        </w:tc>
        <w:tc>
          <w:tcPr>
            <w:tcW w:w="1134"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0129C444" w:rsidR="00EB0D94" w:rsidRPr="00A634FA" w:rsidRDefault="00444C25" w:rsidP="00EB0D94">
            <w:pPr>
              <w:jc w:val="center"/>
              <w:rPr>
                <w:rFonts w:ascii="Arial Narrow" w:hAnsi="Arial Narrow" w:cs="Arial"/>
                <w:sz w:val="16"/>
                <w:szCs w:val="16"/>
              </w:rPr>
            </w:pPr>
            <w:r w:rsidRPr="00236E17">
              <w:rPr>
                <w:rFonts w:ascii="Arial Narrow" w:hAnsi="Arial Narrow" w:cs="Arial"/>
                <w:b/>
                <w:bCs/>
                <w:sz w:val="16"/>
                <w:szCs w:val="16"/>
              </w:rPr>
              <w:t>Public Holiday</w:t>
            </w:r>
          </w:p>
        </w:tc>
        <w:tc>
          <w:tcPr>
            <w:tcW w:w="1187"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EB0D94" w:rsidRPr="00A634FA"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3B7FDC2F" w:rsidR="00EB0D94" w:rsidRPr="00777033" w:rsidRDefault="00A01211" w:rsidP="00777033">
            <w:pPr>
              <w:jc w:val="center"/>
              <w:rPr>
                <w:rFonts w:ascii="Arial Narrow" w:hAnsi="Arial Narrow" w:cs="Arial"/>
                <w:b/>
                <w:bCs/>
                <w:sz w:val="16"/>
                <w:szCs w:val="16"/>
              </w:rPr>
            </w:pPr>
            <w:r w:rsidRPr="007E2969">
              <w:rPr>
                <w:rFonts w:ascii="Arial Narrow" w:hAnsi="Arial Narrow" w:cs="Arial"/>
                <w:b/>
                <w:bCs/>
                <w:sz w:val="16"/>
                <w:szCs w:val="16"/>
              </w:rPr>
              <w:t xml:space="preserve">Mon </w:t>
            </w:r>
            <w:r>
              <w:rPr>
                <w:rFonts w:ascii="Arial Narrow" w:hAnsi="Arial Narrow" w:cs="Arial"/>
                <w:b/>
                <w:bCs/>
                <w:sz w:val="16"/>
                <w:szCs w:val="16"/>
              </w:rPr>
              <w:t>2nd</w:t>
            </w:r>
            <w:r w:rsidRPr="007E2969">
              <w:rPr>
                <w:rFonts w:ascii="Arial Narrow" w:hAnsi="Arial Narrow" w:cs="Arial"/>
                <w:b/>
                <w:bCs/>
                <w:sz w:val="16"/>
                <w:szCs w:val="16"/>
              </w:rPr>
              <w:t xml:space="preserve"> </w:t>
            </w:r>
            <w:r>
              <w:rPr>
                <w:rFonts w:ascii="Arial Narrow" w:hAnsi="Arial Narrow" w:cs="Arial"/>
                <w:b/>
                <w:bCs/>
                <w:sz w:val="16"/>
                <w:szCs w:val="16"/>
              </w:rPr>
              <w:t>–</w:t>
            </w:r>
            <w:r w:rsidRPr="007E2969">
              <w:rPr>
                <w:rFonts w:ascii="Arial Narrow" w:hAnsi="Arial Narrow" w:cs="Arial"/>
                <w:b/>
                <w:bCs/>
                <w:sz w:val="16"/>
                <w:szCs w:val="16"/>
              </w:rPr>
              <w:t xml:space="preserve"> </w:t>
            </w:r>
            <w:r>
              <w:rPr>
                <w:rFonts w:ascii="Arial Narrow" w:hAnsi="Arial Narrow" w:cs="Arial"/>
                <w:b/>
                <w:bCs/>
                <w:sz w:val="16"/>
                <w:szCs w:val="16"/>
              </w:rPr>
              <w:t>New Year’s Day</w:t>
            </w:r>
          </w:p>
        </w:tc>
      </w:tr>
      <w:tr w:rsidR="006801DA" w:rsidRPr="00BC2C5D" w14:paraId="7C66C142" w14:textId="77777777" w:rsidTr="000D6508">
        <w:trPr>
          <w:trHeight w:val="567"/>
        </w:trPr>
        <w:tc>
          <w:tcPr>
            <w:tcW w:w="1418" w:type="dxa"/>
            <w:tcBorders>
              <w:top w:val="single" w:sz="18" w:space="0" w:color="C0C0C0"/>
              <w:left w:val="single" w:sz="18" w:space="0" w:color="auto"/>
              <w:right w:val="single" w:sz="18" w:space="0" w:color="C0C0C0"/>
            </w:tcBorders>
            <w:shd w:val="clear" w:color="auto" w:fill="auto"/>
            <w:vAlign w:val="center"/>
          </w:tcPr>
          <w:p w14:paraId="750FF1B7" w14:textId="08044D93" w:rsidR="006801DA" w:rsidRPr="00A634FA" w:rsidRDefault="00444C25" w:rsidP="00EB0D94">
            <w:pPr>
              <w:jc w:val="center"/>
              <w:rPr>
                <w:rFonts w:ascii="Arial Narrow" w:hAnsi="Arial Narrow" w:cs="Arial"/>
                <w:sz w:val="16"/>
                <w:szCs w:val="16"/>
              </w:rPr>
            </w:pPr>
            <w:r>
              <w:rPr>
                <w:rFonts w:ascii="Arial Narrow" w:hAnsi="Arial Narrow" w:cs="Arial"/>
                <w:sz w:val="16"/>
                <w:szCs w:val="16"/>
              </w:rPr>
              <w:t>9 January</w:t>
            </w:r>
          </w:p>
        </w:tc>
        <w:tc>
          <w:tcPr>
            <w:tcW w:w="1134" w:type="dxa"/>
            <w:tcBorders>
              <w:top w:val="single" w:sz="18" w:space="0" w:color="C0C0C0"/>
              <w:left w:val="single" w:sz="18" w:space="0" w:color="C0C0C0"/>
              <w:right w:val="single" w:sz="18" w:space="0" w:color="C0C0C0"/>
            </w:tcBorders>
            <w:shd w:val="clear" w:color="auto" w:fill="D9D9D9"/>
            <w:vAlign w:val="center"/>
          </w:tcPr>
          <w:p w14:paraId="7FB8E453" w14:textId="77777777" w:rsidR="006801DA" w:rsidRPr="00DC638E" w:rsidRDefault="006801DA" w:rsidP="00EB0D94">
            <w:pPr>
              <w:jc w:val="center"/>
              <w:rPr>
                <w:rFonts w:ascii="Arial Narrow" w:hAnsi="Arial Narrow" w:cs="Arial"/>
                <w:sz w:val="16"/>
                <w:szCs w:val="16"/>
              </w:rPr>
            </w:pPr>
          </w:p>
        </w:tc>
        <w:tc>
          <w:tcPr>
            <w:tcW w:w="1187" w:type="dxa"/>
            <w:tcBorders>
              <w:top w:val="single" w:sz="18" w:space="0" w:color="C0C0C0"/>
              <w:left w:val="single" w:sz="18" w:space="0" w:color="C0C0C0"/>
              <w:right w:val="single" w:sz="18" w:space="0" w:color="BFBFBF"/>
            </w:tcBorders>
            <w:shd w:val="clear" w:color="auto" w:fill="D9D9D9"/>
            <w:vAlign w:val="center"/>
          </w:tcPr>
          <w:p w14:paraId="731C4540" w14:textId="5A1C0F53" w:rsidR="006801DA" w:rsidRPr="00444C25"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1E99A741" w14:textId="0621CF58" w:rsidR="006801DA" w:rsidRPr="00444C25"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07B23DF6" w14:textId="44C9A092" w:rsidR="006801DA" w:rsidRPr="00444C25"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5BFFB592" w14:textId="3A5B2285" w:rsidR="006801DA" w:rsidRPr="00444C25" w:rsidRDefault="006801DA"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304C5BB3" w14:textId="09D1F906" w:rsidR="006801DA" w:rsidRPr="00777033" w:rsidRDefault="00A01211" w:rsidP="008D6D06">
            <w:pPr>
              <w:jc w:val="center"/>
              <w:rPr>
                <w:rFonts w:ascii="Arial Narrow" w:hAnsi="Arial Narrow"/>
                <w:color w:val="31849B"/>
                <w:sz w:val="16"/>
                <w:szCs w:val="16"/>
              </w:rPr>
            </w:pPr>
            <w:r w:rsidRPr="008D6D06">
              <w:rPr>
                <w:rFonts w:ascii="Arial Narrow" w:hAnsi="Arial Narrow"/>
                <w:color w:val="31849B"/>
                <w:sz w:val="16"/>
                <w:szCs w:val="16"/>
              </w:rPr>
              <w:t>Cooktown – Circuit</w:t>
            </w:r>
          </w:p>
        </w:tc>
      </w:tr>
      <w:tr w:rsidR="00444C25" w:rsidRPr="00BC2C5D" w14:paraId="5BA53CBD" w14:textId="77777777" w:rsidTr="000D6508">
        <w:trPr>
          <w:trHeight w:val="567"/>
        </w:trPr>
        <w:tc>
          <w:tcPr>
            <w:tcW w:w="1418" w:type="dxa"/>
            <w:tcBorders>
              <w:top w:val="single" w:sz="18" w:space="0" w:color="BFBFBF"/>
              <w:left w:val="single" w:sz="18" w:space="0" w:color="auto"/>
              <w:right w:val="single" w:sz="18" w:space="0" w:color="C0C0C0"/>
            </w:tcBorders>
            <w:shd w:val="clear" w:color="auto" w:fill="auto"/>
            <w:vAlign w:val="center"/>
          </w:tcPr>
          <w:p w14:paraId="0D10FC03" w14:textId="2C21BB3C" w:rsidR="00444C25" w:rsidRPr="00A634FA" w:rsidRDefault="00444C25" w:rsidP="00C344F6">
            <w:pPr>
              <w:jc w:val="center"/>
              <w:rPr>
                <w:rFonts w:ascii="Arial Narrow" w:hAnsi="Arial Narrow" w:cs="Arial"/>
                <w:sz w:val="16"/>
                <w:szCs w:val="16"/>
              </w:rPr>
            </w:pPr>
            <w:r>
              <w:rPr>
                <w:rFonts w:ascii="Arial Narrow" w:hAnsi="Arial Narrow" w:cs="Arial"/>
                <w:sz w:val="16"/>
                <w:szCs w:val="16"/>
              </w:rPr>
              <w:t>16 January</w:t>
            </w:r>
          </w:p>
        </w:tc>
        <w:tc>
          <w:tcPr>
            <w:tcW w:w="1134" w:type="dxa"/>
            <w:tcBorders>
              <w:top w:val="single" w:sz="18" w:space="0" w:color="BFBFBF"/>
              <w:left w:val="single" w:sz="18" w:space="0" w:color="C0C0C0"/>
              <w:right w:val="single" w:sz="18" w:space="0" w:color="C0C0C0"/>
            </w:tcBorders>
            <w:shd w:val="clear" w:color="auto" w:fill="D9D9D9"/>
            <w:vAlign w:val="center"/>
          </w:tcPr>
          <w:p w14:paraId="5FA0BC74" w14:textId="1101B3A4" w:rsidR="00444C25" w:rsidRPr="00DC638E" w:rsidRDefault="00444C25" w:rsidP="00C344F6">
            <w:pPr>
              <w:jc w:val="center"/>
              <w:rPr>
                <w:rFonts w:ascii="Arial Narrow" w:hAnsi="Arial Narrow" w:cs="Arial"/>
                <w:sz w:val="16"/>
                <w:szCs w:val="16"/>
              </w:rPr>
            </w:pPr>
          </w:p>
        </w:tc>
        <w:tc>
          <w:tcPr>
            <w:tcW w:w="1187" w:type="dxa"/>
            <w:tcBorders>
              <w:top w:val="single" w:sz="18" w:space="0" w:color="BFBFBF"/>
              <w:left w:val="single" w:sz="18" w:space="0" w:color="C0C0C0"/>
              <w:right w:val="single" w:sz="18" w:space="0" w:color="BFBFBF"/>
              <w:tr2bl w:val="nil"/>
            </w:tcBorders>
            <w:shd w:val="clear" w:color="auto" w:fill="D9D9D9"/>
            <w:vAlign w:val="center"/>
          </w:tcPr>
          <w:p w14:paraId="346AA547" w14:textId="5F476F3E" w:rsidR="00444C25" w:rsidRPr="00444C25" w:rsidRDefault="00444C25" w:rsidP="00C344F6">
            <w:pPr>
              <w:jc w:val="center"/>
              <w:rPr>
                <w:rFonts w:ascii="Arial Narrow" w:hAnsi="Arial Narrow" w:cs="Arial"/>
                <w:sz w:val="16"/>
                <w:szCs w:val="16"/>
              </w:rPr>
            </w:pPr>
          </w:p>
        </w:tc>
        <w:tc>
          <w:tcPr>
            <w:tcW w:w="1162" w:type="dxa"/>
            <w:tcBorders>
              <w:top w:val="single" w:sz="18" w:space="0" w:color="BFBFBF"/>
              <w:left w:val="single" w:sz="18" w:space="0" w:color="BFBFBF"/>
              <w:right w:val="single" w:sz="18" w:space="0" w:color="C0C0C0"/>
            </w:tcBorders>
            <w:shd w:val="clear" w:color="auto" w:fill="D9D9D9"/>
            <w:vAlign w:val="center"/>
          </w:tcPr>
          <w:p w14:paraId="7A536749" w14:textId="5F610AC4" w:rsidR="00444C25" w:rsidRPr="00444C25" w:rsidRDefault="00444C25"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C0C0C0"/>
            </w:tcBorders>
            <w:shd w:val="clear" w:color="auto" w:fill="D9D9D9"/>
            <w:vAlign w:val="center"/>
          </w:tcPr>
          <w:p w14:paraId="6CAE5B32" w14:textId="0184D160" w:rsidR="00444C25" w:rsidRPr="00444C25" w:rsidRDefault="00444C25"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auto"/>
            </w:tcBorders>
            <w:shd w:val="clear" w:color="auto" w:fill="D9D9D9"/>
            <w:vAlign w:val="center"/>
          </w:tcPr>
          <w:p w14:paraId="77ED7AC8" w14:textId="6F79FB51" w:rsidR="00444C25" w:rsidRPr="00444C25" w:rsidRDefault="00444C25" w:rsidP="00C344F6">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D9D9D9"/>
            <w:vAlign w:val="center"/>
          </w:tcPr>
          <w:p w14:paraId="420BA5D6" w14:textId="77777777" w:rsidR="00A01211" w:rsidRDefault="00A01211" w:rsidP="00A01211">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6C8C40F7" w14:textId="7C5B1BB8" w:rsidR="00444C25" w:rsidRPr="00777033" w:rsidRDefault="00A01211" w:rsidP="008D6D0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6801DA" w:rsidRPr="00BC2C5D" w14:paraId="3FC520FE" w14:textId="77777777" w:rsidTr="000D6508">
        <w:trPr>
          <w:trHeight w:val="567"/>
        </w:trPr>
        <w:tc>
          <w:tcPr>
            <w:tcW w:w="1418" w:type="dxa"/>
            <w:tcBorders>
              <w:top w:val="single" w:sz="18" w:space="0" w:color="BFBFBF"/>
              <w:left w:val="single" w:sz="18" w:space="0" w:color="auto"/>
              <w:bottom w:val="single" w:sz="18" w:space="0" w:color="BFBFBF" w:themeColor="background1" w:themeShade="BF"/>
              <w:right w:val="single" w:sz="18" w:space="0" w:color="C0C0C0"/>
            </w:tcBorders>
            <w:shd w:val="clear" w:color="auto" w:fill="auto"/>
            <w:vAlign w:val="center"/>
          </w:tcPr>
          <w:p w14:paraId="6D1805FC" w14:textId="1F810BEF" w:rsidR="006801DA" w:rsidRPr="00A634FA" w:rsidRDefault="00444C25" w:rsidP="00C344F6">
            <w:pPr>
              <w:jc w:val="center"/>
              <w:rPr>
                <w:rFonts w:ascii="Arial Narrow" w:hAnsi="Arial Narrow" w:cs="Arial"/>
                <w:sz w:val="16"/>
                <w:szCs w:val="16"/>
              </w:rPr>
            </w:pPr>
            <w:r>
              <w:rPr>
                <w:rFonts w:ascii="Arial Narrow" w:hAnsi="Arial Narrow" w:cs="Arial"/>
                <w:sz w:val="16"/>
                <w:szCs w:val="16"/>
              </w:rPr>
              <w:t>23 January</w:t>
            </w:r>
          </w:p>
        </w:tc>
        <w:tc>
          <w:tcPr>
            <w:tcW w:w="1134" w:type="dxa"/>
            <w:tcBorders>
              <w:top w:val="single" w:sz="18" w:space="0" w:color="BFBFBF"/>
              <w:left w:val="single" w:sz="18" w:space="0" w:color="C0C0C0"/>
              <w:bottom w:val="single" w:sz="18" w:space="0" w:color="BFBFBF" w:themeColor="background1" w:themeShade="BF"/>
              <w:right w:val="single" w:sz="18" w:space="0" w:color="C0C0C0"/>
            </w:tcBorders>
            <w:shd w:val="clear" w:color="auto" w:fill="auto"/>
            <w:vAlign w:val="center"/>
          </w:tcPr>
          <w:p w14:paraId="4DAA80E5" w14:textId="4D14B982" w:rsidR="006801DA" w:rsidRPr="00DC638E" w:rsidRDefault="006801DA" w:rsidP="00C344F6">
            <w:pPr>
              <w:jc w:val="center"/>
              <w:rPr>
                <w:rFonts w:ascii="Arial Narrow" w:hAnsi="Arial Narrow" w:cs="Arial"/>
                <w:sz w:val="16"/>
                <w:szCs w:val="16"/>
              </w:rPr>
            </w:pPr>
          </w:p>
        </w:tc>
        <w:tc>
          <w:tcPr>
            <w:tcW w:w="1187" w:type="dxa"/>
            <w:tcBorders>
              <w:top w:val="single" w:sz="18" w:space="0" w:color="C0C0C0"/>
              <w:left w:val="single" w:sz="18" w:space="0" w:color="C0C0C0"/>
              <w:bottom w:val="single" w:sz="18" w:space="0" w:color="BFBFBF" w:themeColor="background1" w:themeShade="BF"/>
              <w:right w:val="single" w:sz="18" w:space="0" w:color="BFBFBF"/>
              <w:tr2bl w:val="nil"/>
            </w:tcBorders>
            <w:shd w:val="clear" w:color="auto" w:fill="auto"/>
            <w:vAlign w:val="center"/>
          </w:tcPr>
          <w:p w14:paraId="211F9DD8" w14:textId="18561EA9" w:rsidR="006801DA" w:rsidRPr="00444C25"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BFBFBF" w:themeColor="background1" w:themeShade="BF"/>
              <w:right w:val="single" w:sz="18" w:space="0" w:color="C0C0C0"/>
            </w:tcBorders>
            <w:shd w:val="clear" w:color="auto" w:fill="auto"/>
            <w:vAlign w:val="center"/>
          </w:tcPr>
          <w:p w14:paraId="54F73A57" w14:textId="49B30526" w:rsidR="006801DA" w:rsidRPr="00444C25"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BFBFBF" w:themeColor="background1" w:themeShade="BF"/>
              <w:right w:val="single" w:sz="18" w:space="0" w:color="C0C0C0"/>
            </w:tcBorders>
            <w:shd w:val="clear" w:color="auto" w:fill="auto"/>
            <w:vAlign w:val="center"/>
          </w:tcPr>
          <w:p w14:paraId="2B85F166" w14:textId="2BDC0A0E" w:rsidR="006801DA" w:rsidRPr="00444C25" w:rsidRDefault="00304381" w:rsidP="00C344F6">
            <w:pPr>
              <w:jc w:val="center"/>
              <w:rPr>
                <w:rFonts w:ascii="Arial Narrow" w:hAnsi="Arial Narrow" w:cs="Arial"/>
                <w:sz w:val="16"/>
                <w:szCs w:val="16"/>
              </w:rPr>
            </w:pPr>
            <w:r w:rsidRPr="00236E17">
              <w:rPr>
                <w:rFonts w:ascii="Arial Narrow" w:hAnsi="Arial Narrow" w:cs="Arial"/>
                <w:b/>
                <w:bCs/>
                <w:sz w:val="16"/>
                <w:szCs w:val="16"/>
              </w:rPr>
              <w:t>Public Holiday</w:t>
            </w:r>
          </w:p>
        </w:tc>
        <w:tc>
          <w:tcPr>
            <w:tcW w:w="1162" w:type="dxa"/>
            <w:tcBorders>
              <w:top w:val="single" w:sz="18" w:space="0" w:color="BFBFBF"/>
              <w:left w:val="single" w:sz="18" w:space="0" w:color="C0C0C0"/>
              <w:bottom w:val="single" w:sz="18" w:space="0" w:color="BFBFBF" w:themeColor="background1" w:themeShade="BF"/>
              <w:right w:val="single" w:sz="18" w:space="0" w:color="auto"/>
            </w:tcBorders>
            <w:shd w:val="clear" w:color="auto" w:fill="auto"/>
            <w:vAlign w:val="center"/>
          </w:tcPr>
          <w:p w14:paraId="4C8AAF12" w14:textId="6BB98184" w:rsidR="006801DA" w:rsidRPr="00444C25" w:rsidRDefault="006801DA" w:rsidP="00C344F6">
            <w:pPr>
              <w:jc w:val="center"/>
              <w:rPr>
                <w:rFonts w:ascii="Arial Narrow" w:hAnsi="Arial Narrow" w:cs="Arial"/>
                <w:sz w:val="16"/>
                <w:szCs w:val="16"/>
              </w:rPr>
            </w:pPr>
          </w:p>
        </w:tc>
        <w:tc>
          <w:tcPr>
            <w:tcW w:w="3633" w:type="dxa"/>
            <w:gridSpan w:val="2"/>
            <w:tcBorders>
              <w:top w:val="single" w:sz="18" w:space="0" w:color="BFBFBF"/>
              <w:left w:val="single" w:sz="18" w:space="0" w:color="auto"/>
              <w:bottom w:val="single" w:sz="18" w:space="0" w:color="BFBFBF" w:themeColor="background1" w:themeShade="BF"/>
              <w:right w:val="single" w:sz="18" w:space="0" w:color="auto"/>
            </w:tcBorders>
            <w:shd w:val="clear" w:color="auto" w:fill="auto"/>
            <w:vAlign w:val="center"/>
          </w:tcPr>
          <w:p w14:paraId="4A692BE1" w14:textId="09487367" w:rsidR="006801DA" w:rsidRPr="008D6D06" w:rsidRDefault="00777033" w:rsidP="008D6D06">
            <w:pPr>
              <w:jc w:val="center"/>
              <w:rPr>
                <w:rFonts w:ascii="Arial Narrow" w:hAnsi="Arial Narrow" w:cs="Arial"/>
                <w:sz w:val="16"/>
                <w:szCs w:val="16"/>
              </w:rPr>
            </w:pPr>
            <w:r w:rsidRPr="00777033">
              <w:rPr>
                <w:rFonts w:ascii="Arial Narrow" w:hAnsi="Arial Narrow" w:cs="Arial"/>
                <w:b/>
                <w:bCs/>
                <w:sz w:val="16"/>
                <w:szCs w:val="16"/>
              </w:rPr>
              <w:t>Thursday 26th Australia Day</w:t>
            </w:r>
          </w:p>
        </w:tc>
      </w:tr>
      <w:tr w:rsidR="00444C25" w:rsidRPr="00BC2C5D" w14:paraId="2A3C72E2" w14:textId="77777777" w:rsidTr="000D6508">
        <w:trPr>
          <w:trHeight w:val="567"/>
        </w:trPr>
        <w:tc>
          <w:tcPr>
            <w:tcW w:w="1418"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2C84293E" w14:textId="328C45AB" w:rsidR="00444C25" w:rsidRDefault="00444C25" w:rsidP="00C344F6">
            <w:pPr>
              <w:jc w:val="center"/>
              <w:rPr>
                <w:rFonts w:ascii="Arial Narrow" w:hAnsi="Arial Narrow" w:cs="Arial"/>
                <w:sz w:val="16"/>
                <w:szCs w:val="16"/>
              </w:rPr>
            </w:pPr>
            <w:r>
              <w:rPr>
                <w:rFonts w:ascii="Arial Narrow" w:hAnsi="Arial Narrow" w:cs="Arial"/>
                <w:sz w:val="16"/>
                <w:szCs w:val="16"/>
              </w:rPr>
              <w:t>30 January</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auto"/>
            <w:vAlign w:val="center"/>
          </w:tcPr>
          <w:p w14:paraId="652F01DE" w14:textId="77777777" w:rsidR="00444C25" w:rsidRPr="00DC638E" w:rsidRDefault="00444C25" w:rsidP="00C344F6">
            <w:pPr>
              <w:jc w:val="center"/>
              <w:rPr>
                <w:rFonts w:ascii="Arial Narrow" w:hAnsi="Arial Narrow" w:cs="Arial"/>
                <w:sz w:val="16"/>
                <w:szCs w:val="16"/>
              </w:rPr>
            </w:pPr>
          </w:p>
        </w:tc>
        <w:tc>
          <w:tcPr>
            <w:tcW w:w="1187" w:type="dxa"/>
            <w:tcBorders>
              <w:top w:val="single" w:sz="18" w:space="0" w:color="BFBFBF" w:themeColor="background1" w:themeShade="BF"/>
              <w:left w:val="single" w:sz="18" w:space="0" w:color="C0C0C0"/>
              <w:bottom w:val="single" w:sz="18" w:space="0" w:color="auto"/>
              <w:right w:val="single" w:sz="18" w:space="0" w:color="BFBFBF"/>
              <w:tr2bl w:val="nil"/>
            </w:tcBorders>
            <w:shd w:val="clear" w:color="auto" w:fill="FF0000"/>
            <w:vAlign w:val="center"/>
          </w:tcPr>
          <w:p w14:paraId="57679363" w14:textId="56CE8B13" w:rsidR="00444C25"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31</w:t>
            </w: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FF0000"/>
            <w:vAlign w:val="center"/>
          </w:tcPr>
          <w:p w14:paraId="3B8E32D4" w14:textId="4CBA30B1" w:rsidR="00444C25"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1</w:t>
            </w: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FF0000"/>
            <w:vAlign w:val="center"/>
          </w:tcPr>
          <w:p w14:paraId="5940BE24" w14:textId="1DEAD982" w:rsidR="00444C25"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w:t>
            </w: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auto"/>
            <w:vAlign w:val="center"/>
          </w:tcPr>
          <w:p w14:paraId="23CB3DBA" w14:textId="77777777" w:rsidR="00444C25" w:rsidRPr="00444C25" w:rsidRDefault="00444C25" w:rsidP="00C344F6">
            <w:pPr>
              <w:jc w:val="center"/>
              <w:rPr>
                <w:rFonts w:ascii="Arial Narrow" w:hAnsi="Arial Narrow" w:cs="Arial"/>
                <w:sz w:val="16"/>
                <w:szCs w:val="16"/>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auto"/>
            <w:vAlign w:val="center"/>
          </w:tcPr>
          <w:p w14:paraId="470BC975" w14:textId="40A7DE7A" w:rsidR="00444C25" w:rsidRPr="00304381" w:rsidRDefault="00444C25" w:rsidP="008D6D06">
            <w:pPr>
              <w:jc w:val="center"/>
              <w:rPr>
                <w:rFonts w:ascii="Arial Narrow" w:hAnsi="Arial Narrow"/>
                <w:sz w:val="16"/>
                <w:szCs w:val="16"/>
              </w:rPr>
            </w:pPr>
          </w:p>
        </w:tc>
      </w:tr>
      <w:tr w:rsidR="00304381" w:rsidRPr="00BC2C5D" w14:paraId="20327535" w14:textId="77777777" w:rsidTr="000D6508">
        <w:trPr>
          <w:trHeight w:val="285"/>
        </w:trPr>
        <w:tc>
          <w:tcPr>
            <w:tcW w:w="1418" w:type="dxa"/>
            <w:vMerge w:val="restart"/>
            <w:tcBorders>
              <w:top w:val="single" w:sz="18" w:space="0" w:color="auto"/>
              <w:left w:val="single" w:sz="18" w:space="0" w:color="auto"/>
              <w:right w:val="single" w:sz="18" w:space="0" w:color="C0C0C0"/>
            </w:tcBorders>
            <w:shd w:val="clear" w:color="auto" w:fill="auto"/>
            <w:vAlign w:val="center"/>
          </w:tcPr>
          <w:p w14:paraId="088F8A57" w14:textId="06ABCCCC" w:rsidR="00304381" w:rsidRPr="00A634FA" w:rsidRDefault="00304381" w:rsidP="00C344F6">
            <w:pPr>
              <w:jc w:val="center"/>
              <w:rPr>
                <w:rFonts w:ascii="Arial Narrow" w:hAnsi="Arial Narrow" w:cs="Arial"/>
                <w:sz w:val="16"/>
                <w:szCs w:val="16"/>
              </w:rPr>
            </w:pPr>
            <w:r>
              <w:rPr>
                <w:rFonts w:ascii="Arial Narrow" w:hAnsi="Arial Narrow" w:cs="Arial"/>
                <w:sz w:val="16"/>
                <w:szCs w:val="16"/>
              </w:rPr>
              <w:t>6 February</w:t>
            </w:r>
          </w:p>
        </w:tc>
        <w:tc>
          <w:tcPr>
            <w:tcW w:w="1134" w:type="dxa"/>
            <w:vMerge w:val="restart"/>
            <w:tcBorders>
              <w:top w:val="single" w:sz="18" w:space="0" w:color="auto"/>
              <w:left w:val="single" w:sz="18" w:space="0" w:color="C0C0C0"/>
              <w:right w:val="single" w:sz="18" w:space="0" w:color="C0C0C0"/>
            </w:tcBorders>
            <w:shd w:val="clear" w:color="auto" w:fill="auto"/>
            <w:vAlign w:val="center"/>
          </w:tcPr>
          <w:p w14:paraId="05BAEBD3" w14:textId="77777777" w:rsidR="00304381" w:rsidRPr="00DC638E" w:rsidRDefault="00304381" w:rsidP="00C344F6">
            <w:pPr>
              <w:jc w:val="center"/>
              <w:rPr>
                <w:rFonts w:ascii="Arial Narrow" w:hAnsi="Arial Narrow" w:cs="Arial"/>
                <w:sz w:val="16"/>
                <w:szCs w:val="16"/>
              </w:rPr>
            </w:pPr>
          </w:p>
        </w:tc>
        <w:tc>
          <w:tcPr>
            <w:tcW w:w="1187" w:type="dxa"/>
            <w:vMerge w:val="restart"/>
            <w:tcBorders>
              <w:top w:val="single" w:sz="18" w:space="0" w:color="auto"/>
              <w:left w:val="single" w:sz="18" w:space="0" w:color="C0C0C0"/>
              <w:right w:val="single" w:sz="18" w:space="0" w:color="BFBFBF"/>
            </w:tcBorders>
            <w:shd w:val="clear" w:color="auto" w:fill="FFFF00"/>
            <w:vAlign w:val="center"/>
          </w:tcPr>
          <w:p w14:paraId="6EF5A450" w14:textId="55A71695" w:rsidR="00304381" w:rsidRPr="00780953" w:rsidRDefault="00304381" w:rsidP="00C344F6">
            <w:pPr>
              <w:jc w:val="center"/>
              <w:rPr>
                <w:rFonts w:ascii="Arial Narrow" w:hAnsi="Arial Narrow" w:cs="Arial"/>
                <w:b/>
                <w:bCs/>
                <w:sz w:val="16"/>
                <w:szCs w:val="16"/>
              </w:rPr>
            </w:pPr>
            <w:r w:rsidRPr="00780953">
              <w:rPr>
                <w:rFonts w:ascii="Arial Narrow" w:hAnsi="Arial Narrow" w:cs="Arial"/>
                <w:b/>
                <w:bCs/>
                <w:sz w:val="16"/>
                <w:szCs w:val="16"/>
              </w:rPr>
              <w:t>7</w:t>
            </w:r>
          </w:p>
        </w:tc>
        <w:tc>
          <w:tcPr>
            <w:tcW w:w="1162" w:type="dxa"/>
            <w:vMerge w:val="restart"/>
            <w:tcBorders>
              <w:top w:val="single" w:sz="18" w:space="0" w:color="auto"/>
              <w:left w:val="single" w:sz="18" w:space="0" w:color="BFBFBF"/>
              <w:right w:val="single" w:sz="18" w:space="0" w:color="C0C0C0"/>
            </w:tcBorders>
            <w:shd w:val="clear" w:color="auto" w:fill="A972A9"/>
            <w:vAlign w:val="center"/>
          </w:tcPr>
          <w:p w14:paraId="60AD86C6" w14:textId="061A417A" w:rsidR="00304381" w:rsidRPr="00780953" w:rsidRDefault="00304381" w:rsidP="00DC638E">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8</w:t>
            </w:r>
          </w:p>
        </w:tc>
        <w:tc>
          <w:tcPr>
            <w:tcW w:w="1162" w:type="dxa"/>
            <w:tcBorders>
              <w:top w:val="single" w:sz="18" w:space="0" w:color="auto"/>
              <w:left w:val="single" w:sz="18" w:space="0" w:color="C0C0C0"/>
              <w:bottom w:val="nil"/>
              <w:right w:val="single" w:sz="18" w:space="0" w:color="C0C0C0"/>
            </w:tcBorders>
            <w:shd w:val="clear" w:color="auto" w:fill="A972A9"/>
            <w:vAlign w:val="center"/>
          </w:tcPr>
          <w:p w14:paraId="7C18418D" w14:textId="4EDC9D5E"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9</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4997C671" w14:textId="77777777" w:rsidR="00304381" w:rsidRPr="00444C25" w:rsidRDefault="00304381" w:rsidP="00C344F6">
            <w:pPr>
              <w:jc w:val="center"/>
              <w:rPr>
                <w:rFonts w:ascii="Arial Narrow" w:hAnsi="Arial Narrow" w:cs="Arial"/>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71568B7F" w14:textId="574B1DDD" w:rsidR="00304381" w:rsidRPr="00777033" w:rsidRDefault="00A01211" w:rsidP="008D6D06">
            <w:pPr>
              <w:jc w:val="center"/>
              <w:rPr>
                <w:rFonts w:ascii="Arial Narrow" w:hAnsi="Arial Narrow"/>
                <w:color w:val="31849B"/>
                <w:sz w:val="16"/>
                <w:szCs w:val="16"/>
              </w:rPr>
            </w:pPr>
            <w:r w:rsidRPr="008D6D06">
              <w:rPr>
                <w:rFonts w:ascii="Arial Narrow" w:hAnsi="Arial Narrow"/>
                <w:color w:val="31849B"/>
                <w:sz w:val="16"/>
                <w:szCs w:val="16"/>
              </w:rPr>
              <w:t>Cooktown – Circuit</w:t>
            </w:r>
          </w:p>
        </w:tc>
      </w:tr>
      <w:tr w:rsidR="00304381" w:rsidRPr="00BC2C5D" w14:paraId="3E98D706" w14:textId="77777777" w:rsidTr="000D6508">
        <w:trPr>
          <w:trHeight w:val="285"/>
        </w:trPr>
        <w:tc>
          <w:tcPr>
            <w:tcW w:w="1418"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018FEBDB" w14:textId="77777777" w:rsidR="00304381" w:rsidRDefault="00304381" w:rsidP="00C344F6">
            <w:pPr>
              <w:jc w:val="center"/>
              <w:rPr>
                <w:rFonts w:ascii="Arial Narrow" w:hAnsi="Arial Narrow" w:cs="Arial"/>
                <w:sz w:val="16"/>
                <w:szCs w:val="16"/>
              </w:rPr>
            </w:pPr>
          </w:p>
        </w:tc>
        <w:tc>
          <w:tcPr>
            <w:tcW w:w="1134"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0957D7D3" w14:textId="77777777" w:rsidR="00304381" w:rsidRPr="00DC638E" w:rsidRDefault="00304381" w:rsidP="00C344F6">
            <w:pPr>
              <w:jc w:val="center"/>
              <w:rPr>
                <w:rFonts w:ascii="Arial Narrow" w:hAnsi="Arial Narrow" w:cs="Arial"/>
                <w:sz w:val="16"/>
                <w:szCs w:val="16"/>
              </w:rPr>
            </w:pPr>
          </w:p>
        </w:tc>
        <w:tc>
          <w:tcPr>
            <w:tcW w:w="1187" w:type="dxa"/>
            <w:vMerge/>
            <w:tcBorders>
              <w:left w:val="single" w:sz="18" w:space="0" w:color="C0C0C0"/>
              <w:bottom w:val="single" w:sz="18" w:space="0" w:color="BFBFBF" w:themeColor="background1" w:themeShade="BF"/>
              <w:right w:val="single" w:sz="18" w:space="0" w:color="BFBFBF"/>
            </w:tcBorders>
            <w:shd w:val="clear" w:color="auto" w:fill="FFFF00"/>
            <w:vAlign w:val="center"/>
          </w:tcPr>
          <w:p w14:paraId="09FF7407" w14:textId="77777777" w:rsidR="00304381" w:rsidRDefault="00304381" w:rsidP="00C344F6">
            <w:pPr>
              <w:jc w:val="center"/>
              <w:rPr>
                <w:rFonts w:ascii="Arial Narrow" w:hAnsi="Arial Narrow" w:cs="Arial"/>
                <w:sz w:val="16"/>
                <w:szCs w:val="16"/>
              </w:rPr>
            </w:pPr>
          </w:p>
        </w:tc>
        <w:tc>
          <w:tcPr>
            <w:tcW w:w="1162" w:type="dxa"/>
            <w:vMerge/>
            <w:tcBorders>
              <w:left w:val="single" w:sz="18" w:space="0" w:color="BFBFBF"/>
              <w:bottom w:val="single" w:sz="18" w:space="0" w:color="BFBFBF" w:themeColor="background1" w:themeShade="BF"/>
              <w:right w:val="single" w:sz="18" w:space="0" w:color="C0C0C0"/>
            </w:tcBorders>
            <w:shd w:val="clear" w:color="auto" w:fill="A972A9"/>
            <w:vAlign w:val="center"/>
          </w:tcPr>
          <w:p w14:paraId="2812DC44" w14:textId="77777777" w:rsidR="00304381" w:rsidRPr="00780953" w:rsidRDefault="00304381" w:rsidP="00DC638E">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7698E2DF" w14:textId="008E0189"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9</w:t>
            </w: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6244761D" w14:textId="77777777" w:rsidR="00304381" w:rsidRPr="00444C25" w:rsidRDefault="00304381" w:rsidP="00C344F6">
            <w:pPr>
              <w:jc w:val="center"/>
              <w:rPr>
                <w:rFonts w:ascii="Arial Narrow" w:hAnsi="Arial Narrow" w:cs="Arial"/>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77742ABF" w14:textId="77777777" w:rsidR="00304381" w:rsidRPr="00304381" w:rsidRDefault="00304381" w:rsidP="008D6D06">
            <w:pPr>
              <w:jc w:val="center"/>
              <w:rPr>
                <w:rFonts w:ascii="Arial Narrow" w:hAnsi="Arial Narrow"/>
                <w:sz w:val="16"/>
                <w:szCs w:val="16"/>
              </w:rPr>
            </w:pPr>
          </w:p>
        </w:tc>
      </w:tr>
      <w:tr w:rsidR="00304381" w:rsidRPr="00BC2C5D" w14:paraId="34AF6A84" w14:textId="77777777" w:rsidTr="00AF027A">
        <w:trPr>
          <w:trHeight w:val="284"/>
        </w:trPr>
        <w:tc>
          <w:tcPr>
            <w:tcW w:w="1418"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1E25C6DB" w:rsidR="00304381" w:rsidRDefault="00304381" w:rsidP="00C344F6">
            <w:pPr>
              <w:jc w:val="center"/>
              <w:rPr>
                <w:rFonts w:ascii="Arial Narrow" w:hAnsi="Arial Narrow" w:cs="Arial"/>
                <w:sz w:val="16"/>
                <w:szCs w:val="16"/>
              </w:rPr>
            </w:pPr>
            <w:r>
              <w:rPr>
                <w:rFonts w:ascii="Arial Narrow" w:hAnsi="Arial Narrow" w:cs="Arial"/>
                <w:sz w:val="16"/>
                <w:szCs w:val="16"/>
              </w:rPr>
              <w:t>13 February</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304381" w:rsidRPr="00DC638E" w:rsidRDefault="00304381" w:rsidP="00C344F6">
            <w:pPr>
              <w:jc w:val="center"/>
              <w:rPr>
                <w:rFonts w:ascii="Arial Narrow" w:hAnsi="Arial Narrow" w:cs="Arial"/>
                <w:sz w:val="16"/>
                <w:szCs w:val="16"/>
              </w:rPr>
            </w:pPr>
          </w:p>
        </w:tc>
        <w:tc>
          <w:tcPr>
            <w:tcW w:w="1187"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0D958ED1" w14:textId="77777777" w:rsidR="00304381" w:rsidRPr="00780953" w:rsidRDefault="00304381" w:rsidP="00DC638E">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14</w:t>
            </w:r>
          </w:p>
          <w:p w14:paraId="34B4531E" w14:textId="33976D30" w:rsidR="00780953" w:rsidRPr="00780953" w:rsidRDefault="00780953" w:rsidP="00DC638E">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ICM</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04E57ED8" w14:textId="7EE21486"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15</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733FC8E2" w14:textId="41D1BDE9"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16</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304381" w:rsidRPr="00444C25" w:rsidRDefault="00304381" w:rsidP="00C344F6">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37A79FEF" w14:textId="1D61A433" w:rsidR="00304381" w:rsidRPr="00A01211" w:rsidRDefault="00A01211" w:rsidP="00A01211">
            <w:pPr>
              <w:jc w:val="center"/>
              <w:rPr>
                <w:rFonts w:ascii="Arial Narrow" w:hAnsi="Arial Narrow"/>
                <w:color w:val="31849B"/>
                <w:sz w:val="16"/>
                <w:szCs w:val="16"/>
              </w:rPr>
            </w:pPr>
            <w:r w:rsidRPr="008805E5">
              <w:rPr>
                <w:rFonts w:ascii="Arial Narrow" w:hAnsi="Arial Narrow"/>
                <w:color w:val="31849B"/>
                <w:sz w:val="16"/>
                <w:szCs w:val="16"/>
              </w:rPr>
              <w:t>Aurukun Cape B Circuit</w:t>
            </w:r>
          </w:p>
        </w:tc>
      </w:tr>
      <w:tr w:rsidR="00304381" w:rsidRPr="00BC2C5D" w14:paraId="6444BC3F" w14:textId="77777777" w:rsidTr="00AF027A">
        <w:trPr>
          <w:trHeight w:val="284"/>
        </w:trPr>
        <w:tc>
          <w:tcPr>
            <w:tcW w:w="1418" w:type="dxa"/>
            <w:vMerge/>
            <w:tcBorders>
              <w:left w:val="single" w:sz="18" w:space="0" w:color="auto"/>
              <w:right w:val="single" w:sz="18" w:space="0" w:color="C0C0C0"/>
            </w:tcBorders>
            <w:shd w:val="clear" w:color="auto" w:fill="auto"/>
            <w:vAlign w:val="center"/>
          </w:tcPr>
          <w:p w14:paraId="4D60812D" w14:textId="77777777" w:rsidR="00304381" w:rsidRDefault="00304381"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0A487650" w14:textId="77777777" w:rsidR="00304381" w:rsidRPr="00DC638E" w:rsidRDefault="00304381" w:rsidP="00C344F6">
            <w:pPr>
              <w:jc w:val="center"/>
              <w:rPr>
                <w:rFonts w:ascii="Arial Narrow" w:hAnsi="Arial Narrow" w:cs="Arial"/>
                <w:sz w:val="16"/>
                <w:szCs w:val="16"/>
              </w:rPr>
            </w:pPr>
          </w:p>
        </w:tc>
        <w:tc>
          <w:tcPr>
            <w:tcW w:w="1187" w:type="dxa"/>
            <w:vMerge/>
            <w:tcBorders>
              <w:left w:val="single" w:sz="18" w:space="0" w:color="C0C0C0"/>
              <w:right w:val="single" w:sz="18" w:space="0" w:color="BFBFBF"/>
            </w:tcBorders>
            <w:shd w:val="clear" w:color="auto" w:fill="FF0000"/>
            <w:vAlign w:val="center"/>
          </w:tcPr>
          <w:p w14:paraId="18EFA22C" w14:textId="77777777" w:rsidR="00304381" w:rsidRPr="00780953" w:rsidRDefault="00304381" w:rsidP="00DC638E">
            <w:pPr>
              <w:jc w:val="center"/>
              <w:rPr>
                <w:rFonts w:ascii="Arial Narrow" w:hAnsi="Arial Narrow" w:cs="Arial"/>
                <w:b/>
                <w:bCs/>
                <w:color w:val="FFFFFF" w:themeColor="background1"/>
                <w:sz w:val="16"/>
                <w:szCs w:val="16"/>
              </w:rPr>
            </w:pPr>
          </w:p>
        </w:tc>
        <w:tc>
          <w:tcPr>
            <w:tcW w:w="1162" w:type="dxa"/>
            <w:vMerge/>
            <w:tcBorders>
              <w:left w:val="single" w:sz="18" w:space="0" w:color="BFBFBF"/>
              <w:right w:val="single" w:sz="18" w:space="0" w:color="C0C0C0"/>
            </w:tcBorders>
            <w:shd w:val="clear" w:color="auto" w:fill="FF0000"/>
            <w:vAlign w:val="center"/>
          </w:tcPr>
          <w:p w14:paraId="3C2D33EC" w14:textId="77777777" w:rsidR="00304381" w:rsidRPr="00780953" w:rsidRDefault="00304381" w:rsidP="00C344F6">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C0C0C0"/>
              <w:right w:val="single" w:sz="18" w:space="0" w:color="C0C0C0"/>
            </w:tcBorders>
            <w:shd w:val="clear" w:color="auto" w:fill="31849B"/>
            <w:vAlign w:val="center"/>
          </w:tcPr>
          <w:p w14:paraId="2D2DB895" w14:textId="1C7477F6"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16</w:t>
            </w:r>
          </w:p>
        </w:tc>
        <w:tc>
          <w:tcPr>
            <w:tcW w:w="1162" w:type="dxa"/>
            <w:vMerge/>
            <w:tcBorders>
              <w:left w:val="single" w:sz="18" w:space="0" w:color="C0C0C0"/>
              <w:right w:val="single" w:sz="18" w:space="0" w:color="auto"/>
            </w:tcBorders>
            <w:shd w:val="clear" w:color="auto" w:fill="auto"/>
            <w:vAlign w:val="center"/>
          </w:tcPr>
          <w:p w14:paraId="4E0EE96B" w14:textId="77777777" w:rsidR="00304381" w:rsidRPr="00444C25" w:rsidRDefault="00304381"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2D1D9E0A" w14:textId="77777777" w:rsidR="00304381" w:rsidRPr="00304381" w:rsidRDefault="00304381" w:rsidP="00C344F6">
            <w:pPr>
              <w:jc w:val="center"/>
              <w:rPr>
                <w:rFonts w:ascii="Arial Narrow" w:hAnsi="Arial Narrow"/>
                <w:sz w:val="16"/>
                <w:szCs w:val="16"/>
              </w:rPr>
            </w:pPr>
          </w:p>
        </w:tc>
      </w:tr>
      <w:tr w:rsidR="00304381" w:rsidRPr="00BC2C5D" w14:paraId="2980BC10" w14:textId="77777777" w:rsidTr="000D6508">
        <w:trPr>
          <w:trHeight w:val="285"/>
        </w:trPr>
        <w:tc>
          <w:tcPr>
            <w:tcW w:w="1418" w:type="dxa"/>
            <w:vMerge w:val="restart"/>
            <w:tcBorders>
              <w:top w:val="single" w:sz="18" w:space="0" w:color="C0C0C0"/>
              <w:left w:val="single" w:sz="18" w:space="0" w:color="auto"/>
              <w:right w:val="single" w:sz="18" w:space="0" w:color="C0C0C0"/>
            </w:tcBorders>
            <w:shd w:val="clear" w:color="auto" w:fill="auto"/>
            <w:vAlign w:val="center"/>
          </w:tcPr>
          <w:p w14:paraId="4AC745A6" w14:textId="7AD75411" w:rsidR="00304381" w:rsidRPr="00A634FA" w:rsidRDefault="00304381" w:rsidP="00C344F6">
            <w:pPr>
              <w:jc w:val="center"/>
              <w:rPr>
                <w:rFonts w:ascii="Arial Narrow" w:hAnsi="Arial Narrow" w:cs="Arial"/>
                <w:sz w:val="16"/>
                <w:szCs w:val="16"/>
              </w:rPr>
            </w:pPr>
            <w:r>
              <w:rPr>
                <w:rFonts w:ascii="Arial Narrow" w:hAnsi="Arial Narrow" w:cs="Arial"/>
                <w:sz w:val="16"/>
                <w:szCs w:val="16"/>
              </w:rPr>
              <w:t>20 February</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59C7D183" w14:textId="77777777" w:rsidR="00304381" w:rsidRPr="00DC638E" w:rsidRDefault="00304381" w:rsidP="00C344F6">
            <w:pPr>
              <w:jc w:val="center"/>
              <w:rPr>
                <w:rFonts w:ascii="Arial Narrow" w:hAnsi="Arial Narrow" w:cs="Arial"/>
                <w:sz w:val="16"/>
                <w:szCs w:val="16"/>
              </w:rPr>
            </w:pPr>
          </w:p>
        </w:tc>
        <w:tc>
          <w:tcPr>
            <w:tcW w:w="1187" w:type="dxa"/>
            <w:vMerge w:val="restart"/>
            <w:tcBorders>
              <w:top w:val="single" w:sz="18" w:space="0" w:color="C0C0C0"/>
              <w:left w:val="single" w:sz="18" w:space="0" w:color="C0C0C0"/>
              <w:right w:val="single" w:sz="18" w:space="0" w:color="BFBFBF"/>
            </w:tcBorders>
            <w:shd w:val="clear" w:color="auto" w:fill="auto"/>
            <w:vAlign w:val="center"/>
          </w:tcPr>
          <w:p w14:paraId="61BD711E" w14:textId="5BDDE63F" w:rsidR="00304381" w:rsidRPr="00444C25" w:rsidRDefault="00304381" w:rsidP="00C344F6">
            <w:pPr>
              <w:jc w:val="center"/>
              <w:rPr>
                <w:rFonts w:ascii="Arial Narrow" w:hAnsi="Arial Narrow" w:cs="Arial"/>
                <w:sz w:val="16"/>
                <w:szCs w:val="16"/>
              </w:rPr>
            </w:pP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3BA986A2" w14:textId="76FA0B2F"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22</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719EBC8E" w14:textId="2CFAE4C9"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23</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71B48D44" w14:textId="1D1830D4" w:rsidR="00304381" w:rsidRPr="00444C25" w:rsidRDefault="00304381" w:rsidP="00C344F6">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69C694F" w14:textId="4E435A1A" w:rsidR="00304381" w:rsidRPr="00777033" w:rsidRDefault="00A01211" w:rsidP="008D6D0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304381" w:rsidRPr="00BC2C5D" w14:paraId="337CB2C5" w14:textId="77777777" w:rsidTr="000D6508">
        <w:trPr>
          <w:trHeight w:val="285"/>
        </w:trPr>
        <w:tc>
          <w:tcPr>
            <w:tcW w:w="1418" w:type="dxa"/>
            <w:vMerge/>
            <w:tcBorders>
              <w:left w:val="single" w:sz="18" w:space="0" w:color="auto"/>
              <w:right w:val="single" w:sz="18" w:space="0" w:color="C0C0C0"/>
            </w:tcBorders>
            <w:shd w:val="clear" w:color="auto" w:fill="auto"/>
            <w:vAlign w:val="center"/>
          </w:tcPr>
          <w:p w14:paraId="7217CCD9" w14:textId="77777777" w:rsidR="00304381" w:rsidRDefault="00304381"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161A91D4" w14:textId="77777777" w:rsidR="00304381" w:rsidRPr="00DC638E" w:rsidRDefault="00304381" w:rsidP="00C344F6">
            <w:pPr>
              <w:jc w:val="center"/>
              <w:rPr>
                <w:rFonts w:ascii="Arial Narrow" w:hAnsi="Arial Narrow" w:cs="Arial"/>
                <w:sz w:val="16"/>
                <w:szCs w:val="16"/>
              </w:rPr>
            </w:pPr>
          </w:p>
        </w:tc>
        <w:tc>
          <w:tcPr>
            <w:tcW w:w="1187" w:type="dxa"/>
            <w:vMerge/>
            <w:tcBorders>
              <w:left w:val="single" w:sz="18" w:space="0" w:color="C0C0C0"/>
              <w:right w:val="single" w:sz="18" w:space="0" w:color="BFBFBF"/>
            </w:tcBorders>
            <w:shd w:val="clear" w:color="auto" w:fill="auto"/>
            <w:vAlign w:val="center"/>
          </w:tcPr>
          <w:p w14:paraId="14592233" w14:textId="77777777" w:rsidR="00304381" w:rsidRPr="00444C25" w:rsidRDefault="00304381" w:rsidP="00C344F6">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3A81AA23" w14:textId="77777777" w:rsidR="00304381" w:rsidRPr="00780953" w:rsidRDefault="00304381" w:rsidP="00C344F6">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C0C0C0"/>
              <w:right w:val="single" w:sz="18" w:space="0" w:color="C0C0C0"/>
            </w:tcBorders>
            <w:shd w:val="clear" w:color="auto" w:fill="769250"/>
            <w:vAlign w:val="center"/>
          </w:tcPr>
          <w:p w14:paraId="1B68CF9E" w14:textId="7EBA8A52" w:rsidR="00304381" w:rsidRPr="00780953" w:rsidRDefault="00304381"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23</w:t>
            </w:r>
          </w:p>
        </w:tc>
        <w:tc>
          <w:tcPr>
            <w:tcW w:w="1162" w:type="dxa"/>
            <w:vMerge/>
            <w:tcBorders>
              <w:left w:val="single" w:sz="18" w:space="0" w:color="C0C0C0"/>
              <w:right w:val="single" w:sz="18" w:space="0" w:color="auto"/>
            </w:tcBorders>
            <w:shd w:val="clear" w:color="auto" w:fill="auto"/>
            <w:vAlign w:val="center"/>
          </w:tcPr>
          <w:p w14:paraId="1EF19E24" w14:textId="77777777" w:rsidR="00304381" w:rsidRPr="00444C25" w:rsidRDefault="00304381"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364C9855" w14:textId="77777777" w:rsidR="00304381" w:rsidRPr="008D6D06" w:rsidRDefault="00304381" w:rsidP="008D6D06">
            <w:pPr>
              <w:jc w:val="center"/>
              <w:rPr>
                <w:rFonts w:ascii="Arial Narrow" w:hAnsi="Arial Narrow" w:cs="Arial"/>
                <w:color w:val="244061"/>
                <w:sz w:val="16"/>
                <w:szCs w:val="16"/>
              </w:rPr>
            </w:pPr>
          </w:p>
        </w:tc>
      </w:tr>
      <w:tr w:rsidR="002A1E55" w:rsidRPr="00BC2C5D" w14:paraId="3066009B" w14:textId="77777777" w:rsidTr="000D6508">
        <w:trPr>
          <w:trHeight w:val="308"/>
        </w:trPr>
        <w:tc>
          <w:tcPr>
            <w:tcW w:w="1418" w:type="dxa"/>
            <w:vMerge w:val="restart"/>
            <w:tcBorders>
              <w:top w:val="single" w:sz="18" w:space="0" w:color="C0C0C0"/>
              <w:left w:val="single" w:sz="18" w:space="0" w:color="auto"/>
              <w:right w:val="single" w:sz="18" w:space="0" w:color="C0C0C0"/>
            </w:tcBorders>
            <w:shd w:val="clear" w:color="auto" w:fill="auto"/>
            <w:vAlign w:val="center"/>
          </w:tcPr>
          <w:p w14:paraId="4ABB8CC6" w14:textId="23993238" w:rsidR="002A1E55" w:rsidRPr="00A634FA" w:rsidRDefault="002A1E55" w:rsidP="00C344F6">
            <w:pPr>
              <w:jc w:val="center"/>
              <w:rPr>
                <w:rFonts w:ascii="Arial Narrow" w:hAnsi="Arial Narrow" w:cs="Arial"/>
                <w:sz w:val="16"/>
                <w:szCs w:val="16"/>
              </w:rPr>
            </w:pPr>
            <w:r>
              <w:rPr>
                <w:rFonts w:ascii="Arial Narrow" w:hAnsi="Arial Narrow" w:cs="Arial"/>
                <w:sz w:val="16"/>
                <w:szCs w:val="16"/>
              </w:rPr>
              <w:t>27 February</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2A1E55" w:rsidRPr="00236E17" w:rsidRDefault="002A1E55" w:rsidP="00C344F6">
            <w:pPr>
              <w:jc w:val="center"/>
              <w:rPr>
                <w:rFonts w:ascii="Arial Narrow" w:hAnsi="Arial Narrow" w:cs="Arial"/>
                <w:sz w:val="16"/>
                <w:szCs w:val="16"/>
              </w:rPr>
            </w:pPr>
          </w:p>
        </w:tc>
        <w:tc>
          <w:tcPr>
            <w:tcW w:w="1187" w:type="dxa"/>
            <w:tcBorders>
              <w:top w:val="single" w:sz="18" w:space="0" w:color="BFBFBF"/>
              <w:left w:val="single" w:sz="18" w:space="0" w:color="C0C0C0"/>
              <w:bottom w:val="nil"/>
              <w:right w:val="single" w:sz="18" w:space="0" w:color="BFBFBF"/>
            </w:tcBorders>
            <w:shd w:val="clear" w:color="auto" w:fill="FF0000"/>
            <w:vAlign w:val="center"/>
          </w:tcPr>
          <w:p w14:paraId="56728065" w14:textId="77777777"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28</w:t>
            </w:r>
          </w:p>
          <w:p w14:paraId="63E8B25A" w14:textId="48A071EC" w:rsidR="00780953" w:rsidRPr="00780953" w:rsidRDefault="00780953"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ICM</w:t>
            </w:r>
          </w:p>
        </w:tc>
        <w:tc>
          <w:tcPr>
            <w:tcW w:w="1162" w:type="dxa"/>
            <w:vMerge w:val="restart"/>
            <w:tcBorders>
              <w:top w:val="single" w:sz="18" w:space="0" w:color="BFBFBF"/>
              <w:left w:val="single" w:sz="18" w:space="0" w:color="BFBFBF"/>
              <w:right w:val="single" w:sz="18" w:space="0" w:color="C0C0C0"/>
            </w:tcBorders>
            <w:shd w:val="clear" w:color="auto" w:fill="FF0000"/>
            <w:vAlign w:val="center"/>
          </w:tcPr>
          <w:p w14:paraId="710F20E7" w14:textId="24836BF6"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6C6E2192" w14:textId="60D1886B"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80ACE5B" w14:textId="76F7D7A1" w:rsidR="002A1E55" w:rsidRPr="00444C25" w:rsidRDefault="002A1E55" w:rsidP="00C344F6">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19B5DB0" w14:textId="5D991A9C" w:rsidR="002A1E55" w:rsidRPr="00304381" w:rsidRDefault="002A1E55" w:rsidP="00C344F6">
            <w:pPr>
              <w:jc w:val="center"/>
              <w:rPr>
                <w:rFonts w:ascii="Arial Narrow" w:hAnsi="Arial Narrow"/>
                <w:sz w:val="16"/>
                <w:szCs w:val="16"/>
              </w:rPr>
            </w:pPr>
          </w:p>
        </w:tc>
      </w:tr>
      <w:tr w:rsidR="002A1E55" w:rsidRPr="00BC2C5D" w14:paraId="37BD7459" w14:textId="77777777" w:rsidTr="000D6508">
        <w:trPr>
          <w:trHeight w:val="307"/>
        </w:trPr>
        <w:tc>
          <w:tcPr>
            <w:tcW w:w="1418" w:type="dxa"/>
            <w:vMerge/>
            <w:tcBorders>
              <w:left w:val="single" w:sz="18" w:space="0" w:color="auto"/>
              <w:right w:val="single" w:sz="18" w:space="0" w:color="C0C0C0"/>
            </w:tcBorders>
            <w:shd w:val="clear" w:color="auto" w:fill="auto"/>
            <w:vAlign w:val="center"/>
          </w:tcPr>
          <w:p w14:paraId="6502106C" w14:textId="77777777" w:rsidR="002A1E55" w:rsidRDefault="002A1E55"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1B3CE849" w14:textId="77777777" w:rsidR="002A1E55" w:rsidRPr="00236E17" w:rsidRDefault="002A1E55" w:rsidP="00C344F6">
            <w:pPr>
              <w:jc w:val="center"/>
              <w:rPr>
                <w:rFonts w:ascii="Arial Narrow" w:hAnsi="Arial Narrow" w:cs="Arial"/>
                <w:sz w:val="16"/>
                <w:szCs w:val="16"/>
              </w:rPr>
            </w:pPr>
          </w:p>
        </w:tc>
        <w:tc>
          <w:tcPr>
            <w:tcW w:w="1187" w:type="dxa"/>
            <w:tcBorders>
              <w:top w:val="nil"/>
              <w:left w:val="single" w:sz="18" w:space="0" w:color="C0C0C0"/>
              <w:bottom w:val="single" w:sz="18" w:space="0" w:color="auto"/>
              <w:right w:val="single" w:sz="18" w:space="0" w:color="BFBFBF"/>
            </w:tcBorders>
            <w:shd w:val="clear" w:color="auto" w:fill="FFFF00"/>
            <w:vAlign w:val="center"/>
          </w:tcPr>
          <w:p w14:paraId="0AA80553" w14:textId="179404A8" w:rsidR="002A1E55" w:rsidRPr="00780953" w:rsidRDefault="002A1E55" w:rsidP="00C344F6">
            <w:pPr>
              <w:jc w:val="center"/>
              <w:rPr>
                <w:rFonts w:ascii="Arial Narrow" w:hAnsi="Arial Narrow" w:cs="Arial"/>
                <w:b/>
                <w:bCs/>
                <w:sz w:val="16"/>
                <w:szCs w:val="16"/>
              </w:rPr>
            </w:pPr>
            <w:r w:rsidRPr="00780953">
              <w:rPr>
                <w:rFonts w:ascii="Arial Narrow" w:hAnsi="Arial Narrow" w:cs="Arial"/>
                <w:b/>
                <w:bCs/>
                <w:sz w:val="16"/>
                <w:szCs w:val="16"/>
              </w:rPr>
              <w:t>28</w:t>
            </w:r>
          </w:p>
        </w:tc>
        <w:tc>
          <w:tcPr>
            <w:tcW w:w="1162" w:type="dxa"/>
            <w:vMerge/>
            <w:tcBorders>
              <w:left w:val="single" w:sz="18" w:space="0" w:color="BFBFBF"/>
              <w:right w:val="single" w:sz="18" w:space="0" w:color="C0C0C0"/>
            </w:tcBorders>
            <w:shd w:val="clear" w:color="auto" w:fill="FF0000"/>
            <w:vAlign w:val="center"/>
          </w:tcPr>
          <w:p w14:paraId="6AE0FB98" w14:textId="77777777" w:rsidR="002A1E55" w:rsidRPr="00444C25" w:rsidRDefault="002A1E55" w:rsidP="00C344F6">
            <w:pPr>
              <w:jc w:val="center"/>
              <w:rPr>
                <w:rFonts w:ascii="Arial Narrow" w:hAnsi="Arial Narrow" w:cs="Arial"/>
                <w:sz w:val="16"/>
                <w:szCs w:val="16"/>
              </w:rPr>
            </w:pPr>
          </w:p>
        </w:tc>
        <w:tc>
          <w:tcPr>
            <w:tcW w:w="1162" w:type="dxa"/>
            <w:vMerge/>
            <w:tcBorders>
              <w:left w:val="single" w:sz="18" w:space="0" w:color="C0C0C0"/>
              <w:right w:val="single" w:sz="18" w:space="0" w:color="C0C0C0"/>
            </w:tcBorders>
            <w:shd w:val="clear" w:color="auto" w:fill="FF0000"/>
            <w:vAlign w:val="center"/>
          </w:tcPr>
          <w:p w14:paraId="5420EA22" w14:textId="77777777" w:rsidR="002A1E55" w:rsidRPr="00444C25" w:rsidRDefault="002A1E55" w:rsidP="00C344F6">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0DC2F432" w14:textId="77777777" w:rsidR="002A1E55" w:rsidRPr="00444C25" w:rsidRDefault="002A1E55"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0B1ECD7A" w14:textId="77777777" w:rsidR="002A1E55" w:rsidRPr="00304381" w:rsidRDefault="002A1E55" w:rsidP="00C344F6">
            <w:pPr>
              <w:jc w:val="center"/>
              <w:rPr>
                <w:rFonts w:ascii="Arial Narrow" w:hAnsi="Arial Narrow"/>
                <w:sz w:val="16"/>
                <w:szCs w:val="16"/>
              </w:rPr>
            </w:pPr>
          </w:p>
        </w:tc>
      </w:tr>
      <w:tr w:rsidR="00236E17" w:rsidRPr="00BC2C5D" w14:paraId="4F42726F" w14:textId="77777777" w:rsidTr="000D6508">
        <w:trPr>
          <w:trHeight w:val="567"/>
        </w:trPr>
        <w:tc>
          <w:tcPr>
            <w:tcW w:w="1418" w:type="dxa"/>
            <w:tcBorders>
              <w:top w:val="single" w:sz="18" w:space="0" w:color="auto"/>
              <w:left w:val="single" w:sz="18" w:space="0" w:color="auto"/>
              <w:right w:val="single" w:sz="18" w:space="0" w:color="C0C0C0"/>
            </w:tcBorders>
            <w:shd w:val="clear" w:color="auto" w:fill="auto"/>
            <w:vAlign w:val="center"/>
          </w:tcPr>
          <w:p w14:paraId="547AAE0E" w14:textId="7E7E9987" w:rsidR="00236E17" w:rsidRPr="00A634FA" w:rsidRDefault="00444C25" w:rsidP="00C344F6">
            <w:pPr>
              <w:jc w:val="center"/>
              <w:rPr>
                <w:rFonts w:ascii="Arial Narrow" w:hAnsi="Arial Narrow" w:cs="Arial"/>
                <w:sz w:val="16"/>
                <w:szCs w:val="16"/>
              </w:rPr>
            </w:pPr>
            <w:r>
              <w:rPr>
                <w:rFonts w:ascii="Arial Narrow" w:hAnsi="Arial Narrow" w:cs="Arial"/>
                <w:sz w:val="16"/>
                <w:szCs w:val="16"/>
              </w:rPr>
              <w:t>6 March</w:t>
            </w:r>
          </w:p>
        </w:tc>
        <w:tc>
          <w:tcPr>
            <w:tcW w:w="1134" w:type="dxa"/>
            <w:tcBorders>
              <w:top w:val="single" w:sz="18" w:space="0" w:color="auto"/>
              <w:left w:val="single" w:sz="18" w:space="0" w:color="C0C0C0"/>
              <w:right w:val="single" w:sz="18" w:space="0" w:color="C0C0C0"/>
            </w:tcBorders>
            <w:shd w:val="clear" w:color="auto" w:fill="auto"/>
            <w:vAlign w:val="center"/>
          </w:tcPr>
          <w:p w14:paraId="01743E49" w14:textId="77777777" w:rsidR="00236E17" w:rsidRPr="00236E17" w:rsidRDefault="00236E17" w:rsidP="00C344F6">
            <w:pPr>
              <w:jc w:val="center"/>
              <w:rPr>
                <w:rFonts w:ascii="Arial Narrow" w:hAnsi="Arial Narrow" w:cs="Arial"/>
                <w:sz w:val="16"/>
                <w:szCs w:val="16"/>
              </w:rPr>
            </w:pPr>
          </w:p>
        </w:tc>
        <w:tc>
          <w:tcPr>
            <w:tcW w:w="1187" w:type="dxa"/>
            <w:tcBorders>
              <w:top w:val="single" w:sz="18" w:space="0" w:color="auto"/>
              <w:left w:val="single" w:sz="18" w:space="0" w:color="C0C0C0"/>
              <w:right w:val="single" w:sz="18" w:space="0" w:color="BFBFBF"/>
            </w:tcBorders>
            <w:shd w:val="clear" w:color="auto" w:fill="auto"/>
            <w:vAlign w:val="center"/>
          </w:tcPr>
          <w:p w14:paraId="638618E9" w14:textId="69ECB37E" w:rsidR="00236E17" w:rsidRPr="00444C25" w:rsidRDefault="00236E17" w:rsidP="00C344F6">
            <w:pPr>
              <w:jc w:val="center"/>
              <w:rPr>
                <w:rFonts w:ascii="Arial Narrow" w:hAnsi="Arial Narrow" w:cs="Arial"/>
                <w:sz w:val="16"/>
                <w:szCs w:val="16"/>
              </w:rPr>
            </w:pPr>
          </w:p>
        </w:tc>
        <w:tc>
          <w:tcPr>
            <w:tcW w:w="1162" w:type="dxa"/>
            <w:tcBorders>
              <w:top w:val="single" w:sz="18" w:space="0" w:color="auto"/>
              <w:left w:val="single" w:sz="18" w:space="0" w:color="BFBFBF"/>
              <w:right w:val="single" w:sz="18" w:space="0" w:color="C0C0C0"/>
            </w:tcBorders>
            <w:shd w:val="clear" w:color="auto" w:fill="A972A9"/>
            <w:vAlign w:val="center"/>
          </w:tcPr>
          <w:p w14:paraId="2A768ACC" w14:textId="616B58B8" w:rsidR="00236E17" w:rsidRPr="00780953" w:rsidRDefault="002A1E55" w:rsidP="00236E17">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8</w:t>
            </w:r>
          </w:p>
        </w:tc>
        <w:tc>
          <w:tcPr>
            <w:tcW w:w="1162" w:type="dxa"/>
            <w:tcBorders>
              <w:top w:val="single" w:sz="18" w:space="0" w:color="auto"/>
              <w:left w:val="single" w:sz="18" w:space="0" w:color="C0C0C0"/>
              <w:right w:val="single" w:sz="18" w:space="0" w:color="C0C0C0"/>
            </w:tcBorders>
            <w:shd w:val="clear" w:color="auto" w:fill="769250"/>
            <w:vAlign w:val="center"/>
          </w:tcPr>
          <w:p w14:paraId="20B7857C" w14:textId="6E37819A" w:rsidR="00236E17"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9</w:t>
            </w:r>
          </w:p>
        </w:tc>
        <w:tc>
          <w:tcPr>
            <w:tcW w:w="1162" w:type="dxa"/>
            <w:tcBorders>
              <w:top w:val="single" w:sz="18" w:space="0" w:color="auto"/>
              <w:left w:val="single" w:sz="18" w:space="0" w:color="C0C0C0"/>
              <w:right w:val="single" w:sz="18" w:space="0" w:color="auto"/>
            </w:tcBorders>
            <w:shd w:val="clear" w:color="auto" w:fill="auto"/>
            <w:vAlign w:val="center"/>
          </w:tcPr>
          <w:p w14:paraId="3B88A390" w14:textId="77777777" w:rsidR="00236E17" w:rsidRPr="00444C25" w:rsidRDefault="00236E17" w:rsidP="00C344F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03F7AA07" w14:textId="77C59A72" w:rsidR="008D6D06" w:rsidRPr="00CA4D07" w:rsidRDefault="00A01211" w:rsidP="008D6D06">
            <w:pPr>
              <w:jc w:val="center"/>
              <w:rPr>
                <w:rFonts w:ascii="Arial Narrow" w:hAnsi="Arial Narrow"/>
                <w:color w:val="31849B"/>
                <w:sz w:val="16"/>
                <w:szCs w:val="16"/>
              </w:rPr>
            </w:pPr>
            <w:r w:rsidRPr="008D6D06">
              <w:rPr>
                <w:rFonts w:ascii="Arial Narrow" w:hAnsi="Arial Narrow"/>
                <w:color w:val="31849B"/>
                <w:sz w:val="16"/>
                <w:szCs w:val="16"/>
              </w:rPr>
              <w:t>Cooktown – Circuit</w:t>
            </w:r>
          </w:p>
        </w:tc>
      </w:tr>
      <w:tr w:rsidR="00444C25" w:rsidRPr="00BC2C5D" w14:paraId="1709D6A1" w14:textId="77777777" w:rsidTr="000D6508">
        <w:trPr>
          <w:trHeight w:val="567"/>
        </w:trPr>
        <w:tc>
          <w:tcPr>
            <w:tcW w:w="1418" w:type="dxa"/>
            <w:tcBorders>
              <w:top w:val="single" w:sz="18" w:space="0" w:color="C0C0C0"/>
              <w:left w:val="single" w:sz="18" w:space="0" w:color="auto"/>
              <w:right w:val="single" w:sz="18" w:space="0" w:color="C0C0C0"/>
            </w:tcBorders>
            <w:shd w:val="clear" w:color="auto" w:fill="auto"/>
            <w:vAlign w:val="center"/>
          </w:tcPr>
          <w:p w14:paraId="51BF0A00" w14:textId="14C7B885" w:rsidR="00444C25" w:rsidRPr="00390B39" w:rsidRDefault="00444C25" w:rsidP="00C344F6">
            <w:pPr>
              <w:jc w:val="center"/>
              <w:rPr>
                <w:rFonts w:ascii="Arial Narrow" w:hAnsi="Arial Narrow" w:cs="Arial"/>
                <w:sz w:val="16"/>
                <w:szCs w:val="16"/>
              </w:rPr>
            </w:pPr>
            <w:r>
              <w:rPr>
                <w:rFonts w:ascii="Arial Narrow" w:hAnsi="Arial Narrow" w:cs="Arial"/>
                <w:sz w:val="16"/>
                <w:szCs w:val="16"/>
              </w:rPr>
              <w:t>13 March</w:t>
            </w:r>
          </w:p>
        </w:tc>
        <w:tc>
          <w:tcPr>
            <w:tcW w:w="1134" w:type="dxa"/>
            <w:tcBorders>
              <w:top w:val="single" w:sz="18" w:space="0" w:color="C0C0C0"/>
              <w:left w:val="single" w:sz="18" w:space="0" w:color="C0C0C0"/>
              <w:right w:val="single" w:sz="18" w:space="0" w:color="C0C0C0"/>
            </w:tcBorders>
            <w:shd w:val="clear" w:color="auto" w:fill="auto"/>
            <w:vAlign w:val="center"/>
          </w:tcPr>
          <w:p w14:paraId="28EF7F10" w14:textId="77777777" w:rsidR="00444C25" w:rsidRPr="00236E17" w:rsidRDefault="00444C25" w:rsidP="00C344F6">
            <w:pPr>
              <w:jc w:val="center"/>
              <w:rPr>
                <w:rFonts w:ascii="Arial Narrow" w:hAnsi="Arial Narrow" w:cs="Arial"/>
                <w:color w:val="000000"/>
                <w:sz w:val="16"/>
                <w:szCs w:val="16"/>
              </w:rPr>
            </w:pPr>
          </w:p>
        </w:tc>
        <w:tc>
          <w:tcPr>
            <w:tcW w:w="1187" w:type="dxa"/>
            <w:tcBorders>
              <w:top w:val="single" w:sz="18" w:space="0" w:color="C0C0C0"/>
              <w:left w:val="single" w:sz="18" w:space="0" w:color="C0C0C0"/>
              <w:right w:val="single" w:sz="18" w:space="0" w:color="BFBFBF"/>
            </w:tcBorders>
            <w:shd w:val="clear" w:color="auto" w:fill="auto"/>
            <w:vAlign w:val="center"/>
          </w:tcPr>
          <w:p w14:paraId="06EA5338" w14:textId="75C85E3B" w:rsidR="00444C25" w:rsidRPr="00444C25" w:rsidRDefault="00444C25" w:rsidP="00C344F6">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auto"/>
            <w:vAlign w:val="center"/>
          </w:tcPr>
          <w:p w14:paraId="66874CFB" w14:textId="53C98A38" w:rsidR="00444C25" w:rsidRPr="00444C25" w:rsidRDefault="00444C2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6FA11784" w14:textId="0FB2A751" w:rsidR="00444C25" w:rsidRPr="00444C25" w:rsidRDefault="00444C2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12101718" w14:textId="77777777" w:rsidR="00444C25" w:rsidRPr="00444C25" w:rsidRDefault="00444C25" w:rsidP="00C344F6">
            <w:pPr>
              <w:jc w:val="center"/>
              <w:rPr>
                <w:rFonts w:ascii="Arial Narrow" w:hAnsi="Arial Narrow" w:cs="Arial"/>
                <w:color w:val="000000"/>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0E52BC2E" w14:textId="3312BFE6" w:rsidR="00444C25" w:rsidRPr="008805E5" w:rsidRDefault="00A01211" w:rsidP="00A01211">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tc>
      </w:tr>
      <w:tr w:rsidR="002A1E55" w:rsidRPr="00BC2C5D" w14:paraId="73DF2101" w14:textId="77777777" w:rsidTr="000D6508">
        <w:trPr>
          <w:trHeight w:val="285"/>
        </w:trPr>
        <w:tc>
          <w:tcPr>
            <w:tcW w:w="1418"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4F287873" w:rsidR="002A1E55" w:rsidRPr="00390B39" w:rsidRDefault="002A1E55" w:rsidP="00C344F6">
            <w:pPr>
              <w:jc w:val="center"/>
              <w:rPr>
                <w:rFonts w:ascii="Arial Narrow" w:hAnsi="Arial Narrow" w:cs="Arial"/>
                <w:sz w:val="16"/>
                <w:szCs w:val="16"/>
              </w:rPr>
            </w:pPr>
            <w:r>
              <w:rPr>
                <w:rFonts w:ascii="Arial Narrow" w:hAnsi="Arial Narrow" w:cs="Arial"/>
                <w:sz w:val="16"/>
                <w:szCs w:val="16"/>
              </w:rPr>
              <w:t>20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2174859" w14:textId="77777777" w:rsidR="002A1E55" w:rsidRPr="008D6D06" w:rsidRDefault="002A1E55" w:rsidP="00C344F6">
            <w:pPr>
              <w:jc w:val="center"/>
              <w:rPr>
                <w:rFonts w:ascii="Arial Narrow" w:hAnsi="Arial Narrow" w:cs="Arial"/>
                <w:color w:val="000000"/>
                <w:sz w:val="16"/>
                <w:szCs w:val="16"/>
              </w:rPr>
            </w:pPr>
          </w:p>
        </w:tc>
        <w:tc>
          <w:tcPr>
            <w:tcW w:w="1187" w:type="dxa"/>
            <w:vMerge w:val="restart"/>
            <w:tcBorders>
              <w:top w:val="single" w:sz="18" w:space="0" w:color="BFBFBF" w:themeColor="background1" w:themeShade="BF"/>
              <w:left w:val="single" w:sz="18" w:space="0" w:color="C0C0C0"/>
              <w:right w:val="single" w:sz="18" w:space="0" w:color="BFBFBF"/>
            </w:tcBorders>
            <w:shd w:val="clear" w:color="auto" w:fill="FFFF00"/>
            <w:vAlign w:val="center"/>
          </w:tcPr>
          <w:p w14:paraId="023F7BD7" w14:textId="14647713" w:rsidR="002A1E55" w:rsidRPr="00780953" w:rsidRDefault="002A1E55" w:rsidP="00236E17">
            <w:pPr>
              <w:jc w:val="center"/>
              <w:rPr>
                <w:rFonts w:ascii="Arial Narrow" w:hAnsi="Arial Narrow" w:cs="Arial"/>
                <w:b/>
                <w:bCs/>
                <w:color w:val="000000"/>
                <w:sz w:val="16"/>
                <w:szCs w:val="16"/>
              </w:rPr>
            </w:pPr>
            <w:r w:rsidRPr="00780953">
              <w:rPr>
                <w:rFonts w:ascii="Arial Narrow" w:hAnsi="Arial Narrow" w:cs="Arial"/>
                <w:b/>
                <w:bCs/>
                <w:color w:val="000000"/>
                <w:sz w:val="16"/>
                <w:szCs w:val="16"/>
              </w:rPr>
              <w:t>21</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972A9"/>
            <w:vAlign w:val="center"/>
          </w:tcPr>
          <w:p w14:paraId="587EA42C" w14:textId="38F4A701" w:rsidR="002A1E55" w:rsidRPr="00780953" w:rsidRDefault="002A1E55" w:rsidP="00236E17">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22</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0D6D0741" w14:textId="37A3A598"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23</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ABBF5DF" w14:textId="77777777" w:rsidR="002A1E55" w:rsidRPr="008D6D06" w:rsidRDefault="002A1E55" w:rsidP="00C344F6">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7D43AC4" w14:textId="08E485D2" w:rsidR="002A1E55" w:rsidRPr="00777033" w:rsidRDefault="00A01211" w:rsidP="00C344F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2A1E55" w:rsidRPr="00BC2C5D" w14:paraId="34007CA4" w14:textId="77777777" w:rsidTr="000D6508">
        <w:trPr>
          <w:trHeight w:val="285"/>
        </w:trPr>
        <w:tc>
          <w:tcPr>
            <w:tcW w:w="1418" w:type="dxa"/>
            <w:vMerge/>
            <w:tcBorders>
              <w:left w:val="single" w:sz="18" w:space="0" w:color="auto"/>
              <w:right w:val="single" w:sz="18" w:space="0" w:color="C0C0C0"/>
            </w:tcBorders>
            <w:shd w:val="clear" w:color="auto" w:fill="auto"/>
            <w:vAlign w:val="center"/>
          </w:tcPr>
          <w:p w14:paraId="2646E3E2" w14:textId="77777777" w:rsidR="002A1E55" w:rsidRDefault="002A1E55"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08A121D5" w14:textId="77777777" w:rsidR="002A1E55" w:rsidRPr="008D6D06" w:rsidRDefault="002A1E55" w:rsidP="00C344F6">
            <w:pPr>
              <w:jc w:val="center"/>
              <w:rPr>
                <w:rFonts w:ascii="Arial Narrow" w:hAnsi="Arial Narrow" w:cs="Arial"/>
                <w:color w:val="000000"/>
                <w:sz w:val="16"/>
                <w:szCs w:val="16"/>
              </w:rPr>
            </w:pPr>
          </w:p>
        </w:tc>
        <w:tc>
          <w:tcPr>
            <w:tcW w:w="1187" w:type="dxa"/>
            <w:vMerge/>
            <w:tcBorders>
              <w:left w:val="single" w:sz="18" w:space="0" w:color="C0C0C0"/>
              <w:right w:val="single" w:sz="18" w:space="0" w:color="BFBFBF"/>
            </w:tcBorders>
            <w:shd w:val="clear" w:color="auto" w:fill="FFFF00"/>
            <w:vAlign w:val="center"/>
          </w:tcPr>
          <w:p w14:paraId="289B9BDB" w14:textId="77777777" w:rsidR="002A1E55" w:rsidRPr="00780953" w:rsidRDefault="002A1E55" w:rsidP="00236E17">
            <w:pPr>
              <w:jc w:val="center"/>
              <w:rPr>
                <w:rFonts w:ascii="Arial Narrow" w:hAnsi="Arial Narrow" w:cs="Arial"/>
                <w:b/>
                <w:bCs/>
                <w:color w:val="000000"/>
                <w:sz w:val="16"/>
                <w:szCs w:val="16"/>
              </w:rPr>
            </w:pPr>
          </w:p>
        </w:tc>
        <w:tc>
          <w:tcPr>
            <w:tcW w:w="1162" w:type="dxa"/>
            <w:vMerge/>
            <w:tcBorders>
              <w:left w:val="single" w:sz="18" w:space="0" w:color="BFBFBF"/>
              <w:right w:val="single" w:sz="18" w:space="0" w:color="C0C0C0"/>
            </w:tcBorders>
            <w:shd w:val="clear" w:color="auto" w:fill="A972A9"/>
            <w:vAlign w:val="center"/>
          </w:tcPr>
          <w:p w14:paraId="74B6F23A" w14:textId="77777777" w:rsidR="002A1E55" w:rsidRPr="00780953" w:rsidRDefault="002A1E55" w:rsidP="00236E17">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C0C0C0"/>
              <w:right w:val="single" w:sz="18" w:space="0" w:color="C0C0C0"/>
            </w:tcBorders>
            <w:shd w:val="clear" w:color="auto" w:fill="769250"/>
            <w:vAlign w:val="center"/>
          </w:tcPr>
          <w:p w14:paraId="29779AD3" w14:textId="5A87CE64"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23</w:t>
            </w:r>
          </w:p>
        </w:tc>
        <w:tc>
          <w:tcPr>
            <w:tcW w:w="1162" w:type="dxa"/>
            <w:vMerge/>
            <w:tcBorders>
              <w:left w:val="single" w:sz="18" w:space="0" w:color="C0C0C0"/>
              <w:right w:val="single" w:sz="18" w:space="0" w:color="auto"/>
            </w:tcBorders>
            <w:shd w:val="clear" w:color="auto" w:fill="auto"/>
            <w:vAlign w:val="center"/>
          </w:tcPr>
          <w:p w14:paraId="6C7B5EF3" w14:textId="77777777" w:rsidR="002A1E55" w:rsidRPr="008D6D06" w:rsidRDefault="002A1E55"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53F6895C" w14:textId="77777777" w:rsidR="002A1E55" w:rsidRPr="008D6D06" w:rsidRDefault="002A1E55" w:rsidP="00C344F6">
            <w:pPr>
              <w:jc w:val="center"/>
              <w:rPr>
                <w:rFonts w:ascii="Arial Narrow" w:hAnsi="Arial Narrow"/>
                <w:sz w:val="16"/>
                <w:szCs w:val="16"/>
              </w:rPr>
            </w:pPr>
          </w:p>
        </w:tc>
      </w:tr>
      <w:tr w:rsidR="002A1E55" w:rsidRPr="00BC2C5D" w14:paraId="307A9FC1" w14:textId="77777777" w:rsidTr="000D6508">
        <w:trPr>
          <w:trHeight w:val="285"/>
        </w:trPr>
        <w:tc>
          <w:tcPr>
            <w:tcW w:w="1418"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4CC4584E" w:rsidR="002A1E55" w:rsidRPr="00390B39" w:rsidRDefault="002A1E55" w:rsidP="00C344F6">
            <w:pPr>
              <w:jc w:val="center"/>
              <w:rPr>
                <w:rFonts w:ascii="Arial Narrow" w:hAnsi="Arial Narrow" w:cs="Arial"/>
                <w:sz w:val="16"/>
                <w:szCs w:val="16"/>
              </w:rPr>
            </w:pPr>
            <w:r>
              <w:rPr>
                <w:rFonts w:ascii="Arial Narrow" w:hAnsi="Arial Narrow" w:cs="Arial"/>
                <w:sz w:val="16"/>
                <w:szCs w:val="16"/>
              </w:rPr>
              <w:t>27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B552431" w14:textId="77777777" w:rsidR="002A1E55" w:rsidRPr="008D6D06" w:rsidRDefault="002A1E55" w:rsidP="00C344F6">
            <w:pPr>
              <w:jc w:val="center"/>
              <w:rPr>
                <w:rFonts w:ascii="Arial Narrow" w:hAnsi="Arial Narrow" w:cs="Arial"/>
                <w:color w:val="000000"/>
                <w:sz w:val="16"/>
                <w:szCs w:val="16"/>
              </w:rPr>
            </w:pPr>
          </w:p>
        </w:tc>
        <w:tc>
          <w:tcPr>
            <w:tcW w:w="1187" w:type="dxa"/>
            <w:vMerge w:val="restart"/>
            <w:tcBorders>
              <w:top w:val="single" w:sz="18" w:space="0" w:color="BFBFBF"/>
              <w:left w:val="single" w:sz="18" w:space="0" w:color="C0C0C0"/>
              <w:right w:val="single" w:sz="18" w:space="0" w:color="BFBFBF"/>
            </w:tcBorders>
            <w:shd w:val="clear" w:color="auto" w:fill="FF0000"/>
            <w:vAlign w:val="center"/>
          </w:tcPr>
          <w:p w14:paraId="7C5A4051" w14:textId="1FA21FAF"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28</w:t>
            </w:r>
          </w:p>
        </w:tc>
        <w:tc>
          <w:tcPr>
            <w:tcW w:w="1162"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2D625F6F" w14:textId="40DAED28"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29</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31F3F07A" w14:textId="69573FD4" w:rsidR="002A1E55" w:rsidRPr="00780953" w:rsidRDefault="002A1E55" w:rsidP="00236E17">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30</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65D5946" w14:textId="77777777" w:rsidR="002A1E55" w:rsidRPr="008D6D06" w:rsidRDefault="002A1E55" w:rsidP="00C344F6">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7636D447" w14:textId="42568CCD" w:rsidR="002A1E55" w:rsidRPr="008D6D06" w:rsidRDefault="002A1E55" w:rsidP="00C344F6">
            <w:pPr>
              <w:jc w:val="center"/>
              <w:rPr>
                <w:rFonts w:ascii="Arial Narrow" w:hAnsi="Arial Narrow"/>
                <w:sz w:val="16"/>
                <w:szCs w:val="16"/>
              </w:rPr>
            </w:pPr>
          </w:p>
        </w:tc>
      </w:tr>
      <w:tr w:rsidR="002A1E55" w:rsidRPr="00BC2C5D" w14:paraId="1B7D3AB0" w14:textId="77777777" w:rsidTr="000D6508">
        <w:trPr>
          <w:trHeight w:val="285"/>
        </w:trPr>
        <w:tc>
          <w:tcPr>
            <w:tcW w:w="1418" w:type="dxa"/>
            <w:vMerge/>
            <w:tcBorders>
              <w:left w:val="single" w:sz="18" w:space="0" w:color="auto"/>
              <w:right w:val="single" w:sz="18" w:space="0" w:color="C0C0C0"/>
            </w:tcBorders>
            <w:shd w:val="clear" w:color="auto" w:fill="auto"/>
            <w:vAlign w:val="center"/>
          </w:tcPr>
          <w:p w14:paraId="759E829C" w14:textId="77777777" w:rsidR="002A1E55" w:rsidRDefault="002A1E55"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5D059F25" w14:textId="77777777" w:rsidR="002A1E55" w:rsidRPr="008D6D06" w:rsidRDefault="002A1E55" w:rsidP="00C344F6">
            <w:pPr>
              <w:jc w:val="center"/>
              <w:rPr>
                <w:rFonts w:ascii="Arial Narrow" w:hAnsi="Arial Narrow" w:cs="Arial"/>
                <w:color w:val="000000"/>
                <w:sz w:val="16"/>
                <w:szCs w:val="16"/>
              </w:rPr>
            </w:pPr>
          </w:p>
        </w:tc>
        <w:tc>
          <w:tcPr>
            <w:tcW w:w="1187" w:type="dxa"/>
            <w:vMerge/>
            <w:tcBorders>
              <w:left w:val="single" w:sz="18" w:space="0" w:color="C0C0C0"/>
              <w:right w:val="single" w:sz="18" w:space="0" w:color="BFBFBF"/>
            </w:tcBorders>
            <w:shd w:val="clear" w:color="auto" w:fill="FF0000"/>
            <w:vAlign w:val="center"/>
          </w:tcPr>
          <w:p w14:paraId="3BB72DAD" w14:textId="77777777" w:rsidR="002A1E55" w:rsidRDefault="002A1E55" w:rsidP="00C344F6">
            <w:pPr>
              <w:jc w:val="center"/>
              <w:rPr>
                <w:rFonts w:ascii="Arial Narrow" w:hAnsi="Arial Narrow" w:cs="Arial"/>
                <w:color w:val="000000"/>
                <w:sz w:val="16"/>
                <w:szCs w:val="16"/>
              </w:rPr>
            </w:pPr>
          </w:p>
        </w:tc>
        <w:tc>
          <w:tcPr>
            <w:tcW w:w="1162" w:type="dxa"/>
            <w:tcBorders>
              <w:top w:val="nil"/>
              <w:left w:val="single" w:sz="18" w:space="0" w:color="BFBFBF"/>
              <w:bottom w:val="single" w:sz="18" w:space="0" w:color="auto"/>
              <w:right w:val="single" w:sz="18" w:space="0" w:color="C0C0C0"/>
            </w:tcBorders>
            <w:shd w:val="clear" w:color="auto" w:fill="31849B"/>
            <w:vAlign w:val="center"/>
          </w:tcPr>
          <w:p w14:paraId="7D601A83" w14:textId="1D481688" w:rsidR="002A1E55" w:rsidRPr="00780953" w:rsidRDefault="002A1E55" w:rsidP="00C344F6">
            <w:pPr>
              <w:jc w:val="center"/>
              <w:rPr>
                <w:rFonts w:ascii="Arial Narrow" w:hAnsi="Arial Narrow" w:cs="Arial"/>
                <w:b/>
                <w:bCs/>
                <w:color w:val="FFFFFF" w:themeColor="background1"/>
                <w:sz w:val="16"/>
                <w:szCs w:val="16"/>
              </w:rPr>
            </w:pPr>
            <w:r w:rsidRPr="00780953">
              <w:rPr>
                <w:rFonts w:ascii="Arial Narrow" w:hAnsi="Arial Narrow" w:cs="Arial"/>
                <w:b/>
                <w:bCs/>
                <w:color w:val="FFFFFF" w:themeColor="background1"/>
                <w:sz w:val="16"/>
                <w:szCs w:val="16"/>
              </w:rPr>
              <w:t>29</w:t>
            </w:r>
          </w:p>
        </w:tc>
        <w:tc>
          <w:tcPr>
            <w:tcW w:w="1162" w:type="dxa"/>
            <w:vMerge/>
            <w:tcBorders>
              <w:left w:val="single" w:sz="18" w:space="0" w:color="C0C0C0"/>
              <w:right w:val="single" w:sz="18" w:space="0" w:color="C0C0C0"/>
            </w:tcBorders>
            <w:shd w:val="clear" w:color="auto" w:fill="FF0000"/>
            <w:vAlign w:val="center"/>
          </w:tcPr>
          <w:p w14:paraId="6AE61D88" w14:textId="77777777" w:rsidR="002A1E55" w:rsidRDefault="002A1E55" w:rsidP="00236E17">
            <w:pPr>
              <w:jc w:val="center"/>
              <w:rPr>
                <w:rFonts w:ascii="Arial Narrow" w:hAnsi="Arial Narrow" w:cs="Arial"/>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1907D3AF" w14:textId="77777777" w:rsidR="002A1E55" w:rsidRPr="008D6D06" w:rsidRDefault="002A1E55"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5C509BFE" w14:textId="77777777" w:rsidR="002A1E55" w:rsidRPr="008D6D06" w:rsidRDefault="002A1E55" w:rsidP="00C344F6">
            <w:pPr>
              <w:jc w:val="center"/>
              <w:rPr>
                <w:rFonts w:ascii="Arial Narrow" w:hAnsi="Arial Narrow"/>
                <w:sz w:val="16"/>
                <w:szCs w:val="16"/>
              </w:rPr>
            </w:pPr>
          </w:p>
        </w:tc>
      </w:tr>
      <w:tr w:rsidR="00C344F6" w:rsidRPr="00BC2C5D" w14:paraId="04B98309" w14:textId="77777777" w:rsidTr="00AF027A">
        <w:trPr>
          <w:trHeight w:val="567"/>
        </w:trPr>
        <w:tc>
          <w:tcPr>
            <w:tcW w:w="1418" w:type="dxa"/>
            <w:tcBorders>
              <w:top w:val="single" w:sz="18" w:space="0" w:color="auto"/>
              <w:left w:val="single" w:sz="18" w:space="0" w:color="auto"/>
              <w:bottom w:val="single" w:sz="18" w:space="0" w:color="C0C0C0"/>
              <w:right w:val="single" w:sz="18" w:space="0" w:color="C0C0C0"/>
            </w:tcBorders>
            <w:shd w:val="clear" w:color="auto" w:fill="auto"/>
            <w:vAlign w:val="center"/>
          </w:tcPr>
          <w:p w14:paraId="6B4F819B" w14:textId="44E14F58" w:rsidR="00C344F6" w:rsidRPr="00390B39" w:rsidRDefault="00444C25" w:rsidP="00C344F6">
            <w:pPr>
              <w:jc w:val="center"/>
              <w:rPr>
                <w:rFonts w:ascii="Arial Narrow" w:hAnsi="Arial Narrow" w:cs="Arial"/>
                <w:sz w:val="16"/>
                <w:szCs w:val="16"/>
              </w:rPr>
            </w:pPr>
            <w:r>
              <w:rPr>
                <w:rFonts w:ascii="Arial Narrow" w:hAnsi="Arial Narrow" w:cs="Arial"/>
                <w:sz w:val="16"/>
                <w:szCs w:val="16"/>
              </w:rPr>
              <w:t>3 April</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642C16FC" w14:textId="53CD6DE2" w:rsidR="00C344F6" w:rsidRPr="003F55C0" w:rsidRDefault="00C344F6" w:rsidP="00C344F6">
            <w:pPr>
              <w:jc w:val="center"/>
              <w:rPr>
                <w:rFonts w:ascii="Arial Narrow" w:hAnsi="Arial Narrow" w:cs="Arial"/>
                <w:sz w:val="16"/>
                <w:szCs w:val="16"/>
              </w:rPr>
            </w:pPr>
          </w:p>
        </w:tc>
        <w:tc>
          <w:tcPr>
            <w:tcW w:w="1187"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0A7AAF2C" w14:textId="7AD33B1D" w:rsidR="00C344F6" w:rsidRPr="003F55C0" w:rsidRDefault="00C344F6" w:rsidP="00C344F6">
            <w:pPr>
              <w:jc w:val="center"/>
              <w:rPr>
                <w:rFonts w:ascii="Arial Narrow" w:hAnsi="Arial Narrow" w:cs="Arial"/>
                <w:sz w:val="16"/>
                <w:szCs w:val="16"/>
              </w:rPr>
            </w:pP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F9ED47F" w14:textId="01CB8248" w:rsidR="00C344F6" w:rsidRPr="003F55C0" w:rsidRDefault="00C344F6" w:rsidP="00C344F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2B4AD7BE" w14:textId="77777777" w:rsidR="00C344F6" w:rsidRPr="003F55C0" w:rsidRDefault="00C344F6" w:rsidP="00C344F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71435210" w14:textId="6E955396" w:rsidR="00C344F6" w:rsidRPr="003F55C0" w:rsidRDefault="00F0402C" w:rsidP="00C344F6">
            <w:pPr>
              <w:jc w:val="center"/>
              <w:rPr>
                <w:rFonts w:ascii="Arial Narrow" w:hAnsi="Arial Narrow" w:cs="Arial"/>
                <w:sz w:val="16"/>
                <w:szCs w:val="16"/>
              </w:rPr>
            </w:pPr>
            <w:r w:rsidRPr="00236E17">
              <w:rPr>
                <w:rFonts w:ascii="Arial Narrow" w:hAnsi="Arial Narrow" w:cs="Arial"/>
                <w:b/>
                <w:bCs/>
                <w:sz w:val="16"/>
                <w:szCs w:val="16"/>
              </w:rPr>
              <w:t>Public Holiday</w:t>
            </w: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D9D9D9"/>
            <w:vAlign w:val="center"/>
          </w:tcPr>
          <w:p w14:paraId="26AB084B" w14:textId="4C02BA05" w:rsidR="004F6F17" w:rsidRPr="004F6F17" w:rsidRDefault="004F6F17" w:rsidP="004F6F17">
            <w:pPr>
              <w:jc w:val="center"/>
              <w:rPr>
                <w:rFonts w:ascii="Arial Narrow" w:hAnsi="Arial Narrow"/>
                <w:color w:val="31849B"/>
                <w:sz w:val="16"/>
                <w:szCs w:val="16"/>
              </w:rPr>
            </w:pPr>
            <w:r w:rsidRPr="008D6D06">
              <w:rPr>
                <w:rFonts w:ascii="Arial Narrow" w:hAnsi="Arial Narrow"/>
                <w:color w:val="31849B"/>
                <w:sz w:val="16"/>
                <w:szCs w:val="16"/>
              </w:rPr>
              <w:t>Cooktown – Circuit</w:t>
            </w:r>
          </w:p>
          <w:p w14:paraId="3EB018F0" w14:textId="427F3F45" w:rsidR="00C344F6" w:rsidRPr="004F6F17" w:rsidRDefault="0049752C" w:rsidP="004F6F17">
            <w:pPr>
              <w:jc w:val="center"/>
              <w:rPr>
                <w:rFonts w:ascii="Arial Narrow" w:hAnsi="Arial Narrow" w:cs="Arial"/>
                <w:b/>
                <w:bCs/>
                <w:sz w:val="16"/>
                <w:szCs w:val="16"/>
              </w:rPr>
            </w:pPr>
            <w:r>
              <w:rPr>
                <w:rFonts w:ascii="Arial Narrow" w:hAnsi="Arial Narrow" w:cs="Arial"/>
                <w:b/>
                <w:bCs/>
                <w:sz w:val="16"/>
                <w:szCs w:val="16"/>
              </w:rPr>
              <w:t>7</w:t>
            </w:r>
            <w:r w:rsidR="004F6F17">
              <w:rPr>
                <w:rFonts w:ascii="Arial Narrow" w:hAnsi="Arial Narrow" w:cs="Arial"/>
                <w:b/>
                <w:bCs/>
                <w:sz w:val="16"/>
                <w:szCs w:val="16"/>
              </w:rPr>
              <w:t>th</w:t>
            </w:r>
            <w:r w:rsidRPr="007E2969">
              <w:rPr>
                <w:rFonts w:ascii="Arial Narrow" w:hAnsi="Arial Narrow" w:cs="Arial"/>
                <w:b/>
                <w:bCs/>
                <w:sz w:val="16"/>
                <w:szCs w:val="16"/>
              </w:rPr>
              <w:t xml:space="preserve"> </w:t>
            </w:r>
            <w:r>
              <w:rPr>
                <w:rFonts w:ascii="Arial Narrow" w:hAnsi="Arial Narrow" w:cs="Arial"/>
                <w:b/>
                <w:bCs/>
                <w:sz w:val="16"/>
                <w:szCs w:val="16"/>
              </w:rPr>
              <w:t>–</w:t>
            </w:r>
            <w:r w:rsidRPr="007E2969">
              <w:rPr>
                <w:rFonts w:ascii="Arial Narrow" w:hAnsi="Arial Narrow" w:cs="Arial"/>
                <w:b/>
                <w:bCs/>
                <w:sz w:val="16"/>
                <w:szCs w:val="16"/>
              </w:rPr>
              <w:t xml:space="preserve"> </w:t>
            </w:r>
            <w:r>
              <w:rPr>
                <w:rFonts w:ascii="Arial Narrow" w:hAnsi="Arial Narrow" w:cs="Arial"/>
                <w:b/>
                <w:bCs/>
                <w:sz w:val="16"/>
                <w:szCs w:val="16"/>
              </w:rPr>
              <w:t>Good Friday</w:t>
            </w:r>
          </w:p>
        </w:tc>
      </w:tr>
      <w:tr w:rsidR="003F55C0" w:rsidRPr="00BC2C5D" w14:paraId="1920F1D5" w14:textId="77777777" w:rsidTr="00AF027A">
        <w:trPr>
          <w:trHeight w:val="567"/>
        </w:trPr>
        <w:tc>
          <w:tcPr>
            <w:tcW w:w="1418" w:type="dxa"/>
            <w:tcBorders>
              <w:top w:val="single" w:sz="18" w:space="0" w:color="C0C0C0"/>
              <w:left w:val="single" w:sz="18" w:space="0" w:color="auto"/>
              <w:bottom w:val="single" w:sz="18" w:space="0" w:color="FFFFFF"/>
              <w:right w:val="single" w:sz="18" w:space="0" w:color="C0C0C0"/>
            </w:tcBorders>
            <w:shd w:val="clear" w:color="auto" w:fill="auto"/>
            <w:vAlign w:val="center"/>
          </w:tcPr>
          <w:p w14:paraId="79CA0660" w14:textId="35355F1F" w:rsidR="003F55C0" w:rsidRPr="00A634FA" w:rsidRDefault="003F55C0" w:rsidP="00C344F6">
            <w:pPr>
              <w:jc w:val="center"/>
              <w:rPr>
                <w:rFonts w:ascii="Arial Narrow" w:hAnsi="Arial Narrow" w:cs="Arial"/>
                <w:sz w:val="16"/>
                <w:szCs w:val="16"/>
              </w:rPr>
            </w:pPr>
            <w:r>
              <w:rPr>
                <w:rFonts w:ascii="Arial Narrow" w:hAnsi="Arial Narrow" w:cs="Arial"/>
                <w:sz w:val="16"/>
                <w:szCs w:val="16"/>
              </w:rPr>
              <w:t>10 April</w:t>
            </w:r>
          </w:p>
        </w:tc>
        <w:tc>
          <w:tcPr>
            <w:tcW w:w="1134" w:type="dxa"/>
            <w:tcBorders>
              <w:top w:val="single" w:sz="18" w:space="0" w:color="C0C0C0"/>
              <w:left w:val="single" w:sz="18" w:space="0" w:color="C0C0C0"/>
              <w:bottom w:val="single" w:sz="18" w:space="0" w:color="FFFFFF"/>
              <w:right w:val="single" w:sz="18" w:space="0" w:color="C0C0C0"/>
            </w:tcBorders>
            <w:shd w:val="clear" w:color="auto" w:fill="D9D9D9"/>
            <w:vAlign w:val="center"/>
          </w:tcPr>
          <w:p w14:paraId="56638F21" w14:textId="71B4982D" w:rsidR="003F55C0" w:rsidRPr="003F55C0" w:rsidRDefault="00F0402C" w:rsidP="00C344F6">
            <w:pPr>
              <w:jc w:val="center"/>
              <w:rPr>
                <w:rFonts w:ascii="Arial Narrow" w:hAnsi="Arial Narrow" w:cs="Arial"/>
                <w:sz w:val="16"/>
                <w:szCs w:val="16"/>
              </w:rPr>
            </w:pPr>
            <w:r w:rsidRPr="00236E17">
              <w:rPr>
                <w:rFonts w:ascii="Arial Narrow" w:hAnsi="Arial Narrow" w:cs="Arial"/>
                <w:b/>
                <w:bCs/>
                <w:sz w:val="16"/>
                <w:szCs w:val="16"/>
              </w:rPr>
              <w:t>Public Holiday</w:t>
            </w:r>
          </w:p>
        </w:tc>
        <w:tc>
          <w:tcPr>
            <w:tcW w:w="1187" w:type="dxa"/>
            <w:tcBorders>
              <w:top w:val="single" w:sz="18" w:space="0" w:color="C0C0C0"/>
              <w:left w:val="single" w:sz="18" w:space="0" w:color="C0C0C0"/>
              <w:bottom w:val="single" w:sz="18" w:space="0" w:color="FFFFFF"/>
              <w:right w:val="single" w:sz="18" w:space="0" w:color="BFBFBF"/>
            </w:tcBorders>
            <w:shd w:val="clear" w:color="auto" w:fill="D9D9D9"/>
            <w:vAlign w:val="center"/>
          </w:tcPr>
          <w:p w14:paraId="4476C160" w14:textId="0B8F4E64" w:rsidR="003F55C0" w:rsidRPr="003F55C0" w:rsidRDefault="003F55C0" w:rsidP="00C344F6">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1AE5584B" w14:textId="63353717" w:rsidR="003F55C0" w:rsidRPr="003F55C0" w:rsidRDefault="003F55C0"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FFFFFF"/>
              <w:right w:val="single" w:sz="18" w:space="0" w:color="C0C0C0"/>
            </w:tcBorders>
            <w:shd w:val="clear" w:color="auto" w:fill="D9D9D9"/>
            <w:vAlign w:val="center"/>
          </w:tcPr>
          <w:p w14:paraId="6B78F59B" w14:textId="7EA38BC0" w:rsidR="003F55C0" w:rsidRPr="003F55C0" w:rsidRDefault="003F55C0"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FFFFFF"/>
              <w:right w:val="single" w:sz="18" w:space="0" w:color="auto"/>
            </w:tcBorders>
            <w:shd w:val="clear" w:color="auto" w:fill="D9D9D9"/>
            <w:vAlign w:val="center"/>
          </w:tcPr>
          <w:p w14:paraId="1A733CA3" w14:textId="0748470A" w:rsidR="003F55C0" w:rsidRPr="003F55C0" w:rsidRDefault="003F55C0" w:rsidP="00C344F6">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FFFFFF"/>
              <w:right w:val="single" w:sz="18" w:space="0" w:color="auto"/>
            </w:tcBorders>
            <w:shd w:val="clear" w:color="auto" w:fill="D9D9D9"/>
            <w:vAlign w:val="center"/>
          </w:tcPr>
          <w:p w14:paraId="51EA0079" w14:textId="7389EE9D" w:rsidR="003F55C0" w:rsidRPr="0049752C" w:rsidRDefault="0049752C" w:rsidP="0049752C">
            <w:pPr>
              <w:jc w:val="center"/>
              <w:rPr>
                <w:rFonts w:ascii="Arial Narrow" w:hAnsi="Arial Narrow" w:cs="Arial"/>
                <w:b/>
                <w:bCs/>
                <w:sz w:val="16"/>
                <w:szCs w:val="16"/>
              </w:rPr>
            </w:pPr>
            <w:r>
              <w:rPr>
                <w:rFonts w:ascii="Arial Narrow" w:hAnsi="Arial Narrow" w:cs="Arial"/>
                <w:b/>
                <w:bCs/>
                <w:sz w:val="16"/>
                <w:szCs w:val="16"/>
              </w:rPr>
              <w:t>10</w:t>
            </w:r>
            <w:r w:rsidR="004F6F17">
              <w:rPr>
                <w:rFonts w:ascii="Arial Narrow" w:hAnsi="Arial Narrow" w:cs="Arial"/>
                <w:b/>
                <w:bCs/>
                <w:sz w:val="16"/>
                <w:szCs w:val="16"/>
              </w:rPr>
              <w:t>th</w:t>
            </w:r>
            <w:r w:rsidR="004F6F17" w:rsidRPr="007E2969">
              <w:rPr>
                <w:rFonts w:ascii="Arial Narrow" w:hAnsi="Arial Narrow" w:cs="Arial"/>
                <w:b/>
                <w:bCs/>
                <w:sz w:val="16"/>
                <w:szCs w:val="16"/>
              </w:rPr>
              <w:t xml:space="preserve"> </w:t>
            </w:r>
            <w:r>
              <w:rPr>
                <w:rFonts w:ascii="Arial Narrow" w:hAnsi="Arial Narrow" w:cs="Arial"/>
                <w:b/>
                <w:bCs/>
                <w:sz w:val="16"/>
                <w:szCs w:val="16"/>
              </w:rPr>
              <w:t>–</w:t>
            </w:r>
            <w:r w:rsidRPr="007E2969">
              <w:rPr>
                <w:rFonts w:ascii="Arial Narrow" w:hAnsi="Arial Narrow" w:cs="Arial"/>
                <w:b/>
                <w:bCs/>
                <w:sz w:val="16"/>
                <w:szCs w:val="16"/>
              </w:rPr>
              <w:t xml:space="preserve"> </w:t>
            </w:r>
            <w:r>
              <w:rPr>
                <w:rFonts w:ascii="Arial Narrow" w:hAnsi="Arial Narrow" w:cs="Arial"/>
                <w:b/>
                <w:bCs/>
                <w:sz w:val="16"/>
                <w:szCs w:val="16"/>
              </w:rPr>
              <w:t>Easter Monday</w:t>
            </w:r>
          </w:p>
        </w:tc>
      </w:tr>
      <w:tr w:rsidR="00F0402C" w:rsidRPr="00BC2C5D" w14:paraId="3D55130B" w14:textId="77777777" w:rsidTr="000D6508">
        <w:trPr>
          <w:trHeight w:val="285"/>
        </w:trPr>
        <w:tc>
          <w:tcPr>
            <w:tcW w:w="1418" w:type="dxa"/>
            <w:vMerge w:val="restart"/>
            <w:tcBorders>
              <w:top w:val="single" w:sz="18" w:space="0" w:color="C0C0C0"/>
              <w:left w:val="single" w:sz="18" w:space="0" w:color="auto"/>
              <w:right w:val="single" w:sz="18" w:space="0" w:color="C0C0C0"/>
            </w:tcBorders>
            <w:shd w:val="clear" w:color="auto" w:fill="auto"/>
            <w:vAlign w:val="center"/>
          </w:tcPr>
          <w:p w14:paraId="50A09688" w14:textId="77940CB2" w:rsidR="00F0402C" w:rsidRPr="00A634FA" w:rsidRDefault="00F0402C" w:rsidP="00C344F6">
            <w:pPr>
              <w:jc w:val="center"/>
              <w:rPr>
                <w:rFonts w:ascii="Arial Narrow" w:hAnsi="Arial Narrow" w:cs="Arial"/>
                <w:sz w:val="16"/>
                <w:szCs w:val="16"/>
              </w:rPr>
            </w:pPr>
            <w:r>
              <w:rPr>
                <w:rFonts w:ascii="Arial Narrow" w:hAnsi="Arial Narrow" w:cs="Arial"/>
                <w:sz w:val="16"/>
                <w:szCs w:val="16"/>
              </w:rPr>
              <w:t>17 April</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3BBBD21F" w14:textId="65239E46" w:rsidR="00F0402C" w:rsidRPr="003F55C0" w:rsidRDefault="00F0402C" w:rsidP="00C344F6">
            <w:pPr>
              <w:jc w:val="center"/>
              <w:rPr>
                <w:rFonts w:ascii="Arial Narrow" w:hAnsi="Arial Narrow" w:cs="Arial"/>
                <w:sz w:val="16"/>
                <w:szCs w:val="16"/>
              </w:rPr>
            </w:pPr>
          </w:p>
        </w:tc>
        <w:tc>
          <w:tcPr>
            <w:tcW w:w="1187" w:type="dxa"/>
            <w:vMerge w:val="restart"/>
            <w:tcBorders>
              <w:top w:val="single" w:sz="18" w:space="0" w:color="C0C0C0"/>
              <w:left w:val="single" w:sz="18" w:space="0" w:color="C0C0C0"/>
              <w:right w:val="single" w:sz="18" w:space="0" w:color="BFBFBF"/>
            </w:tcBorders>
            <w:shd w:val="clear" w:color="auto" w:fill="FFFF00"/>
            <w:vAlign w:val="center"/>
          </w:tcPr>
          <w:p w14:paraId="2F78CCA0" w14:textId="06E88079" w:rsidR="00F0402C" w:rsidRPr="0061719A" w:rsidRDefault="00F0402C" w:rsidP="00C344F6">
            <w:pPr>
              <w:jc w:val="center"/>
              <w:rPr>
                <w:rFonts w:ascii="Arial Narrow" w:hAnsi="Arial Narrow" w:cs="Arial"/>
                <w:b/>
                <w:bCs/>
                <w:sz w:val="16"/>
                <w:szCs w:val="16"/>
              </w:rPr>
            </w:pPr>
            <w:r w:rsidRPr="0061719A">
              <w:rPr>
                <w:rFonts w:ascii="Arial Narrow" w:hAnsi="Arial Narrow" w:cs="Arial"/>
                <w:b/>
                <w:bCs/>
                <w:sz w:val="16"/>
                <w:szCs w:val="16"/>
              </w:rPr>
              <w:t>18</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972A9"/>
            <w:vAlign w:val="center"/>
          </w:tcPr>
          <w:p w14:paraId="484ED60A" w14:textId="1C4331C4" w:rsidR="00F0402C" w:rsidRPr="0061719A" w:rsidRDefault="00F0402C" w:rsidP="00C344F6">
            <w:pPr>
              <w:jc w:val="center"/>
              <w:rPr>
                <w:rFonts w:ascii="Arial Narrow" w:hAnsi="Arial Narrow" w:cs="Arial"/>
                <w:b/>
                <w:bCs/>
                <w:color w:val="FFFFFF" w:themeColor="background1"/>
                <w:sz w:val="16"/>
                <w:szCs w:val="16"/>
              </w:rPr>
            </w:pPr>
            <w:r w:rsidRPr="0061719A">
              <w:rPr>
                <w:rFonts w:ascii="Arial Narrow" w:hAnsi="Arial Narrow" w:cs="Arial"/>
                <w:b/>
                <w:bCs/>
                <w:color w:val="FFFFFF" w:themeColor="background1"/>
                <w:sz w:val="16"/>
                <w:szCs w:val="16"/>
              </w:rPr>
              <w:t>19</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13761527" w14:textId="14C773D7" w:rsidR="00F0402C" w:rsidRPr="0061719A" w:rsidRDefault="00F0402C" w:rsidP="00C344F6">
            <w:pPr>
              <w:jc w:val="center"/>
              <w:rPr>
                <w:rFonts w:ascii="Arial Narrow" w:hAnsi="Arial Narrow" w:cs="Arial"/>
                <w:b/>
                <w:bCs/>
                <w:color w:val="FFFFFF" w:themeColor="background1"/>
                <w:sz w:val="16"/>
                <w:szCs w:val="16"/>
              </w:rPr>
            </w:pPr>
            <w:r w:rsidRPr="0061719A">
              <w:rPr>
                <w:rFonts w:ascii="Arial Narrow" w:hAnsi="Arial Narrow" w:cs="Arial"/>
                <w:b/>
                <w:bCs/>
                <w:color w:val="FFFFFF" w:themeColor="background1"/>
                <w:sz w:val="16"/>
                <w:szCs w:val="16"/>
              </w:rPr>
              <w:t>20</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341632A4" w14:textId="77777777" w:rsidR="00F0402C" w:rsidRPr="003F55C0" w:rsidRDefault="00F0402C" w:rsidP="00C344F6">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628687D" w14:textId="77777777" w:rsidR="00F0402C" w:rsidRDefault="004F6F17" w:rsidP="00C344F6">
            <w:pPr>
              <w:jc w:val="center"/>
              <w:rPr>
                <w:rFonts w:ascii="Arial Narrow" w:hAnsi="Arial Narrow"/>
                <w:color w:val="31849B"/>
                <w:sz w:val="16"/>
                <w:szCs w:val="16"/>
              </w:rPr>
            </w:pPr>
            <w:r w:rsidRPr="008805E5">
              <w:rPr>
                <w:rFonts w:ascii="Arial Narrow" w:hAnsi="Arial Narrow"/>
                <w:color w:val="31849B"/>
                <w:sz w:val="16"/>
                <w:szCs w:val="16"/>
              </w:rPr>
              <w:t>Aurukun Cape B Circuit</w:t>
            </w:r>
          </w:p>
          <w:p w14:paraId="184F82AE" w14:textId="473D49B1" w:rsidR="004F6F17" w:rsidRPr="00777033" w:rsidRDefault="004F6F17" w:rsidP="00C344F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F0402C" w:rsidRPr="00BC2C5D" w14:paraId="16C27DC2" w14:textId="77777777" w:rsidTr="000D6508">
        <w:trPr>
          <w:trHeight w:val="285"/>
        </w:trPr>
        <w:tc>
          <w:tcPr>
            <w:tcW w:w="1418" w:type="dxa"/>
            <w:vMerge/>
            <w:tcBorders>
              <w:left w:val="single" w:sz="18" w:space="0" w:color="auto"/>
              <w:bottom w:val="single" w:sz="18" w:space="0" w:color="C0C0C0"/>
              <w:right w:val="single" w:sz="18" w:space="0" w:color="C0C0C0"/>
            </w:tcBorders>
            <w:shd w:val="clear" w:color="auto" w:fill="auto"/>
            <w:vAlign w:val="center"/>
          </w:tcPr>
          <w:p w14:paraId="4F5C3348" w14:textId="77777777" w:rsidR="00F0402C" w:rsidRDefault="00F0402C" w:rsidP="00C344F6">
            <w:pPr>
              <w:jc w:val="center"/>
              <w:rPr>
                <w:rFonts w:ascii="Arial Narrow" w:hAnsi="Arial Narrow" w:cs="Arial"/>
                <w:sz w:val="16"/>
                <w:szCs w:val="16"/>
              </w:rPr>
            </w:pPr>
          </w:p>
        </w:tc>
        <w:tc>
          <w:tcPr>
            <w:tcW w:w="1134" w:type="dxa"/>
            <w:vMerge/>
            <w:tcBorders>
              <w:left w:val="single" w:sz="18" w:space="0" w:color="C0C0C0"/>
              <w:bottom w:val="single" w:sz="18" w:space="0" w:color="C0C0C0"/>
              <w:right w:val="single" w:sz="18" w:space="0" w:color="C0C0C0"/>
            </w:tcBorders>
            <w:shd w:val="clear" w:color="auto" w:fill="auto"/>
            <w:vAlign w:val="center"/>
          </w:tcPr>
          <w:p w14:paraId="1F284393" w14:textId="77777777" w:rsidR="00F0402C" w:rsidRPr="003F55C0" w:rsidRDefault="00F0402C" w:rsidP="00C344F6">
            <w:pPr>
              <w:jc w:val="center"/>
              <w:rPr>
                <w:rFonts w:ascii="Arial Narrow" w:hAnsi="Arial Narrow" w:cs="Arial"/>
                <w:sz w:val="16"/>
                <w:szCs w:val="16"/>
              </w:rPr>
            </w:pPr>
          </w:p>
        </w:tc>
        <w:tc>
          <w:tcPr>
            <w:tcW w:w="1187" w:type="dxa"/>
            <w:vMerge/>
            <w:tcBorders>
              <w:left w:val="single" w:sz="18" w:space="0" w:color="C0C0C0"/>
              <w:bottom w:val="single" w:sz="18" w:space="0" w:color="C0C0C0"/>
              <w:right w:val="single" w:sz="18" w:space="0" w:color="BFBFBF"/>
            </w:tcBorders>
            <w:shd w:val="clear" w:color="auto" w:fill="FFFF00"/>
            <w:vAlign w:val="center"/>
          </w:tcPr>
          <w:p w14:paraId="66B51FE3" w14:textId="77777777" w:rsidR="00F0402C" w:rsidRPr="0061719A" w:rsidRDefault="00F0402C" w:rsidP="00C344F6">
            <w:pPr>
              <w:jc w:val="center"/>
              <w:rPr>
                <w:rFonts w:ascii="Arial Narrow" w:hAnsi="Arial Narrow" w:cs="Arial"/>
                <w:b/>
                <w:bCs/>
                <w:sz w:val="16"/>
                <w:szCs w:val="16"/>
              </w:rPr>
            </w:pPr>
          </w:p>
        </w:tc>
        <w:tc>
          <w:tcPr>
            <w:tcW w:w="1162" w:type="dxa"/>
            <w:vMerge/>
            <w:tcBorders>
              <w:left w:val="single" w:sz="18" w:space="0" w:color="BFBFBF"/>
              <w:bottom w:val="single" w:sz="18" w:space="0" w:color="C0C0C0"/>
              <w:right w:val="single" w:sz="18" w:space="0" w:color="C0C0C0"/>
            </w:tcBorders>
            <w:shd w:val="clear" w:color="auto" w:fill="A972A9"/>
            <w:vAlign w:val="center"/>
          </w:tcPr>
          <w:p w14:paraId="4D953E3A" w14:textId="77777777" w:rsidR="00F0402C" w:rsidRPr="0061719A" w:rsidRDefault="00F0402C" w:rsidP="00C344F6">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C0C0C0"/>
              <w:right w:val="single" w:sz="18" w:space="0" w:color="C0C0C0"/>
            </w:tcBorders>
            <w:shd w:val="clear" w:color="auto" w:fill="769250"/>
            <w:vAlign w:val="center"/>
          </w:tcPr>
          <w:p w14:paraId="71810D16" w14:textId="04C8196E" w:rsidR="00F0402C" w:rsidRPr="0061719A" w:rsidRDefault="00F0402C" w:rsidP="00C344F6">
            <w:pPr>
              <w:jc w:val="center"/>
              <w:rPr>
                <w:rFonts w:ascii="Arial Narrow" w:hAnsi="Arial Narrow" w:cs="Arial"/>
                <w:b/>
                <w:bCs/>
                <w:color w:val="FFFFFF" w:themeColor="background1"/>
                <w:sz w:val="16"/>
                <w:szCs w:val="16"/>
              </w:rPr>
            </w:pPr>
            <w:r w:rsidRPr="0061719A">
              <w:rPr>
                <w:rFonts w:ascii="Arial Narrow" w:hAnsi="Arial Narrow" w:cs="Arial"/>
                <w:b/>
                <w:bCs/>
                <w:color w:val="FFFFFF" w:themeColor="background1"/>
                <w:sz w:val="16"/>
                <w:szCs w:val="16"/>
              </w:rPr>
              <w:t>20</w:t>
            </w:r>
          </w:p>
        </w:tc>
        <w:tc>
          <w:tcPr>
            <w:tcW w:w="1162" w:type="dxa"/>
            <w:vMerge/>
            <w:tcBorders>
              <w:left w:val="single" w:sz="18" w:space="0" w:color="C0C0C0"/>
              <w:bottom w:val="single" w:sz="18" w:space="0" w:color="C0C0C0"/>
              <w:right w:val="single" w:sz="18" w:space="0" w:color="auto"/>
            </w:tcBorders>
            <w:shd w:val="clear" w:color="auto" w:fill="auto"/>
            <w:vAlign w:val="center"/>
          </w:tcPr>
          <w:p w14:paraId="7EDFF2E9" w14:textId="77777777" w:rsidR="00F0402C" w:rsidRPr="003F55C0" w:rsidRDefault="00F0402C" w:rsidP="00C344F6">
            <w:pPr>
              <w:jc w:val="center"/>
              <w:rPr>
                <w:rFonts w:ascii="Arial Narrow" w:hAnsi="Arial Narrow" w:cs="Arial"/>
                <w:sz w:val="16"/>
                <w:szCs w:val="16"/>
              </w:rPr>
            </w:pPr>
          </w:p>
        </w:tc>
        <w:tc>
          <w:tcPr>
            <w:tcW w:w="3633" w:type="dxa"/>
            <w:gridSpan w:val="2"/>
            <w:vMerge/>
            <w:tcBorders>
              <w:left w:val="single" w:sz="18" w:space="0" w:color="auto"/>
              <w:bottom w:val="single" w:sz="18" w:space="0" w:color="C0C0C0"/>
              <w:right w:val="single" w:sz="18" w:space="0" w:color="auto"/>
            </w:tcBorders>
            <w:shd w:val="clear" w:color="auto" w:fill="auto"/>
            <w:vAlign w:val="center"/>
          </w:tcPr>
          <w:p w14:paraId="7076C077" w14:textId="77777777" w:rsidR="00F0402C" w:rsidRPr="0061719A" w:rsidRDefault="00F0402C" w:rsidP="00C344F6">
            <w:pPr>
              <w:jc w:val="center"/>
              <w:rPr>
                <w:rFonts w:ascii="Arial Narrow" w:hAnsi="Arial Narrow" w:cs="Arial"/>
                <w:sz w:val="16"/>
                <w:szCs w:val="16"/>
              </w:rPr>
            </w:pPr>
          </w:p>
        </w:tc>
      </w:tr>
      <w:tr w:rsidR="003F55C0" w:rsidRPr="00BC2C5D" w14:paraId="172CB696" w14:textId="77777777" w:rsidTr="00AF027A">
        <w:trPr>
          <w:trHeight w:val="567"/>
        </w:trPr>
        <w:tc>
          <w:tcPr>
            <w:tcW w:w="1418" w:type="dxa"/>
            <w:tcBorders>
              <w:top w:val="single" w:sz="18" w:space="0" w:color="C0C0C0"/>
              <w:left w:val="single" w:sz="18" w:space="0" w:color="auto"/>
              <w:bottom w:val="single" w:sz="18" w:space="0" w:color="auto"/>
              <w:right w:val="single" w:sz="18" w:space="0" w:color="C0C0C0"/>
            </w:tcBorders>
            <w:shd w:val="clear" w:color="auto" w:fill="auto"/>
            <w:vAlign w:val="center"/>
          </w:tcPr>
          <w:p w14:paraId="03C871EE" w14:textId="3A74645B" w:rsidR="003F55C0" w:rsidRPr="00A634FA" w:rsidRDefault="003F55C0" w:rsidP="00C344F6">
            <w:pPr>
              <w:jc w:val="center"/>
              <w:rPr>
                <w:rFonts w:ascii="Arial Narrow" w:hAnsi="Arial Narrow" w:cs="Arial"/>
                <w:sz w:val="16"/>
                <w:szCs w:val="16"/>
              </w:rPr>
            </w:pPr>
            <w:r>
              <w:rPr>
                <w:rFonts w:ascii="Arial Narrow" w:hAnsi="Arial Narrow" w:cs="Arial"/>
                <w:sz w:val="16"/>
                <w:szCs w:val="16"/>
              </w:rPr>
              <w:t>24 April</w:t>
            </w:r>
          </w:p>
        </w:tc>
        <w:tc>
          <w:tcPr>
            <w:tcW w:w="1134" w:type="dxa"/>
            <w:tcBorders>
              <w:top w:val="single" w:sz="18" w:space="0" w:color="C0C0C0"/>
              <w:left w:val="single" w:sz="18" w:space="0" w:color="C0C0C0"/>
              <w:bottom w:val="single" w:sz="18" w:space="0" w:color="auto"/>
              <w:right w:val="single" w:sz="18" w:space="0" w:color="C0C0C0"/>
            </w:tcBorders>
            <w:shd w:val="clear" w:color="auto" w:fill="auto"/>
            <w:vAlign w:val="center"/>
          </w:tcPr>
          <w:p w14:paraId="3BC75E46" w14:textId="48222CE7" w:rsidR="003F55C0" w:rsidRPr="003F55C0" w:rsidRDefault="003F55C0" w:rsidP="00C344F6">
            <w:pPr>
              <w:jc w:val="center"/>
              <w:rPr>
                <w:rFonts w:ascii="Arial Narrow" w:hAnsi="Arial Narrow" w:cs="Arial"/>
                <w:sz w:val="16"/>
                <w:szCs w:val="16"/>
              </w:rPr>
            </w:pPr>
          </w:p>
        </w:tc>
        <w:tc>
          <w:tcPr>
            <w:tcW w:w="1187" w:type="dxa"/>
            <w:tcBorders>
              <w:top w:val="single" w:sz="18" w:space="0" w:color="C0C0C0"/>
              <w:left w:val="single" w:sz="18" w:space="0" w:color="C0C0C0"/>
              <w:bottom w:val="single" w:sz="18" w:space="0" w:color="auto"/>
              <w:right w:val="single" w:sz="18" w:space="0" w:color="BFBFBF"/>
            </w:tcBorders>
            <w:shd w:val="clear" w:color="auto" w:fill="auto"/>
            <w:vAlign w:val="center"/>
          </w:tcPr>
          <w:p w14:paraId="6A7880B7" w14:textId="383EEBC3" w:rsidR="003F55C0" w:rsidRPr="003F55C0" w:rsidRDefault="00F0402C" w:rsidP="00C344F6">
            <w:pPr>
              <w:jc w:val="center"/>
              <w:rPr>
                <w:rFonts w:ascii="Arial Narrow" w:hAnsi="Arial Narrow" w:cs="Arial"/>
                <w:sz w:val="16"/>
                <w:szCs w:val="16"/>
              </w:rPr>
            </w:pPr>
            <w:r w:rsidRPr="00236E17">
              <w:rPr>
                <w:rFonts w:ascii="Arial Narrow" w:hAnsi="Arial Narrow" w:cs="Arial"/>
                <w:b/>
                <w:bCs/>
                <w:sz w:val="16"/>
                <w:szCs w:val="16"/>
              </w:rPr>
              <w:t>Public Holiday</w:t>
            </w:r>
          </w:p>
        </w:tc>
        <w:tc>
          <w:tcPr>
            <w:tcW w:w="1162" w:type="dxa"/>
            <w:tcBorders>
              <w:top w:val="single" w:sz="18" w:space="0" w:color="C0C0C0"/>
              <w:left w:val="single" w:sz="18" w:space="0" w:color="BFBFBF"/>
              <w:bottom w:val="single" w:sz="18" w:space="0" w:color="auto"/>
              <w:right w:val="single" w:sz="18" w:space="0" w:color="C0C0C0"/>
            </w:tcBorders>
            <w:shd w:val="clear" w:color="auto" w:fill="auto"/>
            <w:vAlign w:val="center"/>
          </w:tcPr>
          <w:p w14:paraId="2BEECBCA" w14:textId="448A4B20" w:rsidR="003F55C0" w:rsidRPr="003F55C0" w:rsidRDefault="003F55C0" w:rsidP="00236E17">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auto"/>
              <w:right w:val="single" w:sz="18" w:space="0" w:color="C0C0C0"/>
            </w:tcBorders>
            <w:shd w:val="clear" w:color="auto" w:fill="auto"/>
            <w:vAlign w:val="center"/>
          </w:tcPr>
          <w:p w14:paraId="030CE006" w14:textId="336BAAF5" w:rsidR="003F55C0" w:rsidRPr="003F55C0" w:rsidRDefault="003F55C0"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auto"/>
              <w:right w:val="single" w:sz="18" w:space="0" w:color="auto"/>
            </w:tcBorders>
            <w:shd w:val="clear" w:color="auto" w:fill="auto"/>
            <w:vAlign w:val="center"/>
          </w:tcPr>
          <w:p w14:paraId="1FFAFF47" w14:textId="77777777" w:rsidR="003F55C0" w:rsidRPr="003F55C0" w:rsidRDefault="003F55C0" w:rsidP="00C344F6">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auto"/>
              <w:right w:val="single" w:sz="18" w:space="0" w:color="auto"/>
            </w:tcBorders>
            <w:shd w:val="clear" w:color="auto" w:fill="auto"/>
            <w:vAlign w:val="center"/>
          </w:tcPr>
          <w:p w14:paraId="7B200A01" w14:textId="768ABA87" w:rsidR="003F55C0" w:rsidRPr="0061719A" w:rsidRDefault="0049752C" w:rsidP="00C344F6">
            <w:pPr>
              <w:jc w:val="center"/>
              <w:rPr>
                <w:rFonts w:ascii="Arial Narrow" w:hAnsi="Arial Narrow" w:cs="Arial"/>
                <w:sz w:val="16"/>
                <w:szCs w:val="16"/>
              </w:rPr>
            </w:pPr>
            <w:r>
              <w:rPr>
                <w:rFonts w:ascii="Arial Narrow" w:hAnsi="Arial Narrow" w:cs="Arial"/>
                <w:b/>
                <w:bCs/>
                <w:sz w:val="16"/>
                <w:szCs w:val="16"/>
              </w:rPr>
              <w:t>Tuesday 25</w:t>
            </w:r>
            <w:r w:rsidR="004F6F17">
              <w:rPr>
                <w:rFonts w:ascii="Arial Narrow" w:hAnsi="Arial Narrow" w:cs="Arial"/>
                <w:b/>
                <w:bCs/>
                <w:sz w:val="16"/>
                <w:szCs w:val="16"/>
              </w:rPr>
              <w:t>th</w:t>
            </w:r>
            <w:r w:rsidRPr="007E2969">
              <w:rPr>
                <w:rFonts w:ascii="Arial Narrow" w:hAnsi="Arial Narrow" w:cs="Arial"/>
                <w:b/>
                <w:bCs/>
                <w:sz w:val="16"/>
                <w:szCs w:val="16"/>
              </w:rPr>
              <w:t xml:space="preserve"> </w:t>
            </w:r>
            <w:r>
              <w:rPr>
                <w:rFonts w:ascii="Arial Narrow" w:hAnsi="Arial Narrow" w:cs="Arial"/>
                <w:b/>
                <w:bCs/>
                <w:sz w:val="16"/>
                <w:szCs w:val="16"/>
              </w:rPr>
              <w:t>–</w:t>
            </w:r>
            <w:r w:rsidRPr="007E2969">
              <w:rPr>
                <w:rFonts w:ascii="Arial Narrow" w:hAnsi="Arial Narrow" w:cs="Arial"/>
                <w:b/>
                <w:bCs/>
                <w:sz w:val="16"/>
                <w:szCs w:val="16"/>
              </w:rPr>
              <w:t xml:space="preserve"> </w:t>
            </w:r>
            <w:r>
              <w:rPr>
                <w:rFonts w:ascii="Arial Narrow" w:hAnsi="Arial Narrow" w:cs="Arial"/>
                <w:b/>
                <w:bCs/>
                <w:sz w:val="16"/>
                <w:szCs w:val="16"/>
              </w:rPr>
              <w:t>Anzac Day</w:t>
            </w:r>
          </w:p>
        </w:tc>
      </w:tr>
      <w:tr w:rsidR="00F0402C" w:rsidRPr="00BC2C5D" w14:paraId="512E60FF" w14:textId="77777777" w:rsidTr="00AF027A">
        <w:trPr>
          <w:trHeight w:val="284"/>
        </w:trPr>
        <w:tc>
          <w:tcPr>
            <w:tcW w:w="1418" w:type="dxa"/>
            <w:vMerge w:val="restart"/>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40EA42D4" w14:textId="570B67F7" w:rsidR="00F0402C" w:rsidRPr="00A634FA" w:rsidRDefault="00F0402C" w:rsidP="00C344F6">
            <w:pPr>
              <w:jc w:val="center"/>
              <w:rPr>
                <w:rFonts w:ascii="Arial Narrow" w:hAnsi="Arial Narrow" w:cs="Arial"/>
                <w:sz w:val="16"/>
                <w:szCs w:val="16"/>
              </w:rPr>
            </w:pPr>
            <w:r>
              <w:rPr>
                <w:rFonts w:ascii="Arial Narrow" w:hAnsi="Arial Narrow" w:cs="Arial"/>
                <w:sz w:val="16"/>
                <w:szCs w:val="16"/>
              </w:rPr>
              <w:t>1 May</w:t>
            </w:r>
          </w:p>
        </w:tc>
        <w:tc>
          <w:tcPr>
            <w:tcW w:w="1134" w:type="dxa"/>
            <w:vMerge w:val="restart"/>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7612969B" w14:textId="3B8CFA08" w:rsidR="00F0402C" w:rsidRPr="003F55C0" w:rsidRDefault="0049752C" w:rsidP="00C344F6">
            <w:pPr>
              <w:jc w:val="center"/>
              <w:rPr>
                <w:rFonts w:ascii="Arial Narrow" w:hAnsi="Arial Narrow" w:cs="Arial"/>
                <w:sz w:val="16"/>
                <w:szCs w:val="16"/>
              </w:rPr>
            </w:pPr>
            <w:r w:rsidRPr="00236E17">
              <w:rPr>
                <w:rFonts w:ascii="Arial Narrow" w:hAnsi="Arial Narrow" w:cs="Arial"/>
                <w:b/>
                <w:bCs/>
                <w:sz w:val="16"/>
                <w:szCs w:val="16"/>
              </w:rPr>
              <w:t>Public Holiday</w:t>
            </w:r>
          </w:p>
        </w:tc>
        <w:tc>
          <w:tcPr>
            <w:tcW w:w="1187" w:type="dxa"/>
            <w:vMerge w:val="restart"/>
            <w:tcBorders>
              <w:top w:val="single" w:sz="18" w:space="0" w:color="auto"/>
              <w:left w:val="single" w:sz="18" w:space="0" w:color="C0C0C0"/>
              <w:bottom w:val="single" w:sz="18" w:space="0" w:color="BFBFBF" w:themeColor="background1" w:themeShade="BF"/>
              <w:right w:val="single" w:sz="18" w:space="0" w:color="BFBFBF"/>
            </w:tcBorders>
            <w:shd w:val="clear" w:color="auto" w:fill="auto"/>
            <w:vAlign w:val="center"/>
          </w:tcPr>
          <w:p w14:paraId="42289F1C" w14:textId="18E0321D" w:rsidR="00F0402C" w:rsidRPr="003F55C0" w:rsidRDefault="00F0402C" w:rsidP="00C344F6">
            <w:pPr>
              <w:ind w:left="1440" w:hanging="1440"/>
              <w:jc w:val="center"/>
              <w:rPr>
                <w:rFonts w:ascii="Arial Narrow" w:hAnsi="Arial Narrow" w:cs="Arial"/>
                <w:sz w:val="16"/>
                <w:szCs w:val="16"/>
              </w:rPr>
            </w:pPr>
          </w:p>
        </w:tc>
        <w:tc>
          <w:tcPr>
            <w:tcW w:w="1162" w:type="dxa"/>
            <w:vMerge w:val="restart"/>
            <w:tcBorders>
              <w:top w:val="single" w:sz="18" w:space="0" w:color="auto"/>
              <w:left w:val="single" w:sz="18" w:space="0" w:color="BFBFBF"/>
              <w:bottom w:val="single" w:sz="18" w:space="0" w:color="BFBFBF" w:themeColor="background1" w:themeShade="BF"/>
              <w:right w:val="single" w:sz="18" w:space="0" w:color="C0C0C0"/>
            </w:tcBorders>
            <w:shd w:val="clear" w:color="auto" w:fill="A972A9"/>
            <w:vAlign w:val="center"/>
          </w:tcPr>
          <w:p w14:paraId="2B6CD71B" w14:textId="0E12E8B7" w:rsidR="00F0402C" w:rsidRPr="0049752C" w:rsidRDefault="00F0402C" w:rsidP="00C344F6">
            <w:pPr>
              <w:ind w:left="1440" w:hanging="1440"/>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3</w:t>
            </w:r>
          </w:p>
        </w:tc>
        <w:tc>
          <w:tcPr>
            <w:tcW w:w="1162" w:type="dxa"/>
            <w:tcBorders>
              <w:top w:val="single" w:sz="18" w:space="0" w:color="auto"/>
              <w:left w:val="single" w:sz="18" w:space="0" w:color="C0C0C0"/>
              <w:bottom w:val="nil"/>
              <w:right w:val="single" w:sz="18" w:space="0" w:color="C0C0C0"/>
            </w:tcBorders>
            <w:shd w:val="clear" w:color="auto" w:fill="A972A9"/>
            <w:vAlign w:val="center"/>
          </w:tcPr>
          <w:p w14:paraId="0984E9CC" w14:textId="06766530" w:rsidR="00F0402C" w:rsidRPr="0049752C" w:rsidRDefault="00F0402C" w:rsidP="00C344F6">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4</w:t>
            </w:r>
          </w:p>
        </w:tc>
        <w:tc>
          <w:tcPr>
            <w:tcW w:w="1162" w:type="dxa"/>
            <w:vMerge w:val="restart"/>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4B09F96C" w14:textId="77777777" w:rsidR="00F0402C" w:rsidRPr="003F55C0" w:rsidRDefault="00F0402C" w:rsidP="00C344F6">
            <w:pPr>
              <w:jc w:val="center"/>
              <w:rPr>
                <w:rFonts w:ascii="Arial Narrow" w:hAnsi="Arial Narrow" w:cs="Arial"/>
                <w:sz w:val="16"/>
                <w:szCs w:val="16"/>
              </w:rPr>
            </w:pPr>
          </w:p>
        </w:tc>
        <w:tc>
          <w:tcPr>
            <w:tcW w:w="3633" w:type="dxa"/>
            <w:gridSpan w:val="2"/>
            <w:vMerge w:val="restart"/>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58B2748E" w14:textId="7D11FC37" w:rsidR="00F0402C" w:rsidRPr="004F6F17" w:rsidRDefault="004F6F17" w:rsidP="00C344F6">
            <w:pPr>
              <w:jc w:val="center"/>
              <w:rPr>
                <w:rFonts w:ascii="Arial Narrow" w:hAnsi="Arial Narrow" w:cs="Arial"/>
                <w:b/>
                <w:bCs/>
                <w:sz w:val="16"/>
                <w:szCs w:val="16"/>
              </w:rPr>
            </w:pPr>
            <w:r w:rsidRPr="004F6F17">
              <w:rPr>
                <w:rFonts w:ascii="Arial Narrow" w:hAnsi="Arial Narrow" w:cs="Arial"/>
                <w:b/>
                <w:bCs/>
                <w:sz w:val="16"/>
                <w:szCs w:val="16"/>
              </w:rPr>
              <w:t xml:space="preserve">Monday </w:t>
            </w:r>
            <w:r>
              <w:rPr>
                <w:rFonts w:ascii="Arial Narrow" w:hAnsi="Arial Narrow" w:cs="Arial"/>
                <w:b/>
                <w:bCs/>
                <w:sz w:val="16"/>
                <w:szCs w:val="16"/>
              </w:rPr>
              <w:t>1st</w:t>
            </w:r>
            <w:r w:rsidRPr="004F6F17">
              <w:rPr>
                <w:rFonts w:ascii="Arial Narrow" w:hAnsi="Arial Narrow" w:cs="Arial"/>
                <w:b/>
                <w:bCs/>
                <w:sz w:val="16"/>
                <w:szCs w:val="16"/>
              </w:rPr>
              <w:t xml:space="preserve"> – Labour Day</w:t>
            </w:r>
          </w:p>
        </w:tc>
      </w:tr>
      <w:tr w:rsidR="00F0402C" w:rsidRPr="00BC2C5D" w14:paraId="7178364F" w14:textId="77777777" w:rsidTr="00AF027A">
        <w:trPr>
          <w:trHeight w:val="284"/>
        </w:trPr>
        <w:tc>
          <w:tcPr>
            <w:tcW w:w="1418" w:type="dxa"/>
            <w:vMerge/>
            <w:tcBorders>
              <w:top w:val="single" w:sz="18" w:space="0" w:color="C0C0C0"/>
              <w:left w:val="single" w:sz="18" w:space="0" w:color="auto"/>
              <w:bottom w:val="single" w:sz="18" w:space="0" w:color="BFBFBF" w:themeColor="background1" w:themeShade="BF"/>
              <w:right w:val="single" w:sz="18" w:space="0" w:color="C0C0C0"/>
            </w:tcBorders>
            <w:shd w:val="clear" w:color="auto" w:fill="auto"/>
            <w:vAlign w:val="center"/>
          </w:tcPr>
          <w:p w14:paraId="23EA8B5F" w14:textId="77777777" w:rsidR="00F0402C" w:rsidRDefault="00F0402C" w:rsidP="00C344F6">
            <w:pPr>
              <w:jc w:val="center"/>
              <w:rPr>
                <w:rFonts w:ascii="Arial Narrow" w:hAnsi="Arial Narrow" w:cs="Arial"/>
                <w:sz w:val="16"/>
                <w:szCs w:val="16"/>
              </w:rPr>
            </w:pPr>
          </w:p>
        </w:tc>
        <w:tc>
          <w:tcPr>
            <w:tcW w:w="1134" w:type="dxa"/>
            <w:vMerge/>
            <w:tcBorders>
              <w:top w:val="single" w:sz="18" w:space="0" w:color="C0C0C0"/>
              <w:left w:val="single" w:sz="18" w:space="0" w:color="C0C0C0"/>
              <w:bottom w:val="single" w:sz="18" w:space="0" w:color="BFBFBF" w:themeColor="background1" w:themeShade="BF"/>
              <w:right w:val="single" w:sz="18" w:space="0" w:color="C0C0C0"/>
            </w:tcBorders>
            <w:shd w:val="clear" w:color="auto" w:fill="auto"/>
            <w:vAlign w:val="center"/>
          </w:tcPr>
          <w:p w14:paraId="77F1919A" w14:textId="77777777" w:rsidR="00F0402C" w:rsidRPr="003F55C0" w:rsidRDefault="00F0402C" w:rsidP="00C344F6">
            <w:pPr>
              <w:jc w:val="center"/>
              <w:rPr>
                <w:rFonts w:ascii="Arial Narrow" w:hAnsi="Arial Narrow" w:cs="Arial"/>
                <w:sz w:val="16"/>
                <w:szCs w:val="16"/>
              </w:rPr>
            </w:pPr>
          </w:p>
        </w:tc>
        <w:tc>
          <w:tcPr>
            <w:tcW w:w="1187" w:type="dxa"/>
            <w:vMerge/>
            <w:tcBorders>
              <w:top w:val="single" w:sz="18" w:space="0" w:color="C0C0C0"/>
              <w:left w:val="single" w:sz="18" w:space="0" w:color="C0C0C0"/>
              <w:bottom w:val="single" w:sz="18" w:space="0" w:color="BFBFBF" w:themeColor="background1" w:themeShade="BF"/>
              <w:right w:val="single" w:sz="18" w:space="0" w:color="BFBFBF"/>
            </w:tcBorders>
            <w:shd w:val="clear" w:color="auto" w:fill="auto"/>
            <w:vAlign w:val="center"/>
          </w:tcPr>
          <w:p w14:paraId="096BB5D6" w14:textId="77777777" w:rsidR="00F0402C" w:rsidRPr="003F55C0" w:rsidRDefault="00F0402C" w:rsidP="00C344F6">
            <w:pPr>
              <w:ind w:left="1440" w:hanging="1440"/>
              <w:jc w:val="center"/>
              <w:rPr>
                <w:rFonts w:ascii="Arial Narrow" w:hAnsi="Arial Narrow" w:cs="Arial"/>
                <w:sz w:val="16"/>
                <w:szCs w:val="16"/>
              </w:rPr>
            </w:pPr>
          </w:p>
        </w:tc>
        <w:tc>
          <w:tcPr>
            <w:tcW w:w="1162" w:type="dxa"/>
            <w:vMerge/>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A972A9"/>
            <w:vAlign w:val="center"/>
          </w:tcPr>
          <w:p w14:paraId="042B9402" w14:textId="77777777" w:rsidR="00F0402C" w:rsidRPr="0049752C" w:rsidRDefault="00F0402C" w:rsidP="00C344F6">
            <w:pPr>
              <w:ind w:left="1440" w:hanging="1440"/>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16D9CC39" w14:textId="07149877" w:rsidR="00F0402C" w:rsidRPr="0049752C" w:rsidRDefault="00F0402C" w:rsidP="00C344F6">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4</w:t>
            </w:r>
          </w:p>
        </w:tc>
        <w:tc>
          <w:tcPr>
            <w:tcW w:w="1162" w:type="dxa"/>
            <w:vMerge/>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3C7C62BA" w14:textId="77777777" w:rsidR="00F0402C" w:rsidRPr="003F55C0" w:rsidRDefault="00F0402C" w:rsidP="00C344F6">
            <w:pPr>
              <w:jc w:val="center"/>
              <w:rPr>
                <w:rFonts w:ascii="Arial Narrow" w:hAnsi="Arial Narrow" w:cs="Arial"/>
                <w:sz w:val="16"/>
                <w:szCs w:val="16"/>
              </w:rPr>
            </w:pPr>
          </w:p>
        </w:tc>
        <w:tc>
          <w:tcPr>
            <w:tcW w:w="3633" w:type="dxa"/>
            <w:gridSpan w:val="2"/>
            <w:vMerge/>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0AE44002" w14:textId="77777777" w:rsidR="00F0402C" w:rsidRPr="008D6D06" w:rsidRDefault="00F0402C" w:rsidP="00C344F6">
            <w:pPr>
              <w:jc w:val="center"/>
              <w:rPr>
                <w:rFonts w:ascii="Arial Narrow" w:hAnsi="Arial Narrow"/>
                <w:color w:val="31849B"/>
                <w:sz w:val="16"/>
                <w:szCs w:val="16"/>
              </w:rPr>
            </w:pP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395"/>
        <w:gridCol w:w="1134"/>
        <w:gridCol w:w="1210"/>
        <w:gridCol w:w="1162"/>
        <w:gridCol w:w="1162"/>
        <w:gridCol w:w="1162"/>
        <w:gridCol w:w="3633"/>
      </w:tblGrid>
      <w:tr w:rsidR="00C5507C" w:rsidRPr="00BC2C5D" w14:paraId="57F3478D" w14:textId="77777777" w:rsidTr="00CA7C6A">
        <w:trPr>
          <w:trHeight w:val="567"/>
        </w:trPr>
        <w:tc>
          <w:tcPr>
            <w:tcW w:w="1395"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210"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633"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F0402C" w:rsidRPr="00BC2C5D" w14:paraId="0CE321A3" w14:textId="77777777" w:rsidTr="00AF027A">
        <w:trPr>
          <w:trHeight w:val="284"/>
        </w:trPr>
        <w:tc>
          <w:tcPr>
            <w:tcW w:w="1395" w:type="dxa"/>
            <w:vMerge w:val="restart"/>
            <w:tcBorders>
              <w:top w:val="single" w:sz="18" w:space="0" w:color="C0C0C0"/>
              <w:left w:val="single" w:sz="18" w:space="0" w:color="auto"/>
              <w:right w:val="single" w:sz="18" w:space="0" w:color="C0C0C0"/>
            </w:tcBorders>
            <w:shd w:val="clear" w:color="auto" w:fill="auto"/>
            <w:vAlign w:val="center"/>
          </w:tcPr>
          <w:p w14:paraId="696DAD36" w14:textId="234DD5DE" w:rsidR="00F0402C" w:rsidRPr="00390B39" w:rsidRDefault="00F0402C" w:rsidP="00C5507C">
            <w:pPr>
              <w:jc w:val="center"/>
              <w:rPr>
                <w:rFonts w:ascii="Arial Narrow" w:hAnsi="Arial Narrow" w:cs="Arial"/>
                <w:sz w:val="16"/>
                <w:szCs w:val="16"/>
              </w:rPr>
            </w:pPr>
            <w:r>
              <w:rPr>
                <w:rFonts w:ascii="Arial Narrow" w:hAnsi="Arial Narrow" w:cs="Arial"/>
                <w:sz w:val="16"/>
                <w:szCs w:val="16"/>
              </w:rPr>
              <w:t>8 May</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F9AEB6D" w14:textId="78F033E8" w:rsidR="00F0402C" w:rsidRPr="00C344F6" w:rsidRDefault="00F0402C" w:rsidP="00C5507C">
            <w:pPr>
              <w:jc w:val="center"/>
              <w:rPr>
                <w:rFonts w:ascii="Arial Narrow" w:hAnsi="Arial Narrow" w:cs="Arial"/>
                <w:sz w:val="16"/>
                <w:szCs w:val="16"/>
              </w:rPr>
            </w:pPr>
          </w:p>
        </w:tc>
        <w:tc>
          <w:tcPr>
            <w:tcW w:w="1210" w:type="dxa"/>
            <w:tcBorders>
              <w:top w:val="single" w:sz="18" w:space="0" w:color="C0C0C0"/>
              <w:left w:val="single" w:sz="18" w:space="0" w:color="C0C0C0"/>
              <w:bottom w:val="nil"/>
              <w:right w:val="single" w:sz="18" w:space="0" w:color="BFBFBF"/>
            </w:tcBorders>
            <w:shd w:val="clear" w:color="auto" w:fill="FF0000"/>
            <w:vAlign w:val="center"/>
          </w:tcPr>
          <w:p w14:paraId="65468345" w14:textId="38EA169E" w:rsidR="00F0402C" w:rsidRPr="0049752C" w:rsidRDefault="00F0402C" w:rsidP="00193311">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9</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5D26E3A1" w14:textId="1D5D7487" w:rsidR="00F0402C" w:rsidRPr="0049752C" w:rsidRDefault="00F0402C" w:rsidP="00CA7C6A">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10</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37F7711A" w14:textId="75D0830F" w:rsidR="00F0402C" w:rsidRPr="0049752C" w:rsidRDefault="00F0402C" w:rsidP="00CA7C6A">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11</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2ABAD594" w14:textId="77777777" w:rsidR="00F0402C" w:rsidRPr="00CA7C6A" w:rsidRDefault="00F0402C" w:rsidP="00C5507C">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5CA04E27" w14:textId="7FF69CB6" w:rsidR="00F0402C" w:rsidRPr="004F6F17" w:rsidRDefault="004F6F17" w:rsidP="004F6F17">
            <w:pPr>
              <w:jc w:val="center"/>
              <w:rPr>
                <w:rFonts w:ascii="Arial Narrow" w:hAnsi="Arial Narrow"/>
                <w:color w:val="31849B"/>
                <w:sz w:val="16"/>
                <w:szCs w:val="16"/>
              </w:rPr>
            </w:pPr>
            <w:r w:rsidRPr="008D6D06">
              <w:rPr>
                <w:rFonts w:ascii="Arial Narrow" w:hAnsi="Arial Narrow"/>
                <w:color w:val="31849B"/>
                <w:sz w:val="16"/>
                <w:szCs w:val="16"/>
              </w:rPr>
              <w:t>Cooktown – Circuit</w:t>
            </w:r>
          </w:p>
        </w:tc>
      </w:tr>
      <w:tr w:rsidR="00F0402C" w:rsidRPr="00BC2C5D" w14:paraId="2E9B7D51" w14:textId="77777777" w:rsidTr="00AF027A">
        <w:trPr>
          <w:trHeight w:val="284"/>
        </w:trPr>
        <w:tc>
          <w:tcPr>
            <w:tcW w:w="1395" w:type="dxa"/>
            <w:vMerge/>
            <w:tcBorders>
              <w:left w:val="single" w:sz="18" w:space="0" w:color="auto"/>
              <w:right w:val="single" w:sz="18" w:space="0" w:color="C0C0C0"/>
            </w:tcBorders>
            <w:shd w:val="clear" w:color="auto" w:fill="auto"/>
            <w:vAlign w:val="center"/>
          </w:tcPr>
          <w:p w14:paraId="712DE195" w14:textId="77777777" w:rsidR="00F0402C" w:rsidRDefault="00F0402C" w:rsidP="00C5507C">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083409FE" w14:textId="77777777" w:rsidR="00F0402C" w:rsidRPr="00C344F6" w:rsidRDefault="00F0402C" w:rsidP="00C5507C">
            <w:pPr>
              <w:jc w:val="center"/>
              <w:rPr>
                <w:rFonts w:ascii="Arial Narrow" w:hAnsi="Arial Narrow" w:cs="Arial"/>
                <w:sz w:val="16"/>
                <w:szCs w:val="16"/>
              </w:rPr>
            </w:pPr>
          </w:p>
        </w:tc>
        <w:tc>
          <w:tcPr>
            <w:tcW w:w="1210" w:type="dxa"/>
            <w:tcBorders>
              <w:top w:val="nil"/>
              <w:left w:val="single" w:sz="18" w:space="0" w:color="C0C0C0"/>
              <w:bottom w:val="single" w:sz="18" w:space="0" w:color="C0C0C0"/>
              <w:right w:val="single" w:sz="18" w:space="0" w:color="BFBFBF"/>
            </w:tcBorders>
            <w:shd w:val="clear" w:color="auto" w:fill="FFFF00"/>
            <w:vAlign w:val="center"/>
          </w:tcPr>
          <w:p w14:paraId="4F70084D" w14:textId="07728013" w:rsidR="00F0402C" w:rsidRPr="0049752C" w:rsidRDefault="00F0402C" w:rsidP="00193311">
            <w:pPr>
              <w:jc w:val="center"/>
              <w:rPr>
                <w:rFonts w:ascii="Arial Narrow" w:hAnsi="Arial Narrow" w:cs="Arial"/>
                <w:b/>
                <w:bCs/>
                <w:sz w:val="16"/>
                <w:szCs w:val="16"/>
              </w:rPr>
            </w:pPr>
            <w:r w:rsidRPr="0049752C">
              <w:rPr>
                <w:rFonts w:ascii="Arial Narrow" w:hAnsi="Arial Narrow" w:cs="Arial"/>
                <w:b/>
                <w:bCs/>
                <w:sz w:val="16"/>
                <w:szCs w:val="16"/>
              </w:rPr>
              <w:t>9</w:t>
            </w:r>
          </w:p>
        </w:tc>
        <w:tc>
          <w:tcPr>
            <w:tcW w:w="1162" w:type="dxa"/>
            <w:vMerge/>
            <w:tcBorders>
              <w:left w:val="single" w:sz="18" w:space="0" w:color="BFBFBF"/>
              <w:right w:val="single" w:sz="18" w:space="0" w:color="C0C0C0"/>
            </w:tcBorders>
            <w:shd w:val="clear" w:color="auto" w:fill="FF0000"/>
            <w:vAlign w:val="center"/>
          </w:tcPr>
          <w:p w14:paraId="17FB4033" w14:textId="77777777" w:rsidR="00F0402C" w:rsidRPr="003F55C0" w:rsidRDefault="00F0402C" w:rsidP="00CA7C6A">
            <w:pPr>
              <w:jc w:val="center"/>
              <w:rPr>
                <w:rFonts w:ascii="Arial Narrow" w:hAnsi="Arial Narrow" w:cs="Arial"/>
                <w:sz w:val="16"/>
                <w:szCs w:val="16"/>
              </w:rPr>
            </w:pPr>
          </w:p>
        </w:tc>
        <w:tc>
          <w:tcPr>
            <w:tcW w:w="1162" w:type="dxa"/>
            <w:vMerge/>
            <w:tcBorders>
              <w:left w:val="single" w:sz="18" w:space="0" w:color="C0C0C0"/>
              <w:right w:val="single" w:sz="18" w:space="0" w:color="C0C0C0"/>
            </w:tcBorders>
            <w:shd w:val="clear" w:color="auto" w:fill="FF0000"/>
            <w:vAlign w:val="center"/>
          </w:tcPr>
          <w:p w14:paraId="1CDAB048" w14:textId="77777777" w:rsidR="00F0402C" w:rsidRPr="003F55C0" w:rsidRDefault="00F0402C" w:rsidP="00CA7C6A">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0CA98623" w14:textId="77777777" w:rsidR="00F0402C" w:rsidRPr="00CA7C6A" w:rsidRDefault="00F0402C"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5E8BA73B" w14:textId="77777777" w:rsidR="00F0402C" w:rsidRPr="0061719A" w:rsidRDefault="00F0402C" w:rsidP="00B61391">
            <w:pPr>
              <w:jc w:val="center"/>
              <w:rPr>
                <w:rFonts w:ascii="Arial Narrow" w:hAnsi="Arial Narrow"/>
                <w:color w:val="31849B"/>
                <w:sz w:val="16"/>
                <w:szCs w:val="16"/>
              </w:rPr>
            </w:pPr>
          </w:p>
        </w:tc>
      </w:tr>
      <w:tr w:rsidR="00CC23DC" w:rsidRPr="00BC2C5D" w14:paraId="3EA964B8" w14:textId="77777777" w:rsidTr="0049752C">
        <w:trPr>
          <w:trHeight w:val="567"/>
        </w:trPr>
        <w:tc>
          <w:tcPr>
            <w:tcW w:w="1395" w:type="dxa"/>
            <w:tcBorders>
              <w:top w:val="single" w:sz="18" w:space="0" w:color="C0C0C0"/>
              <w:left w:val="single" w:sz="18" w:space="0" w:color="auto"/>
              <w:right w:val="single" w:sz="18" w:space="0" w:color="C0C0C0"/>
            </w:tcBorders>
            <w:shd w:val="clear" w:color="auto" w:fill="auto"/>
            <w:vAlign w:val="center"/>
          </w:tcPr>
          <w:p w14:paraId="0A6385D6" w14:textId="0C87E813" w:rsidR="00CC23DC" w:rsidRPr="00390B39" w:rsidRDefault="00444C25" w:rsidP="00C5507C">
            <w:pPr>
              <w:jc w:val="center"/>
              <w:rPr>
                <w:rFonts w:ascii="Arial Narrow" w:hAnsi="Arial Narrow" w:cs="Arial"/>
                <w:sz w:val="16"/>
                <w:szCs w:val="16"/>
              </w:rPr>
            </w:pPr>
            <w:r>
              <w:rPr>
                <w:rFonts w:ascii="Arial Narrow" w:hAnsi="Arial Narrow" w:cs="Arial"/>
                <w:sz w:val="16"/>
                <w:szCs w:val="16"/>
              </w:rPr>
              <w:t>15 May</w:t>
            </w:r>
          </w:p>
        </w:tc>
        <w:tc>
          <w:tcPr>
            <w:tcW w:w="1134" w:type="dxa"/>
            <w:tcBorders>
              <w:top w:val="single" w:sz="18" w:space="0" w:color="C0C0C0"/>
              <w:left w:val="single" w:sz="18" w:space="0" w:color="C0C0C0"/>
              <w:right w:val="single" w:sz="18" w:space="0" w:color="C0C0C0"/>
            </w:tcBorders>
            <w:shd w:val="clear" w:color="auto" w:fill="auto"/>
            <w:vAlign w:val="center"/>
          </w:tcPr>
          <w:p w14:paraId="27120716" w14:textId="2460197C" w:rsidR="00CC23DC" w:rsidRPr="006C79D3" w:rsidRDefault="00CC23DC" w:rsidP="00C5507C">
            <w:pPr>
              <w:jc w:val="center"/>
              <w:rPr>
                <w:rFonts w:ascii="Arial Narrow" w:hAnsi="Arial Narrow" w:cs="Arial"/>
                <w:sz w:val="16"/>
                <w:szCs w:val="16"/>
                <w:highlight w:val="yellow"/>
              </w:rPr>
            </w:pPr>
          </w:p>
        </w:tc>
        <w:tc>
          <w:tcPr>
            <w:tcW w:w="1210" w:type="dxa"/>
            <w:tcBorders>
              <w:top w:val="single" w:sz="18" w:space="0" w:color="C0C0C0"/>
              <w:left w:val="single" w:sz="18" w:space="0" w:color="C0C0C0"/>
              <w:right w:val="single" w:sz="18" w:space="0" w:color="BFBFBF"/>
            </w:tcBorders>
            <w:shd w:val="clear" w:color="auto" w:fill="auto"/>
            <w:vAlign w:val="center"/>
          </w:tcPr>
          <w:p w14:paraId="79A68E23" w14:textId="2778253E" w:rsidR="00CC23DC" w:rsidRPr="003F55C0" w:rsidRDefault="00CC23DC" w:rsidP="008F23DF">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auto"/>
            <w:vAlign w:val="center"/>
          </w:tcPr>
          <w:p w14:paraId="05A7C8EF" w14:textId="01BC14D7" w:rsidR="00CC23DC" w:rsidRPr="003F55C0" w:rsidRDefault="00CC23DC" w:rsidP="00C5507C">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10D421D0" w14:textId="17004DF9" w:rsidR="00CC23DC" w:rsidRPr="003F55C0" w:rsidRDefault="00CC23DC" w:rsidP="00987E69">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3521E9C0" w14:textId="77777777" w:rsidR="00CC23DC" w:rsidRPr="00CA7C6A" w:rsidRDefault="00CC23DC" w:rsidP="00C5507C">
            <w:pPr>
              <w:jc w:val="center"/>
              <w:rPr>
                <w:rFonts w:ascii="Arial Narrow" w:hAnsi="Arial Narrow" w:cs="Arial"/>
                <w:sz w:val="16"/>
                <w:szCs w:val="16"/>
              </w:rPr>
            </w:pPr>
          </w:p>
        </w:tc>
        <w:tc>
          <w:tcPr>
            <w:tcW w:w="3633" w:type="dxa"/>
            <w:tcBorders>
              <w:top w:val="single" w:sz="18" w:space="0" w:color="C0C0C0"/>
              <w:left w:val="single" w:sz="18" w:space="0" w:color="auto"/>
              <w:right w:val="single" w:sz="18" w:space="0" w:color="auto"/>
            </w:tcBorders>
            <w:shd w:val="clear" w:color="auto" w:fill="auto"/>
            <w:vAlign w:val="center"/>
          </w:tcPr>
          <w:p w14:paraId="714E336A" w14:textId="77777777" w:rsidR="00CC23DC" w:rsidRDefault="004F6F17" w:rsidP="00C5507C">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711145A3" w14:textId="601753AE" w:rsidR="004F6F17" w:rsidRPr="00777033" w:rsidRDefault="004F6F17" w:rsidP="00C5507C">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61719A" w:rsidRPr="00BC2C5D" w14:paraId="3766C4CB" w14:textId="77777777" w:rsidTr="00AF027A">
        <w:trPr>
          <w:trHeight w:val="284"/>
        </w:trPr>
        <w:tc>
          <w:tcPr>
            <w:tcW w:w="1395" w:type="dxa"/>
            <w:vMerge w:val="restart"/>
            <w:tcBorders>
              <w:top w:val="single" w:sz="18" w:space="0" w:color="C0C0C0"/>
              <w:left w:val="single" w:sz="18" w:space="0" w:color="auto"/>
              <w:right w:val="single" w:sz="18" w:space="0" w:color="C0C0C0"/>
            </w:tcBorders>
            <w:shd w:val="clear" w:color="auto" w:fill="auto"/>
            <w:vAlign w:val="center"/>
          </w:tcPr>
          <w:p w14:paraId="0F542D29" w14:textId="7C1B25E1" w:rsidR="0061719A" w:rsidRDefault="0061719A" w:rsidP="00390B39">
            <w:pPr>
              <w:jc w:val="center"/>
              <w:rPr>
                <w:rFonts w:ascii="Arial Narrow" w:hAnsi="Arial Narrow" w:cs="Arial"/>
                <w:sz w:val="16"/>
                <w:szCs w:val="16"/>
              </w:rPr>
            </w:pPr>
            <w:r>
              <w:rPr>
                <w:rFonts w:ascii="Arial Narrow" w:hAnsi="Arial Narrow" w:cs="Arial"/>
                <w:sz w:val="16"/>
                <w:szCs w:val="16"/>
              </w:rPr>
              <w:t>22 May</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B5526BB" w14:textId="2A88C627" w:rsidR="0061719A" w:rsidRPr="006C79D3" w:rsidRDefault="0061719A" w:rsidP="00390B39">
            <w:pPr>
              <w:jc w:val="center"/>
              <w:rPr>
                <w:rFonts w:ascii="Arial Narrow" w:hAnsi="Arial Narrow" w:cs="Arial"/>
                <w:sz w:val="16"/>
                <w:szCs w:val="16"/>
                <w:highlight w:val="yellow"/>
              </w:rPr>
            </w:pPr>
          </w:p>
        </w:tc>
        <w:tc>
          <w:tcPr>
            <w:tcW w:w="1210" w:type="dxa"/>
            <w:vMerge w:val="restart"/>
            <w:tcBorders>
              <w:top w:val="single" w:sz="18" w:space="0" w:color="C0C0C0"/>
              <w:left w:val="single" w:sz="18" w:space="0" w:color="C0C0C0"/>
              <w:right w:val="single" w:sz="18" w:space="0" w:color="BFBFBF"/>
            </w:tcBorders>
            <w:shd w:val="clear" w:color="auto" w:fill="auto"/>
            <w:vAlign w:val="center"/>
          </w:tcPr>
          <w:p w14:paraId="7CBBAD8B" w14:textId="75536AEF" w:rsidR="0061719A" w:rsidRPr="003F55C0" w:rsidRDefault="0061719A" w:rsidP="00987E69">
            <w:pPr>
              <w:jc w:val="center"/>
              <w:rPr>
                <w:rFonts w:ascii="Arial Narrow" w:hAnsi="Arial Narrow" w:cs="Arial"/>
                <w:sz w:val="16"/>
                <w:szCs w:val="16"/>
              </w:rPr>
            </w:pPr>
          </w:p>
        </w:tc>
        <w:tc>
          <w:tcPr>
            <w:tcW w:w="1162" w:type="dxa"/>
            <w:tcBorders>
              <w:top w:val="single" w:sz="18" w:space="0" w:color="C0C0C0"/>
              <w:left w:val="single" w:sz="18" w:space="0" w:color="BFBFBF"/>
              <w:bottom w:val="nil"/>
              <w:right w:val="single" w:sz="18" w:space="0" w:color="C0C0C0"/>
            </w:tcBorders>
            <w:shd w:val="clear" w:color="auto" w:fill="A972A9"/>
            <w:vAlign w:val="center"/>
          </w:tcPr>
          <w:p w14:paraId="46FDB6FD" w14:textId="569D9CA8"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24</w:t>
            </w:r>
          </w:p>
        </w:tc>
        <w:tc>
          <w:tcPr>
            <w:tcW w:w="1162" w:type="dxa"/>
            <w:vMerge w:val="restart"/>
            <w:tcBorders>
              <w:top w:val="single" w:sz="18" w:space="0" w:color="C0C0C0"/>
              <w:left w:val="single" w:sz="18" w:space="0" w:color="C0C0C0"/>
              <w:right w:val="single" w:sz="18" w:space="0" w:color="C0C0C0"/>
            </w:tcBorders>
            <w:shd w:val="clear" w:color="auto" w:fill="A972A9"/>
            <w:vAlign w:val="center"/>
          </w:tcPr>
          <w:p w14:paraId="0E61EDBE" w14:textId="598B3AD7"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25</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DEA3FBA" w14:textId="77777777" w:rsidR="0061719A" w:rsidRPr="00CA7C6A" w:rsidRDefault="0061719A" w:rsidP="00390B39">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7E9BBB20" w14:textId="34F4572A" w:rsidR="0061719A" w:rsidRPr="0061719A" w:rsidRDefault="0061719A" w:rsidP="009E4A93">
            <w:pPr>
              <w:jc w:val="center"/>
              <w:rPr>
                <w:rFonts w:ascii="Arial Narrow" w:hAnsi="Arial Narrow" w:cs="Arial"/>
                <w:sz w:val="16"/>
                <w:szCs w:val="16"/>
                <w:highlight w:val="yellow"/>
              </w:rPr>
            </w:pPr>
          </w:p>
        </w:tc>
      </w:tr>
      <w:tr w:rsidR="0061719A" w:rsidRPr="00BC2C5D" w14:paraId="4F18EE74" w14:textId="77777777" w:rsidTr="00AF027A">
        <w:trPr>
          <w:trHeight w:val="284"/>
        </w:trPr>
        <w:tc>
          <w:tcPr>
            <w:tcW w:w="1395" w:type="dxa"/>
            <w:vMerge/>
            <w:tcBorders>
              <w:left w:val="single" w:sz="18" w:space="0" w:color="auto"/>
              <w:right w:val="single" w:sz="18" w:space="0" w:color="C0C0C0"/>
            </w:tcBorders>
            <w:shd w:val="clear" w:color="auto" w:fill="auto"/>
            <w:vAlign w:val="center"/>
          </w:tcPr>
          <w:p w14:paraId="5D05A858" w14:textId="77777777" w:rsidR="0061719A" w:rsidRDefault="0061719A"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D182D75" w14:textId="77777777" w:rsidR="0061719A" w:rsidRPr="006C79D3" w:rsidRDefault="0061719A" w:rsidP="00390B39">
            <w:pPr>
              <w:jc w:val="center"/>
              <w:rPr>
                <w:rFonts w:ascii="Arial Narrow" w:hAnsi="Arial Narrow" w:cs="Arial"/>
                <w:sz w:val="16"/>
                <w:szCs w:val="16"/>
                <w:highlight w:val="yellow"/>
              </w:rPr>
            </w:pPr>
          </w:p>
        </w:tc>
        <w:tc>
          <w:tcPr>
            <w:tcW w:w="1210" w:type="dxa"/>
            <w:vMerge/>
            <w:tcBorders>
              <w:left w:val="single" w:sz="18" w:space="0" w:color="C0C0C0"/>
              <w:right w:val="single" w:sz="18" w:space="0" w:color="BFBFBF"/>
            </w:tcBorders>
            <w:shd w:val="clear" w:color="auto" w:fill="auto"/>
            <w:vAlign w:val="center"/>
          </w:tcPr>
          <w:p w14:paraId="6394B426" w14:textId="77777777" w:rsidR="0061719A" w:rsidRPr="003F55C0" w:rsidRDefault="0061719A" w:rsidP="00987E69">
            <w:pPr>
              <w:jc w:val="center"/>
              <w:rPr>
                <w:rFonts w:ascii="Arial Narrow" w:hAnsi="Arial Narrow" w:cs="Arial"/>
                <w:sz w:val="16"/>
                <w:szCs w:val="16"/>
              </w:rPr>
            </w:pPr>
          </w:p>
        </w:tc>
        <w:tc>
          <w:tcPr>
            <w:tcW w:w="1162" w:type="dxa"/>
            <w:tcBorders>
              <w:top w:val="nil"/>
              <w:left w:val="single" w:sz="18" w:space="0" w:color="BFBFBF"/>
              <w:bottom w:val="single" w:sz="18" w:space="0" w:color="BFBFBF"/>
              <w:right w:val="single" w:sz="18" w:space="0" w:color="C0C0C0"/>
            </w:tcBorders>
            <w:shd w:val="clear" w:color="auto" w:fill="769250"/>
            <w:vAlign w:val="center"/>
          </w:tcPr>
          <w:p w14:paraId="5ACFFD0E" w14:textId="5D86356D"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24</w:t>
            </w:r>
          </w:p>
        </w:tc>
        <w:tc>
          <w:tcPr>
            <w:tcW w:w="1162" w:type="dxa"/>
            <w:vMerge/>
            <w:tcBorders>
              <w:left w:val="single" w:sz="18" w:space="0" w:color="C0C0C0"/>
              <w:right w:val="single" w:sz="18" w:space="0" w:color="C0C0C0"/>
            </w:tcBorders>
            <w:shd w:val="clear" w:color="auto" w:fill="A972A9"/>
            <w:vAlign w:val="center"/>
          </w:tcPr>
          <w:p w14:paraId="782BE776" w14:textId="77777777" w:rsidR="0061719A" w:rsidRPr="003F55C0" w:rsidRDefault="0061719A" w:rsidP="00390B39">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475B90DA" w14:textId="77777777" w:rsidR="0061719A" w:rsidRPr="00CA7C6A" w:rsidRDefault="0061719A"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1ED0E61F" w14:textId="77777777" w:rsidR="0061719A" w:rsidRPr="0061719A" w:rsidRDefault="0061719A" w:rsidP="009E4A93">
            <w:pPr>
              <w:jc w:val="center"/>
              <w:rPr>
                <w:rFonts w:ascii="Arial Narrow" w:hAnsi="Arial Narrow" w:cs="Arial"/>
                <w:sz w:val="16"/>
                <w:szCs w:val="16"/>
                <w:highlight w:val="yellow"/>
              </w:rPr>
            </w:pPr>
          </w:p>
        </w:tc>
      </w:tr>
      <w:tr w:rsidR="0061719A" w:rsidRPr="00BC2C5D" w14:paraId="2952A691" w14:textId="77777777" w:rsidTr="0061719A">
        <w:trPr>
          <w:trHeight w:val="308"/>
        </w:trPr>
        <w:tc>
          <w:tcPr>
            <w:tcW w:w="1395" w:type="dxa"/>
            <w:vMerge w:val="restart"/>
            <w:tcBorders>
              <w:top w:val="single" w:sz="18" w:space="0" w:color="BFBFBF"/>
              <w:left w:val="single" w:sz="18" w:space="0" w:color="auto"/>
              <w:right w:val="single" w:sz="18" w:space="0" w:color="C0C0C0"/>
            </w:tcBorders>
            <w:shd w:val="clear" w:color="auto" w:fill="auto"/>
            <w:vAlign w:val="center"/>
          </w:tcPr>
          <w:p w14:paraId="219AC89F" w14:textId="6CDB34DE" w:rsidR="0061719A" w:rsidRPr="00A634FA" w:rsidRDefault="0061719A" w:rsidP="00390B39">
            <w:pPr>
              <w:jc w:val="center"/>
              <w:rPr>
                <w:rFonts w:ascii="Arial Narrow" w:hAnsi="Arial Narrow" w:cs="Arial"/>
                <w:sz w:val="16"/>
                <w:szCs w:val="16"/>
              </w:rPr>
            </w:pPr>
            <w:r>
              <w:rPr>
                <w:rFonts w:ascii="Arial Narrow" w:hAnsi="Arial Narrow" w:cs="Arial"/>
                <w:sz w:val="16"/>
                <w:szCs w:val="16"/>
              </w:rPr>
              <w:t>29 May</w:t>
            </w:r>
          </w:p>
        </w:tc>
        <w:tc>
          <w:tcPr>
            <w:tcW w:w="1134"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61719A" w:rsidRPr="00A634FA" w:rsidRDefault="0061719A" w:rsidP="00390B39">
            <w:pPr>
              <w:jc w:val="center"/>
              <w:rPr>
                <w:rFonts w:ascii="Arial Narrow" w:hAnsi="Arial Narrow" w:cs="Arial"/>
                <w:sz w:val="16"/>
                <w:szCs w:val="16"/>
              </w:rPr>
            </w:pPr>
          </w:p>
        </w:tc>
        <w:tc>
          <w:tcPr>
            <w:tcW w:w="1210" w:type="dxa"/>
            <w:tcBorders>
              <w:top w:val="single" w:sz="18" w:space="0" w:color="C0C0C0"/>
              <w:left w:val="single" w:sz="18" w:space="0" w:color="C0C0C0"/>
              <w:bottom w:val="nil"/>
              <w:right w:val="single" w:sz="18" w:space="0" w:color="BFBFBF"/>
            </w:tcBorders>
            <w:shd w:val="clear" w:color="auto" w:fill="FF0000"/>
            <w:vAlign w:val="center"/>
          </w:tcPr>
          <w:p w14:paraId="0A07747F" w14:textId="5B0CF351"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30</w:t>
            </w:r>
          </w:p>
          <w:p w14:paraId="4423C25E" w14:textId="38114817"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ICM</w:t>
            </w:r>
          </w:p>
        </w:tc>
        <w:tc>
          <w:tcPr>
            <w:tcW w:w="1162" w:type="dxa"/>
            <w:vMerge w:val="restart"/>
            <w:tcBorders>
              <w:top w:val="single" w:sz="18" w:space="0" w:color="BFBFBF"/>
              <w:left w:val="single" w:sz="18" w:space="0" w:color="BFBFBF"/>
              <w:right w:val="single" w:sz="18" w:space="0" w:color="C0C0C0"/>
            </w:tcBorders>
            <w:shd w:val="clear" w:color="auto" w:fill="FF0000"/>
            <w:vAlign w:val="center"/>
          </w:tcPr>
          <w:p w14:paraId="2AE45B4E" w14:textId="676EBC3F"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31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158F79EF" w14:textId="1E38A21E" w:rsidR="0061719A" w:rsidRPr="0049752C" w:rsidRDefault="0061719A" w:rsidP="00987E6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1</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C457AF3" w14:textId="78AA5992" w:rsidR="0061719A" w:rsidRPr="00A634FA" w:rsidRDefault="0061719A" w:rsidP="00390B39">
            <w:pPr>
              <w:jc w:val="center"/>
              <w:rPr>
                <w:rFonts w:ascii="Arial Narrow" w:hAnsi="Arial Narrow" w:cs="Arial"/>
                <w:sz w:val="16"/>
                <w:szCs w:val="16"/>
              </w:rPr>
            </w:pPr>
          </w:p>
        </w:tc>
        <w:tc>
          <w:tcPr>
            <w:tcW w:w="3633" w:type="dxa"/>
            <w:vMerge w:val="restart"/>
            <w:tcBorders>
              <w:top w:val="single" w:sz="18" w:space="0" w:color="BFBFBF"/>
              <w:left w:val="single" w:sz="18" w:space="0" w:color="auto"/>
              <w:right w:val="single" w:sz="18" w:space="0" w:color="auto"/>
            </w:tcBorders>
            <w:shd w:val="clear" w:color="auto" w:fill="auto"/>
            <w:vAlign w:val="center"/>
          </w:tcPr>
          <w:p w14:paraId="6E6EBCEC" w14:textId="762E1C7F" w:rsidR="0061719A" w:rsidRPr="0061719A" w:rsidRDefault="0061719A" w:rsidP="00390B39">
            <w:pPr>
              <w:jc w:val="center"/>
              <w:rPr>
                <w:rFonts w:ascii="Arial Narrow" w:hAnsi="Arial Narrow" w:cs="Arial"/>
                <w:sz w:val="16"/>
                <w:szCs w:val="16"/>
              </w:rPr>
            </w:pPr>
          </w:p>
        </w:tc>
      </w:tr>
      <w:tr w:rsidR="0061719A" w:rsidRPr="00BC2C5D" w14:paraId="13949AC9" w14:textId="77777777" w:rsidTr="0061719A">
        <w:trPr>
          <w:trHeight w:val="307"/>
        </w:trPr>
        <w:tc>
          <w:tcPr>
            <w:tcW w:w="1395" w:type="dxa"/>
            <w:vMerge/>
            <w:tcBorders>
              <w:left w:val="single" w:sz="18" w:space="0" w:color="auto"/>
              <w:right w:val="single" w:sz="18" w:space="0" w:color="C0C0C0"/>
            </w:tcBorders>
            <w:shd w:val="clear" w:color="auto" w:fill="auto"/>
            <w:vAlign w:val="center"/>
          </w:tcPr>
          <w:p w14:paraId="27B27816" w14:textId="77777777" w:rsidR="0061719A" w:rsidRDefault="0061719A"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04B5BA3D" w14:textId="77777777" w:rsidR="0061719A" w:rsidRPr="00A634FA" w:rsidRDefault="0061719A" w:rsidP="00390B39">
            <w:pPr>
              <w:jc w:val="center"/>
              <w:rPr>
                <w:rFonts w:ascii="Arial Narrow" w:hAnsi="Arial Narrow" w:cs="Arial"/>
                <w:sz w:val="16"/>
                <w:szCs w:val="16"/>
              </w:rPr>
            </w:pPr>
          </w:p>
        </w:tc>
        <w:tc>
          <w:tcPr>
            <w:tcW w:w="1210" w:type="dxa"/>
            <w:tcBorders>
              <w:top w:val="nil"/>
              <w:left w:val="single" w:sz="18" w:space="0" w:color="C0C0C0"/>
              <w:bottom w:val="single" w:sz="18" w:space="0" w:color="auto"/>
              <w:right w:val="single" w:sz="18" w:space="0" w:color="BFBFBF"/>
            </w:tcBorders>
            <w:shd w:val="clear" w:color="auto" w:fill="FFFF00"/>
            <w:vAlign w:val="center"/>
          </w:tcPr>
          <w:p w14:paraId="4AB66C42" w14:textId="7C4E2D42" w:rsidR="0061719A" w:rsidRPr="0049752C" w:rsidRDefault="0061719A" w:rsidP="00390B39">
            <w:pPr>
              <w:jc w:val="center"/>
              <w:rPr>
                <w:rFonts w:ascii="Arial Narrow" w:hAnsi="Arial Narrow" w:cs="Arial"/>
                <w:b/>
                <w:bCs/>
                <w:sz w:val="16"/>
                <w:szCs w:val="16"/>
              </w:rPr>
            </w:pPr>
            <w:r w:rsidRPr="0049752C">
              <w:rPr>
                <w:rFonts w:ascii="Arial Narrow" w:hAnsi="Arial Narrow" w:cs="Arial"/>
                <w:b/>
                <w:bCs/>
                <w:sz w:val="16"/>
                <w:szCs w:val="16"/>
              </w:rPr>
              <w:t>30</w:t>
            </w:r>
          </w:p>
        </w:tc>
        <w:tc>
          <w:tcPr>
            <w:tcW w:w="1162" w:type="dxa"/>
            <w:vMerge/>
            <w:tcBorders>
              <w:left w:val="single" w:sz="18" w:space="0" w:color="BFBFBF"/>
              <w:right w:val="single" w:sz="18" w:space="0" w:color="C0C0C0"/>
            </w:tcBorders>
            <w:shd w:val="clear" w:color="auto" w:fill="FF0000"/>
            <w:vAlign w:val="center"/>
          </w:tcPr>
          <w:p w14:paraId="5363FF5C" w14:textId="77777777" w:rsidR="0061719A" w:rsidRDefault="0061719A" w:rsidP="00390B39">
            <w:pPr>
              <w:jc w:val="center"/>
              <w:rPr>
                <w:rFonts w:ascii="Arial Narrow" w:hAnsi="Arial Narrow" w:cs="Arial"/>
                <w:sz w:val="16"/>
                <w:szCs w:val="16"/>
              </w:rPr>
            </w:pPr>
          </w:p>
        </w:tc>
        <w:tc>
          <w:tcPr>
            <w:tcW w:w="1162" w:type="dxa"/>
            <w:vMerge/>
            <w:tcBorders>
              <w:left w:val="single" w:sz="18" w:space="0" w:color="C0C0C0"/>
              <w:right w:val="single" w:sz="18" w:space="0" w:color="C0C0C0"/>
            </w:tcBorders>
            <w:shd w:val="clear" w:color="auto" w:fill="FF0000"/>
            <w:vAlign w:val="center"/>
          </w:tcPr>
          <w:p w14:paraId="3E484F07" w14:textId="77777777" w:rsidR="0061719A" w:rsidRDefault="0061719A" w:rsidP="00987E69">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770C9AE1" w14:textId="77777777" w:rsidR="0061719A" w:rsidRPr="00A634FA" w:rsidRDefault="0061719A"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399E93B0" w14:textId="77777777" w:rsidR="0061719A" w:rsidRPr="0061719A" w:rsidRDefault="0061719A" w:rsidP="00390B39">
            <w:pPr>
              <w:jc w:val="center"/>
              <w:rPr>
                <w:rFonts w:ascii="Arial Narrow" w:hAnsi="Arial Narrow"/>
                <w:color w:val="31849B"/>
                <w:sz w:val="16"/>
                <w:szCs w:val="16"/>
              </w:rPr>
            </w:pPr>
          </w:p>
        </w:tc>
      </w:tr>
      <w:tr w:rsidR="0061719A" w:rsidRPr="00BC2C5D" w14:paraId="1CA5194F" w14:textId="77777777" w:rsidTr="0061719A">
        <w:trPr>
          <w:trHeight w:val="220"/>
        </w:trPr>
        <w:tc>
          <w:tcPr>
            <w:tcW w:w="1395" w:type="dxa"/>
            <w:vMerge w:val="restart"/>
            <w:tcBorders>
              <w:top w:val="single" w:sz="18" w:space="0" w:color="auto"/>
              <w:left w:val="single" w:sz="18" w:space="0" w:color="auto"/>
              <w:right w:val="single" w:sz="18" w:space="0" w:color="C0C0C0"/>
            </w:tcBorders>
            <w:shd w:val="clear" w:color="auto" w:fill="auto"/>
            <w:vAlign w:val="center"/>
          </w:tcPr>
          <w:p w14:paraId="62CCD3D4" w14:textId="21516A8C" w:rsidR="0061719A" w:rsidRPr="00A634FA" w:rsidRDefault="0061719A" w:rsidP="00390B39">
            <w:pPr>
              <w:jc w:val="center"/>
              <w:rPr>
                <w:rFonts w:ascii="Arial Narrow" w:hAnsi="Arial Narrow" w:cs="Arial"/>
                <w:sz w:val="16"/>
                <w:szCs w:val="16"/>
              </w:rPr>
            </w:pPr>
            <w:r>
              <w:rPr>
                <w:rFonts w:ascii="Arial Narrow" w:hAnsi="Arial Narrow" w:cs="Arial"/>
                <w:sz w:val="16"/>
                <w:szCs w:val="16"/>
              </w:rPr>
              <w:t>5 June</w:t>
            </w:r>
          </w:p>
        </w:tc>
        <w:tc>
          <w:tcPr>
            <w:tcW w:w="1134" w:type="dxa"/>
            <w:vMerge w:val="restart"/>
            <w:tcBorders>
              <w:top w:val="single" w:sz="18" w:space="0" w:color="auto"/>
              <w:left w:val="single" w:sz="18" w:space="0" w:color="C0C0C0"/>
              <w:right w:val="single" w:sz="18" w:space="0" w:color="C0C0C0"/>
            </w:tcBorders>
            <w:shd w:val="clear" w:color="auto" w:fill="auto"/>
            <w:vAlign w:val="center"/>
          </w:tcPr>
          <w:p w14:paraId="66E74CF9" w14:textId="77777777" w:rsidR="0061719A" w:rsidRPr="00A634FA" w:rsidRDefault="0061719A" w:rsidP="00390B39">
            <w:pPr>
              <w:jc w:val="center"/>
              <w:rPr>
                <w:rFonts w:ascii="Arial Narrow" w:hAnsi="Arial Narrow" w:cs="Arial"/>
                <w:sz w:val="16"/>
                <w:szCs w:val="16"/>
                <w:highlight w:val="yellow"/>
              </w:rPr>
            </w:pPr>
          </w:p>
        </w:tc>
        <w:tc>
          <w:tcPr>
            <w:tcW w:w="1210" w:type="dxa"/>
            <w:vMerge w:val="restart"/>
            <w:tcBorders>
              <w:top w:val="single" w:sz="18" w:space="0" w:color="auto"/>
              <w:left w:val="single" w:sz="18" w:space="0" w:color="C0C0C0"/>
              <w:right w:val="single" w:sz="18" w:space="0" w:color="BFBFBF"/>
            </w:tcBorders>
            <w:shd w:val="clear" w:color="auto" w:fill="auto"/>
            <w:vAlign w:val="center"/>
          </w:tcPr>
          <w:p w14:paraId="5280C7F2" w14:textId="4046BD7F" w:rsidR="0061719A" w:rsidRPr="003F55C0" w:rsidRDefault="0061719A" w:rsidP="00294AA0">
            <w:pPr>
              <w:jc w:val="center"/>
              <w:rPr>
                <w:rFonts w:ascii="Arial Narrow" w:hAnsi="Arial Narrow" w:cs="Arial"/>
                <w:sz w:val="16"/>
                <w:szCs w:val="16"/>
              </w:rPr>
            </w:pPr>
          </w:p>
        </w:tc>
        <w:tc>
          <w:tcPr>
            <w:tcW w:w="1162" w:type="dxa"/>
            <w:vMerge w:val="restart"/>
            <w:tcBorders>
              <w:top w:val="single" w:sz="18" w:space="0" w:color="auto"/>
              <w:left w:val="single" w:sz="18" w:space="0" w:color="BFBFBF"/>
              <w:right w:val="single" w:sz="18" w:space="0" w:color="C0C0C0"/>
            </w:tcBorders>
            <w:shd w:val="clear" w:color="auto" w:fill="A972A9"/>
            <w:vAlign w:val="center"/>
          </w:tcPr>
          <w:p w14:paraId="31836070" w14:textId="0A23D669" w:rsidR="0061719A" w:rsidRPr="0049752C" w:rsidRDefault="0061719A" w:rsidP="00390B3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7</w:t>
            </w:r>
          </w:p>
        </w:tc>
        <w:tc>
          <w:tcPr>
            <w:tcW w:w="1162" w:type="dxa"/>
            <w:tcBorders>
              <w:top w:val="single" w:sz="18" w:space="0" w:color="auto"/>
              <w:left w:val="single" w:sz="18" w:space="0" w:color="C0C0C0"/>
              <w:bottom w:val="nil"/>
              <w:right w:val="single" w:sz="18" w:space="0" w:color="C0C0C0"/>
            </w:tcBorders>
            <w:shd w:val="clear" w:color="auto" w:fill="A972A9"/>
            <w:vAlign w:val="center"/>
          </w:tcPr>
          <w:p w14:paraId="18177425" w14:textId="1BE528C1" w:rsidR="0061719A" w:rsidRPr="0049752C" w:rsidRDefault="0061719A" w:rsidP="00534C70">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8</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56CF5F8B" w14:textId="77777777" w:rsidR="0061719A" w:rsidRPr="00A634FA" w:rsidRDefault="0061719A" w:rsidP="00390B39">
            <w:pPr>
              <w:jc w:val="center"/>
              <w:rPr>
                <w:rFonts w:ascii="Arial Narrow" w:hAnsi="Arial Narrow" w:cs="Arial"/>
                <w:sz w:val="16"/>
                <w:szCs w:val="16"/>
                <w:highlight w:val="yellow"/>
              </w:rPr>
            </w:pPr>
          </w:p>
        </w:tc>
        <w:tc>
          <w:tcPr>
            <w:tcW w:w="3633" w:type="dxa"/>
            <w:vMerge w:val="restart"/>
            <w:tcBorders>
              <w:top w:val="single" w:sz="18" w:space="0" w:color="auto"/>
              <w:left w:val="single" w:sz="18" w:space="0" w:color="auto"/>
              <w:right w:val="single" w:sz="18" w:space="0" w:color="auto"/>
            </w:tcBorders>
            <w:shd w:val="clear" w:color="auto" w:fill="auto"/>
            <w:vAlign w:val="center"/>
          </w:tcPr>
          <w:p w14:paraId="6C9148DC" w14:textId="60F3A539" w:rsidR="0061719A" w:rsidRPr="00695168" w:rsidRDefault="004F6F17" w:rsidP="004F6F17">
            <w:pPr>
              <w:jc w:val="center"/>
              <w:rPr>
                <w:rFonts w:ascii="Arial Narrow" w:hAnsi="Arial Narrow"/>
                <w:color w:val="31849B"/>
              </w:rPr>
            </w:pPr>
            <w:r w:rsidRPr="00695168">
              <w:rPr>
                <w:rFonts w:ascii="Arial Narrow" w:hAnsi="Arial Narrow"/>
                <w:color w:val="31849B"/>
              </w:rPr>
              <w:t>Cooktown – Circuit</w:t>
            </w:r>
          </w:p>
        </w:tc>
      </w:tr>
      <w:tr w:rsidR="0061719A" w:rsidRPr="00BC2C5D" w14:paraId="0F15A476" w14:textId="77777777" w:rsidTr="0061719A">
        <w:trPr>
          <w:trHeight w:val="220"/>
        </w:trPr>
        <w:tc>
          <w:tcPr>
            <w:tcW w:w="1395" w:type="dxa"/>
            <w:vMerge/>
            <w:tcBorders>
              <w:left w:val="single" w:sz="18" w:space="0" w:color="auto"/>
              <w:right w:val="single" w:sz="18" w:space="0" w:color="C0C0C0"/>
            </w:tcBorders>
            <w:shd w:val="clear" w:color="auto" w:fill="auto"/>
            <w:vAlign w:val="center"/>
          </w:tcPr>
          <w:p w14:paraId="3F07A61B" w14:textId="77777777" w:rsidR="0061719A" w:rsidRDefault="0061719A"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237C2484" w14:textId="77777777" w:rsidR="0061719A" w:rsidRPr="00A634FA" w:rsidRDefault="0061719A" w:rsidP="00390B39">
            <w:pPr>
              <w:jc w:val="center"/>
              <w:rPr>
                <w:rFonts w:ascii="Arial Narrow" w:hAnsi="Arial Narrow" w:cs="Arial"/>
                <w:sz w:val="16"/>
                <w:szCs w:val="16"/>
                <w:highlight w:val="yellow"/>
              </w:rPr>
            </w:pPr>
          </w:p>
        </w:tc>
        <w:tc>
          <w:tcPr>
            <w:tcW w:w="1210" w:type="dxa"/>
            <w:vMerge/>
            <w:tcBorders>
              <w:left w:val="single" w:sz="18" w:space="0" w:color="C0C0C0"/>
              <w:right w:val="single" w:sz="18" w:space="0" w:color="BFBFBF"/>
            </w:tcBorders>
            <w:shd w:val="clear" w:color="auto" w:fill="auto"/>
            <w:vAlign w:val="center"/>
          </w:tcPr>
          <w:p w14:paraId="6C919319" w14:textId="77777777" w:rsidR="0061719A" w:rsidRPr="003F55C0" w:rsidRDefault="0061719A" w:rsidP="00294AA0">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27C51A4C" w14:textId="77777777" w:rsidR="0061719A" w:rsidRPr="0049752C" w:rsidRDefault="0061719A" w:rsidP="00390B39">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nil"/>
              <w:right w:val="single" w:sz="18" w:space="0" w:color="C0C0C0"/>
            </w:tcBorders>
            <w:shd w:val="clear" w:color="auto" w:fill="769250"/>
            <w:vAlign w:val="center"/>
          </w:tcPr>
          <w:p w14:paraId="4F8EA4F5" w14:textId="415926D7" w:rsidR="0061719A" w:rsidRPr="0049752C" w:rsidRDefault="0061719A" w:rsidP="00534C70">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8</w:t>
            </w:r>
          </w:p>
        </w:tc>
        <w:tc>
          <w:tcPr>
            <w:tcW w:w="1162" w:type="dxa"/>
            <w:vMerge/>
            <w:tcBorders>
              <w:left w:val="single" w:sz="18" w:space="0" w:color="C0C0C0"/>
              <w:right w:val="single" w:sz="18" w:space="0" w:color="auto"/>
            </w:tcBorders>
            <w:shd w:val="clear" w:color="auto" w:fill="auto"/>
            <w:vAlign w:val="center"/>
          </w:tcPr>
          <w:p w14:paraId="2E5B328E" w14:textId="77777777" w:rsidR="0061719A" w:rsidRPr="00A634FA" w:rsidRDefault="0061719A" w:rsidP="00390B3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7BAF4C78" w14:textId="77777777" w:rsidR="0061719A" w:rsidRPr="00695168" w:rsidRDefault="0061719A" w:rsidP="00CA7C6A">
            <w:pPr>
              <w:jc w:val="center"/>
              <w:rPr>
                <w:rFonts w:ascii="Arial Narrow" w:hAnsi="Arial Narrow"/>
                <w:color w:val="31849B"/>
              </w:rPr>
            </w:pPr>
          </w:p>
        </w:tc>
      </w:tr>
      <w:tr w:rsidR="0061719A" w:rsidRPr="00BC2C5D" w14:paraId="33ADBBA4" w14:textId="77777777" w:rsidTr="0061719A">
        <w:trPr>
          <w:trHeight w:val="220"/>
        </w:trPr>
        <w:tc>
          <w:tcPr>
            <w:tcW w:w="1395" w:type="dxa"/>
            <w:vMerge/>
            <w:tcBorders>
              <w:left w:val="single" w:sz="18" w:space="0" w:color="auto"/>
              <w:right w:val="single" w:sz="18" w:space="0" w:color="C0C0C0"/>
            </w:tcBorders>
            <w:shd w:val="clear" w:color="auto" w:fill="auto"/>
            <w:vAlign w:val="center"/>
          </w:tcPr>
          <w:p w14:paraId="4C5308ED" w14:textId="77777777" w:rsidR="0061719A" w:rsidRDefault="0061719A"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288A3F92" w14:textId="77777777" w:rsidR="0061719A" w:rsidRPr="00A634FA" w:rsidRDefault="0061719A" w:rsidP="00390B39">
            <w:pPr>
              <w:jc w:val="center"/>
              <w:rPr>
                <w:rFonts w:ascii="Arial Narrow" w:hAnsi="Arial Narrow" w:cs="Arial"/>
                <w:sz w:val="16"/>
                <w:szCs w:val="16"/>
                <w:highlight w:val="yellow"/>
              </w:rPr>
            </w:pPr>
          </w:p>
        </w:tc>
        <w:tc>
          <w:tcPr>
            <w:tcW w:w="1210" w:type="dxa"/>
            <w:vMerge/>
            <w:tcBorders>
              <w:left w:val="single" w:sz="18" w:space="0" w:color="C0C0C0"/>
              <w:right w:val="single" w:sz="18" w:space="0" w:color="BFBFBF"/>
            </w:tcBorders>
            <w:shd w:val="clear" w:color="auto" w:fill="auto"/>
            <w:vAlign w:val="center"/>
          </w:tcPr>
          <w:p w14:paraId="5AB584DA" w14:textId="77777777" w:rsidR="0061719A" w:rsidRPr="003F55C0" w:rsidRDefault="0061719A" w:rsidP="00294AA0">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00B67D9C" w14:textId="77777777" w:rsidR="0061719A" w:rsidRPr="0049752C" w:rsidRDefault="0061719A" w:rsidP="00390B39">
            <w:pPr>
              <w:jc w:val="center"/>
              <w:rPr>
                <w:rFonts w:ascii="Arial Narrow" w:hAnsi="Arial Narrow" w:cs="Arial"/>
                <w:b/>
                <w:bCs/>
                <w:color w:val="FFFFFF" w:themeColor="background1"/>
                <w:sz w:val="16"/>
                <w:szCs w:val="16"/>
              </w:rPr>
            </w:pPr>
          </w:p>
        </w:tc>
        <w:tc>
          <w:tcPr>
            <w:tcW w:w="1162" w:type="dxa"/>
            <w:tcBorders>
              <w:top w:val="nil"/>
              <w:left w:val="single" w:sz="18" w:space="0" w:color="C0C0C0"/>
              <w:right w:val="single" w:sz="18" w:space="0" w:color="C0C0C0"/>
            </w:tcBorders>
            <w:shd w:val="clear" w:color="auto" w:fill="31849B"/>
            <w:vAlign w:val="center"/>
          </w:tcPr>
          <w:p w14:paraId="73FD780D" w14:textId="1433DED3" w:rsidR="0061719A" w:rsidRPr="0049752C" w:rsidRDefault="0061719A" w:rsidP="00534C70">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8</w:t>
            </w:r>
          </w:p>
        </w:tc>
        <w:tc>
          <w:tcPr>
            <w:tcW w:w="1162" w:type="dxa"/>
            <w:vMerge/>
            <w:tcBorders>
              <w:left w:val="single" w:sz="18" w:space="0" w:color="C0C0C0"/>
              <w:right w:val="single" w:sz="18" w:space="0" w:color="auto"/>
            </w:tcBorders>
            <w:shd w:val="clear" w:color="auto" w:fill="auto"/>
            <w:vAlign w:val="center"/>
          </w:tcPr>
          <w:p w14:paraId="5DF37545" w14:textId="77777777" w:rsidR="0061719A" w:rsidRPr="00A634FA" w:rsidRDefault="0061719A" w:rsidP="00390B3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5FE6C8AF" w14:textId="77777777" w:rsidR="0061719A" w:rsidRPr="00695168" w:rsidRDefault="0061719A" w:rsidP="00CA7C6A">
            <w:pPr>
              <w:jc w:val="center"/>
              <w:rPr>
                <w:rFonts w:ascii="Arial Narrow" w:hAnsi="Arial Narrow"/>
                <w:color w:val="31849B"/>
              </w:rPr>
            </w:pPr>
          </w:p>
        </w:tc>
      </w:tr>
      <w:tr w:rsidR="001E5AD7" w:rsidRPr="00BC2C5D" w14:paraId="6A282D96" w14:textId="77777777" w:rsidTr="001E5AD7">
        <w:trPr>
          <w:trHeight w:val="285"/>
        </w:trPr>
        <w:tc>
          <w:tcPr>
            <w:tcW w:w="1395" w:type="dxa"/>
            <w:vMerge w:val="restart"/>
            <w:tcBorders>
              <w:top w:val="single" w:sz="18" w:space="0" w:color="C0C0C0"/>
              <w:left w:val="single" w:sz="18" w:space="0" w:color="auto"/>
              <w:right w:val="single" w:sz="18" w:space="0" w:color="C0C0C0"/>
            </w:tcBorders>
            <w:shd w:val="clear" w:color="auto" w:fill="auto"/>
            <w:vAlign w:val="center"/>
          </w:tcPr>
          <w:p w14:paraId="6D86D990" w14:textId="138D5579" w:rsidR="001E5AD7" w:rsidRPr="00A634FA" w:rsidRDefault="001E5AD7" w:rsidP="00313AD9">
            <w:pPr>
              <w:jc w:val="center"/>
              <w:rPr>
                <w:rFonts w:ascii="Arial Narrow" w:hAnsi="Arial Narrow" w:cs="Arial"/>
                <w:sz w:val="16"/>
                <w:szCs w:val="16"/>
              </w:rPr>
            </w:pPr>
            <w:r>
              <w:rPr>
                <w:rFonts w:ascii="Arial Narrow" w:hAnsi="Arial Narrow" w:cs="Arial"/>
                <w:sz w:val="16"/>
                <w:szCs w:val="16"/>
              </w:rPr>
              <w:t>12 June</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695555CE" w14:textId="61BB7C07" w:rsidR="001E5AD7" w:rsidRPr="00A634FA" w:rsidRDefault="001E5AD7" w:rsidP="00313AD9">
            <w:pPr>
              <w:jc w:val="center"/>
              <w:rPr>
                <w:rFonts w:ascii="Arial Narrow" w:hAnsi="Arial Narrow" w:cs="Arial"/>
                <w:sz w:val="16"/>
                <w:szCs w:val="16"/>
                <w:highlight w:val="yellow"/>
              </w:rPr>
            </w:pPr>
          </w:p>
        </w:tc>
        <w:tc>
          <w:tcPr>
            <w:tcW w:w="1210" w:type="dxa"/>
            <w:tcBorders>
              <w:top w:val="single" w:sz="18" w:space="0" w:color="C0C0C0"/>
              <w:left w:val="single" w:sz="18" w:space="0" w:color="C0C0C0"/>
              <w:bottom w:val="nil"/>
              <w:right w:val="single" w:sz="18" w:space="0" w:color="BFBFBF"/>
            </w:tcBorders>
            <w:shd w:val="clear" w:color="auto" w:fill="FF0000"/>
            <w:vAlign w:val="center"/>
          </w:tcPr>
          <w:p w14:paraId="419BE2BC" w14:textId="77777777" w:rsidR="001E5AD7" w:rsidRPr="0049752C" w:rsidRDefault="001E5AD7" w:rsidP="001F0A2E">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13</w:t>
            </w:r>
          </w:p>
          <w:p w14:paraId="09C9C0A4" w14:textId="59621869" w:rsidR="001E5AD7" w:rsidRPr="0049752C" w:rsidRDefault="001E5AD7" w:rsidP="001F0A2E">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ICM</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1BF01046" w14:textId="356F62B6" w:rsidR="001E5AD7" w:rsidRPr="0049752C" w:rsidRDefault="001E5AD7" w:rsidP="00534C70">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14</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63AD05D9" w14:textId="37E28392" w:rsidR="001E5AD7" w:rsidRPr="0049752C" w:rsidRDefault="001E5AD7" w:rsidP="00313AD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15</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7FC64D6A" w14:textId="77777777" w:rsidR="001E5AD7" w:rsidRPr="00A634FA" w:rsidRDefault="001E5AD7" w:rsidP="00313AD9">
            <w:pPr>
              <w:jc w:val="center"/>
              <w:rPr>
                <w:rFonts w:ascii="Arial Narrow" w:hAnsi="Arial Narrow" w:cs="Arial"/>
                <w:sz w:val="16"/>
                <w:szCs w:val="16"/>
                <w:highlight w:val="yellow"/>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074ED001" w14:textId="77777777" w:rsidR="001E5AD7" w:rsidRPr="00695168" w:rsidRDefault="001E5AD7" w:rsidP="004F6F17">
            <w:pPr>
              <w:jc w:val="center"/>
              <w:rPr>
                <w:rFonts w:ascii="Arial Narrow" w:hAnsi="Arial Narrow"/>
                <w:color w:val="31849B"/>
                <w:sz w:val="16"/>
                <w:szCs w:val="16"/>
              </w:rPr>
            </w:pPr>
            <w:r w:rsidRPr="00695168">
              <w:rPr>
                <w:rFonts w:ascii="Arial Narrow" w:hAnsi="Arial Narrow"/>
                <w:color w:val="31849B"/>
                <w:sz w:val="16"/>
                <w:szCs w:val="16"/>
              </w:rPr>
              <w:t>Aurukun Cape B Circuit</w:t>
            </w:r>
          </w:p>
          <w:p w14:paraId="7594D7D0" w14:textId="79F222E2" w:rsidR="001E5AD7" w:rsidRPr="00777033" w:rsidRDefault="001E5AD7" w:rsidP="008805E5">
            <w:pPr>
              <w:jc w:val="center"/>
              <w:rPr>
                <w:rFonts w:ascii="Arial Narrow" w:hAnsi="Arial Narrow"/>
                <w:color w:val="31849B"/>
                <w:sz w:val="16"/>
                <w:szCs w:val="16"/>
              </w:rPr>
            </w:pPr>
            <w:r w:rsidRPr="00695168">
              <w:rPr>
                <w:rFonts w:ascii="Arial Narrow" w:hAnsi="Arial Narrow"/>
                <w:color w:val="31849B"/>
                <w:sz w:val="16"/>
                <w:szCs w:val="16"/>
              </w:rPr>
              <w:t>Doomadgee – Gulf Circuit</w:t>
            </w:r>
          </w:p>
        </w:tc>
      </w:tr>
      <w:tr w:rsidR="001E5AD7" w:rsidRPr="00BC2C5D" w14:paraId="32024CA2" w14:textId="77777777" w:rsidTr="001E5AD7">
        <w:trPr>
          <w:trHeight w:val="285"/>
        </w:trPr>
        <w:tc>
          <w:tcPr>
            <w:tcW w:w="1395" w:type="dxa"/>
            <w:vMerge/>
            <w:tcBorders>
              <w:left w:val="single" w:sz="18" w:space="0" w:color="auto"/>
              <w:right w:val="single" w:sz="18" w:space="0" w:color="C0C0C0"/>
            </w:tcBorders>
            <w:shd w:val="clear" w:color="auto" w:fill="auto"/>
            <w:vAlign w:val="center"/>
          </w:tcPr>
          <w:p w14:paraId="44C62672" w14:textId="77777777" w:rsidR="001E5AD7" w:rsidRDefault="001E5AD7" w:rsidP="00313AD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00BDC859" w14:textId="77777777" w:rsidR="001E5AD7" w:rsidRPr="00A634FA" w:rsidRDefault="001E5AD7" w:rsidP="00313AD9">
            <w:pPr>
              <w:jc w:val="center"/>
              <w:rPr>
                <w:rFonts w:ascii="Arial Narrow" w:hAnsi="Arial Narrow" w:cs="Arial"/>
                <w:sz w:val="16"/>
                <w:szCs w:val="16"/>
                <w:highlight w:val="yellow"/>
              </w:rPr>
            </w:pPr>
          </w:p>
        </w:tc>
        <w:tc>
          <w:tcPr>
            <w:tcW w:w="1210" w:type="dxa"/>
            <w:tcBorders>
              <w:top w:val="nil"/>
              <w:left w:val="single" w:sz="18" w:space="0" w:color="C0C0C0"/>
              <w:bottom w:val="single" w:sz="18" w:space="0" w:color="BFBFBF" w:themeColor="background1" w:themeShade="BF"/>
              <w:right w:val="single" w:sz="18" w:space="0" w:color="BFBFBF"/>
            </w:tcBorders>
            <w:shd w:val="clear" w:color="auto" w:fill="FFFF00"/>
            <w:vAlign w:val="center"/>
          </w:tcPr>
          <w:p w14:paraId="0BBBA526" w14:textId="63E2D768" w:rsidR="001E5AD7" w:rsidRPr="001E5AD7" w:rsidRDefault="001E5AD7" w:rsidP="001F0A2E">
            <w:pPr>
              <w:jc w:val="center"/>
              <w:rPr>
                <w:rFonts w:ascii="Arial Narrow" w:hAnsi="Arial Narrow" w:cs="Arial"/>
                <w:b/>
                <w:bCs/>
                <w:sz w:val="16"/>
                <w:szCs w:val="16"/>
              </w:rPr>
            </w:pPr>
            <w:r>
              <w:rPr>
                <w:rFonts w:ascii="Arial Narrow" w:hAnsi="Arial Narrow" w:cs="Arial"/>
                <w:b/>
                <w:bCs/>
                <w:sz w:val="16"/>
                <w:szCs w:val="16"/>
              </w:rPr>
              <w:t>13</w:t>
            </w:r>
          </w:p>
        </w:tc>
        <w:tc>
          <w:tcPr>
            <w:tcW w:w="1162" w:type="dxa"/>
            <w:vMerge/>
            <w:tcBorders>
              <w:left w:val="single" w:sz="18" w:space="0" w:color="BFBFBF"/>
              <w:right w:val="single" w:sz="18" w:space="0" w:color="C0C0C0"/>
            </w:tcBorders>
            <w:shd w:val="clear" w:color="auto" w:fill="FF0000"/>
            <w:vAlign w:val="center"/>
          </w:tcPr>
          <w:p w14:paraId="38BB59BB" w14:textId="77777777" w:rsidR="001E5AD7" w:rsidRPr="0049752C" w:rsidRDefault="001E5AD7" w:rsidP="00534C70">
            <w:pPr>
              <w:jc w:val="center"/>
              <w:rPr>
                <w:rFonts w:ascii="Arial Narrow" w:hAnsi="Arial Narrow" w:cs="Arial"/>
                <w:b/>
                <w:bCs/>
                <w:color w:val="FFFFFF" w:themeColor="background1"/>
                <w:sz w:val="16"/>
                <w:szCs w:val="16"/>
              </w:rPr>
            </w:pPr>
          </w:p>
        </w:tc>
        <w:tc>
          <w:tcPr>
            <w:tcW w:w="1162" w:type="dxa"/>
            <w:vMerge/>
            <w:tcBorders>
              <w:left w:val="single" w:sz="18" w:space="0" w:color="C0C0C0"/>
              <w:right w:val="single" w:sz="18" w:space="0" w:color="C0C0C0"/>
            </w:tcBorders>
            <w:shd w:val="clear" w:color="auto" w:fill="FF0000"/>
            <w:vAlign w:val="center"/>
          </w:tcPr>
          <w:p w14:paraId="066E1F62" w14:textId="77777777" w:rsidR="001E5AD7" w:rsidRPr="0049752C" w:rsidRDefault="001E5AD7" w:rsidP="00313AD9">
            <w:pPr>
              <w:jc w:val="center"/>
              <w:rPr>
                <w:rFonts w:ascii="Arial Narrow" w:hAnsi="Arial Narrow" w:cs="Arial"/>
                <w:b/>
                <w:bCs/>
                <w:color w:val="FFFFFF" w:themeColor="background1"/>
                <w:sz w:val="16"/>
                <w:szCs w:val="16"/>
              </w:rPr>
            </w:pPr>
          </w:p>
        </w:tc>
        <w:tc>
          <w:tcPr>
            <w:tcW w:w="1162" w:type="dxa"/>
            <w:vMerge/>
            <w:tcBorders>
              <w:left w:val="single" w:sz="18" w:space="0" w:color="C0C0C0"/>
              <w:right w:val="single" w:sz="18" w:space="0" w:color="auto"/>
            </w:tcBorders>
            <w:shd w:val="clear" w:color="auto" w:fill="auto"/>
            <w:vAlign w:val="center"/>
          </w:tcPr>
          <w:p w14:paraId="49B6B67D" w14:textId="77777777" w:rsidR="001E5AD7" w:rsidRPr="00A634FA" w:rsidRDefault="001E5AD7" w:rsidP="00313AD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0183A29F" w14:textId="77777777" w:rsidR="001E5AD7" w:rsidRPr="00695168" w:rsidRDefault="001E5AD7" w:rsidP="004F6F17">
            <w:pPr>
              <w:jc w:val="center"/>
              <w:rPr>
                <w:rFonts w:ascii="Arial Narrow" w:hAnsi="Arial Narrow"/>
                <w:color w:val="31849B"/>
                <w:sz w:val="16"/>
                <w:szCs w:val="16"/>
              </w:rPr>
            </w:pPr>
          </w:p>
        </w:tc>
      </w:tr>
      <w:tr w:rsidR="00534C70" w:rsidRPr="00BC2C5D" w14:paraId="5AD4A603" w14:textId="77777777" w:rsidTr="001E5AD7">
        <w:trPr>
          <w:trHeight w:val="567"/>
        </w:trPr>
        <w:tc>
          <w:tcPr>
            <w:tcW w:w="1395" w:type="dxa"/>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061F4049" w:rsidR="00534C70" w:rsidRDefault="00444C25" w:rsidP="00313AD9">
            <w:pPr>
              <w:jc w:val="center"/>
              <w:rPr>
                <w:rFonts w:ascii="Arial Narrow" w:hAnsi="Arial Narrow" w:cs="Arial"/>
                <w:sz w:val="16"/>
                <w:szCs w:val="16"/>
              </w:rPr>
            </w:pPr>
            <w:r>
              <w:rPr>
                <w:rFonts w:ascii="Arial Narrow" w:hAnsi="Arial Narrow" w:cs="Arial"/>
                <w:sz w:val="16"/>
                <w:szCs w:val="16"/>
              </w:rPr>
              <w:t>19 June</w:t>
            </w:r>
          </w:p>
        </w:tc>
        <w:tc>
          <w:tcPr>
            <w:tcW w:w="1134" w:type="dxa"/>
            <w:tcBorders>
              <w:top w:val="single" w:sz="18" w:space="0" w:color="BFBFBF" w:themeColor="background1" w:themeShade="BF"/>
              <w:left w:val="single" w:sz="18" w:space="0" w:color="C0C0C0"/>
              <w:right w:val="single" w:sz="18" w:space="0" w:color="C0C0C0"/>
            </w:tcBorders>
            <w:shd w:val="clear" w:color="auto" w:fill="auto"/>
            <w:vAlign w:val="center"/>
          </w:tcPr>
          <w:p w14:paraId="7C9E53CD" w14:textId="77777777" w:rsidR="00534C70" w:rsidRPr="00A634FA" w:rsidRDefault="00534C70" w:rsidP="00313AD9">
            <w:pPr>
              <w:jc w:val="center"/>
              <w:rPr>
                <w:rFonts w:ascii="Arial Narrow" w:hAnsi="Arial Narrow" w:cs="Arial"/>
                <w:sz w:val="16"/>
                <w:szCs w:val="16"/>
                <w:highlight w:val="yellow"/>
              </w:rPr>
            </w:pPr>
          </w:p>
        </w:tc>
        <w:tc>
          <w:tcPr>
            <w:tcW w:w="1210" w:type="dxa"/>
            <w:tcBorders>
              <w:top w:val="single" w:sz="18" w:space="0" w:color="BFBFBF" w:themeColor="background1" w:themeShade="BF"/>
              <w:left w:val="single" w:sz="18" w:space="0" w:color="C0C0C0"/>
              <w:right w:val="single" w:sz="18" w:space="0" w:color="BFBFBF"/>
            </w:tcBorders>
            <w:shd w:val="clear" w:color="auto" w:fill="FFFF00"/>
            <w:vAlign w:val="center"/>
          </w:tcPr>
          <w:p w14:paraId="6101D748" w14:textId="73E179F9" w:rsidR="00534C70" w:rsidRPr="0049752C" w:rsidRDefault="0061719A" w:rsidP="00534C70">
            <w:pPr>
              <w:jc w:val="center"/>
              <w:rPr>
                <w:rFonts w:ascii="Arial Narrow" w:hAnsi="Arial Narrow" w:cs="Arial"/>
                <w:b/>
                <w:bCs/>
                <w:color w:val="000000"/>
                <w:sz w:val="16"/>
                <w:szCs w:val="16"/>
              </w:rPr>
            </w:pPr>
            <w:r w:rsidRPr="0049752C">
              <w:rPr>
                <w:rFonts w:ascii="Arial Narrow" w:hAnsi="Arial Narrow" w:cs="Arial"/>
                <w:b/>
                <w:bCs/>
                <w:color w:val="000000"/>
                <w:sz w:val="16"/>
                <w:szCs w:val="16"/>
              </w:rPr>
              <w:t>20</w:t>
            </w:r>
          </w:p>
        </w:tc>
        <w:tc>
          <w:tcPr>
            <w:tcW w:w="1162" w:type="dxa"/>
            <w:tcBorders>
              <w:top w:val="single" w:sz="18" w:space="0" w:color="C0C0C0"/>
              <w:left w:val="single" w:sz="18" w:space="0" w:color="BFBFBF"/>
              <w:right w:val="single" w:sz="18" w:space="0" w:color="C0C0C0"/>
            </w:tcBorders>
            <w:shd w:val="clear" w:color="auto" w:fill="769250"/>
            <w:vAlign w:val="center"/>
          </w:tcPr>
          <w:p w14:paraId="1EACD015" w14:textId="2AF57563" w:rsidR="00534C70" w:rsidRPr="0049752C" w:rsidRDefault="0061719A" w:rsidP="00313AD9">
            <w:pPr>
              <w:jc w:val="center"/>
              <w:rPr>
                <w:rFonts w:ascii="Arial Narrow" w:hAnsi="Arial Narrow" w:cs="Arial"/>
                <w:b/>
                <w:bCs/>
                <w:color w:val="FFFFFF" w:themeColor="background1"/>
                <w:sz w:val="16"/>
                <w:szCs w:val="16"/>
              </w:rPr>
            </w:pPr>
            <w:r w:rsidRPr="0049752C">
              <w:rPr>
                <w:rFonts w:ascii="Arial Narrow" w:hAnsi="Arial Narrow" w:cs="Arial"/>
                <w:b/>
                <w:bCs/>
                <w:color w:val="FFFFFF" w:themeColor="background1"/>
                <w:sz w:val="16"/>
                <w:szCs w:val="16"/>
              </w:rPr>
              <w:t>21</w:t>
            </w:r>
          </w:p>
        </w:tc>
        <w:tc>
          <w:tcPr>
            <w:tcW w:w="1162" w:type="dxa"/>
            <w:tcBorders>
              <w:top w:val="single" w:sz="18" w:space="0" w:color="C0C0C0"/>
              <w:left w:val="single" w:sz="18" w:space="0" w:color="C0C0C0"/>
              <w:right w:val="single" w:sz="18" w:space="0" w:color="C0C0C0"/>
            </w:tcBorders>
            <w:shd w:val="clear" w:color="auto" w:fill="auto"/>
            <w:vAlign w:val="center"/>
          </w:tcPr>
          <w:p w14:paraId="66B770D2" w14:textId="06DE48AE" w:rsidR="00534C70" w:rsidRPr="00CA7C6A" w:rsidRDefault="00534C70" w:rsidP="004B316F">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auto"/>
            <w:vAlign w:val="center"/>
          </w:tcPr>
          <w:p w14:paraId="26701529" w14:textId="77777777" w:rsidR="00534C70" w:rsidRPr="00A634FA" w:rsidRDefault="00534C70" w:rsidP="00313AD9">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right w:val="single" w:sz="18" w:space="0" w:color="auto"/>
            </w:tcBorders>
            <w:shd w:val="clear" w:color="auto" w:fill="auto"/>
            <w:vAlign w:val="center"/>
          </w:tcPr>
          <w:p w14:paraId="34E89CD0" w14:textId="4DF3B91F" w:rsidR="00534C70" w:rsidRPr="00695168" w:rsidRDefault="004F6F17" w:rsidP="00695168">
            <w:pPr>
              <w:spacing w:line="240" w:lineRule="auto"/>
              <w:jc w:val="center"/>
              <w:rPr>
                <w:rFonts w:ascii="Arial Narrow" w:hAnsi="Arial Narrow"/>
                <w:sz w:val="16"/>
                <w:szCs w:val="16"/>
              </w:rPr>
            </w:pPr>
            <w:r w:rsidRPr="00695168">
              <w:rPr>
                <w:rFonts w:ascii="Arial Narrow" w:eastAsia="Calibri" w:hAnsi="Arial Narrow"/>
                <w:sz w:val="16"/>
                <w:szCs w:val="16"/>
              </w:rPr>
              <w:t>23-24 Mount Isa Show</w:t>
            </w:r>
          </w:p>
        </w:tc>
      </w:tr>
      <w:tr w:rsidR="00CA7C6A" w:rsidRPr="00BC2C5D" w14:paraId="358400C0" w14:textId="77777777" w:rsidTr="00F0402C">
        <w:trPr>
          <w:trHeight w:val="567"/>
        </w:trPr>
        <w:tc>
          <w:tcPr>
            <w:tcW w:w="1395"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F3CCD7D" w14:textId="65672CBD" w:rsidR="00CA7C6A" w:rsidRDefault="00444C25" w:rsidP="00CA7C6A">
            <w:pPr>
              <w:jc w:val="center"/>
              <w:rPr>
                <w:rFonts w:ascii="Arial Narrow" w:hAnsi="Arial Narrow" w:cs="Arial"/>
                <w:sz w:val="16"/>
                <w:szCs w:val="16"/>
              </w:rPr>
            </w:pPr>
            <w:r>
              <w:rPr>
                <w:rFonts w:ascii="Arial Narrow" w:hAnsi="Arial Narrow" w:cs="Arial"/>
                <w:sz w:val="16"/>
                <w:szCs w:val="16"/>
              </w:rPr>
              <w:t>26 June</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5AA43F07" w14:textId="672F76C5" w:rsidR="00CA7C6A" w:rsidRPr="0061719A" w:rsidRDefault="00CA7C6A" w:rsidP="00CA7C6A">
            <w:pPr>
              <w:jc w:val="center"/>
              <w:rPr>
                <w:rFonts w:ascii="Arial Narrow" w:hAnsi="Arial Narrow" w:cs="Arial"/>
                <w:sz w:val="16"/>
                <w:szCs w:val="16"/>
                <w:highlight w:val="yellow"/>
              </w:rPr>
            </w:pPr>
          </w:p>
        </w:tc>
        <w:tc>
          <w:tcPr>
            <w:tcW w:w="1210"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6A12CAE1" w14:textId="1D47D127" w:rsidR="00CA7C6A" w:rsidRPr="0061719A" w:rsidRDefault="00CA7C6A" w:rsidP="00CA7C6A">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DFE03AF" w14:textId="77777777" w:rsidR="00CA7C6A" w:rsidRPr="0061719A" w:rsidRDefault="00CA7C6A" w:rsidP="00CA7C6A">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E04AA2" w14:textId="77777777" w:rsidR="00CA7C6A" w:rsidRPr="0061719A" w:rsidRDefault="00CA7C6A" w:rsidP="00CA7C6A">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B9BFEA4" w14:textId="5F89072E" w:rsidR="00CA7C6A" w:rsidRPr="0061719A" w:rsidRDefault="00CA7C6A" w:rsidP="00CA7C6A">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5A84D8F4" w14:textId="6BFB6B52" w:rsidR="00CA7C6A" w:rsidRPr="0061719A" w:rsidRDefault="00CA7C6A" w:rsidP="00CA7C6A">
            <w:pPr>
              <w:jc w:val="center"/>
              <w:rPr>
                <w:rFonts w:ascii="Arial Narrow" w:hAnsi="Arial Narrow"/>
                <w:sz w:val="16"/>
                <w:szCs w:val="16"/>
              </w:rPr>
            </w:pPr>
          </w:p>
        </w:tc>
      </w:tr>
    </w:tbl>
    <w:p w14:paraId="76B33384" w14:textId="074FAC56" w:rsidR="00D017C0" w:rsidRDefault="00D017C0" w:rsidP="004B316F">
      <w:pPr>
        <w:spacing w:line="240" w:lineRule="auto"/>
        <w:jc w:val="both"/>
        <w:rPr>
          <w:rFonts w:cs="Arial"/>
          <w:sz w:val="16"/>
          <w:szCs w:val="16"/>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7777777" w:rsidR="00FA3323" w:rsidRPr="00D20D53" w:rsidRDefault="00FA3323" w:rsidP="00A15FC1">
            <w:pPr>
              <w:rPr>
                <w:rFonts w:ascii="Arial Narrow" w:hAnsi="Arial Narrow"/>
                <w:sz w:val="18"/>
                <w:szCs w:val="18"/>
              </w:rPr>
            </w:pPr>
            <w:r w:rsidRPr="00D20D53">
              <w:rPr>
                <w:rFonts w:ascii="Arial" w:hAnsi="Arial" w:cs="Arial"/>
                <w:sz w:val="18"/>
                <w:szCs w:val="18"/>
              </w:rPr>
              <w:t>Office Days</w:t>
            </w:r>
          </w:p>
        </w:tc>
      </w:tr>
      <w:tr w:rsidR="00FA3323" w:rsidRPr="0036066B" w14:paraId="2B38FB28" w14:textId="77777777" w:rsidTr="00F10DE3">
        <w:tc>
          <w:tcPr>
            <w:tcW w:w="710"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77777777" w:rsidR="00FA3323" w:rsidRPr="00D20D53" w:rsidRDefault="00FA3323" w:rsidP="00A15FC1">
            <w:pPr>
              <w:rPr>
                <w:rFonts w:ascii="Arial Narrow" w:hAnsi="Arial Narrow"/>
                <w:sz w:val="18"/>
                <w:szCs w:val="18"/>
              </w:rPr>
            </w:pPr>
            <w:r w:rsidRPr="00D20D53">
              <w:rPr>
                <w:rFonts w:ascii="Arial" w:hAnsi="Arial" w:cs="Arial"/>
                <w:sz w:val="18"/>
                <w:szCs w:val="18"/>
              </w:rPr>
              <w:t>Public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583BA9" w:rsidRPr="00D83311" w14:paraId="7AC0CA1E" w14:textId="77777777" w:rsidTr="00F10DE3">
        <w:trPr>
          <w:trHeight w:val="284"/>
        </w:trPr>
        <w:tc>
          <w:tcPr>
            <w:tcW w:w="3686" w:type="dxa"/>
            <w:shd w:val="clear" w:color="auto" w:fill="auto"/>
            <w:vAlign w:val="center"/>
          </w:tcPr>
          <w:p w14:paraId="4EA8313E" w14:textId="6D8203D2" w:rsidR="00583BA9" w:rsidRPr="00583BA9" w:rsidRDefault="00583BA9" w:rsidP="00583BA9">
            <w:pPr>
              <w:rPr>
                <w:rFonts w:ascii="Arial" w:hAnsi="Arial" w:cs="Arial"/>
                <w:sz w:val="18"/>
                <w:szCs w:val="18"/>
              </w:rPr>
            </w:pPr>
            <w:r w:rsidRPr="00583BA9">
              <w:rPr>
                <w:rFonts w:ascii="Arial" w:hAnsi="Arial" w:cs="Arial"/>
                <w:sz w:val="18"/>
                <w:szCs w:val="18"/>
              </w:rPr>
              <w:t>Cairns – Commissioner</w:t>
            </w:r>
          </w:p>
        </w:tc>
        <w:tc>
          <w:tcPr>
            <w:tcW w:w="2308" w:type="dxa"/>
            <w:shd w:val="clear" w:color="auto" w:fill="auto"/>
            <w:vAlign w:val="center"/>
          </w:tcPr>
          <w:p w14:paraId="2575E680" w14:textId="4823695D" w:rsidR="00583BA9" w:rsidRPr="00583BA9" w:rsidRDefault="00583BA9" w:rsidP="00583BA9">
            <w:pPr>
              <w:rPr>
                <w:rFonts w:ascii="Arial" w:hAnsi="Arial" w:cs="Arial"/>
                <w:sz w:val="18"/>
                <w:szCs w:val="18"/>
              </w:rPr>
            </w:pPr>
            <w:r w:rsidRPr="00583BA9">
              <w:rPr>
                <w:rFonts w:ascii="Arial" w:hAnsi="Arial" w:cs="Arial"/>
                <w:sz w:val="18"/>
                <w:szCs w:val="18"/>
              </w:rPr>
              <w:t>Tammy Williams</w:t>
            </w:r>
          </w:p>
        </w:tc>
        <w:tc>
          <w:tcPr>
            <w:tcW w:w="1261" w:type="dxa"/>
            <w:shd w:val="clear" w:color="auto" w:fill="auto"/>
            <w:vAlign w:val="center"/>
          </w:tcPr>
          <w:p w14:paraId="37188136" w14:textId="1018FE7E" w:rsidR="00583BA9" w:rsidRPr="00583BA9" w:rsidRDefault="00583BA9" w:rsidP="00583BA9">
            <w:pPr>
              <w:jc w:val="center"/>
              <w:rPr>
                <w:rFonts w:ascii="Arial" w:hAnsi="Arial" w:cs="Arial"/>
                <w:sz w:val="18"/>
                <w:szCs w:val="18"/>
              </w:rPr>
            </w:pPr>
            <w:r w:rsidRPr="00583BA9">
              <w:rPr>
                <w:rFonts w:ascii="Arial" w:hAnsi="Arial" w:cs="Arial"/>
                <w:sz w:val="18"/>
                <w:szCs w:val="18"/>
              </w:rPr>
              <w:t>4081 8413</w:t>
            </w:r>
          </w:p>
        </w:tc>
        <w:tc>
          <w:tcPr>
            <w:tcW w:w="1535" w:type="dxa"/>
            <w:shd w:val="clear" w:color="auto" w:fill="auto"/>
            <w:vAlign w:val="center"/>
          </w:tcPr>
          <w:p w14:paraId="4221BDBF" w14:textId="42A16C15" w:rsidR="00583BA9" w:rsidRPr="00583BA9" w:rsidRDefault="00583BA9" w:rsidP="00583BA9">
            <w:pPr>
              <w:jc w:val="center"/>
              <w:rPr>
                <w:rFonts w:ascii="Arial" w:hAnsi="Arial" w:cs="Arial"/>
                <w:sz w:val="18"/>
                <w:szCs w:val="18"/>
              </w:rPr>
            </w:pPr>
            <w:r w:rsidRPr="00583BA9">
              <w:rPr>
                <w:rFonts w:ascii="Arial" w:hAnsi="Arial" w:cs="Arial"/>
                <w:sz w:val="18"/>
                <w:szCs w:val="18"/>
              </w:rPr>
              <w:t>0447 739 137</w:t>
            </w:r>
          </w:p>
        </w:tc>
        <w:tc>
          <w:tcPr>
            <w:tcW w:w="1275" w:type="dxa"/>
            <w:shd w:val="clear" w:color="auto" w:fill="auto"/>
            <w:vAlign w:val="center"/>
          </w:tcPr>
          <w:p w14:paraId="23792D04" w14:textId="5ECCB89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61495AE" w14:textId="77777777" w:rsidTr="00F10DE3">
        <w:trPr>
          <w:trHeight w:val="284"/>
        </w:trPr>
        <w:tc>
          <w:tcPr>
            <w:tcW w:w="3686" w:type="dxa"/>
            <w:shd w:val="clear" w:color="auto" w:fill="auto"/>
            <w:vAlign w:val="center"/>
          </w:tcPr>
          <w:p w14:paraId="162B3C56" w14:textId="12EF888B" w:rsidR="00583BA9" w:rsidRPr="00583BA9" w:rsidRDefault="00583BA9" w:rsidP="00583BA9">
            <w:pPr>
              <w:rPr>
                <w:rFonts w:ascii="Arial" w:hAnsi="Arial" w:cs="Arial"/>
                <w:sz w:val="18"/>
                <w:szCs w:val="18"/>
              </w:rPr>
            </w:pPr>
            <w:r w:rsidRPr="00583BA9">
              <w:rPr>
                <w:rFonts w:ascii="Arial" w:hAnsi="Arial" w:cs="Arial"/>
                <w:sz w:val="18"/>
                <w:szCs w:val="18"/>
              </w:rPr>
              <w:t>Cairns – Deputy Commissioner</w:t>
            </w:r>
          </w:p>
        </w:tc>
        <w:tc>
          <w:tcPr>
            <w:tcW w:w="2308" w:type="dxa"/>
            <w:shd w:val="clear" w:color="auto" w:fill="auto"/>
            <w:vAlign w:val="center"/>
          </w:tcPr>
          <w:p w14:paraId="13B665B8" w14:textId="1C62C676" w:rsidR="00583BA9" w:rsidRPr="00583BA9" w:rsidRDefault="00583BA9" w:rsidP="00583BA9">
            <w:pPr>
              <w:rPr>
                <w:rFonts w:ascii="Arial" w:hAnsi="Arial" w:cs="Arial"/>
                <w:sz w:val="18"/>
                <w:szCs w:val="18"/>
              </w:rPr>
            </w:pPr>
            <w:r w:rsidRPr="00583BA9">
              <w:rPr>
                <w:rFonts w:ascii="Arial" w:hAnsi="Arial" w:cs="Arial"/>
                <w:sz w:val="18"/>
                <w:szCs w:val="18"/>
              </w:rPr>
              <w:t>Rod Curtin</w:t>
            </w:r>
          </w:p>
        </w:tc>
        <w:tc>
          <w:tcPr>
            <w:tcW w:w="1261" w:type="dxa"/>
            <w:shd w:val="clear" w:color="auto" w:fill="auto"/>
            <w:vAlign w:val="center"/>
          </w:tcPr>
          <w:p w14:paraId="5768F957" w14:textId="699E784A"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shd w:val="clear" w:color="auto" w:fill="auto"/>
            <w:vAlign w:val="center"/>
          </w:tcPr>
          <w:p w14:paraId="713272F7" w14:textId="79DCF50F" w:rsidR="00583BA9" w:rsidRPr="00583BA9" w:rsidRDefault="00583BA9" w:rsidP="00583BA9">
            <w:pPr>
              <w:jc w:val="center"/>
              <w:rPr>
                <w:rFonts w:ascii="Arial" w:hAnsi="Arial" w:cs="Arial"/>
                <w:sz w:val="18"/>
                <w:szCs w:val="18"/>
              </w:rPr>
            </w:pPr>
            <w:r w:rsidRPr="00583BA9">
              <w:rPr>
                <w:rFonts w:ascii="Arial" w:hAnsi="Arial" w:cs="Arial"/>
                <w:sz w:val="18"/>
                <w:szCs w:val="18"/>
              </w:rPr>
              <w:t>0419 647 948</w:t>
            </w:r>
          </w:p>
        </w:tc>
        <w:tc>
          <w:tcPr>
            <w:tcW w:w="1275" w:type="dxa"/>
            <w:shd w:val="clear" w:color="auto" w:fill="auto"/>
            <w:vAlign w:val="center"/>
          </w:tcPr>
          <w:p w14:paraId="3771714E" w14:textId="4B56303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AE1FE76" w14:textId="77777777" w:rsidTr="00F10DE3">
        <w:trPr>
          <w:trHeight w:val="284"/>
        </w:trPr>
        <w:tc>
          <w:tcPr>
            <w:tcW w:w="3686" w:type="dxa"/>
            <w:shd w:val="clear" w:color="auto" w:fill="auto"/>
            <w:vAlign w:val="center"/>
          </w:tcPr>
          <w:p w14:paraId="5116CEAB" w14:textId="253CBB72" w:rsidR="00583BA9" w:rsidRPr="00583BA9" w:rsidRDefault="00583BA9" w:rsidP="00583BA9">
            <w:pPr>
              <w:rPr>
                <w:rFonts w:ascii="Arial" w:hAnsi="Arial" w:cs="Arial"/>
                <w:sz w:val="18"/>
                <w:szCs w:val="18"/>
              </w:rPr>
            </w:pPr>
            <w:r w:rsidRPr="00583BA9">
              <w:rPr>
                <w:rFonts w:ascii="Arial" w:hAnsi="Arial" w:cs="Arial"/>
                <w:sz w:val="18"/>
                <w:szCs w:val="18"/>
              </w:rPr>
              <w:t>Cairns – Registrar</w:t>
            </w:r>
          </w:p>
        </w:tc>
        <w:tc>
          <w:tcPr>
            <w:tcW w:w="2308" w:type="dxa"/>
            <w:shd w:val="clear" w:color="auto" w:fill="auto"/>
            <w:vAlign w:val="center"/>
          </w:tcPr>
          <w:p w14:paraId="73035401" w14:textId="7B7F3431" w:rsidR="00583BA9" w:rsidRPr="00583BA9" w:rsidRDefault="00583BA9" w:rsidP="00583BA9">
            <w:pPr>
              <w:rPr>
                <w:rFonts w:ascii="Arial" w:hAnsi="Arial" w:cs="Arial"/>
                <w:sz w:val="18"/>
                <w:szCs w:val="18"/>
              </w:rPr>
            </w:pPr>
            <w:r w:rsidRPr="00583BA9">
              <w:rPr>
                <w:rFonts w:ascii="Arial" w:hAnsi="Arial" w:cs="Arial"/>
                <w:sz w:val="18"/>
                <w:szCs w:val="18"/>
              </w:rPr>
              <w:t>Maxine McLeod</w:t>
            </w:r>
          </w:p>
        </w:tc>
        <w:tc>
          <w:tcPr>
            <w:tcW w:w="1261" w:type="dxa"/>
            <w:shd w:val="clear" w:color="auto" w:fill="auto"/>
            <w:vAlign w:val="center"/>
          </w:tcPr>
          <w:p w14:paraId="61BA9B0E" w14:textId="20D37A90" w:rsidR="00583BA9" w:rsidRPr="00583BA9" w:rsidRDefault="00583BA9" w:rsidP="00583BA9">
            <w:pPr>
              <w:jc w:val="center"/>
              <w:rPr>
                <w:rFonts w:ascii="Arial" w:hAnsi="Arial" w:cs="Arial"/>
                <w:sz w:val="18"/>
                <w:szCs w:val="18"/>
              </w:rPr>
            </w:pPr>
            <w:r w:rsidRPr="00583BA9">
              <w:rPr>
                <w:rFonts w:ascii="Arial" w:hAnsi="Arial" w:cs="Arial"/>
                <w:sz w:val="18"/>
                <w:szCs w:val="18"/>
              </w:rPr>
              <w:t>4081 8412</w:t>
            </w:r>
          </w:p>
        </w:tc>
        <w:tc>
          <w:tcPr>
            <w:tcW w:w="1535" w:type="dxa"/>
            <w:shd w:val="clear" w:color="auto" w:fill="auto"/>
            <w:vAlign w:val="center"/>
          </w:tcPr>
          <w:p w14:paraId="4EDB491E" w14:textId="79E6D052" w:rsidR="00583BA9" w:rsidRPr="00583BA9" w:rsidRDefault="00583BA9" w:rsidP="00583BA9">
            <w:pPr>
              <w:jc w:val="center"/>
              <w:rPr>
                <w:rFonts w:ascii="Arial" w:hAnsi="Arial" w:cs="Arial"/>
                <w:sz w:val="18"/>
                <w:szCs w:val="18"/>
              </w:rPr>
            </w:pPr>
            <w:r w:rsidRPr="00583BA9">
              <w:rPr>
                <w:rFonts w:ascii="Arial" w:hAnsi="Arial" w:cs="Arial"/>
                <w:sz w:val="18"/>
                <w:szCs w:val="18"/>
              </w:rPr>
              <w:t>0409 461 624</w:t>
            </w:r>
          </w:p>
        </w:tc>
        <w:tc>
          <w:tcPr>
            <w:tcW w:w="1275" w:type="dxa"/>
            <w:shd w:val="clear" w:color="auto" w:fill="auto"/>
            <w:vAlign w:val="center"/>
          </w:tcPr>
          <w:p w14:paraId="4D90E65B" w14:textId="7F5595CC"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D3BBDC6" w14:textId="77777777" w:rsidTr="00F10DE3">
        <w:trPr>
          <w:trHeight w:val="284"/>
        </w:trPr>
        <w:tc>
          <w:tcPr>
            <w:tcW w:w="3686" w:type="dxa"/>
            <w:shd w:val="clear" w:color="auto" w:fill="auto"/>
            <w:vAlign w:val="center"/>
          </w:tcPr>
          <w:p w14:paraId="05C1E82E" w14:textId="4447C732" w:rsidR="00583BA9" w:rsidRPr="00583BA9" w:rsidRDefault="00583BA9" w:rsidP="00583BA9">
            <w:pPr>
              <w:rPr>
                <w:rFonts w:ascii="Arial" w:hAnsi="Arial" w:cs="Arial"/>
                <w:sz w:val="18"/>
                <w:szCs w:val="18"/>
              </w:rPr>
            </w:pPr>
            <w:r w:rsidRPr="00583BA9">
              <w:rPr>
                <w:rFonts w:ascii="Arial" w:hAnsi="Arial" w:cs="Arial"/>
                <w:sz w:val="18"/>
                <w:szCs w:val="18"/>
              </w:rPr>
              <w:t>Cairns – Executive Officer (Finance)</w:t>
            </w:r>
          </w:p>
        </w:tc>
        <w:tc>
          <w:tcPr>
            <w:tcW w:w="2308" w:type="dxa"/>
            <w:shd w:val="clear" w:color="auto" w:fill="auto"/>
            <w:vAlign w:val="center"/>
          </w:tcPr>
          <w:p w14:paraId="7AF4D22C" w14:textId="06D8F0CB" w:rsidR="00583BA9" w:rsidRPr="00583BA9" w:rsidRDefault="00583BA9" w:rsidP="00583BA9">
            <w:pPr>
              <w:rPr>
                <w:rFonts w:ascii="Arial" w:hAnsi="Arial" w:cs="Arial"/>
                <w:sz w:val="18"/>
                <w:szCs w:val="18"/>
              </w:rPr>
            </w:pPr>
            <w:r w:rsidRPr="00583BA9">
              <w:rPr>
                <w:rFonts w:ascii="Arial" w:hAnsi="Arial" w:cs="Arial"/>
                <w:sz w:val="18"/>
                <w:szCs w:val="18"/>
              </w:rPr>
              <w:t>Tracey Paterson</w:t>
            </w:r>
          </w:p>
        </w:tc>
        <w:tc>
          <w:tcPr>
            <w:tcW w:w="1261" w:type="dxa"/>
            <w:shd w:val="clear" w:color="auto" w:fill="auto"/>
            <w:vAlign w:val="center"/>
          </w:tcPr>
          <w:p w14:paraId="1D2FDB4C" w14:textId="7A036DB2" w:rsidR="00583BA9" w:rsidRPr="00583BA9" w:rsidRDefault="00583BA9" w:rsidP="00583BA9">
            <w:pPr>
              <w:jc w:val="center"/>
              <w:rPr>
                <w:rFonts w:ascii="Arial" w:hAnsi="Arial" w:cs="Arial"/>
                <w:sz w:val="18"/>
                <w:szCs w:val="18"/>
              </w:rPr>
            </w:pPr>
            <w:r w:rsidRPr="00583BA9">
              <w:rPr>
                <w:rFonts w:ascii="Arial" w:hAnsi="Arial" w:cs="Arial"/>
                <w:sz w:val="18"/>
                <w:szCs w:val="18"/>
              </w:rPr>
              <w:t>4081 8411</w:t>
            </w:r>
          </w:p>
        </w:tc>
        <w:tc>
          <w:tcPr>
            <w:tcW w:w="1535" w:type="dxa"/>
            <w:shd w:val="clear" w:color="auto" w:fill="auto"/>
            <w:vAlign w:val="center"/>
          </w:tcPr>
          <w:p w14:paraId="4FFCA915" w14:textId="00F06281" w:rsidR="00583BA9" w:rsidRPr="00583BA9" w:rsidRDefault="00583BA9" w:rsidP="00583BA9">
            <w:pPr>
              <w:jc w:val="center"/>
              <w:rPr>
                <w:rFonts w:ascii="Arial" w:hAnsi="Arial" w:cs="Arial"/>
                <w:sz w:val="18"/>
                <w:szCs w:val="18"/>
              </w:rPr>
            </w:pPr>
            <w:r w:rsidRPr="00583BA9">
              <w:rPr>
                <w:rFonts w:ascii="Arial" w:hAnsi="Arial" w:cs="Arial"/>
                <w:sz w:val="18"/>
                <w:szCs w:val="18"/>
              </w:rPr>
              <w:t>0429 495 353</w:t>
            </w:r>
          </w:p>
        </w:tc>
        <w:tc>
          <w:tcPr>
            <w:tcW w:w="1275" w:type="dxa"/>
            <w:shd w:val="clear" w:color="auto" w:fill="auto"/>
            <w:vAlign w:val="center"/>
          </w:tcPr>
          <w:p w14:paraId="2AEF667E" w14:textId="08E44237"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EC7D371" w14:textId="77777777" w:rsidTr="00F10DE3">
        <w:trPr>
          <w:trHeight w:val="284"/>
        </w:trPr>
        <w:tc>
          <w:tcPr>
            <w:tcW w:w="3686" w:type="dxa"/>
            <w:shd w:val="clear" w:color="auto" w:fill="auto"/>
            <w:vAlign w:val="center"/>
          </w:tcPr>
          <w:p w14:paraId="1BF012FA" w14:textId="34C1C735" w:rsidR="00583BA9" w:rsidRPr="00583BA9" w:rsidRDefault="00583BA9" w:rsidP="00583BA9">
            <w:pPr>
              <w:rPr>
                <w:rFonts w:ascii="Arial" w:hAnsi="Arial" w:cs="Arial"/>
                <w:sz w:val="18"/>
                <w:szCs w:val="18"/>
              </w:rPr>
            </w:pPr>
            <w:r w:rsidRPr="00583BA9">
              <w:rPr>
                <w:rFonts w:ascii="Arial" w:hAnsi="Arial" w:cs="Arial"/>
                <w:sz w:val="18"/>
                <w:szCs w:val="18"/>
              </w:rPr>
              <w:t>Cairns –</w:t>
            </w:r>
            <w:r w:rsidR="00C97DD8">
              <w:rPr>
                <w:rFonts w:ascii="Arial" w:hAnsi="Arial" w:cs="Arial"/>
                <w:sz w:val="18"/>
                <w:szCs w:val="18"/>
              </w:rPr>
              <w:t xml:space="preserve"> </w:t>
            </w:r>
            <w:r w:rsidRPr="00583BA9">
              <w:rPr>
                <w:rFonts w:ascii="Arial" w:hAnsi="Arial" w:cs="Arial"/>
                <w:sz w:val="18"/>
                <w:szCs w:val="18"/>
              </w:rPr>
              <w:t>Manager</w:t>
            </w:r>
            <w:r w:rsidR="00C97DD8">
              <w:rPr>
                <w:rFonts w:ascii="Arial" w:hAnsi="Arial" w:cs="Arial"/>
                <w:sz w:val="18"/>
                <w:szCs w:val="18"/>
              </w:rPr>
              <w:t xml:space="preserve"> (Compliance and Policy)</w:t>
            </w:r>
            <w:r w:rsidRPr="00583BA9">
              <w:rPr>
                <w:rFonts w:ascii="Arial" w:hAnsi="Arial" w:cs="Arial"/>
                <w:sz w:val="18"/>
                <w:szCs w:val="18"/>
              </w:rPr>
              <w:t xml:space="preserve"> (Tue, Wed, Thu morning)</w:t>
            </w:r>
          </w:p>
        </w:tc>
        <w:tc>
          <w:tcPr>
            <w:tcW w:w="2308" w:type="dxa"/>
            <w:shd w:val="clear" w:color="auto" w:fill="auto"/>
            <w:vAlign w:val="center"/>
          </w:tcPr>
          <w:p w14:paraId="6414AEC0" w14:textId="05ADA819" w:rsidR="00583BA9" w:rsidRPr="00583BA9" w:rsidRDefault="00583BA9" w:rsidP="00583BA9">
            <w:pPr>
              <w:rPr>
                <w:rFonts w:ascii="Arial" w:hAnsi="Arial" w:cs="Arial"/>
                <w:sz w:val="18"/>
                <w:szCs w:val="18"/>
              </w:rPr>
            </w:pPr>
            <w:r w:rsidRPr="00583BA9">
              <w:rPr>
                <w:rFonts w:ascii="Arial" w:hAnsi="Arial" w:cs="Arial"/>
                <w:sz w:val="18"/>
                <w:szCs w:val="18"/>
              </w:rPr>
              <w:t>Camille Banks</w:t>
            </w:r>
          </w:p>
        </w:tc>
        <w:tc>
          <w:tcPr>
            <w:tcW w:w="1261" w:type="dxa"/>
            <w:shd w:val="clear" w:color="auto" w:fill="auto"/>
            <w:vAlign w:val="center"/>
          </w:tcPr>
          <w:p w14:paraId="0880E2DB" w14:textId="7A46C59D" w:rsidR="00583BA9" w:rsidRPr="00583BA9" w:rsidRDefault="00583BA9" w:rsidP="00583BA9">
            <w:pPr>
              <w:jc w:val="center"/>
              <w:rPr>
                <w:rFonts w:ascii="Arial" w:hAnsi="Arial" w:cs="Arial"/>
                <w:sz w:val="18"/>
                <w:szCs w:val="18"/>
              </w:rPr>
            </w:pPr>
            <w:r w:rsidRPr="00583BA9">
              <w:rPr>
                <w:rFonts w:ascii="Arial" w:hAnsi="Arial" w:cs="Arial"/>
                <w:sz w:val="18"/>
                <w:szCs w:val="18"/>
              </w:rPr>
              <w:t>4081 840</w:t>
            </w:r>
            <w:r w:rsidR="00C97DD8">
              <w:rPr>
                <w:rFonts w:ascii="Arial" w:hAnsi="Arial" w:cs="Arial"/>
                <w:sz w:val="18"/>
                <w:szCs w:val="18"/>
              </w:rPr>
              <w:t>7</w:t>
            </w:r>
          </w:p>
        </w:tc>
        <w:tc>
          <w:tcPr>
            <w:tcW w:w="1535" w:type="dxa"/>
            <w:shd w:val="clear" w:color="auto" w:fill="auto"/>
            <w:vAlign w:val="center"/>
          </w:tcPr>
          <w:p w14:paraId="538B9CA3" w14:textId="1A87C419" w:rsidR="00583BA9" w:rsidRPr="00583BA9" w:rsidRDefault="00C97DD8" w:rsidP="00583BA9">
            <w:pPr>
              <w:jc w:val="center"/>
              <w:rPr>
                <w:rFonts w:ascii="Arial" w:hAnsi="Arial" w:cs="Arial"/>
                <w:sz w:val="18"/>
                <w:szCs w:val="18"/>
              </w:rPr>
            </w:pPr>
            <w:r>
              <w:rPr>
                <w:rFonts w:ascii="Arial" w:hAnsi="Arial" w:cs="Arial"/>
                <w:sz w:val="18"/>
                <w:szCs w:val="18"/>
              </w:rPr>
              <w:t>0400 355 040</w:t>
            </w:r>
          </w:p>
        </w:tc>
        <w:tc>
          <w:tcPr>
            <w:tcW w:w="1275" w:type="dxa"/>
            <w:shd w:val="clear" w:color="auto" w:fill="auto"/>
            <w:vAlign w:val="center"/>
          </w:tcPr>
          <w:p w14:paraId="2E04F215" w14:textId="65551FEA"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C97DD8" w:rsidRPr="00D83311" w14:paraId="67E1EEF8" w14:textId="77777777" w:rsidTr="008F23DF">
        <w:trPr>
          <w:trHeight w:val="284"/>
        </w:trPr>
        <w:tc>
          <w:tcPr>
            <w:tcW w:w="3686" w:type="dxa"/>
            <w:shd w:val="clear" w:color="auto" w:fill="auto"/>
            <w:vAlign w:val="center"/>
          </w:tcPr>
          <w:p w14:paraId="5BC56E81" w14:textId="77777777" w:rsidR="00C97DD8" w:rsidRPr="00583BA9" w:rsidRDefault="00C97DD8" w:rsidP="008F23DF">
            <w:pPr>
              <w:rPr>
                <w:rFonts w:ascii="Arial" w:hAnsi="Arial" w:cs="Arial"/>
                <w:sz w:val="18"/>
                <w:szCs w:val="18"/>
              </w:rPr>
            </w:pPr>
            <w:r w:rsidRPr="00583BA9">
              <w:rPr>
                <w:rFonts w:ascii="Arial" w:hAnsi="Arial" w:cs="Arial"/>
                <w:sz w:val="18"/>
                <w:szCs w:val="18"/>
              </w:rPr>
              <w:t>Cairns – Manager (Case Management and Monitoring)</w:t>
            </w:r>
          </w:p>
        </w:tc>
        <w:tc>
          <w:tcPr>
            <w:tcW w:w="2308" w:type="dxa"/>
            <w:shd w:val="clear" w:color="auto" w:fill="auto"/>
            <w:vAlign w:val="center"/>
          </w:tcPr>
          <w:p w14:paraId="402D2BAC" w14:textId="77777777" w:rsidR="00C97DD8" w:rsidRPr="00583BA9" w:rsidRDefault="00C97DD8" w:rsidP="008F23DF">
            <w:pPr>
              <w:rPr>
                <w:rFonts w:ascii="Arial" w:hAnsi="Arial" w:cs="Arial"/>
                <w:sz w:val="18"/>
                <w:szCs w:val="18"/>
              </w:rPr>
            </w:pPr>
            <w:r w:rsidRPr="00583BA9">
              <w:rPr>
                <w:rFonts w:ascii="Arial" w:hAnsi="Arial" w:cs="Arial"/>
                <w:sz w:val="18"/>
                <w:szCs w:val="18"/>
              </w:rPr>
              <w:t>Anne Crampton</w:t>
            </w:r>
          </w:p>
        </w:tc>
        <w:tc>
          <w:tcPr>
            <w:tcW w:w="1261" w:type="dxa"/>
            <w:shd w:val="clear" w:color="auto" w:fill="auto"/>
            <w:vAlign w:val="center"/>
          </w:tcPr>
          <w:p w14:paraId="1FF133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4081 8414</w:t>
            </w:r>
          </w:p>
        </w:tc>
        <w:tc>
          <w:tcPr>
            <w:tcW w:w="1535" w:type="dxa"/>
            <w:shd w:val="clear" w:color="auto" w:fill="auto"/>
            <w:vAlign w:val="center"/>
          </w:tcPr>
          <w:p w14:paraId="033FBA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0458 041 191</w:t>
            </w:r>
          </w:p>
        </w:tc>
        <w:tc>
          <w:tcPr>
            <w:tcW w:w="1275" w:type="dxa"/>
            <w:shd w:val="clear" w:color="auto" w:fill="auto"/>
            <w:vAlign w:val="center"/>
          </w:tcPr>
          <w:p w14:paraId="3ED0B5F9"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5C928332" w14:textId="77777777" w:rsidTr="008F23DF">
        <w:trPr>
          <w:trHeight w:val="284"/>
        </w:trPr>
        <w:tc>
          <w:tcPr>
            <w:tcW w:w="3686" w:type="dxa"/>
            <w:shd w:val="clear" w:color="auto" w:fill="auto"/>
            <w:vAlign w:val="center"/>
          </w:tcPr>
          <w:p w14:paraId="04E23097" w14:textId="77777777" w:rsidR="00C97DD8" w:rsidRPr="00583BA9" w:rsidRDefault="00C97DD8" w:rsidP="008F23DF">
            <w:pPr>
              <w:rPr>
                <w:rFonts w:ascii="Arial" w:hAnsi="Arial" w:cs="Arial"/>
                <w:sz w:val="18"/>
                <w:szCs w:val="18"/>
              </w:rPr>
            </w:pPr>
            <w:r w:rsidRPr="00583BA9">
              <w:rPr>
                <w:rFonts w:ascii="Arial" w:hAnsi="Arial" w:cs="Arial"/>
                <w:sz w:val="18"/>
                <w:szCs w:val="18"/>
              </w:rPr>
              <w:t>Cairns – Senior Advisor (Statistics and Research)</w:t>
            </w:r>
          </w:p>
        </w:tc>
        <w:tc>
          <w:tcPr>
            <w:tcW w:w="2308" w:type="dxa"/>
            <w:shd w:val="clear" w:color="auto" w:fill="auto"/>
            <w:vAlign w:val="center"/>
          </w:tcPr>
          <w:p w14:paraId="746ED304" w14:textId="77777777" w:rsidR="00C97DD8" w:rsidRPr="00583BA9" w:rsidRDefault="00C97DD8" w:rsidP="008F23DF">
            <w:pPr>
              <w:rPr>
                <w:rFonts w:ascii="Arial" w:hAnsi="Arial" w:cs="Arial"/>
                <w:sz w:val="18"/>
                <w:szCs w:val="18"/>
              </w:rPr>
            </w:pPr>
            <w:r w:rsidRPr="00583BA9">
              <w:rPr>
                <w:rFonts w:ascii="Arial" w:hAnsi="Arial" w:cs="Arial"/>
                <w:sz w:val="18"/>
                <w:szCs w:val="18"/>
              </w:rPr>
              <w:t>Michelle Synott</w:t>
            </w:r>
          </w:p>
        </w:tc>
        <w:tc>
          <w:tcPr>
            <w:tcW w:w="1261" w:type="dxa"/>
            <w:shd w:val="clear" w:color="auto" w:fill="auto"/>
            <w:vAlign w:val="center"/>
          </w:tcPr>
          <w:p w14:paraId="5AA22934"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4081 8404</w:t>
            </w:r>
          </w:p>
        </w:tc>
        <w:tc>
          <w:tcPr>
            <w:tcW w:w="1535" w:type="dxa"/>
            <w:shd w:val="clear" w:color="auto" w:fill="auto"/>
            <w:vAlign w:val="center"/>
          </w:tcPr>
          <w:p w14:paraId="1A138756" w14:textId="77777777" w:rsidR="00C97DD8" w:rsidRPr="00583BA9" w:rsidRDefault="00C97DD8" w:rsidP="008F23DF">
            <w:pPr>
              <w:jc w:val="center"/>
              <w:rPr>
                <w:rFonts w:ascii="Arial" w:hAnsi="Arial" w:cs="Arial"/>
                <w:sz w:val="18"/>
                <w:szCs w:val="18"/>
              </w:rPr>
            </w:pPr>
          </w:p>
        </w:tc>
        <w:tc>
          <w:tcPr>
            <w:tcW w:w="1275" w:type="dxa"/>
            <w:shd w:val="clear" w:color="auto" w:fill="auto"/>
            <w:vAlign w:val="center"/>
          </w:tcPr>
          <w:p w14:paraId="7A3BA0BE"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1456B469" w14:textId="77777777" w:rsidTr="008F23DF">
        <w:trPr>
          <w:trHeight w:val="284"/>
        </w:trPr>
        <w:tc>
          <w:tcPr>
            <w:tcW w:w="3686" w:type="dxa"/>
            <w:shd w:val="clear" w:color="auto" w:fill="auto"/>
            <w:vAlign w:val="center"/>
          </w:tcPr>
          <w:p w14:paraId="7BBFFDD6" w14:textId="77777777" w:rsidR="00C97DD8" w:rsidRPr="00583BA9" w:rsidRDefault="00C97DD8" w:rsidP="008F23DF">
            <w:pPr>
              <w:rPr>
                <w:rFonts w:ascii="Arial" w:hAnsi="Arial" w:cs="Arial"/>
                <w:sz w:val="18"/>
                <w:szCs w:val="18"/>
              </w:rPr>
            </w:pPr>
            <w:r w:rsidRPr="00583BA9">
              <w:rPr>
                <w:rFonts w:ascii="Arial" w:hAnsi="Arial" w:cs="Arial"/>
                <w:sz w:val="18"/>
                <w:szCs w:val="18"/>
              </w:rPr>
              <w:t>Cairns – ICT Administrator</w:t>
            </w:r>
          </w:p>
        </w:tc>
        <w:tc>
          <w:tcPr>
            <w:tcW w:w="2308" w:type="dxa"/>
            <w:shd w:val="clear" w:color="auto" w:fill="auto"/>
            <w:vAlign w:val="center"/>
          </w:tcPr>
          <w:p w14:paraId="0F79F16F" w14:textId="058D80DD" w:rsidR="00C97DD8" w:rsidRPr="00583BA9" w:rsidRDefault="00962AD9" w:rsidP="008F23DF">
            <w:pPr>
              <w:rPr>
                <w:rFonts w:ascii="Arial" w:hAnsi="Arial" w:cs="Arial"/>
                <w:sz w:val="18"/>
                <w:szCs w:val="18"/>
              </w:rPr>
            </w:pPr>
            <w:r>
              <w:rPr>
                <w:rFonts w:ascii="Arial" w:hAnsi="Arial" w:cs="Arial"/>
                <w:sz w:val="18"/>
                <w:szCs w:val="18"/>
              </w:rPr>
              <w:t>Mark Doktor</w:t>
            </w:r>
          </w:p>
        </w:tc>
        <w:tc>
          <w:tcPr>
            <w:tcW w:w="1261" w:type="dxa"/>
            <w:shd w:val="clear" w:color="auto" w:fill="auto"/>
            <w:vAlign w:val="center"/>
          </w:tcPr>
          <w:p w14:paraId="542FD80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4081 8406</w:t>
            </w:r>
          </w:p>
        </w:tc>
        <w:tc>
          <w:tcPr>
            <w:tcW w:w="1535" w:type="dxa"/>
            <w:shd w:val="clear" w:color="auto" w:fill="auto"/>
            <w:vAlign w:val="center"/>
          </w:tcPr>
          <w:p w14:paraId="4A7EB6C4" w14:textId="09A6F2E7" w:rsidR="00C97DD8" w:rsidRPr="00583BA9" w:rsidRDefault="00962AD9" w:rsidP="008F23DF">
            <w:pPr>
              <w:jc w:val="center"/>
              <w:rPr>
                <w:rFonts w:ascii="Arial" w:hAnsi="Arial" w:cs="Arial"/>
                <w:sz w:val="18"/>
                <w:szCs w:val="18"/>
              </w:rPr>
            </w:pPr>
            <w:r>
              <w:rPr>
                <w:rFonts w:ascii="Arial" w:hAnsi="Arial" w:cs="Arial"/>
                <w:sz w:val="18"/>
                <w:szCs w:val="18"/>
              </w:rPr>
              <w:t>0427 954 870</w:t>
            </w:r>
          </w:p>
        </w:tc>
        <w:tc>
          <w:tcPr>
            <w:tcW w:w="1275" w:type="dxa"/>
            <w:shd w:val="clear" w:color="auto" w:fill="auto"/>
            <w:vAlign w:val="center"/>
          </w:tcPr>
          <w:p w14:paraId="7A36689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583BA9" w:rsidRPr="00D83311" w14:paraId="181B6E32" w14:textId="77777777" w:rsidTr="00F10DE3">
        <w:trPr>
          <w:trHeight w:val="284"/>
        </w:trPr>
        <w:tc>
          <w:tcPr>
            <w:tcW w:w="3686" w:type="dxa"/>
            <w:shd w:val="clear" w:color="auto" w:fill="auto"/>
            <w:vAlign w:val="center"/>
          </w:tcPr>
          <w:p w14:paraId="36289C49" w14:textId="11D91982" w:rsidR="00583BA9" w:rsidRPr="00583BA9" w:rsidRDefault="00583BA9" w:rsidP="00583BA9">
            <w:pPr>
              <w:rPr>
                <w:rFonts w:ascii="Arial" w:hAnsi="Arial" w:cs="Arial"/>
                <w:sz w:val="18"/>
                <w:szCs w:val="18"/>
              </w:rPr>
            </w:pPr>
            <w:r w:rsidRPr="00583BA9">
              <w:rPr>
                <w:rFonts w:ascii="Arial" w:hAnsi="Arial" w:cs="Arial"/>
                <w:sz w:val="18"/>
                <w:szCs w:val="18"/>
              </w:rPr>
              <w:t xml:space="preserve">Cairns – </w:t>
            </w:r>
            <w:r w:rsidR="00C97DD8">
              <w:rPr>
                <w:rFonts w:ascii="Arial" w:hAnsi="Arial" w:cs="Arial"/>
                <w:sz w:val="18"/>
                <w:szCs w:val="18"/>
              </w:rPr>
              <w:t>Manager (Coordination)</w:t>
            </w:r>
          </w:p>
        </w:tc>
        <w:tc>
          <w:tcPr>
            <w:tcW w:w="2308" w:type="dxa"/>
            <w:shd w:val="clear" w:color="auto" w:fill="auto"/>
            <w:vAlign w:val="center"/>
          </w:tcPr>
          <w:p w14:paraId="4F007F93" w14:textId="1A6E1BE7"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shd w:val="clear" w:color="auto" w:fill="auto"/>
            <w:vAlign w:val="center"/>
          </w:tcPr>
          <w:p w14:paraId="612B092F" w14:textId="30BA541B"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4B0C47A9" w14:textId="19ECFC13" w:rsidR="00583BA9" w:rsidRPr="00583BA9" w:rsidRDefault="00C97DD8" w:rsidP="00583BA9">
            <w:pPr>
              <w:jc w:val="center"/>
              <w:rPr>
                <w:rFonts w:ascii="Arial" w:hAnsi="Arial" w:cs="Arial"/>
                <w:sz w:val="18"/>
                <w:szCs w:val="18"/>
              </w:rPr>
            </w:pPr>
            <w:r>
              <w:rPr>
                <w:rFonts w:ascii="Arial" w:hAnsi="Arial" w:cs="Arial"/>
                <w:sz w:val="18"/>
                <w:szCs w:val="18"/>
              </w:rPr>
              <w:t>0438 195 342</w:t>
            </w:r>
          </w:p>
        </w:tc>
        <w:tc>
          <w:tcPr>
            <w:tcW w:w="1275" w:type="dxa"/>
            <w:shd w:val="clear" w:color="auto" w:fill="auto"/>
            <w:vAlign w:val="center"/>
          </w:tcPr>
          <w:p w14:paraId="3125F457" w14:textId="62196423"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C3E8A51" w14:textId="77777777" w:rsidTr="00F10DE3">
        <w:trPr>
          <w:trHeight w:val="284"/>
        </w:trPr>
        <w:tc>
          <w:tcPr>
            <w:tcW w:w="3686" w:type="dxa"/>
            <w:shd w:val="clear" w:color="auto" w:fill="auto"/>
            <w:vAlign w:val="center"/>
          </w:tcPr>
          <w:p w14:paraId="605C8262" w14:textId="1FDC7AD0" w:rsidR="00583BA9" w:rsidRPr="00583BA9" w:rsidRDefault="00920BC4"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Aurukun Local Registry Coordinator</w:t>
            </w:r>
          </w:p>
        </w:tc>
        <w:tc>
          <w:tcPr>
            <w:tcW w:w="2308" w:type="dxa"/>
            <w:shd w:val="clear" w:color="auto" w:fill="auto"/>
            <w:vAlign w:val="center"/>
          </w:tcPr>
          <w:p w14:paraId="5802C696" w14:textId="6946D171" w:rsidR="00583BA9" w:rsidRPr="00583BA9" w:rsidRDefault="00920BC4" w:rsidP="00583BA9">
            <w:pPr>
              <w:rPr>
                <w:rFonts w:ascii="Arial" w:hAnsi="Arial" w:cs="Arial"/>
                <w:sz w:val="18"/>
                <w:szCs w:val="18"/>
              </w:rPr>
            </w:pPr>
            <w:r>
              <w:rPr>
                <w:rFonts w:ascii="Arial" w:hAnsi="Arial" w:cs="Arial"/>
                <w:sz w:val="18"/>
                <w:szCs w:val="18"/>
              </w:rPr>
              <w:t>Cara Marks</w:t>
            </w:r>
          </w:p>
        </w:tc>
        <w:tc>
          <w:tcPr>
            <w:tcW w:w="1261" w:type="dxa"/>
            <w:shd w:val="clear" w:color="auto" w:fill="auto"/>
            <w:vAlign w:val="center"/>
          </w:tcPr>
          <w:p w14:paraId="7D89524A" w14:textId="71E18073" w:rsidR="00583BA9" w:rsidRPr="00583BA9" w:rsidRDefault="00583BA9" w:rsidP="00583BA9">
            <w:pPr>
              <w:jc w:val="center"/>
              <w:rPr>
                <w:rFonts w:ascii="Arial" w:hAnsi="Arial" w:cs="Arial"/>
                <w:sz w:val="18"/>
                <w:szCs w:val="18"/>
              </w:rPr>
            </w:pPr>
            <w:r w:rsidRPr="00583BA9">
              <w:rPr>
                <w:rFonts w:ascii="Arial" w:hAnsi="Arial" w:cs="Arial"/>
                <w:sz w:val="18"/>
                <w:szCs w:val="18"/>
              </w:rPr>
              <w:t>4060 6185</w:t>
            </w:r>
          </w:p>
        </w:tc>
        <w:tc>
          <w:tcPr>
            <w:tcW w:w="1535" w:type="dxa"/>
            <w:shd w:val="clear" w:color="auto" w:fill="auto"/>
            <w:vAlign w:val="center"/>
          </w:tcPr>
          <w:p w14:paraId="1826CD02" w14:textId="574100B8" w:rsidR="00583BA9" w:rsidRPr="00583BA9" w:rsidRDefault="00583BA9" w:rsidP="00583BA9">
            <w:pPr>
              <w:jc w:val="center"/>
              <w:rPr>
                <w:rFonts w:ascii="Arial" w:hAnsi="Arial" w:cs="Arial"/>
                <w:sz w:val="18"/>
                <w:szCs w:val="18"/>
              </w:rPr>
            </w:pPr>
            <w:r w:rsidRPr="00583BA9">
              <w:rPr>
                <w:rFonts w:ascii="Arial" w:hAnsi="Arial" w:cs="Arial"/>
                <w:sz w:val="18"/>
                <w:szCs w:val="18"/>
              </w:rPr>
              <w:t>0428 985 106</w:t>
            </w:r>
          </w:p>
        </w:tc>
        <w:tc>
          <w:tcPr>
            <w:tcW w:w="1275" w:type="dxa"/>
            <w:shd w:val="clear" w:color="auto" w:fill="auto"/>
            <w:vAlign w:val="center"/>
          </w:tcPr>
          <w:p w14:paraId="23937D66" w14:textId="7B681EE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277ED5E3" w14:textId="77777777" w:rsidTr="00F10DE3">
        <w:trPr>
          <w:trHeight w:val="284"/>
        </w:trPr>
        <w:tc>
          <w:tcPr>
            <w:tcW w:w="3686" w:type="dxa"/>
            <w:shd w:val="clear" w:color="auto" w:fill="auto"/>
            <w:vAlign w:val="center"/>
          </w:tcPr>
          <w:p w14:paraId="364D4494" w14:textId="56E7A55C" w:rsidR="00583BA9" w:rsidRPr="00583BA9" w:rsidRDefault="00C97DD8"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Coen Local Registry Coordinator</w:t>
            </w:r>
          </w:p>
        </w:tc>
        <w:tc>
          <w:tcPr>
            <w:tcW w:w="2308" w:type="dxa"/>
            <w:shd w:val="clear" w:color="auto" w:fill="auto"/>
            <w:vAlign w:val="center"/>
          </w:tcPr>
          <w:p w14:paraId="4D4CC50C" w14:textId="2CA51959"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15302AB0" w14:textId="36B435F4"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73E266CB" w14:textId="58E69C74"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4F8E772D" w14:textId="65152F61"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7EFE0B9D" w14:textId="77777777" w:rsidTr="00F10DE3">
        <w:trPr>
          <w:trHeight w:val="284"/>
        </w:trPr>
        <w:tc>
          <w:tcPr>
            <w:tcW w:w="3686" w:type="dxa"/>
            <w:shd w:val="clear" w:color="auto" w:fill="auto"/>
            <w:vAlign w:val="center"/>
          </w:tcPr>
          <w:p w14:paraId="7D09B19F" w14:textId="18B03BEE" w:rsidR="00583BA9" w:rsidRPr="00583BA9" w:rsidRDefault="00583BA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shd w:val="clear" w:color="auto" w:fill="auto"/>
            <w:vAlign w:val="center"/>
          </w:tcPr>
          <w:p w14:paraId="77F022D6" w14:textId="2DA317AB" w:rsidR="00583BA9" w:rsidRPr="00583BA9" w:rsidRDefault="00583BA9" w:rsidP="00583BA9">
            <w:pPr>
              <w:rPr>
                <w:rFonts w:ascii="Arial" w:hAnsi="Arial" w:cs="Arial"/>
                <w:sz w:val="18"/>
                <w:szCs w:val="18"/>
              </w:rPr>
            </w:pPr>
            <w:r w:rsidRPr="00583BA9">
              <w:rPr>
                <w:rFonts w:ascii="Arial" w:hAnsi="Arial" w:cs="Arial"/>
                <w:sz w:val="18"/>
                <w:szCs w:val="18"/>
              </w:rPr>
              <w:t>Brenden Joinbee</w:t>
            </w:r>
          </w:p>
        </w:tc>
        <w:tc>
          <w:tcPr>
            <w:tcW w:w="1261" w:type="dxa"/>
            <w:shd w:val="clear" w:color="auto" w:fill="auto"/>
            <w:vAlign w:val="center"/>
          </w:tcPr>
          <w:p w14:paraId="5275522B" w14:textId="1457B0F9" w:rsidR="00583BA9" w:rsidRPr="00583BA9" w:rsidRDefault="00583BA9" w:rsidP="00583BA9">
            <w:pPr>
              <w:jc w:val="center"/>
              <w:rPr>
                <w:rFonts w:ascii="Arial" w:hAnsi="Arial" w:cs="Arial"/>
                <w:sz w:val="18"/>
                <w:szCs w:val="18"/>
              </w:rPr>
            </w:pPr>
            <w:r w:rsidRPr="00583BA9">
              <w:rPr>
                <w:rFonts w:ascii="Arial" w:hAnsi="Arial" w:cs="Arial"/>
                <w:sz w:val="18"/>
                <w:szCs w:val="18"/>
              </w:rPr>
              <w:t>4745 8111</w:t>
            </w:r>
          </w:p>
        </w:tc>
        <w:tc>
          <w:tcPr>
            <w:tcW w:w="1535" w:type="dxa"/>
            <w:shd w:val="clear" w:color="auto" w:fill="auto"/>
            <w:vAlign w:val="center"/>
          </w:tcPr>
          <w:p w14:paraId="79DE2125" w14:textId="702397A5" w:rsidR="00583BA9" w:rsidRPr="00583BA9" w:rsidRDefault="00583BA9" w:rsidP="00583BA9">
            <w:pPr>
              <w:jc w:val="center"/>
              <w:rPr>
                <w:rFonts w:ascii="Arial" w:hAnsi="Arial" w:cs="Arial"/>
                <w:sz w:val="18"/>
                <w:szCs w:val="18"/>
              </w:rPr>
            </w:pPr>
            <w:r w:rsidRPr="00583BA9">
              <w:rPr>
                <w:rFonts w:ascii="Arial" w:hAnsi="Arial" w:cs="Arial"/>
                <w:sz w:val="18"/>
                <w:szCs w:val="18"/>
              </w:rPr>
              <w:t>0418 666 204</w:t>
            </w:r>
          </w:p>
        </w:tc>
        <w:tc>
          <w:tcPr>
            <w:tcW w:w="1275" w:type="dxa"/>
            <w:shd w:val="clear" w:color="auto" w:fill="auto"/>
            <w:vAlign w:val="center"/>
          </w:tcPr>
          <w:p w14:paraId="59AA8D5D" w14:textId="0DC10A42"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4311B17" w14:textId="77777777" w:rsidTr="00F10DE3">
        <w:trPr>
          <w:trHeight w:val="284"/>
        </w:trPr>
        <w:tc>
          <w:tcPr>
            <w:tcW w:w="3686" w:type="dxa"/>
            <w:shd w:val="clear" w:color="auto" w:fill="auto"/>
            <w:vAlign w:val="center"/>
          </w:tcPr>
          <w:p w14:paraId="73107646" w14:textId="12205ACB" w:rsidR="00583BA9" w:rsidRPr="00583BA9" w:rsidRDefault="00583BA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shd w:val="clear" w:color="auto" w:fill="auto"/>
            <w:vAlign w:val="center"/>
          </w:tcPr>
          <w:p w14:paraId="59965F87" w14:textId="23BC6EAF" w:rsidR="00583BA9" w:rsidRPr="00583BA9" w:rsidRDefault="00583BA9" w:rsidP="00583BA9">
            <w:pPr>
              <w:rPr>
                <w:rFonts w:ascii="Arial" w:hAnsi="Arial" w:cs="Arial"/>
                <w:sz w:val="18"/>
                <w:szCs w:val="18"/>
              </w:rPr>
            </w:pPr>
            <w:r w:rsidRPr="00583BA9">
              <w:rPr>
                <w:rFonts w:ascii="Arial" w:hAnsi="Arial" w:cs="Arial"/>
                <w:sz w:val="18"/>
                <w:szCs w:val="18"/>
              </w:rPr>
              <w:t>Josephine Pinder</w:t>
            </w:r>
          </w:p>
        </w:tc>
        <w:tc>
          <w:tcPr>
            <w:tcW w:w="1261" w:type="dxa"/>
            <w:shd w:val="clear" w:color="auto" w:fill="auto"/>
            <w:vAlign w:val="center"/>
          </w:tcPr>
          <w:p w14:paraId="78DBA0DF" w14:textId="7FCDE144" w:rsidR="00583BA9" w:rsidRPr="00583BA9" w:rsidRDefault="00583BA9" w:rsidP="00583BA9">
            <w:pPr>
              <w:jc w:val="center"/>
              <w:rPr>
                <w:rFonts w:ascii="Arial" w:hAnsi="Arial" w:cs="Arial"/>
                <w:sz w:val="18"/>
                <w:szCs w:val="18"/>
              </w:rPr>
            </w:pPr>
            <w:r w:rsidRPr="00583BA9">
              <w:rPr>
                <w:rFonts w:ascii="Arial" w:hAnsi="Arial" w:cs="Arial"/>
                <w:sz w:val="18"/>
                <w:szCs w:val="18"/>
              </w:rPr>
              <w:t>4060 9153</w:t>
            </w:r>
          </w:p>
        </w:tc>
        <w:tc>
          <w:tcPr>
            <w:tcW w:w="1535" w:type="dxa"/>
            <w:shd w:val="clear" w:color="auto" w:fill="auto"/>
            <w:vAlign w:val="center"/>
          </w:tcPr>
          <w:p w14:paraId="1CB77B42" w14:textId="1C281BE4" w:rsidR="00583BA9" w:rsidRPr="00583BA9" w:rsidRDefault="00583BA9" w:rsidP="00583BA9">
            <w:pPr>
              <w:jc w:val="center"/>
              <w:rPr>
                <w:rFonts w:ascii="Arial" w:hAnsi="Arial" w:cs="Arial"/>
                <w:sz w:val="18"/>
                <w:szCs w:val="18"/>
              </w:rPr>
            </w:pPr>
            <w:r w:rsidRPr="00583BA9">
              <w:rPr>
                <w:rFonts w:ascii="Arial" w:hAnsi="Arial" w:cs="Arial"/>
                <w:sz w:val="18"/>
                <w:szCs w:val="18"/>
              </w:rPr>
              <w:t>0408 482 026</w:t>
            </w:r>
          </w:p>
        </w:tc>
        <w:tc>
          <w:tcPr>
            <w:tcW w:w="1275" w:type="dxa"/>
            <w:shd w:val="clear" w:color="auto" w:fill="auto"/>
            <w:vAlign w:val="center"/>
          </w:tcPr>
          <w:p w14:paraId="46004A59" w14:textId="4E0EE908"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1821147" w14:textId="77777777" w:rsidTr="00F10DE3">
        <w:trPr>
          <w:trHeight w:val="284"/>
        </w:trPr>
        <w:tc>
          <w:tcPr>
            <w:tcW w:w="3686" w:type="dxa"/>
            <w:shd w:val="clear" w:color="auto" w:fill="auto"/>
            <w:vAlign w:val="center"/>
          </w:tcPr>
          <w:p w14:paraId="2B2BB564" w14:textId="399E2330" w:rsidR="00583BA9" w:rsidRPr="00583BA9" w:rsidRDefault="00C97DD8"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Mossman Gorge Local Registry Coordinator</w:t>
            </w:r>
          </w:p>
        </w:tc>
        <w:tc>
          <w:tcPr>
            <w:tcW w:w="2308" w:type="dxa"/>
            <w:shd w:val="clear" w:color="auto" w:fill="auto"/>
            <w:vAlign w:val="center"/>
          </w:tcPr>
          <w:p w14:paraId="46DA8975" w14:textId="20CD95C1"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48D815F6" w14:textId="66131DAA"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24CF4AA5" w14:textId="06660237"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3F6F7256" w14:textId="126FAA5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bl>
    <w:p w14:paraId="3AE90444" w14:textId="77777777" w:rsidR="00967E77" w:rsidRDefault="00967E77" w:rsidP="00D20D53">
      <w:pPr>
        <w:rPr>
          <w:rFonts w:ascii="Arial Narrow" w:hAnsi="Arial Narrow"/>
        </w:rPr>
      </w:pPr>
    </w:p>
    <w:sectPr w:rsidR="00967E77" w:rsidSect="00232C52">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9205" w14:textId="77777777" w:rsidR="00445392" w:rsidRDefault="00445392">
      <w:r>
        <w:separator/>
      </w:r>
    </w:p>
  </w:endnote>
  <w:endnote w:type="continuationSeparator" w:id="0">
    <w:p w14:paraId="08B9F556" w14:textId="77777777" w:rsidR="00445392" w:rsidRDefault="00445392">
      <w:r>
        <w:continuationSeparator/>
      </w:r>
    </w:p>
  </w:endnote>
  <w:endnote w:type="continuationNotice" w:id="1">
    <w:p w14:paraId="2DAE8A1F" w14:textId="77777777" w:rsidR="00445392" w:rsidRDefault="0044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5B26" w14:textId="3FA58523"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A8A">
      <w:rPr>
        <w:rStyle w:val="PageNumber"/>
        <w:noProof/>
      </w:rPr>
      <w:t>11</w: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037C" w14:textId="77777777" w:rsidR="00445392" w:rsidRDefault="00445392">
      <w:r>
        <w:separator/>
      </w:r>
    </w:p>
  </w:footnote>
  <w:footnote w:type="continuationSeparator" w:id="0">
    <w:p w14:paraId="7436E4DD" w14:textId="77777777" w:rsidR="00445392" w:rsidRDefault="00445392">
      <w:r>
        <w:continuationSeparator/>
      </w:r>
    </w:p>
  </w:footnote>
  <w:footnote w:type="continuationNotice" w:id="1">
    <w:p w14:paraId="320136EB" w14:textId="77777777" w:rsidR="00445392" w:rsidRDefault="00445392">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311F92" w:rsidRPr="00504360" w:rsidRDefault="00311F92" w:rsidP="00C01980">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w:t>
      </w:r>
      <w:r>
        <w:rPr>
          <w:sz w:val="16"/>
          <w:szCs w:val="16"/>
        </w:rPr>
        <w:t xml:space="preserve"> and</w:t>
      </w:r>
      <w:r w:rsidRPr="00504360">
        <w:rPr>
          <w:sz w:val="16"/>
          <w:szCs w:val="16"/>
        </w:rPr>
        <w:t xml:space="preserve"> if three children from one family have an unexplained absence </w:t>
      </w:r>
      <w:r>
        <w:rPr>
          <w:rFonts w:cs="Arial"/>
          <w:sz w:val="16"/>
          <w:szCs w:val="16"/>
        </w:rPr>
        <w:t>from school for all or part of any three school days during a school term, this</w:t>
      </w:r>
      <w:r w:rsidRPr="002E37C0">
        <w:rPr>
          <w:rFonts w:cs="Arial"/>
          <w:sz w:val="16"/>
          <w:szCs w:val="16"/>
        </w:rPr>
        <w:t xml:space="preserve"> count</w:t>
      </w:r>
      <w:r>
        <w:rPr>
          <w:rFonts w:cs="Arial"/>
          <w:sz w:val="16"/>
          <w:szCs w:val="16"/>
        </w:rPr>
        <w:t>s</w:t>
      </w:r>
      <w:r w:rsidRPr="002E37C0">
        <w:rPr>
          <w:rFonts w:cs="Arial"/>
          <w:sz w:val="16"/>
          <w:szCs w:val="16"/>
        </w:rPr>
        <w:t xml:space="preserve"> as three </w:t>
      </w:r>
      <w:r>
        <w:rPr>
          <w:rFonts w:cs="Arial"/>
          <w:sz w:val="16"/>
          <w:szCs w:val="16"/>
        </w:rPr>
        <w:t xml:space="preserve">individual School Attendance </w:t>
      </w:r>
      <w:r w:rsidRPr="00542602">
        <w:rPr>
          <w:rFonts w:cs="Arial"/>
          <w:sz w:val="16"/>
          <w:szCs w:val="16"/>
        </w:rPr>
        <w:t>notices</w:t>
      </w:r>
      <w:r>
        <w:rPr>
          <w:rFonts w:cs="Arial"/>
          <w:sz w:val="16"/>
          <w:szCs w:val="16"/>
        </w:rPr>
        <w:t xml:space="preserve"> against each person listed on the notice</w:t>
      </w:r>
      <w:r w:rsidRPr="00504360">
        <w:rPr>
          <w:sz w:val="16"/>
          <w:szCs w:val="16"/>
        </w:rPr>
        <w:t>).</w:t>
      </w:r>
      <w:r>
        <w:rPr>
          <w:sz w:val="16"/>
          <w:szCs w:val="16"/>
        </w:rPr>
        <w:t xml:space="preserve"> Counting rules also stipulate that where multiple charges are received on a court notice each charge is counted as an individual notice.</w:t>
      </w:r>
    </w:p>
  </w:footnote>
  <w:footnote w:id="4">
    <w:p w14:paraId="264E5477" w14:textId="1C824287" w:rsidR="00311F92" w:rsidRPr="00504360" w:rsidRDefault="00311F92" w:rsidP="00C01980">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86D72C0" w14:textId="6C8B1B46"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w:t>
      </w:r>
      <w:r w:rsidRPr="007F1AF6">
        <w:rPr>
          <w:sz w:val="16"/>
          <w:szCs w:val="16"/>
        </w:rPr>
        <w:t xml:space="preserve">abbreviations on page </w:t>
      </w:r>
      <w:r w:rsidR="00C457DB">
        <w:rPr>
          <w:sz w:val="16"/>
          <w:szCs w:val="16"/>
        </w:rPr>
        <w:t>6</w:t>
      </w:r>
      <w:r w:rsidRPr="007F1AF6">
        <w:rPr>
          <w:sz w:val="16"/>
          <w:szCs w:val="16"/>
        </w:rPr>
        <w:t>.</w:t>
      </w:r>
    </w:p>
  </w:footnote>
  <w:footnote w:id="6">
    <w:p w14:paraId="255B35DE" w14:textId="7E350DAF" w:rsidR="00324B7B" w:rsidRDefault="00324B7B">
      <w:pPr>
        <w:pStyle w:val="FootnoteText"/>
      </w:pPr>
      <w:r>
        <w:rPr>
          <w:rStyle w:val="FootnoteReference"/>
        </w:rPr>
        <w:footnoteRef/>
      </w:r>
      <w:r>
        <w:t xml:space="preserve"> </w:t>
      </w:r>
      <w:bookmarkStart w:id="12" w:name="_Hlk97300676"/>
      <w:r w:rsidRPr="00F106B3">
        <w:rPr>
          <w:sz w:val="16"/>
          <w:szCs w:val="16"/>
        </w:rPr>
        <w:t xml:space="preserve">Refer to the descriptions of </w:t>
      </w:r>
      <w:r w:rsidRPr="007F1AF6">
        <w:rPr>
          <w:sz w:val="16"/>
          <w:szCs w:val="16"/>
        </w:rPr>
        <w:t xml:space="preserve">abbreviations on page </w:t>
      </w:r>
      <w:r w:rsidR="00C457DB">
        <w:rPr>
          <w:sz w:val="16"/>
          <w:szCs w:val="16"/>
        </w:rPr>
        <w:t>6</w:t>
      </w:r>
      <w:r w:rsidRPr="007F1AF6">
        <w:rPr>
          <w:sz w:val="16"/>
          <w:szCs w:val="16"/>
        </w:rPr>
        <w:t>.</w:t>
      </w:r>
      <w:bookmarkEnd w:id="12"/>
    </w:p>
  </w:footnote>
  <w:footnote w:id="7">
    <w:p w14:paraId="3413357A" w14:textId="402EED52" w:rsidR="00560109" w:rsidRDefault="00560109">
      <w:pPr>
        <w:pStyle w:val="FootnoteText"/>
      </w:pPr>
      <w:r>
        <w:rPr>
          <w:rStyle w:val="FootnoteReference"/>
        </w:rPr>
        <w:footnoteRef/>
      </w:r>
      <w:r>
        <w:t xml:space="preserve"> </w:t>
      </w:r>
      <w:r w:rsidRPr="00F106B3">
        <w:rPr>
          <w:sz w:val="16"/>
          <w:szCs w:val="16"/>
        </w:rPr>
        <w:t xml:space="preserve">Refer to the descriptions of </w:t>
      </w:r>
      <w:r w:rsidRPr="007F1AF6">
        <w:rPr>
          <w:sz w:val="16"/>
          <w:szCs w:val="16"/>
        </w:rPr>
        <w:t xml:space="preserve">abbreviations on page </w:t>
      </w:r>
      <w:r w:rsidR="00C457DB">
        <w:rPr>
          <w:sz w:val="16"/>
          <w:szCs w:val="16"/>
        </w:rPr>
        <w:t>6</w:t>
      </w:r>
      <w:r w:rsidRPr="007F1AF6">
        <w:rPr>
          <w:sz w:val="16"/>
          <w:szCs w:val="16"/>
        </w:rPr>
        <w:t>.</w:t>
      </w:r>
    </w:p>
  </w:footnote>
  <w:footnote w:id="8">
    <w:p w14:paraId="621C3F9F" w14:textId="3349396A"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9">
    <w:p w14:paraId="0902E148" w14:textId="30AC1DA5"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 xml:space="preserve">ren, Youth </w:t>
      </w:r>
      <w:proofErr w:type="gramStart"/>
      <w:r>
        <w:rPr>
          <w:sz w:val="16"/>
          <w:szCs w:val="16"/>
        </w:rPr>
        <w:t>Justice</w:t>
      </w:r>
      <w:proofErr w:type="gramEnd"/>
      <w:r>
        <w:rPr>
          <w:sz w:val="16"/>
          <w:szCs w:val="16"/>
        </w:rPr>
        <w:t xml:space="preserve"> and Multicultural Affairs only</w:t>
      </w:r>
      <w:r w:rsidRPr="00850FF3">
        <w:rPr>
          <w:sz w:val="16"/>
          <w:szCs w:val="16"/>
        </w:rPr>
        <w:t>.</w:t>
      </w:r>
    </w:p>
  </w:footnote>
  <w:footnote w:id="10">
    <w:p w14:paraId="6387E6E1" w14:textId="77777777" w:rsidR="001C4411" w:rsidRPr="004B50DF" w:rsidRDefault="001C4411" w:rsidP="001C4411">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1">
    <w:p w14:paraId="1D04A1CF" w14:textId="77777777" w:rsidR="002712D7" w:rsidRDefault="002712D7"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2">
    <w:p w14:paraId="55C03F91" w14:textId="77777777" w:rsidR="002712D7" w:rsidRDefault="002712D7"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3">
    <w:p w14:paraId="5AC10446" w14:textId="4BCBC3CF" w:rsidR="002712D7" w:rsidRDefault="002712D7"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4">
    <w:p w14:paraId="5B5EB21A" w14:textId="5D616854" w:rsidR="002712D7" w:rsidRPr="004C7880" w:rsidRDefault="002712D7"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CIM’d client for the quarter is calculated at the first conference date held where the client was placed on a CIM during the quarter.</w:t>
      </w:r>
    </w:p>
  </w:footnote>
  <w:footnote w:id="15">
    <w:p w14:paraId="5014099E" w14:textId="18E2E232" w:rsidR="002712D7" w:rsidRDefault="002712D7">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p>
  </w:footnote>
  <w:footnote w:id="16">
    <w:p w14:paraId="4AA50FB0" w14:textId="769D9026" w:rsidR="002712D7" w:rsidRDefault="002712D7">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VIM’d client for the quarter is calculated at the start date of the agreement where the client was placed on a VIM during the quarter.</w:t>
      </w:r>
    </w:p>
  </w:footnote>
  <w:footnote w:id="17">
    <w:p w14:paraId="7CE1A087" w14:textId="49542CF8" w:rsidR="002712D7" w:rsidRDefault="002712D7">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8">
    <w:p w14:paraId="15716F00" w14:textId="7333E43B" w:rsidR="00324B7B" w:rsidRDefault="00324B7B" w:rsidP="00F500CF">
      <w:pPr>
        <w:pStyle w:val="FootnoteText"/>
        <w:jc w:val="both"/>
      </w:pPr>
      <w:r w:rsidRPr="00C5462F">
        <w:rPr>
          <w:rStyle w:val="FootnoteReference"/>
          <w:sz w:val="16"/>
          <w:szCs w:val="16"/>
        </w:rPr>
        <w:footnoteRef/>
      </w:r>
      <w:r w:rsidRPr="004971EA">
        <w:rPr>
          <w:sz w:val="16"/>
          <w:szCs w:val="16"/>
        </w:rPr>
        <w:t xml:space="preserve"> </w:t>
      </w:r>
      <w:r w:rsidR="00587B7C" w:rsidRPr="004971EA">
        <w:rPr>
          <w:sz w:val="16"/>
          <w:szCs w:val="16"/>
        </w:rPr>
        <w:t xml:space="preserve">Note: </w:t>
      </w:r>
      <w:r w:rsidR="00587B7C" w:rsidRPr="0044594D">
        <w:rPr>
          <w:sz w:val="16"/>
          <w:szCs w:val="16"/>
        </w:rPr>
        <w:t>Australian Statistical Geography Standard 20</w:t>
      </w:r>
      <w:r w:rsidR="00587B7C">
        <w:rPr>
          <w:sz w:val="16"/>
          <w:szCs w:val="16"/>
        </w:rPr>
        <w:t>21</w:t>
      </w:r>
      <w:r w:rsidR="00587B7C" w:rsidRPr="0044594D">
        <w:rPr>
          <w:sz w:val="16"/>
          <w:szCs w:val="16"/>
        </w:rPr>
        <w:t xml:space="preserve"> boundaries used are local government areas for Aurukun, Doomadgee and Hope Vale, and statistical areas level 1 (SA1s) of </w:t>
      </w:r>
      <w:r w:rsidR="00587B7C">
        <w:rPr>
          <w:sz w:val="16"/>
          <w:szCs w:val="16"/>
        </w:rPr>
        <w:t>31501139616</w:t>
      </w:r>
      <w:r w:rsidR="00587B7C" w:rsidRPr="0044594D">
        <w:rPr>
          <w:sz w:val="16"/>
          <w:szCs w:val="16"/>
        </w:rPr>
        <w:t xml:space="preserve"> for Coen and </w:t>
      </w:r>
      <w:r w:rsidR="00587B7C">
        <w:rPr>
          <w:sz w:val="16"/>
          <w:szCs w:val="16"/>
        </w:rPr>
        <w:t>30604116408</w:t>
      </w:r>
      <w:r w:rsidR="00587B7C" w:rsidRPr="0044594D">
        <w:rPr>
          <w:sz w:val="16"/>
          <w:szCs w:val="16"/>
        </w:rPr>
        <w:t xml:space="preserve"> for Mossman Gorge.</w:t>
      </w:r>
    </w:p>
  </w:footnote>
  <w:footnote w:id="19">
    <w:p w14:paraId="3BBC0E7E" w14:textId="3BFF06EC" w:rsidR="00324B7B" w:rsidRDefault="00324B7B" w:rsidP="00F500CF">
      <w:pPr>
        <w:pStyle w:val="FootnoteText"/>
      </w:pPr>
      <w:r w:rsidRPr="004971EA">
        <w:rPr>
          <w:rStyle w:val="FootnoteReference"/>
          <w:sz w:val="16"/>
          <w:szCs w:val="16"/>
        </w:rPr>
        <w:footnoteRef/>
      </w:r>
      <w:r w:rsidRPr="004971EA">
        <w:rPr>
          <w:sz w:val="16"/>
          <w:szCs w:val="16"/>
        </w:rPr>
        <w:t xml:space="preserve"> </w:t>
      </w:r>
      <w:r w:rsidR="00587B7C" w:rsidRPr="004971EA">
        <w:rPr>
          <w:sz w:val="16"/>
          <w:szCs w:val="16"/>
        </w:rPr>
        <w:t xml:space="preserve">Note: Adults </w:t>
      </w:r>
      <w:r w:rsidR="00587B7C">
        <w:rPr>
          <w:sz w:val="16"/>
          <w:szCs w:val="16"/>
        </w:rPr>
        <w:t>18</w:t>
      </w:r>
      <w:r w:rsidR="00587B7C" w:rsidRPr="004971EA">
        <w:rPr>
          <w:sz w:val="16"/>
          <w:szCs w:val="16"/>
        </w:rPr>
        <w:t xml:space="preserve"> years and over provided by the </w:t>
      </w:r>
      <w:r w:rsidR="00587B7C" w:rsidRPr="001816AB">
        <w:rPr>
          <w:sz w:val="16"/>
          <w:szCs w:val="16"/>
        </w:rPr>
        <w:t>Queensland Government Statistician’s Office (QGSO), Queensland Treasury, based on the Australian Bureau of Statistics (ABS) unpublished preliminary rebased (to 2021 Census) Estimated Resident Population (ERP) data by age and sex at the Local Government Area level for 30 June 2021.</w:t>
      </w:r>
    </w:p>
  </w:footnote>
  <w:footnote w:id="20">
    <w:p w14:paraId="3884DA28" w14:textId="3A53F2FE" w:rsidR="00324B7B" w:rsidRDefault="00324B7B" w:rsidP="00F500CF">
      <w:pPr>
        <w:pStyle w:val="FootnoteText"/>
      </w:pPr>
      <w:r w:rsidRPr="00C5462F">
        <w:rPr>
          <w:rStyle w:val="FootnoteReference"/>
          <w:sz w:val="18"/>
          <w:szCs w:val="18"/>
        </w:rPr>
        <w:footnoteRef/>
      </w:r>
      <w:r w:rsidRPr="004971EA">
        <w:rPr>
          <w:sz w:val="16"/>
          <w:szCs w:val="16"/>
        </w:rPr>
        <w:t xml:space="preserve"> </w:t>
      </w:r>
      <w:r w:rsidR="00587B7C" w:rsidRPr="0006058E">
        <w:rPr>
          <w:sz w:val="16"/>
          <w:szCs w:val="16"/>
        </w:rPr>
        <w:t xml:space="preserve">Note: Adults </w:t>
      </w:r>
      <w:r w:rsidR="00587B7C">
        <w:rPr>
          <w:sz w:val="16"/>
          <w:szCs w:val="16"/>
        </w:rPr>
        <w:t xml:space="preserve">18 years and over provided by </w:t>
      </w:r>
      <w:r w:rsidR="00587B7C">
        <w:rPr>
          <w:rFonts w:cs="Arial"/>
          <w:sz w:val="16"/>
          <w:szCs w:val="16"/>
        </w:rPr>
        <w:t>QGSO</w:t>
      </w:r>
      <w:r w:rsidR="00587B7C" w:rsidRPr="0006058E">
        <w:rPr>
          <w:rFonts w:cs="Arial"/>
          <w:sz w:val="16"/>
          <w:szCs w:val="16"/>
        </w:rPr>
        <w:t xml:space="preserve">, Queensland Treasury, based on the </w:t>
      </w:r>
      <w:r w:rsidR="00587B7C">
        <w:rPr>
          <w:rFonts w:cs="Arial"/>
          <w:sz w:val="16"/>
          <w:szCs w:val="16"/>
        </w:rPr>
        <w:t>ABS</w:t>
      </w:r>
      <w:r w:rsidR="00587B7C" w:rsidRPr="0006058E">
        <w:rPr>
          <w:rFonts w:cs="Arial"/>
          <w:sz w:val="16"/>
          <w:szCs w:val="16"/>
        </w:rPr>
        <w:t xml:space="preserve"> </w:t>
      </w:r>
      <w:r w:rsidR="00587B7C">
        <w:rPr>
          <w:rFonts w:cs="Arial"/>
          <w:sz w:val="16"/>
          <w:szCs w:val="16"/>
        </w:rPr>
        <w:t>unpublished preliminary rebased (to 2021 Census) ERP</w:t>
      </w:r>
      <w:r w:rsidR="00587B7C" w:rsidRPr="0006058E">
        <w:rPr>
          <w:rFonts w:cs="Arial"/>
          <w:sz w:val="16"/>
          <w:szCs w:val="16"/>
        </w:rPr>
        <w:t xml:space="preserve"> data by age and sex at the </w:t>
      </w:r>
      <w:r w:rsidR="00587B7C" w:rsidRPr="002376E4">
        <w:rPr>
          <w:rFonts w:cs="Arial"/>
          <w:sz w:val="16"/>
          <w:szCs w:val="16"/>
        </w:rPr>
        <w:t xml:space="preserve">Statistical </w:t>
      </w:r>
      <w:r w:rsidR="00587B7C" w:rsidRPr="0006058E">
        <w:rPr>
          <w:rFonts w:cs="Arial"/>
          <w:sz w:val="16"/>
          <w:szCs w:val="16"/>
        </w:rPr>
        <w:t>Area level</w:t>
      </w:r>
      <w:r w:rsidR="00587B7C">
        <w:rPr>
          <w:rFonts w:cs="Arial"/>
          <w:sz w:val="16"/>
          <w:szCs w:val="16"/>
        </w:rPr>
        <w:t xml:space="preserve"> 1</w:t>
      </w:r>
      <w:r w:rsidR="00587B7C" w:rsidRPr="0006058E">
        <w:rPr>
          <w:rFonts w:cs="Arial"/>
          <w:sz w:val="16"/>
          <w:szCs w:val="16"/>
        </w:rPr>
        <w:t xml:space="preserve"> for 30 June </w:t>
      </w:r>
      <w:r w:rsidR="00587B7C">
        <w:rPr>
          <w:rFonts w:cs="Arial"/>
          <w:sz w:val="16"/>
          <w:szCs w:val="16"/>
        </w:rPr>
        <w:t>2021.</w:t>
      </w:r>
    </w:p>
  </w:footnote>
  <w:footnote w:id="21">
    <w:p w14:paraId="5BB1F6F6" w14:textId="650B342D" w:rsidR="00324B7B" w:rsidRDefault="00324B7B" w:rsidP="00F500CF">
      <w:pPr>
        <w:pStyle w:val="FootnoteText"/>
      </w:pPr>
      <w:r w:rsidRPr="00C5462F">
        <w:rPr>
          <w:rStyle w:val="FootnoteReference"/>
          <w:sz w:val="16"/>
          <w:szCs w:val="16"/>
        </w:rPr>
        <w:footnoteRef/>
      </w:r>
      <w:r w:rsidRPr="004971EA">
        <w:rPr>
          <w:sz w:val="16"/>
          <w:szCs w:val="16"/>
        </w:rPr>
        <w:t xml:space="preserve"> </w:t>
      </w:r>
      <w:r w:rsidR="00587B7C" w:rsidRPr="008B5D72">
        <w:rPr>
          <w:sz w:val="16"/>
          <w:szCs w:val="16"/>
        </w:rPr>
        <w:t xml:space="preserve">Note: </w:t>
      </w:r>
      <w:r w:rsidR="00587B7C">
        <w:rPr>
          <w:sz w:val="16"/>
          <w:szCs w:val="16"/>
        </w:rPr>
        <w:t>Total population provided by</w:t>
      </w:r>
      <w:r w:rsidR="00587B7C" w:rsidRPr="008B5D72">
        <w:rPr>
          <w:sz w:val="16"/>
          <w:szCs w:val="16"/>
        </w:rPr>
        <w:t xml:space="preserve"> </w:t>
      </w:r>
      <w:r w:rsidR="00587B7C">
        <w:rPr>
          <w:sz w:val="16"/>
          <w:szCs w:val="16"/>
        </w:rPr>
        <w:t>QGSO</w:t>
      </w:r>
      <w:r w:rsidR="00587B7C" w:rsidRPr="008B5D72">
        <w:rPr>
          <w:sz w:val="16"/>
          <w:szCs w:val="16"/>
        </w:rPr>
        <w:t>, Queensland T</w:t>
      </w:r>
      <w:r w:rsidR="00587B7C">
        <w:rPr>
          <w:sz w:val="16"/>
          <w:szCs w:val="16"/>
        </w:rPr>
        <w:t xml:space="preserve">reasury, not 18 years and older, due to the small size of the total population </w:t>
      </w:r>
      <w:r w:rsidR="00587B7C" w:rsidRPr="002376E4">
        <w:rPr>
          <w:rFonts w:cs="Arial"/>
          <w:sz w:val="16"/>
          <w:szCs w:val="16"/>
        </w:rPr>
        <w:t xml:space="preserve">from the ABS </w:t>
      </w:r>
      <w:r w:rsidR="00587B7C">
        <w:rPr>
          <w:rFonts w:cs="Arial"/>
          <w:sz w:val="16"/>
          <w:szCs w:val="16"/>
        </w:rPr>
        <w:t xml:space="preserve">unpublished preliminary rebased (to 2021 Census) </w:t>
      </w:r>
      <w:r w:rsidR="00587B7C" w:rsidRPr="002376E4">
        <w:rPr>
          <w:rFonts w:cs="Arial"/>
          <w:sz w:val="16"/>
          <w:szCs w:val="16"/>
        </w:rPr>
        <w:t xml:space="preserve">ERP data at the Statistical Area level 1 for 30 June </w:t>
      </w:r>
      <w:r w:rsidR="00587B7C">
        <w:rPr>
          <w:rFonts w:cs="Arial"/>
          <w:sz w:val="16"/>
          <w:szCs w:val="16"/>
        </w:rPr>
        <w:t>2021</w:t>
      </w:r>
      <w:r w:rsidR="00587B7C"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698C5B2"/>
    <w:lvl w:ilvl="0">
      <w:numFmt w:val="decimal"/>
      <w:pStyle w:val="Caption"/>
      <w:lvlText w:val="*"/>
      <w:lvlJc w:val="left"/>
      <w:rPr>
        <w:rFonts w:cs="Times New Roman"/>
      </w:rPr>
    </w:lvl>
  </w:abstractNum>
  <w:abstractNum w:abstractNumId="2"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8A60D7"/>
    <w:multiLevelType w:val="hybridMultilevel"/>
    <w:tmpl w:val="C2A60D2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469B5EC6"/>
    <w:multiLevelType w:val="hybridMultilevel"/>
    <w:tmpl w:val="F6607FB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0" w15:restartNumberingAfterBreak="0">
    <w:nsid w:val="67806ACB"/>
    <w:multiLevelType w:val="hybridMultilevel"/>
    <w:tmpl w:val="7764A90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6A256849"/>
    <w:multiLevelType w:val="hybridMultilevel"/>
    <w:tmpl w:val="204C88F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2"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720553">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339044554">
    <w:abstractNumId w:val="12"/>
  </w:num>
  <w:num w:numId="3" w16cid:durableId="1469781046">
    <w:abstractNumId w:val="3"/>
  </w:num>
  <w:num w:numId="4" w16cid:durableId="47189556">
    <w:abstractNumId w:val="13"/>
  </w:num>
  <w:num w:numId="5" w16cid:durableId="1836995923">
    <w:abstractNumId w:val="14"/>
  </w:num>
  <w:num w:numId="6" w16cid:durableId="879827819">
    <w:abstractNumId w:val="0"/>
  </w:num>
  <w:num w:numId="7" w16cid:durableId="2082289908">
    <w:abstractNumId w:val="4"/>
  </w:num>
  <w:num w:numId="8" w16cid:durableId="655643015">
    <w:abstractNumId w:val="2"/>
  </w:num>
  <w:num w:numId="9" w16cid:durableId="1632320174">
    <w:abstractNumId w:val="8"/>
  </w:num>
  <w:num w:numId="10" w16cid:durableId="687173672">
    <w:abstractNumId w:val="6"/>
  </w:num>
  <w:num w:numId="11" w16cid:durableId="1309020323">
    <w:abstractNumId w:val="10"/>
  </w:num>
  <w:num w:numId="12" w16cid:durableId="998507440">
    <w:abstractNumId w:val="9"/>
  </w:num>
  <w:num w:numId="13" w16cid:durableId="730270374">
    <w:abstractNumId w:val="7"/>
  </w:num>
  <w:num w:numId="14" w16cid:durableId="919216714">
    <w:abstractNumId w:val="5"/>
  </w:num>
  <w:num w:numId="15" w16cid:durableId="136775814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DED"/>
    <w:rsid w:val="00001E8D"/>
    <w:rsid w:val="00001FB1"/>
    <w:rsid w:val="00002082"/>
    <w:rsid w:val="000022AB"/>
    <w:rsid w:val="000022D9"/>
    <w:rsid w:val="00002949"/>
    <w:rsid w:val="000029AB"/>
    <w:rsid w:val="00002BF6"/>
    <w:rsid w:val="00002D0C"/>
    <w:rsid w:val="00002E4C"/>
    <w:rsid w:val="0000355E"/>
    <w:rsid w:val="000036F5"/>
    <w:rsid w:val="00003756"/>
    <w:rsid w:val="00003AD4"/>
    <w:rsid w:val="000040A8"/>
    <w:rsid w:val="0000478B"/>
    <w:rsid w:val="000047DC"/>
    <w:rsid w:val="00004A47"/>
    <w:rsid w:val="00004D7C"/>
    <w:rsid w:val="00004D7E"/>
    <w:rsid w:val="00004F7D"/>
    <w:rsid w:val="00004FB4"/>
    <w:rsid w:val="000052E6"/>
    <w:rsid w:val="000058CD"/>
    <w:rsid w:val="00005A38"/>
    <w:rsid w:val="00005AEB"/>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47A"/>
    <w:rsid w:val="00007930"/>
    <w:rsid w:val="00007A59"/>
    <w:rsid w:val="00007B00"/>
    <w:rsid w:val="00007BA5"/>
    <w:rsid w:val="00007BA9"/>
    <w:rsid w:val="000101BA"/>
    <w:rsid w:val="000102C9"/>
    <w:rsid w:val="00010328"/>
    <w:rsid w:val="00010639"/>
    <w:rsid w:val="000108AD"/>
    <w:rsid w:val="0001094E"/>
    <w:rsid w:val="00010BBF"/>
    <w:rsid w:val="00010EF3"/>
    <w:rsid w:val="00010F70"/>
    <w:rsid w:val="000111F9"/>
    <w:rsid w:val="0001136D"/>
    <w:rsid w:val="0001141C"/>
    <w:rsid w:val="00011490"/>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022"/>
    <w:rsid w:val="000130C1"/>
    <w:rsid w:val="00013220"/>
    <w:rsid w:val="00013295"/>
    <w:rsid w:val="0001339A"/>
    <w:rsid w:val="000133FB"/>
    <w:rsid w:val="000135F4"/>
    <w:rsid w:val="0001383B"/>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66"/>
    <w:rsid w:val="000153CE"/>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6DD"/>
    <w:rsid w:val="000216F3"/>
    <w:rsid w:val="000218DF"/>
    <w:rsid w:val="0002195A"/>
    <w:rsid w:val="000219BE"/>
    <w:rsid w:val="00021D30"/>
    <w:rsid w:val="00021FD3"/>
    <w:rsid w:val="00021FED"/>
    <w:rsid w:val="00022256"/>
    <w:rsid w:val="00022690"/>
    <w:rsid w:val="000228CE"/>
    <w:rsid w:val="00022A61"/>
    <w:rsid w:val="0002304D"/>
    <w:rsid w:val="00023090"/>
    <w:rsid w:val="00023110"/>
    <w:rsid w:val="00023277"/>
    <w:rsid w:val="000232D9"/>
    <w:rsid w:val="0002375F"/>
    <w:rsid w:val="000237E5"/>
    <w:rsid w:val="000238CF"/>
    <w:rsid w:val="000238EE"/>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879"/>
    <w:rsid w:val="0002698B"/>
    <w:rsid w:val="000269D2"/>
    <w:rsid w:val="00026C3E"/>
    <w:rsid w:val="00026F91"/>
    <w:rsid w:val="00026FBA"/>
    <w:rsid w:val="0002719F"/>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508"/>
    <w:rsid w:val="000406EE"/>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CFE"/>
    <w:rsid w:val="00046D12"/>
    <w:rsid w:val="00046EE8"/>
    <w:rsid w:val="00046EF5"/>
    <w:rsid w:val="000474F4"/>
    <w:rsid w:val="0004757A"/>
    <w:rsid w:val="00047687"/>
    <w:rsid w:val="0004774C"/>
    <w:rsid w:val="00047888"/>
    <w:rsid w:val="00047E2E"/>
    <w:rsid w:val="000500C4"/>
    <w:rsid w:val="00050158"/>
    <w:rsid w:val="0005023F"/>
    <w:rsid w:val="00050296"/>
    <w:rsid w:val="00050402"/>
    <w:rsid w:val="00050592"/>
    <w:rsid w:val="000506CB"/>
    <w:rsid w:val="0005083D"/>
    <w:rsid w:val="00050961"/>
    <w:rsid w:val="00050A13"/>
    <w:rsid w:val="00050BAC"/>
    <w:rsid w:val="00050BCC"/>
    <w:rsid w:val="00050D22"/>
    <w:rsid w:val="00050F3B"/>
    <w:rsid w:val="00050F4A"/>
    <w:rsid w:val="00051000"/>
    <w:rsid w:val="0005100D"/>
    <w:rsid w:val="0005113F"/>
    <w:rsid w:val="000511C7"/>
    <w:rsid w:val="000512CC"/>
    <w:rsid w:val="0005148A"/>
    <w:rsid w:val="000519E6"/>
    <w:rsid w:val="00051A38"/>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D74"/>
    <w:rsid w:val="00054E05"/>
    <w:rsid w:val="00054E20"/>
    <w:rsid w:val="00054F6B"/>
    <w:rsid w:val="0005529E"/>
    <w:rsid w:val="00055318"/>
    <w:rsid w:val="00055349"/>
    <w:rsid w:val="000553D0"/>
    <w:rsid w:val="0005566E"/>
    <w:rsid w:val="00055789"/>
    <w:rsid w:val="00055891"/>
    <w:rsid w:val="00055AAF"/>
    <w:rsid w:val="00055ADA"/>
    <w:rsid w:val="00055B55"/>
    <w:rsid w:val="00055F4B"/>
    <w:rsid w:val="00055FB2"/>
    <w:rsid w:val="00056329"/>
    <w:rsid w:val="0005638B"/>
    <w:rsid w:val="0005638D"/>
    <w:rsid w:val="000566F8"/>
    <w:rsid w:val="00056B48"/>
    <w:rsid w:val="00056D0D"/>
    <w:rsid w:val="00056DA3"/>
    <w:rsid w:val="00057179"/>
    <w:rsid w:val="000575B6"/>
    <w:rsid w:val="00057823"/>
    <w:rsid w:val="0005786D"/>
    <w:rsid w:val="00057A8F"/>
    <w:rsid w:val="00057B6E"/>
    <w:rsid w:val="0006007E"/>
    <w:rsid w:val="00060351"/>
    <w:rsid w:val="000603B6"/>
    <w:rsid w:val="0006064F"/>
    <w:rsid w:val="0006069B"/>
    <w:rsid w:val="00060733"/>
    <w:rsid w:val="00060863"/>
    <w:rsid w:val="00060C99"/>
    <w:rsid w:val="0006102A"/>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411B"/>
    <w:rsid w:val="0006419D"/>
    <w:rsid w:val="00064419"/>
    <w:rsid w:val="000646F9"/>
    <w:rsid w:val="00064810"/>
    <w:rsid w:val="00064A70"/>
    <w:rsid w:val="00064D55"/>
    <w:rsid w:val="00064FBC"/>
    <w:rsid w:val="0006502C"/>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58"/>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9B9"/>
    <w:rsid w:val="00070AC0"/>
    <w:rsid w:val="00070B4D"/>
    <w:rsid w:val="00070D65"/>
    <w:rsid w:val="00070DAC"/>
    <w:rsid w:val="00070E6B"/>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7EA"/>
    <w:rsid w:val="00072952"/>
    <w:rsid w:val="000729E5"/>
    <w:rsid w:val="00072EA3"/>
    <w:rsid w:val="00072FBA"/>
    <w:rsid w:val="000736E7"/>
    <w:rsid w:val="0007389A"/>
    <w:rsid w:val="00073A17"/>
    <w:rsid w:val="00073ACD"/>
    <w:rsid w:val="00073C0A"/>
    <w:rsid w:val="00073C92"/>
    <w:rsid w:val="00073E3A"/>
    <w:rsid w:val="000742F0"/>
    <w:rsid w:val="00074381"/>
    <w:rsid w:val="000743F4"/>
    <w:rsid w:val="00074403"/>
    <w:rsid w:val="0007447B"/>
    <w:rsid w:val="000745D1"/>
    <w:rsid w:val="0007465F"/>
    <w:rsid w:val="0007479D"/>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8EC"/>
    <w:rsid w:val="00077C20"/>
    <w:rsid w:val="00077DC7"/>
    <w:rsid w:val="00077F50"/>
    <w:rsid w:val="000800C3"/>
    <w:rsid w:val="000801CF"/>
    <w:rsid w:val="00080235"/>
    <w:rsid w:val="0008043B"/>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2AF"/>
    <w:rsid w:val="000823AD"/>
    <w:rsid w:val="00082405"/>
    <w:rsid w:val="0008247E"/>
    <w:rsid w:val="000824D7"/>
    <w:rsid w:val="0008253E"/>
    <w:rsid w:val="0008254C"/>
    <w:rsid w:val="0008278B"/>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95D"/>
    <w:rsid w:val="00084C17"/>
    <w:rsid w:val="00084EA5"/>
    <w:rsid w:val="00085105"/>
    <w:rsid w:val="0008546D"/>
    <w:rsid w:val="00085675"/>
    <w:rsid w:val="00085687"/>
    <w:rsid w:val="000857D8"/>
    <w:rsid w:val="00085BF6"/>
    <w:rsid w:val="00085CDB"/>
    <w:rsid w:val="00085E08"/>
    <w:rsid w:val="00085F7B"/>
    <w:rsid w:val="00086044"/>
    <w:rsid w:val="0008633C"/>
    <w:rsid w:val="0008641C"/>
    <w:rsid w:val="00086AA9"/>
    <w:rsid w:val="00086DBA"/>
    <w:rsid w:val="00086E5B"/>
    <w:rsid w:val="00086E91"/>
    <w:rsid w:val="0008702D"/>
    <w:rsid w:val="00087193"/>
    <w:rsid w:val="00087253"/>
    <w:rsid w:val="000872E8"/>
    <w:rsid w:val="0008752E"/>
    <w:rsid w:val="000875AE"/>
    <w:rsid w:val="000875E5"/>
    <w:rsid w:val="0008767A"/>
    <w:rsid w:val="000876F7"/>
    <w:rsid w:val="000877DD"/>
    <w:rsid w:val="00087B6F"/>
    <w:rsid w:val="00087B99"/>
    <w:rsid w:val="00087F9B"/>
    <w:rsid w:val="00087FB0"/>
    <w:rsid w:val="0009012F"/>
    <w:rsid w:val="000901A9"/>
    <w:rsid w:val="00090404"/>
    <w:rsid w:val="00090561"/>
    <w:rsid w:val="000906AE"/>
    <w:rsid w:val="00090889"/>
    <w:rsid w:val="000908AE"/>
    <w:rsid w:val="0009094D"/>
    <w:rsid w:val="00090D16"/>
    <w:rsid w:val="00090E8B"/>
    <w:rsid w:val="0009108F"/>
    <w:rsid w:val="0009110A"/>
    <w:rsid w:val="00091147"/>
    <w:rsid w:val="0009129E"/>
    <w:rsid w:val="000912B2"/>
    <w:rsid w:val="000914CC"/>
    <w:rsid w:val="000915D5"/>
    <w:rsid w:val="000915DB"/>
    <w:rsid w:val="0009165D"/>
    <w:rsid w:val="00091828"/>
    <w:rsid w:val="00091AD9"/>
    <w:rsid w:val="00091AF9"/>
    <w:rsid w:val="00091CBE"/>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7F"/>
    <w:rsid w:val="00094AC7"/>
    <w:rsid w:val="00094CDC"/>
    <w:rsid w:val="000950F0"/>
    <w:rsid w:val="0009527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869"/>
    <w:rsid w:val="000969E5"/>
    <w:rsid w:val="00096A8C"/>
    <w:rsid w:val="00096AE0"/>
    <w:rsid w:val="00096B05"/>
    <w:rsid w:val="00096BD0"/>
    <w:rsid w:val="00096BE8"/>
    <w:rsid w:val="00096C0B"/>
    <w:rsid w:val="00096C45"/>
    <w:rsid w:val="00096E3A"/>
    <w:rsid w:val="00096EFD"/>
    <w:rsid w:val="00096FA5"/>
    <w:rsid w:val="00097189"/>
    <w:rsid w:val="00097593"/>
    <w:rsid w:val="0009773A"/>
    <w:rsid w:val="00097935"/>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0F8"/>
    <w:rsid w:val="000A110A"/>
    <w:rsid w:val="000A110F"/>
    <w:rsid w:val="000A118E"/>
    <w:rsid w:val="000A121A"/>
    <w:rsid w:val="000A14E2"/>
    <w:rsid w:val="000A155A"/>
    <w:rsid w:val="000A19DD"/>
    <w:rsid w:val="000A1E36"/>
    <w:rsid w:val="000A1F37"/>
    <w:rsid w:val="000A203F"/>
    <w:rsid w:val="000A20DE"/>
    <w:rsid w:val="000A223C"/>
    <w:rsid w:val="000A22E3"/>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6C7"/>
    <w:rsid w:val="000A3891"/>
    <w:rsid w:val="000A38AB"/>
    <w:rsid w:val="000A3947"/>
    <w:rsid w:val="000A3ACD"/>
    <w:rsid w:val="000A3D78"/>
    <w:rsid w:val="000A3DB3"/>
    <w:rsid w:val="000A3FD2"/>
    <w:rsid w:val="000A41DF"/>
    <w:rsid w:val="000A4528"/>
    <w:rsid w:val="000A46F3"/>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30FA"/>
    <w:rsid w:val="000B315A"/>
    <w:rsid w:val="000B3226"/>
    <w:rsid w:val="000B3356"/>
    <w:rsid w:val="000B3974"/>
    <w:rsid w:val="000B3A1C"/>
    <w:rsid w:val="000B3A80"/>
    <w:rsid w:val="000B3F04"/>
    <w:rsid w:val="000B3FDC"/>
    <w:rsid w:val="000B41FB"/>
    <w:rsid w:val="000B423B"/>
    <w:rsid w:val="000B4667"/>
    <w:rsid w:val="000B471D"/>
    <w:rsid w:val="000B47E1"/>
    <w:rsid w:val="000B4B49"/>
    <w:rsid w:val="000B4B81"/>
    <w:rsid w:val="000B4C14"/>
    <w:rsid w:val="000B4CD5"/>
    <w:rsid w:val="000B4D37"/>
    <w:rsid w:val="000B4DA7"/>
    <w:rsid w:val="000B4F35"/>
    <w:rsid w:val="000B51AB"/>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478"/>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0D"/>
    <w:rsid w:val="000C4727"/>
    <w:rsid w:val="000C473F"/>
    <w:rsid w:val="000C48F1"/>
    <w:rsid w:val="000C4C24"/>
    <w:rsid w:val="000C4D78"/>
    <w:rsid w:val="000C4E0E"/>
    <w:rsid w:val="000C50A9"/>
    <w:rsid w:val="000C5141"/>
    <w:rsid w:val="000C5142"/>
    <w:rsid w:val="000C5157"/>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4AF"/>
    <w:rsid w:val="000C75D2"/>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603B"/>
    <w:rsid w:val="000D60FD"/>
    <w:rsid w:val="000D619E"/>
    <w:rsid w:val="000D622E"/>
    <w:rsid w:val="000D6508"/>
    <w:rsid w:val="000D6590"/>
    <w:rsid w:val="000D65AE"/>
    <w:rsid w:val="000D6BA5"/>
    <w:rsid w:val="000D6E9A"/>
    <w:rsid w:val="000D7292"/>
    <w:rsid w:val="000D72EE"/>
    <w:rsid w:val="000D7306"/>
    <w:rsid w:val="000D79E4"/>
    <w:rsid w:val="000D7A37"/>
    <w:rsid w:val="000E028F"/>
    <w:rsid w:val="000E0AD8"/>
    <w:rsid w:val="000E0C2F"/>
    <w:rsid w:val="000E0C5F"/>
    <w:rsid w:val="000E0C69"/>
    <w:rsid w:val="000E0FEA"/>
    <w:rsid w:val="000E1050"/>
    <w:rsid w:val="000E11E3"/>
    <w:rsid w:val="000E12DA"/>
    <w:rsid w:val="000E14DF"/>
    <w:rsid w:val="000E15D5"/>
    <w:rsid w:val="000E186F"/>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E4B"/>
    <w:rsid w:val="000E60F5"/>
    <w:rsid w:val="000E6152"/>
    <w:rsid w:val="000E6193"/>
    <w:rsid w:val="000E6209"/>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914"/>
    <w:rsid w:val="000F1C67"/>
    <w:rsid w:val="000F1CC5"/>
    <w:rsid w:val="000F1E2D"/>
    <w:rsid w:val="000F1E82"/>
    <w:rsid w:val="000F1EFA"/>
    <w:rsid w:val="000F1F81"/>
    <w:rsid w:val="000F21EB"/>
    <w:rsid w:val="000F2402"/>
    <w:rsid w:val="000F2605"/>
    <w:rsid w:val="000F2766"/>
    <w:rsid w:val="000F28A9"/>
    <w:rsid w:val="000F2915"/>
    <w:rsid w:val="000F29F5"/>
    <w:rsid w:val="000F2ACC"/>
    <w:rsid w:val="000F2DD2"/>
    <w:rsid w:val="000F2F9F"/>
    <w:rsid w:val="000F310B"/>
    <w:rsid w:val="000F316B"/>
    <w:rsid w:val="000F32A8"/>
    <w:rsid w:val="000F32B6"/>
    <w:rsid w:val="000F364D"/>
    <w:rsid w:val="000F37F8"/>
    <w:rsid w:val="000F3A02"/>
    <w:rsid w:val="000F3AEA"/>
    <w:rsid w:val="000F3D4B"/>
    <w:rsid w:val="000F3FA4"/>
    <w:rsid w:val="000F408B"/>
    <w:rsid w:val="000F40C3"/>
    <w:rsid w:val="000F48DE"/>
    <w:rsid w:val="000F4948"/>
    <w:rsid w:val="000F4A7B"/>
    <w:rsid w:val="000F4AF1"/>
    <w:rsid w:val="000F4D8D"/>
    <w:rsid w:val="000F4E91"/>
    <w:rsid w:val="000F513B"/>
    <w:rsid w:val="000F51A0"/>
    <w:rsid w:val="000F524F"/>
    <w:rsid w:val="000F5342"/>
    <w:rsid w:val="000F54FD"/>
    <w:rsid w:val="000F5713"/>
    <w:rsid w:val="000F5758"/>
    <w:rsid w:val="000F5774"/>
    <w:rsid w:val="000F59B0"/>
    <w:rsid w:val="000F5A32"/>
    <w:rsid w:val="000F5BA6"/>
    <w:rsid w:val="000F5D34"/>
    <w:rsid w:val="000F5E08"/>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CB0"/>
    <w:rsid w:val="000F7DA2"/>
    <w:rsid w:val="000F7F99"/>
    <w:rsid w:val="000F7FE8"/>
    <w:rsid w:val="0010040B"/>
    <w:rsid w:val="001004DC"/>
    <w:rsid w:val="001004E7"/>
    <w:rsid w:val="0010050F"/>
    <w:rsid w:val="00100679"/>
    <w:rsid w:val="0010094D"/>
    <w:rsid w:val="00100C85"/>
    <w:rsid w:val="00100EBB"/>
    <w:rsid w:val="00100EC3"/>
    <w:rsid w:val="00100EE3"/>
    <w:rsid w:val="001010B2"/>
    <w:rsid w:val="001011B0"/>
    <w:rsid w:val="00101235"/>
    <w:rsid w:val="001013CE"/>
    <w:rsid w:val="00101421"/>
    <w:rsid w:val="001017B8"/>
    <w:rsid w:val="00101CB8"/>
    <w:rsid w:val="0010247F"/>
    <w:rsid w:val="0010286D"/>
    <w:rsid w:val="001029D2"/>
    <w:rsid w:val="00102C6A"/>
    <w:rsid w:val="00103132"/>
    <w:rsid w:val="001031EE"/>
    <w:rsid w:val="0010326A"/>
    <w:rsid w:val="00103285"/>
    <w:rsid w:val="0010344E"/>
    <w:rsid w:val="0010361D"/>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60CD"/>
    <w:rsid w:val="00106149"/>
    <w:rsid w:val="0010637E"/>
    <w:rsid w:val="00106394"/>
    <w:rsid w:val="00106839"/>
    <w:rsid w:val="00106853"/>
    <w:rsid w:val="00106872"/>
    <w:rsid w:val="00106AAE"/>
    <w:rsid w:val="00106B59"/>
    <w:rsid w:val="00106CA9"/>
    <w:rsid w:val="00106E69"/>
    <w:rsid w:val="00106E80"/>
    <w:rsid w:val="00106EA8"/>
    <w:rsid w:val="00106EF2"/>
    <w:rsid w:val="00106F7E"/>
    <w:rsid w:val="00107020"/>
    <w:rsid w:val="00107174"/>
    <w:rsid w:val="001071DC"/>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42A"/>
    <w:rsid w:val="001114D4"/>
    <w:rsid w:val="001114E8"/>
    <w:rsid w:val="00111660"/>
    <w:rsid w:val="001118E9"/>
    <w:rsid w:val="00111A66"/>
    <w:rsid w:val="00111B27"/>
    <w:rsid w:val="00111D8A"/>
    <w:rsid w:val="00111E4B"/>
    <w:rsid w:val="00111F45"/>
    <w:rsid w:val="0011222E"/>
    <w:rsid w:val="0011233B"/>
    <w:rsid w:val="0011234B"/>
    <w:rsid w:val="001123A6"/>
    <w:rsid w:val="001123DA"/>
    <w:rsid w:val="0011256D"/>
    <w:rsid w:val="00112614"/>
    <w:rsid w:val="00112797"/>
    <w:rsid w:val="0011298A"/>
    <w:rsid w:val="001129EF"/>
    <w:rsid w:val="00112D01"/>
    <w:rsid w:val="00112D16"/>
    <w:rsid w:val="00112D3E"/>
    <w:rsid w:val="00112EDE"/>
    <w:rsid w:val="00112EEC"/>
    <w:rsid w:val="00112EF3"/>
    <w:rsid w:val="00113244"/>
    <w:rsid w:val="001132B5"/>
    <w:rsid w:val="001133BC"/>
    <w:rsid w:val="001133E8"/>
    <w:rsid w:val="001137B0"/>
    <w:rsid w:val="001137C8"/>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EE0"/>
    <w:rsid w:val="00115F95"/>
    <w:rsid w:val="0011612A"/>
    <w:rsid w:val="001166B2"/>
    <w:rsid w:val="001166ED"/>
    <w:rsid w:val="00116758"/>
    <w:rsid w:val="00116D5F"/>
    <w:rsid w:val="00116DA0"/>
    <w:rsid w:val="00116E10"/>
    <w:rsid w:val="001173C9"/>
    <w:rsid w:val="00117573"/>
    <w:rsid w:val="001176F5"/>
    <w:rsid w:val="001179BE"/>
    <w:rsid w:val="00117ACE"/>
    <w:rsid w:val="00117C54"/>
    <w:rsid w:val="00117DD2"/>
    <w:rsid w:val="00117F5F"/>
    <w:rsid w:val="0012005D"/>
    <w:rsid w:val="00120068"/>
    <w:rsid w:val="001200DF"/>
    <w:rsid w:val="00120380"/>
    <w:rsid w:val="001204F2"/>
    <w:rsid w:val="0012076E"/>
    <w:rsid w:val="001209F3"/>
    <w:rsid w:val="00120A7B"/>
    <w:rsid w:val="00120A8B"/>
    <w:rsid w:val="00120B2F"/>
    <w:rsid w:val="00120C33"/>
    <w:rsid w:val="00120E0A"/>
    <w:rsid w:val="00120E2C"/>
    <w:rsid w:val="00121159"/>
    <w:rsid w:val="0012124D"/>
    <w:rsid w:val="00121523"/>
    <w:rsid w:val="00121622"/>
    <w:rsid w:val="0012174A"/>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694"/>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4FF2"/>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6C1"/>
    <w:rsid w:val="0012689B"/>
    <w:rsid w:val="001268F4"/>
    <w:rsid w:val="00126B85"/>
    <w:rsid w:val="00126C84"/>
    <w:rsid w:val="00126EB5"/>
    <w:rsid w:val="00126EF5"/>
    <w:rsid w:val="00126FD1"/>
    <w:rsid w:val="00127068"/>
    <w:rsid w:val="001270FE"/>
    <w:rsid w:val="00127369"/>
    <w:rsid w:val="0012749C"/>
    <w:rsid w:val="0012758D"/>
    <w:rsid w:val="00127702"/>
    <w:rsid w:val="001278F1"/>
    <w:rsid w:val="00127938"/>
    <w:rsid w:val="001279EA"/>
    <w:rsid w:val="00127A28"/>
    <w:rsid w:val="00127A30"/>
    <w:rsid w:val="00127CEE"/>
    <w:rsid w:val="00127D11"/>
    <w:rsid w:val="00130190"/>
    <w:rsid w:val="0013023B"/>
    <w:rsid w:val="00130365"/>
    <w:rsid w:val="00130576"/>
    <w:rsid w:val="00130578"/>
    <w:rsid w:val="001305E3"/>
    <w:rsid w:val="001306E6"/>
    <w:rsid w:val="001306F8"/>
    <w:rsid w:val="001307E4"/>
    <w:rsid w:val="00130B12"/>
    <w:rsid w:val="00130BE6"/>
    <w:rsid w:val="00130D3D"/>
    <w:rsid w:val="001310D7"/>
    <w:rsid w:val="0013112F"/>
    <w:rsid w:val="00131179"/>
    <w:rsid w:val="0013138E"/>
    <w:rsid w:val="00131659"/>
    <w:rsid w:val="001316B4"/>
    <w:rsid w:val="00131A31"/>
    <w:rsid w:val="00131FBE"/>
    <w:rsid w:val="00132190"/>
    <w:rsid w:val="001321C2"/>
    <w:rsid w:val="00132487"/>
    <w:rsid w:val="0013297A"/>
    <w:rsid w:val="00132A72"/>
    <w:rsid w:val="00132CD8"/>
    <w:rsid w:val="00132E0D"/>
    <w:rsid w:val="00132E75"/>
    <w:rsid w:val="00133373"/>
    <w:rsid w:val="0013357C"/>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F8"/>
    <w:rsid w:val="0013587E"/>
    <w:rsid w:val="0013587F"/>
    <w:rsid w:val="00135891"/>
    <w:rsid w:val="00135915"/>
    <w:rsid w:val="00135AD2"/>
    <w:rsid w:val="00135DF0"/>
    <w:rsid w:val="00135FBA"/>
    <w:rsid w:val="001361DF"/>
    <w:rsid w:val="00136436"/>
    <w:rsid w:val="001364C6"/>
    <w:rsid w:val="0013655D"/>
    <w:rsid w:val="00136641"/>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53B"/>
    <w:rsid w:val="001435E7"/>
    <w:rsid w:val="001435F0"/>
    <w:rsid w:val="001438AC"/>
    <w:rsid w:val="00143912"/>
    <w:rsid w:val="00143A8A"/>
    <w:rsid w:val="00143C4D"/>
    <w:rsid w:val="00143FBB"/>
    <w:rsid w:val="00144134"/>
    <w:rsid w:val="0014415F"/>
    <w:rsid w:val="00144171"/>
    <w:rsid w:val="001446E3"/>
    <w:rsid w:val="001447CA"/>
    <w:rsid w:val="001449A4"/>
    <w:rsid w:val="00144ACD"/>
    <w:rsid w:val="00144B23"/>
    <w:rsid w:val="00144BF6"/>
    <w:rsid w:val="00144C55"/>
    <w:rsid w:val="00144CF9"/>
    <w:rsid w:val="00144DB6"/>
    <w:rsid w:val="00144E8B"/>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BB"/>
    <w:rsid w:val="001511ED"/>
    <w:rsid w:val="00151377"/>
    <w:rsid w:val="00151482"/>
    <w:rsid w:val="001514CF"/>
    <w:rsid w:val="001515F8"/>
    <w:rsid w:val="0015170A"/>
    <w:rsid w:val="00151C2B"/>
    <w:rsid w:val="00151D2D"/>
    <w:rsid w:val="00151DBD"/>
    <w:rsid w:val="00152069"/>
    <w:rsid w:val="00152128"/>
    <w:rsid w:val="001523D3"/>
    <w:rsid w:val="00152476"/>
    <w:rsid w:val="001529B7"/>
    <w:rsid w:val="00152C1E"/>
    <w:rsid w:val="00152C24"/>
    <w:rsid w:val="00152CFB"/>
    <w:rsid w:val="00152D32"/>
    <w:rsid w:val="00153088"/>
    <w:rsid w:val="0015330B"/>
    <w:rsid w:val="00153584"/>
    <w:rsid w:val="00153630"/>
    <w:rsid w:val="001536CE"/>
    <w:rsid w:val="001539E7"/>
    <w:rsid w:val="00153D47"/>
    <w:rsid w:val="00153EED"/>
    <w:rsid w:val="00153F8C"/>
    <w:rsid w:val="00153F92"/>
    <w:rsid w:val="00154085"/>
    <w:rsid w:val="001541D4"/>
    <w:rsid w:val="001542AF"/>
    <w:rsid w:val="001542E8"/>
    <w:rsid w:val="0015434C"/>
    <w:rsid w:val="0015441A"/>
    <w:rsid w:val="00154508"/>
    <w:rsid w:val="00154525"/>
    <w:rsid w:val="00154579"/>
    <w:rsid w:val="00154650"/>
    <w:rsid w:val="001549BA"/>
    <w:rsid w:val="00154DE4"/>
    <w:rsid w:val="00154E3C"/>
    <w:rsid w:val="00154F6F"/>
    <w:rsid w:val="00155176"/>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817"/>
    <w:rsid w:val="0016492F"/>
    <w:rsid w:val="001649BF"/>
    <w:rsid w:val="001649D1"/>
    <w:rsid w:val="00164AFB"/>
    <w:rsid w:val="00164B22"/>
    <w:rsid w:val="00164D5F"/>
    <w:rsid w:val="00164DEC"/>
    <w:rsid w:val="00164F5A"/>
    <w:rsid w:val="00164FD7"/>
    <w:rsid w:val="00165083"/>
    <w:rsid w:val="00165263"/>
    <w:rsid w:val="001652F8"/>
    <w:rsid w:val="001654A8"/>
    <w:rsid w:val="001654E8"/>
    <w:rsid w:val="00165792"/>
    <w:rsid w:val="001659B3"/>
    <w:rsid w:val="00165A39"/>
    <w:rsid w:val="00165FAB"/>
    <w:rsid w:val="0016605D"/>
    <w:rsid w:val="00166102"/>
    <w:rsid w:val="00166933"/>
    <w:rsid w:val="00166CE5"/>
    <w:rsid w:val="00166D38"/>
    <w:rsid w:val="00166EDA"/>
    <w:rsid w:val="0016719F"/>
    <w:rsid w:val="00167496"/>
    <w:rsid w:val="00167538"/>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DC6"/>
    <w:rsid w:val="00171F3B"/>
    <w:rsid w:val="00171F7E"/>
    <w:rsid w:val="00171F8D"/>
    <w:rsid w:val="001720D5"/>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697"/>
    <w:rsid w:val="00176923"/>
    <w:rsid w:val="00176959"/>
    <w:rsid w:val="00176A77"/>
    <w:rsid w:val="00177155"/>
    <w:rsid w:val="0017716E"/>
    <w:rsid w:val="00177678"/>
    <w:rsid w:val="00177792"/>
    <w:rsid w:val="0017780B"/>
    <w:rsid w:val="00177928"/>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64A"/>
    <w:rsid w:val="001837F8"/>
    <w:rsid w:val="001838BA"/>
    <w:rsid w:val="001838E5"/>
    <w:rsid w:val="00183AC3"/>
    <w:rsid w:val="00183BAB"/>
    <w:rsid w:val="00183CA0"/>
    <w:rsid w:val="00183DD6"/>
    <w:rsid w:val="00183F2C"/>
    <w:rsid w:val="001841AD"/>
    <w:rsid w:val="00184556"/>
    <w:rsid w:val="001846AD"/>
    <w:rsid w:val="00184A2C"/>
    <w:rsid w:val="00184B0A"/>
    <w:rsid w:val="00184C25"/>
    <w:rsid w:val="00184C49"/>
    <w:rsid w:val="00184D05"/>
    <w:rsid w:val="00184E52"/>
    <w:rsid w:val="00184E82"/>
    <w:rsid w:val="00184FEE"/>
    <w:rsid w:val="0018544A"/>
    <w:rsid w:val="001855F6"/>
    <w:rsid w:val="00185688"/>
    <w:rsid w:val="001857A6"/>
    <w:rsid w:val="001857DF"/>
    <w:rsid w:val="00185822"/>
    <w:rsid w:val="001859A3"/>
    <w:rsid w:val="001859F3"/>
    <w:rsid w:val="00185A32"/>
    <w:rsid w:val="00185D19"/>
    <w:rsid w:val="001861C2"/>
    <w:rsid w:val="001863B5"/>
    <w:rsid w:val="001863F6"/>
    <w:rsid w:val="00186477"/>
    <w:rsid w:val="001864D4"/>
    <w:rsid w:val="0018657B"/>
    <w:rsid w:val="001866C3"/>
    <w:rsid w:val="001867F2"/>
    <w:rsid w:val="001869E0"/>
    <w:rsid w:val="001869EE"/>
    <w:rsid w:val="00186C54"/>
    <w:rsid w:val="00186D70"/>
    <w:rsid w:val="00186F1D"/>
    <w:rsid w:val="0018709E"/>
    <w:rsid w:val="001875A8"/>
    <w:rsid w:val="001878BD"/>
    <w:rsid w:val="001879E2"/>
    <w:rsid w:val="00187AFB"/>
    <w:rsid w:val="00187C50"/>
    <w:rsid w:val="00190076"/>
    <w:rsid w:val="00190113"/>
    <w:rsid w:val="00190233"/>
    <w:rsid w:val="001902E6"/>
    <w:rsid w:val="001905E8"/>
    <w:rsid w:val="00190AAD"/>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E3"/>
    <w:rsid w:val="00192AD0"/>
    <w:rsid w:val="00192D8A"/>
    <w:rsid w:val="00192E60"/>
    <w:rsid w:val="00192FD5"/>
    <w:rsid w:val="0019319F"/>
    <w:rsid w:val="00193290"/>
    <w:rsid w:val="00193311"/>
    <w:rsid w:val="001933E1"/>
    <w:rsid w:val="001935FC"/>
    <w:rsid w:val="0019391E"/>
    <w:rsid w:val="00193997"/>
    <w:rsid w:val="00193DC9"/>
    <w:rsid w:val="00193FBE"/>
    <w:rsid w:val="00194083"/>
    <w:rsid w:val="0019429D"/>
    <w:rsid w:val="001942EC"/>
    <w:rsid w:val="00194491"/>
    <w:rsid w:val="0019497F"/>
    <w:rsid w:val="00194B76"/>
    <w:rsid w:val="00194BA3"/>
    <w:rsid w:val="00194DC1"/>
    <w:rsid w:val="00195130"/>
    <w:rsid w:val="0019514A"/>
    <w:rsid w:val="00195208"/>
    <w:rsid w:val="00195441"/>
    <w:rsid w:val="0019544D"/>
    <w:rsid w:val="0019570F"/>
    <w:rsid w:val="00195901"/>
    <w:rsid w:val="001959BF"/>
    <w:rsid w:val="00195FA1"/>
    <w:rsid w:val="001966F3"/>
    <w:rsid w:val="001969B3"/>
    <w:rsid w:val="00196F8B"/>
    <w:rsid w:val="0019713E"/>
    <w:rsid w:val="0019775D"/>
    <w:rsid w:val="00197850"/>
    <w:rsid w:val="001979EB"/>
    <w:rsid w:val="00197D5B"/>
    <w:rsid w:val="00197F57"/>
    <w:rsid w:val="001A0060"/>
    <w:rsid w:val="001A02F1"/>
    <w:rsid w:val="001A05DB"/>
    <w:rsid w:val="001A0629"/>
    <w:rsid w:val="001A0A5B"/>
    <w:rsid w:val="001A0E2E"/>
    <w:rsid w:val="001A0E57"/>
    <w:rsid w:val="001A0F20"/>
    <w:rsid w:val="001A10D1"/>
    <w:rsid w:val="001A1980"/>
    <w:rsid w:val="001A198A"/>
    <w:rsid w:val="001A19B9"/>
    <w:rsid w:val="001A1A13"/>
    <w:rsid w:val="001A1C15"/>
    <w:rsid w:val="001A1C6D"/>
    <w:rsid w:val="001A2123"/>
    <w:rsid w:val="001A2229"/>
    <w:rsid w:val="001A2395"/>
    <w:rsid w:val="001A2529"/>
    <w:rsid w:val="001A2629"/>
    <w:rsid w:val="001A26D0"/>
    <w:rsid w:val="001A2E70"/>
    <w:rsid w:val="001A3870"/>
    <w:rsid w:val="001A3CB9"/>
    <w:rsid w:val="001A4012"/>
    <w:rsid w:val="001A4134"/>
    <w:rsid w:val="001A4284"/>
    <w:rsid w:val="001A4696"/>
    <w:rsid w:val="001A4C10"/>
    <w:rsid w:val="001A4CE2"/>
    <w:rsid w:val="001A4F04"/>
    <w:rsid w:val="001A50B7"/>
    <w:rsid w:val="001A52DE"/>
    <w:rsid w:val="001A5309"/>
    <w:rsid w:val="001A5355"/>
    <w:rsid w:val="001A53E3"/>
    <w:rsid w:val="001A54C8"/>
    <w:rsid w:val="001A56E1"/>
    <w:rsid w:val="001A5969"/>
    <w:rsid w:val="001A5B2A"/>
    <w:rsid w:val="001A5C02"/>
    <w:rsid w:val="001A5C4C"/>
    <w:rsid w:val="001A5CE8"/>
    <w:rsid w:val="001A60BD"/>
    <w:rsid w:val="001A6126"/>
    <w:rsid w:val="001A6573"/>
    <w:rsid w:val="001A6620"/>
    <w:rsid w:val="001A66D1"/>
    <w:rsid w:val="001A6882"/>
    <w:rsid w:val="001A69EA"/>
    <w:rsid w:val="001A6D1A"/>
    <w:rsid w:val="001A6DB6"/>
    <w:rsid w:val="001A74E2"/>
    <w:rsid w:val="001A779D"/>
    <w:rsid w:val="001A788C"/>
    <w:rsid w:val="001A789F"/>
    <w:rsid w:val="001A7922"/>
    <w:rsid w:val="001B00B4"/>
    <w:rsid w:val="001B00B8"/>
    <w:rsid w:val="001B010A"/>
    <w:rsid w:val="001B01AB"/>
    <w:rsid w:val="001B033C"/>
    <w:rsid w:val="001B0466"/>
    <w:rsid w:val="001B0567"/>
    <w:rsid w:val="001B064A"/>
    <w:rsid w:val="001B0904"/>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DD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AF"/>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6D"/>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411"/>
    <w:rsid w:val="001C4518"/>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58"/>
    <w:rsid w:val="001D38F0"/>
    <w:rsid w:val="001D3B69"/>
    <w:rsid w:val="001D409E"/>
    <w:rsid w:val="001D4A2E"/>
    <w:rsid w:val="001D4D49"/>
    <w:rsid w:val="001D4FEA"/>
    <w:rsid w:val="001D51D4"/>
    <w:rsid w:val="001D52F5"/>
    <w:rsid w:val="001D539F"/>
    <w:rsid w:val="001D5413"/>
    <w:rsid w:val="001D5550"/>
    <w:rsid w:val="001D567B"/>
    <w:rsid w:val="001D5A8B"/>
    <w:rsid w:val="001D5AD1"/>
    <w:rsid w:val="001D5D13"/>
    <w:rsid w:val="001D5FF7"/>
    <w:rsid w:val="001D6253"/>
    <w:rsid w:val="001D62E3"/>
    <w:rsid w:val="001D639A"/>
    <w:rsid w:val="001D6559"/>
    <w:rsid w:val="001D68F6"/>
    <w:rsid w:val="001D6CE1"/>
    <w:rsid w:val="001D6E5A"/>
    <w:rsid w:val="001D6F7E"/>
    <w:rsid w:val="001D74A0"/>
    <w:rsid w:val="001D783C"/>
    <w:rsid w:val="001D797E"/>
    <w:rsid w:val="001D7A3E"/>
    <w:rsid w:val="001D7FCF"/>
    <w:rsid w:val="001E00B7"/>
    <w:rsid w:val="001E0159"/>
    <w:rsid w:val="001E01C2"/>
    <w:rsid w:val="001E01D3"/>
    <w:rsid w:val="001E0595"/>
    <w:rsid w:val="001E0973"/>
    <w:rsid w:val="001E09F4"/>
    <w:rsid w:val="001E0A8F"/>
    <w:rsid w:val="001E0C01"/>
    <w:rsid w:val="001E1A70"/>
    <w:rsid w:val="001E1B8E"/>
    <w:rsid w:val="001E1BF3"/>
    <w:rsid w:val="001E1C06"/>
    <w:rsid w:val="001E1C7E"/>
    <w:rsid w:val="001E1FF4"/>
    <w:rsid w:val="001E2059"/>
    <w:rsid w:val="001E21FE"/>
    <w:rsid w:val="001E2268"/>
    <w:rsid w:val="001E24F0"/>
    <w:rsid w:val="001E28A8"/>
    <w:rsid w:val="001E2A3F"/>
    <w:rsid w:val="001E2C8F"/>
    <w:rsid w:val="001E2C9A"/>
    <w:rsid w:val="001E2D68"/>
    <w:rsid w:val="001E2E11"/>
    <w:rsid w:val="001E2EB9"/>
    <w:rsid w:val="001E2F2C"/>
    <w:rsid w:val="001E32EB"/>
    <w:rsid w:val="001E3446"/>
    <w:rsid w:val="001E3455"/>
    <w:rsid w:val="001E349B"/>
    <w:rsid w:val="001E384E"/>
    <w:rsid w:val="001E3B24"/>
    <w:rsid w:val="001E3C39"/>
    <w:rsid w:val="001E4163"/>
    <w:rsid w:val="001E448A"/>
    <w:rsid w:val="001E450A"/>
    <w:rsid w:val="001E45AC"/>
    <w:rsid w:val="001E4738"/>
    <w:rsid w:val="001E47CA"/>
    <w:rsid w:val="001E4D0F"/>
    <w:rsid w:val="001E4D2A"/>
    <w:rsid w:val="001E4E57"/>
    <w:rsid w:val="001E4F62"/>
    <w:rsid w:val="001E5437"/>
    <w:rsid w:val="001E5527"/>
    <w:rsid w:val="001E5639"/>
    <w:rsid w:val="001E5817"/>
    <w:rsid w:val="001E59F2"/>
    <w:rsid w:val="001E59F8"/>
    <w:rsid w:val="001E5AD7"/>
    <w:rsid w:val="001E5AFF"/>
    <w:rsid w:val="001E5D5F"/>
    <w:rsid w:val="001E5E0B"/>
    <w:rsid w:val="001E5F1A"/>
    <w:rsid w:val="001E5F23"/>
    <w:rsid w:val="001E63FB"/>
    <w:rsid w:val="001E64A6"/>
    <w:rsid w:val="001E64D4"/>
    <w:rsid w:val="001E6569"/>
    <w:rsid w:val="001E656B"/>
    <w:rsid w:val="001E666B"/>
    <w:rsid w:val="001E66D1"/>
    <w:rsid w:val="001E6991"/>
    <w:rsid w:val="001E6D62"/>
    <w:rsid w:val="001E6FED"/>
    <w:rsid w:val="001E70DB"/>
    <w:rsid w:val="001E714E"/>
    <w:rsid w:val="001E71B6"/>
    <w:rsid w:val="001E75B7"/>
    <w:rsid w:val="001E771E"/>
    <w:rsid w:val="001E7732"/>
    <w:rsid w:val="001E7764"/>
    <w:rsid w:val="001E788A"/>
    <w:rsid w:val="001E792B"/>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57E"/>
    <w:rsid w:val="001F2626"/>
    <w:rsid w:val="001F2D80"/>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A02"/>
    <w:rsid w:val="00202CAF"/>
    <w:rsid w:val="00202CF8"/>
    <w:rsid w:val="00202DBB"/>
    <w:rsid w:val="00203297"/>
    <w:rsid w:val="0020336B"/>
    <w:rsid w:val="00203398"/>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371"/>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D72"/>
    <w:rsid w:val="00207E69"/>
    <w:rsid w:val="00207F6A"/>
    <w:rsid w:val="00210054"/>
    <w:rsid w:val="00210119"/>
    <w:rsid w:val="002101E6"/>
    <w:rsid w:val="0021059B"/>
    <w:rsid w:val="0021066B"/>
    <w:rsid w:val="0021097A"/>
    <w:rsid w:val="00210A23"/>
    <w:rsid w:val="00210AF3"/>
    <w:rsid w:val="00210C62"/>
    <w:rsid w:val="00210DF6"/>
    <w:rsid w:val="00210E48"/>
    <w:rsid w:val="00210F94"/>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6F02"/>
    <w:rsid w:val="002170E7"/>
    <w:rsid w:val="0021715A"/>
    <w:rsid w:val="00217254"/>
    <w:rsid w:val="00217522"/>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47C"/>
    <w:rsid w:val="00221573"/>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439"/>
    <w:rsid w:val="002236AD"/>
    <w:rsid w:val="002238A3"/>
    <w:rsid w:val="00223BCC"/>
    <w:rsid w:val="00223E73"/>
    <w:rsid w:val="0022408A"/>
    <w:rsid w:val="002240E5"/>
    <w:rsid w:val="0022412A"/>
    <w:rsid w:val="002245AF"/>
    <w:rsid w:val="0022460E"/>
    <w:rsid w:val="00224849"/>
    <w:rsid w:val="002248E1"/>
    <w:rsid w:val="00224A65"/>
    <w:rsid w:val="00224BA1"/>
    <w:rsid w:val="00224D20"/>
    <w:rsid w:val="00224D4A"/>
    <w:rsid w:val="002250C4"/>
    <w:rsid w:val="00225148"/>
    <w:rsid w:val="00225247"/>
    <w:rsid w:val="00225350"/>
    <w:rsid w:val="0022580A"/>
    <w:rsid w:val="00225B0D"/>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C0F"/>
    <w:rsid w:val="00227D2C"/>
    <w:rsid w:val="00227E3A"/>
    <w:rsid w:val="00227E88"/>
    <w:rsid w:val="00230125"/>
    <w:rsid w:val="002307F0"/>
    <w:rsid w:val="00230AE7"/>
    <w:rsid w:val="00230B64"/>
    <w:rsid w:val="00230B87"/>
    <w:rsid w:val="00230D71"/>
    <w:rsid w:val="00230D8F"/>
    <w:rsid w:val="0023187E"/>
    <w:rsid w:val="00231E8C"/>
    <w:rsid w:val="00232030"/>
    <w:rsid w:val="002323FE"/>
    <w:rsid w:val="0023286B"/>
    <w:rsid w:val="002328A1"/>
    <w:rsid w:val="002328D0"/>
    <w:rsid w:val="00232C52"/>
    <w:rsid w:val="00232CA2"/>
    <w:rsid w:val="00233092"/>
    <w:rsid w:val="0023323A"/>
    <w:rsid w:val="00233415"/>
    <w:rsid w:val="00233477"/>
    <w:rsid w:val="002334C4"/>
    <w:rsid w:val="00233596"/>
    <w:rsid w:val="00233613"/>
    <w:rsid w:val="00233639"/>
    <w:rsid w:val="00233668"/>
    <w:rsid w:val="0023369D"/>
    <w:rsid w:val="002337A9"/>
    <w:rsid w:val="00233816"/>
    <w:rsid w:val="0023383B"/>
    <w:rsid w:val="00233C02"/>
    <w:rsid w:val="00233E2C"/>
    <w:rsid w:val="00233EAC"/>
    <w:rsid w:val="00233FFA"/>
    <w:rsid w:val="0023414C"/>
    <w:rsid w:val="00234224"/>
    <w:rsid w:val="0023447A"/>
    <w:rsid w:val="002344DE"/>
    <w:rsid w:val="002346ED"/>
    <w:rsid w:val="002349F3"/>
    <w:rsid w:val="00234A37"/>
    <w:rsid w:val="00234ADD"/>
    <w:rsid w:val="00234D37"/>
    <w:rsid w:val="00235176"/>
    <w:rsid w:val="0023535D"/>
    <w:rsid w:val="0023542D"/>
    <w:rsid w:val="0023544C"/>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6E17"/>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E8B"/>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82"/>
    <w:rsid w:val="00241D97"/>
    <w:rsid w:val="00242025"/>
    <w:rsid w:val="00242297"/>
    <w:rsid w:val="0024233C"/>
    <w:rsid w:val="00242391"/>
    <w:rsid w:val="002423BB"/>
    <w:rsid w:val="002425F8"/>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A4"/>
    <w:rsid w:val="002444E9"/>
    <w:rsid w:val="002446F1"/>
    <w:rsid w:val="0024488F"/>
    <w:rsid w:val="00244893"/>
    <w:rsid w:val="002448BE"/>
    <w:rsid w:val="00244AEE"/>
    <w:rsid w:val="002450D9"/>
    <w:rsid w:val="00245104"/>
    <w:rsid w:val="00245373"/>
    <w:rsid w:val="00245417"/>
    <w:rsid w:val="002455F7"/>
    <w:rsid w:val="002459C6"/>
    <w:rsid w:val="00245A2B"/>
    <w:rsid w:val="00245C15"/>
    <w:rsid w:val="00245CC2"/>
    <w:rsid w:val="00245D28"/>
    <w:rsid w:val="00245DEC"/>
    <w:rsid w:val="00245F85"/>
    <w:rsid w:val="00246234"/>
    <w:rsid w:val="002463A9"/>
    <w:rsid w:val="0024655E"/>
    <w:rsid w:val="002465DB"/>
    <w:rsid w:val="002466E3"/>
    <w:rsid w:val="0024692D"/>
    <w:rsid w:val="00246B5A"/>
    <w:rsid w:val="00246FC8"/>
    <w:rsid w:val="002472A1"/>
    <w:rsid w:val="002472A2"/>
    <w:rsid w:val="0024788C"/>
    <w:rsid w:val="002478DA"/>
    <w:rsid w:val="00247C82"/>
    <w:rsid w:val="00247F8F"/>
    <w:rsid w:val="00247FC0"/>
    <w:rsid w:val="00250129"/>
    <w:rsid w:val="0025013A"/>
    <w:rsid w:val="00250219"/>
    <w:rsid w:val="0025038E"/>
    <w:rsid w:val="002503FD"/>
    <w:rsid w:val="00250609"/>
    <w:rsid w:val="002507B4"/>
    <w:rsid w:val="0025091F"/>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2F2"/>
    <w:rsid w:val="00252B12"/>
    <w:rsid w:val="00252DF9"/>
    <w:rsid w:val="002534A2"/>
    <w:rsid w:val="002536FE"/>
    <w:rsid w:val="0025370B"/>
    <w:rsid w:val="002537AE"/>
    <w:rsid w:val="002538B5"/>
    <w:rsid w:val="00253CC4"/>
    <w:rsid w:val="00253CFE"/>
    <w:rsid w:val="00253D7B"/>
    <w:rsid w:val="00253DE8"/>
    <w:rsid w:val="00254103"/>
    <w:rsid w:val="002541A7"/>
    <w:rsid w:val="00254232"/>
    <w:rsid w:val="002543C8"/>
    <w:rsid w:val="00254717"/>
    <w:rsid w:val="00254755"/>
    <w:rsid w:val="002547A0"/>
    <w:rsid w:val="002547B5"/>
    <w:rsid w:val="00254851"/>
    <w:rsid w:val="00254958"/>
    <w:rsid w:val="0025495A"/>
    <w:rsid w:val="002549EE"/>
    <w:rsid w:val="00254C53"/>
    <w:rsid w:val="00254EAD"/>
    <w:rsid w:val="00255068"/>
    <w:rsid w:val="0025507E"/>
    <w:rsid w:val="00255130"/>
    <w:rsid w:val="002555C2"/>
    <w:rsid w:val="00255700"/>
    <w:rsid w:val="0025597A"/>
    <w:rsid w:val="00255B8D"/>
    <w:rsid w:val="00255C67"/>
    <w:rsid w:val="00255CC1"/>
    <w:rsid w:val="00255DCB"/>
    <w:rsid w:val="00255E30"/>
    <w:rsid w:val="00255ECE"/>
    <w:rsid w:val="00255F21"/>
    <w:rsid w:val="00255FD0"/>
    <w:rsid w:val="00256088"/>
    <w:rsid w:val="002560BA"/>
    <w:rsid w:val="00256157"/>
    <w:rsid w:val="0025648E"/>
    <w:rsid w:val="002566A2"/>
    <w:rsid w:val="002566FE"/>
    <w:rsid w:val="002567BD"/>
    <w:rsid w:val="00257104"/>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5B2"/>
    <w:rsid w:val="00261C1A"/>
    <w:rsid w:val="00261CF4"/>
    <w:rsid w:val="00261EEC"/>
    <w:rsid w:val="00261F6F"/>
    <w:rsid w:val="0026210B"/>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AAA"/>
    <w:rsid w:val="00266BB4"/>
    <w:rsid w:val="0026709B"/>
    <w:rsid w:val="00267264"/>
    <w:rsid w:val="0026735E"/>
    <w:rsid w:val="00267445"/>
    <w:rsid w:val="002676E7"/>
    <w:rsid w:val="002678D9"/>
    <w:rsid w:val="00267C91"/>
    <w:rsid w:val="00267D24"/>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2D7"/>
    <w:rsid w:val="002715C5"/>
    <w:rsid w:val="00271729"/>
    <w:rsid w:val="00271824"/>
    <w:rsid w:val="00271A87"/>
    <w:rsid w:val="00271C43"/>
    <w:rsid w:val="00271C66"/>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B44"/>
    <w:rsid w:val="00276C81"/>
    <w:rsid w:val="0027725A"/>
    <w:rsid w:val="0027735F"/>
    <w:rsid w:val="00277384"/>
    <w:rsid w:val="00277626"/>
    <w:rsid w:val="002776FF"/>
    <w:rsid w:val="00277745"/>
    <w:rsid w:val="00277797"/>
    <w:rsid w:val="002777C5"/>
    <w:rsid w:val="002779FC"/>
    <w:rsid w:val="00277A66"/>
    <w:rsid w:val="00277D03"/>
    <w:rsid w:val="00277D11"/>
    <w:rsid w:val="00277E4B"/>
    <w:rsid w:val="00277EDF"/>
    <w:rsid w:val="00277EF2"/>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1C7"/>
    <w:rsid w:val="002822AD"/>
    <w:rsid w:val="002824A1"/>
    <w:rsid w:val="00282676"/>
    <w:rsid w:val="002828C1"/>
    <w:rsid w:val="00282A47"/>
    <w:rsid w:val="00282AC7"/>
    <w:rsid w:val="00282C65"/>
    <w:rsid w:val="00282C79"/>
    <w:rsid w:val="00282C7F"/>
    <w:rsid w:val="00282E5D"/>
    <w:rsid w:val="002830EA"/>
    <w:rsid w:val="002833B6"/>
    <w:rsid w:val="00283823"/>
    <w:rsid w:val="002839BA"/>
    <w:rsid w:val="00283B66"/>
    <w:rsid w:val="00284013"/>
    <w:rsid w:val="0028410A"/>
    <w:rsid w:val="00284160"/>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79C"/>
    <w:rsid w:val="002868C4"/>
    <w:rsid w:val="00286A6C"/>
    <w:rsid w:val="00286DE2"/>
    <w:rsid w:val="00286EAE"/>
    <w:rsid w:val="00286F52"/>
    <w:rsid w:val="00287055"/>
    <w:rsid w:val="00287095"/>
    <w:rsid w:val="002870D1"/>
    <w:rsid w:val="002872AF"/>
    <w:rsid w:val="002872C7"/>
    <w:rsid w:val="002873CD"/>
    <w:rsid w:val="00287728"/>
    <w:rsid w:val="002878AC"/>
    <w:rsid w:val="00287BD6"/>
    <w:rsid w:val="00287C18"/>
    <w:rsid w:val="00287C56"/>
    <w:rsid w:val="00287CB5"/>
    <w:rsid w:val="00287E70"/>
    <w:rsid w:val="00287EF7"/>
    <w:rsid w:val="00287FD5"/>
    <w:rsid w:val="00290086"/>
    <w:rsid w:val="00290202"/>
    <w:rsid w:val="002903D6"/>
    <w:rsid w:val="00290677"/>
    <w:rsid w:val="00290943"/>
    <w:rsid w:val="00290F7D"/>
    <w:rsid w:val="00290F99"/>
    <w:rsid w:val="0029104A"/>
    <w:rsid w:val="002911E2"/>
    <w:rsid w:val="00291201"/>
    <w:rsid w:val="002914BA"/>
    <w:rsid w:val="00291A00"/>
    <w:rsid w:val="00291B72"/>
    <w:rsid w:val="00291BB3"/>
    <w:rsid w:val="00291CC0"/>
    <w:rsid w:val="00291D0A"/>
    <w:rsid w:val="00291DF7"/>
    <w:rsid w:val="00292050"/>
    <w:rsid w:val="002921D1"/>
    <w:rsid w:val="00292355"/>
    <w:rsid w:val="002925C6"/>
    <w:rsid w:val="002925DB"/>
    <w:rsid w:val="002929AA"/>
    <w:rsid w:val="002929F7"/>
    <w:rsid w:val="002929FD"/>
    <w:rsid w:val="00292B24"/>
    <w:rsid w:val="00292C31"/>
    <w:rsid w:val="00292C35"/>
    <w:rsid w:val="002932EF"/>
    <w:rsid w:val="002932FE"/>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E6D"/>
    <w:rsid w:val="00297FA3"/>
    <w:rsid w:val="002A0053"/>
    <w:rsid w:val="002A0093"/>
    <w:rsid w:val="002A01E9"/>
    <w:rsid w:val="002A0223"/>
    <w:rsid w:val="002A0383"/>
    <w:rsid w:val="002A047E"/>
    <w:rsid w:val="002A054B"/>
    <w:rsid w:val="002A05BC"/>
    <w:rsid w:val="002A0977"/>
    <w:rsid w:val="002A0ABE"/>
    <w:rsid w:val="002A0D39"/>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E55"/>
    <w:rsid w:val="002A1F2D"/>
    <w:rsid w:val="002A21D7"/>
    <w:rsid w:val="002A29EF"/>
    <w:rsid w:val="002A2D6B"/>
    <w:rsid w:val="002A3051"/>
    <w:rsid w:val="002A30F7"/>
    <w:rsid w:val="002A33C4"/>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C"/>
    <w:rsid w:val="002A51C6"/>
    <w:rsid w:val="002A554D"/>
    <w:rsid w:val="002A581C"/>
    <w:rsid w:val="002A5824"/>
    <w:rsid w:val="002A5875"/>
    <w:rsid w:val="002A5FDD"/>
    <w:rsid w:val="002A6300"/>
    <w:rsid w:val="002A6348"/>
    <w:rsid w:val="002A63FD"/>
    <w:rsid w:val="002A64D8"/>
    <w:rsid w:val="002A6642"/>
    <w:rsid w:val="002A6696"/>
    <w:rsid w:val="002A67EA"/>
    <w:rsid w:val="002A6B67"/>
    <w:rsid w:val="002A6C48"/>
    <w:rsid w:val="002A6D93"/>
    <w:rsid w:val="002A6F53"/>
    <w:rsid w:val="002A70E5"/>
    <w:rsid w:val="002A7210"/>
    <w:rsid w:val="002A7243"/>
    <w:rsid w:val="002A7455"/>
    <w:rsid w:val="002A753D"/>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295"/>
    <w:rsid w:val="002B24B0"/>
    <w:rsid w:val="002B25A5"/>
    <w:rsid w:val="002B2635"/>
    <w:rsid w:val="002B2661"/>
    <w:rsid w:val="002B2692"/>
    <w:rsid w:val="002B27C9"/>
    <w:rsid w:val="002B28A6"/>
    <w:rsid w:val="002B2B4F"/>
    <w:rsid w:val="002B2DD6"/>
    <w:rsid w:val="002B369D"/>
    <w:rsid w:val="002B3712"/>
    <w:rsid w:val="002B3745"/>
    <w:rsid w:val="002B3A35"/>
    <w:rsid w:val="002B3A7C"/>
    <w:rsid w:val="002B3B08"/>
    <w:rsid w:val="002B3B12"/>
    <w:rsid w:val="002B3C8B"/>
    <w:rsid w:val="002B3F3C"/>
    <w:rsid w:val="002B42EE"/>
    <w:rsid w:val="002B45D3"/>
    <w:rsid w:val="002B45D4"/>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6EC5"/>
    <w:rsid w:val="002B7205"/>
    <w:rsid w:val="002B731D"/>
    <w:rsid w:val="002B741A"/>
    <w:rsid w:val="002B7518"/>
    <w:rsid w:val="002B78AE"/>
    <w:rsid w:val="002B78BB"/>
    <w:rsid w:val="002B7936"/>
    <w:rsid w:val="002B7A39"/>
    <w:rsid w:val="002B7BD5"/>
    <w:rsid w:val="002B7C9C"/>
    <w:rsid w:val="002B7FEE"/>
    <w:rsid w:val="002C0061"/>
    <w:rsid w:val="002C010D"/>
    <w:rsid w:val="002C0454"/>
    <w:rsid w:val="002C083A"/>
    <w:rsid w:val="002C0A60"/>
    <w:rsid w:val="002C1115"/>
    <w:rsid w:val="002C1138"/>
    <w:rsid w:val="002C113F"/>
    <w:rsid w:val="002C14BD"/>
    <w:rsid w:val="002C14EC"/>
    <w:rsid w:val="002C1604"/>
    <w:rsid w:val="002C193F"/>
    <w:rsid w:val="002C1B53"/>
    <w:rsid w:val="002C1CE8"/>
    <w:rsid w:val="002C1D34"/>
    <w:rsid w:val="002C1D5B"/>
    <w:rsid w:val="002C1E3F"/>
    <w:rsid w:val="002C1EF7"/>
    <w:rsid w:val="002C2087"/>
    <w:rsid w:val="002C217A"/>
    <w:rsid w:val="002C22B6"/>
    <w:rsid w:val="002C2422"/>
    <w:rsid w:val="002C2423"/>
    <w:rsid w:val="002C2495"/>
    <w:rsid w:val="002C2777"/>
    <w:rsid w:val="002C27B8"/>
    <w:rsid w:val="002C2B3F"/>
    <w:rsid w:val="002C2D65"/>
    <w:rsid w:val="002C2D72"/>
    <w:rsid w:val="002C2EAF"/>
    <w:rsid w:val="002C2FB5"/>
    <w:rsid w:val="002C314C"/>
    <w:rsid w:val="002C3554"/>
    <w:rsid w:val="002C35D0"/>
    <w:rsid w:val="002C39F9"/>
    <w:rsid w:val="002C3B3C"/>
    <w:rsid w:val="002C3FF4"/>
    <w:rsid w:val="002C424D"/>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34C"/>
    <w:rsid w:val="002D0433"/>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84C"/>
    <w:rsid w:val="002D3A3D"/>
    <w:rsid w:val="002D3AC0"/>
    <w:rsid w:val="002D3AF6"/>
    <w:rsid w:val="002D3AFF"/>
    <w:rsid w:val="002D3BE3"/>
    <w:rsid w:val="002D3C1F"/>
    <w:rsid w:val="002D3C2C"/>
    <w:rsid w:val="002D3D6A"/>
    <w:rsid w:val="002D3FB3"/>
    <w:rsid w:val="002D44C4"/>
    <w:rsid w:val="002D4651"/>
    <w:rsid w:val="002D4865"/>
    <w:rsid w:val="002D4A0E"/>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5FAD"/>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2EF"/>
    <w:rsid w:val="002E151A"/>
    <w:rsid w:val="002E156B"/>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7C0"/>
    <w:rsid w:val="002E3954"/>
    <w:rsid w:val="002E3A88"/>
    <w:rsid w:val="002E3B21"/>
    <w:rsid w:val="002E3D5E"/>
    <w:rsid w:val="002E3F1B"/>
    <w:rsid w:val="002E4024"/>
    <w:rsid w:val="002E4123"/>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B8B"/>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22"/>
    <w:rsid w:val="002F0FCC"/>
    <w:rsid w:val="002F1878"/>
    <w:rsid w:val="002F208C"/>
    <w:rsid w:val="002F2405"/>
    <w:rsid w:val="002F25AB"/>
    <w:rsid w:val="002F267F"/>
    <w:rsid w:val="002F280A"/>
    <w:rsid w:val="002F28A8"/>
    <w:rsid w:val="002F2A2E"/>
    <w:rsid w:val="002F2CD5"/>
    <w:rsid w:val="002F2D0E"/>
    <w:rsid w:val="002F2E1E"/>
    <w:rsid w:val="002F30E6"/>
    <w:rsid w:val="002F31D7"/>
    <w:rsid w:val="002F33AF"/>
    <w:rsid w:val="002F33D3"/>
    <w:rsid w:val="002F378D"/>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0"/>
    <w:rsid w:val="002F55DA"/>
    <w:rsid w:val="002F57D9"/>
    <w:rsid w:val="002F5890"/>
    <w:rsid w:val="002F5BEA"/>
    <w:rsid w:val="002F5CAF"/>
    <w:rsid w:val="002F6241"/>
    <w:rsid w:val="002F65F0"/>
    <w:rsid w:val="002F6971"/>
    <w:rsid w:val="002F6A3E"/>
    <w:rsid w:val="002F6AAA"/>
    <w:rsid w:val="002F6CF6"/>
    <w:rsid w:val="002F6EC9"/>
    <w:rsid w:val="002F6F70"/>
    <w:rsid w:val="002F6F79"/>
    <w:rsid w:val="002F707B"/>
    <w:rsid w:val="002F70C9"/>
    <w:rsid w:val="002F73EA"/>
    <w:rsid w:val="002F745E"/>
    <w:rsid w:val="002F746C"/>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9DA"/>
    <w:rsid w:val="00300CF3"/>
    <w:rsid w:val="00300E01"/>
    <w:rsid w:val="00301067"/>
    <w:rsid w:val="00301642"/>
    <w:rsid w:val="003017E9"/>
    <w:rsid w:val="003018E4"/>
    <w:rsid w:val="003018E5"/>
    <w:rsid w:val="00301C03"/>
    <w:rsid w:val="00301CEF"/>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3EEF"/>
    <w:rsid w:val="00304127"/>
    <w:rsid w:val="00304201"/>
    <w:rsid w:val="0030438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87D"/>
    <w:rsid w:val="0030595A"/>
    <w:rsid w:val="00305A05"/>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A8"/>
    <w:rsid w:val="003079B3"/>
    <w:rsid w:val="00307E4C"/>
    <w:rsid w:val="00307E6F"/>
    <w:rsid w:val="00310310"/>
    <w:rsid w:val="00310463"/>
    <w:rsid w:val="003104FC"/>
    <w:rsid w:val="00310942"/>
    <w:rsid w:val="00310A4F"/>
    <w:rsid w:val="00310A88"/>
    <w:rsid w:val="00310B32"/>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1F92"/>
    <w:rsid w:val="003121C1"/>
    <w:rsid w:val="003121F9"/>
    <w:rsid w:val="00312278"/>
    <w:rsid w:val="0031239B"/>
    <w:rsid w:val="003123E4"/>
    <w:rsid w:val="0031274F"/>
    <w:rsid w:val="00312A37"/>
    <w:rsid w:val="00312AFA"/>
    <w:rsid w:val="00312B3C"/>
    <w:rsid w:val="00312C7C"/>
    <w:rsid w:val="00312D61"/>
    <w:rsid w:val="00312D63"/>
    <w:rsid w:val="00313383"/>
    <w:rsid w:val="0031338E"/>
    <w:rsid w:val="00313568"/>
    <w:rsid w:val="003137D6"/>
    <w:rsid w:val="003139A7"/>
    <w:rsid w:val="003139B7"/>
    <w:rsid w:val="00313A8B"/>
    <w:rsid w:val="00313AB7"/>
    <w:rsid w:val="00313AD9"/>
    <w:rsid w:val="00313EDD"/>
    <w:rsid w:val="00313F13"/>
    <w:rsid w:val="003141CA"/>
    <w:rsid w:val="0031427E"/>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8B5"/>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D2D"/>
    <w:rsid w:val="00324D3F"/>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377"/>
    <w:rsid w:val="00330766"/>
    <w:rsid w:val="00330776"/>
    <w:rsid w:val="0033079D"/>
    <w:rsid w:val="00330817"/>
    <w:rsid w:val="0033086C"/>
    <w:rsid w:val="003308CE"/>
    <w:rsid w:val="00330989"/>
    <w:rsid w:val="003309E2"/>
    <w:rsid w:val="00330A43"/>
    <w:rsid w:val="00331081"/>
    <w:rsid w:val="00331327"/>
    <w:rsid w:val="00331348"/>
    <w:rsid w:val="00331426"/>
    <w:rsid w:val="003317A0"/>
    <w:rsid w:val="003317A8"/>
    <w:rsid w:val="00331973"/>
    <w:rsid w:val="00331AF7"/>
    <w:rsid w:val="00331B33"/>
    <w:rsid w:val="00331C51"/>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3B"/>
    <w:rsid w:val="003407E0"/>
    <w:rsid w:val="003408A2"/>
    <w:rsid w:val="00340ED9"/>
    <w:rsid w:val="00341078"/>
    <w:rsid w:val="00341152"/>
    <w:rsid w:val="00341192"/>
    <w:rsid w:val="00341390"/>
    <w:rsid w:val="0034150B"/>
    <w:rsid w:val="00341544"/>
    <w:rsid w:val="00341A5C"/>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6E"/>
    <w:rsid w:val="00344BF1"/>
    <w:rsid w:val="00344F7B"/>
    <w:rsid w:val="0034508F"/>
    <w:rsid w:val="00345151"/>
    <w:rsid w:val="00345227"/>
    <w:rsid w:val="0034532B"/>
    <w:rsid w:val="00345396"/>
    <w:rsid w:val="0034560B"/>
    <w:rsid w:val="003458B8"/>
    <w:rsid w:val="0034613D"/>
    <w:rsid w:val="003461C6"/>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58C"/>
    <w:rsid w:val="0034763F"/>
    <w:rsid w:val="0034770A"/>
    <w:rsid w:val="003478E8"/>
    <w:rsid w:val="00347938"/>
    <w:rsid w:val="00347A11"/>
    <w:rsid w:val="00347B21"/>
    <w:rsid w:val="00347B60"/>
    <w:rsid w:val="00347D3E"/>
    <w:rsid w:val="00347E5E"/>
    <w:rsid w:val="00347FD8"/>
    <w:rsid w:val="0035010B"/>
    <w:rsid w:val="00350683"/>
    <w:rsid w:val="003506B6"/>
    <w:rsid w:val="00350912"/>
    <w:rsid w:val="00350999"/>
    <w:rsid w:val="00350A30"/>
    <w:rsid w:val="00350AF2"/>
    <w:rsid w:val="00350BD3"/>
    <w:rsid w:val="00350D9C"/>
    <w:rsid w:val="00350DF2"/>
    <w:rsid w:val="00350E05"/>
    <w:rsid w:val="00350F98"/>
    <w:rsid w:val="00350FFE"/>
    <w:rsid w:val="00351040"/>
    <w:rsid w:val="00351251"/>
    <w:rsid w:val="003517F4"/>
    <w:rsid w:val="00351806"/>
    <w:rsid w:val="00351891"/>
    <w:rsid w:val="00351A5E"/>
    <w:rsid w:val="00351AB8"/>
    <w:rsid w:val="00351BA7"/>
    <w:rsid w:val="00351C10"/>
    <w:rsid w:val="00351DDE"/>
    <w:rsid w:val="00352196"/>
    <w:rsid w:val="00352226"/>
    <w:rsid w:val="003524E5"/>
    <w:rsid w:val="00352711"/>
    <w:rsid w:val="003527F7"/>
    <w:rsid w:val="003529B7"/>
    <w:rsid w:val="00352A11"/>
    <w:rsid w:val="00352BA9"/>
    <w:rsid w:val="00352BEC"/>
    <w:rsid w:val="00352C89"/>
    <w:rsid w:val="00352C8D"/>
    <w:rsid w:val="00352CA2"/>
    <w:rsid w:val="00352D66"/>
    <w:rsid w:val="0035300F"/>
    <w:rsid w:val="00353278"/>
    <w:rsid w:val="003532F3"/>
    <w:rsid w:val="00353331"/>
    <w:rsid w:val="00353472"/>
    <w:rsid w:val="003536A6"/>
    <w:rsid w:val="003538F9"/>
    <w:rsid w:val="00353BC8"/>
    <w:rsid w:val="00353EB2"/>
    <w:rsid w:val="00354087"/>
    <w:rsid w:val="003540A8"/>
    <w:rsid w:val="0035479B"/>
    <w:rsid w:val="00354848"/>
    <w:rsid w:val="00354874"/>
    <w:rsid w:val="003549D5"/>
    <w:rsid w:val="00354B68"/>
    <w:rsid w:val="00354C06"/>
    <w:rsid w:val="00354CEA"/>
    <w:rsid w:val="00354F32"/>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225"/>
    <w:rsid w:val="003573D6"/>
    <w:rsid w:val="003573E3"/>
    <w:rsid w:val="003574FC"/>
    <w:rsid w:val="00357515"/>
    <w:rsid w:val="00357647"/>
    <w:rsid w:val="00357757"/>
    <w:rsid w:val="0035781A"/>
    <w:rsid w:val="00357AA7"/>
    <w:rsid w:val="00357BEA"/>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C52"/>
    <w:rsid w:val="00362F87"/>
    <w:rsid w:val="00362FA9"/>
    <w:rsid w:val="003633A3"/>
    <w:rsid w:val="003633F5"/>
    <w:rsid w:val="0036369C"/>
    <w:rsid w:val="0036398B"/>
    <w:rsid w:val="00363CB9"/>
    <w:rsid w:val="00363CBC"/>
    <w:rsid w:val="00363DB6"/>
    <w:rsid w:val="00364341"/>
    <w:rsid w:val="00364955"/>
    <w:rsid w:val="003649C0"/>
    <w:rsid w:val="00364A48"/>
    <w:rsid w:val="00364C47"/>
    <w:rsid w:val="00364E9D"/>
    <w:rsid w:val="00365521"/>
    <w:rsid w:val="0036562D"/>
    <w:rsid w:val="00365697"/>
    <w:rsid w:val="003658E6"/>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2CF9"/>
    <w:rsid w:val="00373066"/>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C0"/>
    <w:rsid w:val="003751F1"/>
    <w:rsid w:val="00375330"/>
    <w:rsid w:val="00375372"/>
    <w:rsid w:val="003755B5"/>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B28"/>
    <w:rsid w:val="00377CE7"/>
    <w:rsid w:val="00377D7B"/>
    <w:rsid w:val="00377E4B"/>
    <w:rsid w:val="003801EA"/>
    <w:rsid w:val="0038021F"/>
    <w:rsid w:val="003802C6"/>
    <w:rsid w:val="0038051E"/>
    <w:rsid w:val="003807D4"/>
    <w:rsid w:val="003808DE"/>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2FDF"/>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5C5"/>
    <w:rsid w:val="00390824"/>
    <w:rsid w:val="00390A02"/>
    <w:rsid w:val="00390A62"/>
    <w:rsid w:val="00390B39"/>
    <w:rsid w:val="00390D07"/>
    <w:rsid w:val="00390E2E"/>
    <w:rsid w:val="00391001"/>
    <w:rsid w:val="003911F1"/>
    <w:rsid w:val="003917A1"/>
    <w:rsid w:val="00391855"/>
    <w:rsid w:val="00391871"/>
    <w:rsid w:val="00391D30"/>
    <w:rsid w:val="00391E51"/>
    <w:rsid w:val="00391EAB"/>
    <w:rsid w:val="00391EC6"/>
    <w:rsid w:val="00391F9B"/>
    <w:rsid w:val="003924C2"/>
    <w:rsid w:val="003924C8"/>
    <w:rsid w:val="0039275D"/>
    <w:rsid w:val="003929CC"/>
    <w:rsid w:val="00392A89"/>
    <w:rsid w:val="00392C56"/>
    <w:rsid w:val="0039329F"/>
    <w:rsid w:val="0039387D"/>
    <w:rsid w:val="003939C2"/>
    <w:rsid w:val="00393A7F"/>
    <w:rsid w:val="00393AE3"/>
    <w:rsid w:val="00393F7B"/>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97"/>
    <w:rsid w:val="0039661A"/>
    <w:rsid w:val="0039661C"/>
    <w:rsid w:val="00396819"/>
    <w:rsid w:val="003969B0"/>
    <w:rsid w:val="00396A41"/>
    <w:rsid w:val="00396AA5"/>
    <w:rsid w:val="00396B69"/>
    <w:rsid w:val="00396CCE"/>
    <w:rsid w:val="00396D2B"/>
    <w:rsid w:val="00396D87"/>
    <w:rsid w:val="0039723A"/>
    <w:rsid w:val="003972B9"/>
    <w:rsid w:val="0039730E"/>
    <w:rsid w:val="003974F5"/>
    <w:rsid w:val="00397764"/>
    <w:rsid w:val="00397853"/>
    <w:rsid w:val="00397BFC"/>
    <w:rsid w:val="003A0107"/>
    <w:rsid w:val="003A02EA"/>
    <w:rsid w:val="003A03B6"/>
    <w:rsid w:val="003A081A"/>
    <w:rsid w:val="003A08DA"/>
    <w:rsid w:val="003A0913"/>
    <w:rsid w:val="003A0BF2"/>
    <w:rsid w:val="003A0D90"/>
    <w:rsid w:val="003A0EC6"/>
    <w:rsid w:val="003A1128"/>
    <w:rsid w:val="003A12C6"/>
    <w:rsid w:val="003A1342"/>
    <w:rsid w:val="003A1488"/>
    <w:rsid w:val="003A1503"/>
    <w:rsid w:val="003A1604"/>
    <w:rsid w:val="003A1640"/>
    <w:rsid w:val="003A1745"/>
    <w:rsid w:val="003A1BD6"/>
    <w:rsid w:val="003A1EDF"/>
    <w:rsid w:val="003A204B"/>
    <w:rsid w:val="003A204D"/>
    <w:rsid w:val="003A22CB"/>
    <w:rsid w:val="003A24C7"/>
    <w:rsid w:val="003A24F4"/>
    <w:rsid w:val="003A253E"/>
    <w:rsid w:val="003A26AA"/>
    <w:rsid w:val="003A2A3E"/>
    <w:rsid w:val="003A2B0D"/>
    <w:rsid w:val="003A2CA4"/>
    <w:rsid w:val="003A3080"/>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6E2"/>
    <w:rsid w:val="003B0C41"/>
    <w:rsid w:val="003B114F"/>
    <w:rsid w:val="003B178C"/>
    <w:rsid w:val="003B19B6"/>
    <w:rsid w:val="003B1A97"/>
    <w:rsid w:val="003B2043"/>
    <w:rsid w:val="003B2306"/>
    <w:rsid w:val="003B24BC"/>
    <w:rsid w:val="003B2519"/>
    <w:rsid w:val="003B2558"/>
    <w:rsid w:val="003B268E"/>
    <w:rsid w:val="003B278A"/>
    <w:rsid w:val="003B27E9"/>
    <w:rsid w:val="003B2927"/>
    <w:rsid w:val="003B2981"/>
    <w:rsid w:val="003B2C76"/>
    <w:rsid w:val="003B2EC9"/>
    <w:rsid w:val="003B2EDB"/>
    <w:rsid w:val="003B3152"/>
    <w:rsid w:val="003B3227"/>
    <w:rsid w:val="003B32B2"/>
    <w:rsid w:val="003B33BE"/>
    <w:rsid w:val="003B3861"/>
    <w:rsid w:val="003B3B3B"/>
    <w:rsid w:val="003B3E22"/>
    <w:rsid w:val="003B40B7"/>
    <w:rsid w:val="003B40EF"/>
    <w:rsid w:val="003B41C2"/>
    <w:rsid w:val="003B42ED"/>
    <w:rsid w:val="003B4720"/>
    <w:rsid w:val="003B4754"/>
    <w:rsid w:val="003B4769"/>
    <w:rsid w:val="003B4817"/>
    <w:rsid w:val="003B48BD"/>
    <w:rsid w:val="003B4B45"/>
    <w:rsid w:val="003B4F6C"/>
    <w:rsid w:val="003B5074"/>
    <w:rsid w:val="003B50E4"/>
    <w:rsid w:val="003B5420"/>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9A"/>
    <w:rsid w:val="003C0AAC"/>
    <w:rsid w:val="003C0B24"/>
    <w:rsid w:val="003C0C72"/>
    <w:rsid w:val="003C0D95"/>
    <w:rsid w:val="003C101E"/>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31C"/>
    <w:rsid w:val="003C4334"/>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08C"/>
    <w:rsid w:val="003C70B2"/>
    <w:rsid w:val="003C70C0"/>
    <w:rsid w:val="003C7118"/>
    <w:rsid w:val="003C71F1"/>
    <w:rsid w:val="003C73C3"/>
    <w:rsid w:val="003C7545"/>
    <w:rsid w:val="003C76D8"/>
    <w:rsid w:val="003C7722"/>
    <w:rsid w:val="003C7736"/>
    <w:rsid w:val="003C7872"/>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592"/>
    <w:rsid w:val="003D174C"/>
    <w:rsid w:val="003D1758"/>
    <w:rsid w:val="003D19A4"/>
    <w:rsid w:val="003D1C00"/>
    <w:rsid w:val="003D1EEC"/>
    <w:rsid w:val="003D1FD2"/>
    <w:rsid w:val="003D2204"/>
    <w:rsid w:val="003D22A7"/>
    <w:rsid w:val="003D2529"/>
    <w:rsid w:val="003D26CE"/>
    <w:rsid w:val="003D279C"/>
    <w:rsid w:val="003D2869"/>
    <w:rsid w:val="003D28F9"/>
    <w:rsid w:val="003D2C85"/>
    <w:rsid w:val="003D2E23"/>
    <w:rsid w:val="003D2E61"/>
    <w:rsid w:val="003D3453"/>
    <w:rsid w:val="003D357C"/>
    <w:rsid w:val="003D35C0"/>
    <w:rsid w:val="003D3836"/>
    <w:rsid w:val="003D389C"/>
    <w:rsid w:val="003D3B04"/>
    <w:rsid w:val="003D3B54"/>
    <w:rsid w:val="003D402A"/>
    <w:rsid w:val="003D4439"/>
    <w:rsid w:val="003D470F"/>
    <w:rsid w:val="003D4730"/>
    <w:rsid w:val="003D4920"/>
    <w:rsid w:val="003D4AE6"/>
    <w:rsid w:val="003D4AF9"/>
    <w:rsid w:val="003D4D73"/>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7A"/>
    <w:rsid w:val="003D6AE5"/>
    <w:rsid w:val="003D6E6D"/>
    <w:rsid w:val="003D6FAA"/>
    <w:rsid w:val="003D728B"/>
    <w:rsid w:val="003D72D0"/>
    <w:rsid w:val="003D78AF"/>
    <w:rsid w:val="003D7977"/>
    <w:rsid w:val="003D7A3A"/>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5AC"/>
    <w:rsid w:val="003E4937"/>
    <w:rsid w:val="003E4D5B"/>
    <w:rsid w:val="003E4DE0"/>
    <w:rsid w:val="003E4FD7"/>
    <w:rsid w:val="003E5002"/>
    <w:rsid w:val="003E532B"/>
    <w:rsid w:val="003E5362"/>
    <w:rsid w:val="003E536C"/>
    <w:rsid w:val="003E54FB"/>
    <w:rsid w:val="003E5702"/>
    <w:rsid w:val="003E57DB"/>
    <w:rsid w:val="003E589C"/>
    <w:rsid w:val="003E5E7A"/>
    <w:rsid w:val="003E6169"/>
    <w:rsid w:val="003E620B"/>
    <w:rsid w:val="003E6634"/>
    <w:rsid w:val="003E6914"/>
    <w:rsid w:val="003E6E18"/>
    <w:rsid w:val="003E70D2"/>
    <w:rsid w:val="003E713B"/>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1504"/>
    <w:rsid w:val="003F1527"/>
    <w:rsid w:val="003F1592"/>
    <w:rsid w:val="003F175F"/>
    <w:rsid w:val="003F18E3"/>
    <w:rsid w:val="003F1B1D"/>
    <w:rsid w:val="003F1B38"/>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1DF"/>
    <w:rsid w:val="003F3522"/>
    <w:rsid w:val="003F3627"/>
    <w:rsid w:val="003F37D3"/>
    <w:rsid w:val="003F37E1"/>
    <w:rsid w:val="003F38B8"/>
    <w:rsid w:val="003F391E"/>
    <w:rsid w:val="003F3A7C"/>
    <w:rsid w:val="003F3BC6"/>
    <w:rsid w:val="003F3E8A"/>
    <w:rsid w:val="003F4141"/>
    <w:rsid w:val="003F4222"/>
    <w:rsid w:val="003F4588"/>
    <w:rsid w:val="003F4794"/>
    <w:rsid w:val="003F4913"/>
    <w:rsid w:val="003F4AD0"/>
    <w:rsid w:val="003F4B37"/>
    <w:rsid w:val="003F4B3B"/>
    <w:rsid w:val="003F4EE1"/>
    <w:rsid w:val="003F5062"/>
    <w:rsid w:val="003F52F1"/>
    <w:rsid w:val="003F5391"/>
    <w:rsid w:val="003F55C0"/>
    <w:rsid w:val="003F55F1"/>
    <w:rsid w:val="003F5A4A"/>
    <w:rsid w:val="003F5AA8"/>
    <w:rsid w:val="003F5C6A"/>
    <w:rsid w:val="003F6061"/>
    <w:rsid w:val="003F638D"/>
    <w:rsid w:val="003F6452"/>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5EF"/>
    <w:rsid w:val="00401711"/>
    <w:rsid w:val="00401A39"/>
    <w:rsid w:val="00401E74"/>
    <w:rsid w:val="00401F1D"/>
    <w:rsid w:val="00402197"/>
    <w:rsid w:val="004021C0"/>
    <w:rsid w:val="00402486"/>
    <w:rsid w:val="00402516"/>
    <w:rsid w:val="0040266A"/>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4AE"/>
    <w:rsid w:val="00403789"/>
    <w:rsid w:val="00403806"/>
    <w:rsid w:val="004038CE"/>
    <w:rsid w:val="00403B10"/>
    <w:rsid w:val="00403BB4"/>
    <w:rsid w:val="00403BBF"/>
    <w:rsid w:val="00403FEB"/>
    <w:rsid w:val="00404156"/>
    <w:rsid w:val="00404172"/>
    <w:rsid w:val="00404A9D"/>
    <w:rsid w:val="00404B68"/>
    <w:rsid w:val="00404B8F"/>
    <w:rsid w:val="00404FC4"/>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D0E"/>
    <w:rsid w:val="00406EBF"/>
    <w:rsid w:val="00406EFB"/>
    <w:rsid w:val="00406F6C"/>
    <w:rsid w:val="00407034"/>
    <w:rsid w:val="0040708B"/>
    <w:rsid w:val="00407098"/>
    <w:rsid w:val="004074BB"/>
    <w:rsid w:val="004076D9"/>
    <w:rsid w:val="00407A20"/>
    <w:rsid w:val="00407A9D"/>
    <w:rsid w:val="00407BC1"/>
    <w:rsid w:val="00407C52"/>
    <w:rsid w:val="00407EB2"/>
    <w:rsid w:val="00407ED7"/>
    <w:rsid w:val="004101FD"/>
    <w:rsid w:val="0041033B"/>
    <w:rsid w:val="00410475"/>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892"/>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3FAC"/>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BC8"/>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9D7"/>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087"/>
    <w:rsid w:val="00427109"/>
    <w:rsid w:val="00427267"/>
    <w:rsid w:val="004275D1"/>
    <w:rsid w:val="004275E5"/>
    <w:rsid w:val="00427936"/>
    <w:rsid w:val="00427A16"/>
    <w:rsid w:val="00427C85"/>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60A"/>
    <w:rsid w:val="0043261E"/>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5E4"/>
    <w:rsid w:val="0044072E"/>
    <w:rsid w:val="00440B0B"/>
    <w:rsid w:val="00440DE6"/>
    <w:rsid w:val="00440F4D"/>
    <w:rsid w:val="00441022"/>
    <w:rsid w:val="004410A2"/>
    <w:rsid w:val="00441166"/>
    <w:rsid w:val="004411D9"/>
    <w:rsid w:val="004413A7"/>
    <w:rsid w:val="004413E1"/>
    <w:rsid w:val="0044147F"/>
    <w:rsid w:val="00441576"/>
    <w:rsid w:val="004417CE"/>
    <w:rsid w:val="0044181F"/>
    <w:rsid w:val="004418BA"/>
    <w:rsid w:val="00441BC4"/>
    <w:rsid w:val="00441CC3"/>
    <w:rsid w:val="00441D38"/>
    <w:rsid w:val="00442049"/>
    <w:rsid w:val="0044227B"/>
    <w:rsid w:val="00442488"/>
    <w:rsid w:val="00442AD1"/>
    <w:rsid w:val="00442B70"/>
    <w:rsid w:val="00442C6F"/>
    <w:rsid w:val="00442E43"/>
    <w:rsid w:val="00442E55"/>
    <w:rsid w:val="00442FF3"/>
    <w:rsid w:val="004431B4"/>
    <w:rsid w:val="004431F7"/>
    <w:rsid w:val="00443406"/>
    <w:rsid w:val="00443AFC"/>
    <w:rsid w:val="00443C7F"/>
    <w:rsid w:val="00443EA1"/>
    <w:rsid w:val="00443F98"/>
    <w:rsid w:val="004441F9"/>
    <w:rsid w:val="00444713"/>
    <w:rsid w:val="0044486C"/>
    <w:rsid w:val="004449B9"/>
    <w:rsid w:val="00444C25"/>
    <w:rsid w:val="00444D8D"/>
    <w:rsid w:val="00444F08"/>
    <w:rsid w:val="00445276"/>
    <w:rsid w:val="004452E4"/>
    <w:rsid w:val="00445392"/>
    <w:rsid w:val="004454B4"/>
    <w:rsid w:val="00445700"/>
    <w:rsid w:val="00445906"/>
    <w:rsid w:val="004459B0"/>
    <w:rsid w:val="00445C6A"/>
    <w:rsid w:val="00445C98"/>
    <w:rsid w:val="00446492"/>
    <w:rsid w:val="00446508"/>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CA2"/>
    <w:rsid w:val="00452D94"/>
    <w:rsid w:val="00452DBE"/>
    <w:rsid w:val="00452E54"/>
    <w:rsid w:val="004531B0"/>
    <w:rsid w:val="004532DF"/>
    <w:rsid w:val="0045335E"/>
    <w:rsid w:val="00453616"/>
    <w:rsid w:val="00453700"/>
    <w:rsid w:val="00453A02"/>
    <w:rsid w:val="00453C57"/>
    <w:rsid w:val="00453F18"/>
    <w:rsid w:val="00453FCB"/>
    <w:rsid w:val="0045431E"/>
    <w:rsid w:val="00454343"/>
    <w:rsid w:val="00454602"/>
    <w:rsid w:val="00454779"/>
    <w:rsid w:val="0045485E"/>
    <w:rsid w:val="00454A2C"/>
    <w:rsid w:val="00454A8C"/>
    <w:rsid w:val="00454DCF"/>
    <w:rsid w:val="00454FE1"/>
    <w:rsid w:val="00455209"/>
    <w:rsid w:val="0045533F"/>
    <w:rsid w:val="00455573"/>
    <w:rsid w:val="00455780"/>
    <w:rsid w:val="004558F6"/>
    <w:rsid w:val="0045598B"/>
    <w:rsid w:val="00455AE7"/>
    <w:rsid w:val="00455DFA"/>
    <w:rsid w:val="004560D1"/>
    <w:rsid w:val="004561BD"/>
    <w:rsid w:val="004561FB"/>
    <w:rsid w:val="00456247"/>
    <w:rsid w:val="0045676B"/>
    <w:rsid w:val="004569FA"/>
    <w:rsid w:val="00456B4E"/>
    <w:rsid w:val="00456DAA"/>
    <w:rsid w:val="00456F96"/>
    <w:rsid w:val="004570C7"/>
    <w:rsid w:val="00457194"/>
    <w:rsid w:val="004571D6"/>
    <w:rsid w:val="004573F7"/>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0B1"/>
    <w:rsid w:val="00461430"/>
    <w:rsid w:val="004614D1"/>
    <w:rsid w:val="0046158F"/>
    <w:rsid w:val="0046163C"/>
    <w:rsid w:val="0046185F"/>
    <w:rsid w:val="004618CD"/>
    <w:rsid w:val="004619FC"/>
    <w:rsid w:val="00461B5F"/>
    <w:rsid w:val="00461BC4"/>
    <w:rsid w:val="00461C9B"/>
    <w:rsid w:val="00461DCA"/>
    <w:rsid w:val="00461E64"/>
    <w:rsid w:val="00462040"/>
    <w:rsid w:val="0046263A"/>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6A"/>
    <w:rsid w:val="004636A1"/>
    <w:rsid w:val="00463C5D"/>
    <w:rsid w:val="00463DF6"/>
    <w:rsid w:val="00463E4B"/>
    <w:rsid w:val="0046401E"/>
    <w:rsid w:val="0046444F"/>
    <w:rsid w:val="00464609"/>
    <w:rsid w:val="004647A0"/>
    <w:rsid w:val="00464890"/>
    <w:rsid w:val="004649F1"/>
    <w:rsid w:val="00464BE4"/>
    <w:rsid w:val="00464CD6"/>
    <w:rsid w:val="00464E31"/>
    <w:rsid w:val="00464FA2"/>
    <w:rsid w:val="00465337"/>
    <w:rsid w:val="004653A1"/>
    <w:rsid w:val="004655FD"/>
    <w:rsid w:val="00465B0D"/>
    <w:rsid w:val="00465CF6"/>
    <w:rsid w:val="00465DC6"/>
    <w:rsid w:val="00465E54"/>
    <w:rsid w:val="00466309"/>
    <w:rsid w:val="004664B8"/>
    <w:rsid w:val="0046692E"/>
    <w:rsid w:val="00466978"/>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BA1"/>
    <w:rsid w:val="00471E07"/>
    <w:rsid w:val="00471F74"/>
    <w:rsid w:val="004721E9"/>
    <w:rsid w:val="00472214"/>
    <w:rsid w:val="00472596"/>
    <w:rsid w:val="004727DD"/>
    <w:rsid w:val="00472860"/>
    <w:rsid w:val="0047297B"/>
    <w:rsid w:val="00472CE3"/>
    <w:rsid w:val="004731FD"/>
    <w:rsid w:val="00473270"/>
    <w:rsid w:val="004732F2"/>
    <w:rsid w:val="0047332A"/>
    <w:rsid w:val="004734DF"/>
    <w:rsid w:val="00473614"/>
    <w:rsid w:val="00473794"/>
    <w:rsid w:val="00473964"/>
    <w:rsid w:val="00473A8E"/>
    <w:rsid w:val="00473DD5"/>
    <w:rsid w:val="00474017"/>
    <w:rsid w:val="004740B0"/>
    <w:rsid w:val="004742D6"/>
    <w:rsid w:val="0047437E"/>
    <w:rsid w:val="0047442D"/>
    <w:rsid w:val="00474533"/>
    <w:rsid w:val="0047457E"/>
    <w:rsid w:val="00474B22"/>
    <w:rsid w:val="00474E51"/>
    <w:rsid w:val="00474FA4"/>
    <w:rsid w:val="00475020"/>
    <w:rsid w:val="004753C9"/>
    <w:rsid w:val="004756A9"/>
    <w:rsid w:val="00475871"/>
    <w:rsid w:val="00475A72"/>
    <w:rsid w:val="00475B13"/>
    <w:rsid w:val="00475BE3"/>
    <w:rsid w:val="00475BF7"/>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8A"/>
    <w:rsid w:val="00480197"/>
    <w:rsid w:val="004801DD"/>
    <w:rsid w:val="0048047F"/>
    <w:rsid w:val="00480546"/>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3FBF"/>
    <w:rsid w:val="0048404A"/>
    <w:rsid w:val="0048431C"/>
    <w:rsid w:val="00484577"/>
    <w:rsid w:val="0048467D"/>
    <w:rsid w:val="004848C2"/>
    <w:rsid w:val="00484937"/>
    <w:rsid w:val="00484A73"/>
    <w:rsid w:val="00484AD0"/>
    <w:rsid w:val="00485368"/>
    <w:rsid w:val="004853D2"/>
    <w:rsid w:val="0048544E"/>
    <w:rsid w:val="00485495"/>
    <w:rsid w:val="00485541"/>
    <w:rsid w:val="00485641"/>
    <w:rsid w:val="004856D4"/>
    <w:rsid w:val="0048588D"/>
    <w:rsid w:val="00485B18"/>
    <w:rsid w:val="00485B93"/>
    <w:rsid w:val="00485C6A"/>
    <w:rsid w:val="00485CF8"/>
    <w:rsid w:val="00485F1C"/>
    <w:rsid w:val="004860DF"/>
    <w:rsid w:val="004862DC"/>
    <w:rsid w:val="004863BE"/>
    <w:rsid w:val="0048663B"/>
    <w:rsid w:val="004866E4"/>
    <w:rsid w:val="00486A27"/>
    <w:rsid w:val="00486ABE"/>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FBF"/>
    <w:rsid w:val="0049161E"/>
    <w:rsid w:val="004917EA"/>
    <w:rsid w:val="0049188A"/>
    <w:rsid w:val="004919B5"/>
    <w:rsid w:val="00491D58"/>
    <w:rsid w:val="00491E57"/>
    <w:rsid w:val="00491EB9"/>
    <w:rsid w:val="00491F74"/>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A8"/>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EA"/>
    <w:rsid w:val="004974BD"/>
    <w:rsid w:val="0049752C"/>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2E2"/>
    <w:rsid w:val="004A34D8"/>
    <w:rsid w:val="004A3990"/>
    <w:rsid w:val="004A3FA3"/>
    <w:rsid w:val="004A45E8"/>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5A8"/>
    <w:rsid w:val="004A6622"/>
    <w:rsid w:val="004A69CD"/>
    <w:rsid w:val="004A6CB2"/>
    <w:rsid w:val="004A6D51"/>
    <w:rsid w:val="004A6E0F"/>
    <w:rsid w:val="004A72B4"/>
    <w:rsid w:val="004A7789"/>
    <w:rsid w:val="004A7B3E"/>
    <w:rsid w:val="004A7F3E"/>
    <w:rsid w:val="004B009C"/>
    <w:rsid w:val="004B03DB"/>
    <w:rsid w:val="004B058A"/>
    <w:rsid w:val="004B05A3"/>
    <w:rsid w:val="004B068E"/>
    <w:rsid w:val="004B077A"/>
    <w:rsid w:val="004B087E"/>
    <w:rsid w:val="004B08E0"/>
    <w:rsid w:val="004B09A5"/>
    <w:rsid w:val="004B0A34"/>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15D"/>
    <w:rsid w:val="004B230D"/>
    <w:rsid w:val="004B2427"/>
    <w:rsid w:val="004B2461"/>
    <w:rsid w:val="004B272F"/>
    <w:rsid w:val="004B27A0"/>
    <w:rsid w:val="004B28B8"/>
    <w:rsid w:val="004B2A32"/>
    <w:rsid w:val="004B2CC0"/>
    <w:rsid w:val="004B2EBA"/>
    <w:rsid w:val="004B3063"/>
    <w:rsid w:val="004B316F"/>
    <w:rsid w:val="004B37B3"/>
    <w:rsid w:val="004B3CEC"/>
    <w:rsid w:val="004B3ED7"/>
    <w:rsid w:val="004B4154"/>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44"/>
    <w:rsid w:val="004B726B"/>
    <w:rsid w:val="004B7415"/>
    <w:rsid w:val="004B75FB"/>
    <w:rsid w:val="004B786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B2B"/>
    <w:rsid w:val="004C3C29"/>
    <w:rsid w:val="004C3CFD"/>
    <w:rsid w:val="004C3E20"/>
    <w:rsid w:val="004C3EA5"/>
    <w:rsid w:val="004C3F72"/>
    <w:rsid w:val="004C40A9"/>
    <w:rsid w:val="004C41EA"/>
    <w:rsid w:val="004C43E0"/>
    <w:rsid w:val="004C45F5"/>
    <w:rsid w:val="004C46CF"/>
    <w:rsid w:val="004C47B2"/>
    <w:rsid w:val="004C489F"/>
    <w:rsid w:val="004C48FC"/>
    <w:rsid w:val="004C499C"/>
    <w:rsid w:val="004C4DC3"/>
    <w:rsid w:val="004C4EE8"/>
    <w:rsid w:val="004C4F33"/>
    <w:rsid w:val="004C5265"/>
    <w:rsid w:val="004C534D"/>
    <w:rsid w:val="004C5367"/>
    <w:rsid w:val="004C5409"/>
    <w:rsid w:val="004C553B"/>
    <w:rsid w:val="004C57C1"/>
    <w:rsid w:val="004C57C7"/>
    <w:rsid w:val="004C5A41"/>
    <w:rsid w:val="004C5AC2"/>
    <w:rsid w:val="004C5E07"/>
    <w:rsid w:val="004C5E98"/>
    <w:rsid w:val="004C5F18"/>
    <w:rsid w:val="004C610A"/>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E09"/>
    <w:rsid w:val="004C7F5B"/>
    <w:rsid w:val="004C7F77"/>
    <w:rsid w:val="004C7F98"/>
    <w:rsid w:val="004D015E"/>
    <w:rsid w:val="004D0508"/>
    <w:rsid w:val="004D0775"/>
    <w:rsid w:val="004D07FA"/>
    <w:rsid w:val="004D0A4F"/>
    <w:rsid w:val="004D0A6B"/>
    <w:rsid w:val="004D0BDC"/>
    <w:rsid w:val="004D0CE5"/>
    <w:rsid w:val="004D0E00"/>
    <w:rsid w:val="004D10CE"/>
    <w:rsid w:val="004D113E"/>
    <w:rsid w:val="004D1326"/>
    <w:rsid w:val="004D1406"/>
    <w:rsid w:val="004D1736"/>
    <w:rsid w:val="004D1A34"/>
    <w:rsid w:val="004D1C6D"/>
    <w:rsid w:val="004D1D12"/>
    <w:rsid w:val="004D1D19"/>
    <w:rsid w:val="004D1D23"/>
    <w:rsid w:val="004D1F4B"/>
    <w:rsid w:val="004D218B"/>
    <w:rsid w:val="004D219E"/>
    <w:rsid w:val="004D21C9"/>
    <w:rsid w:val="004D2659"/>
    <w:rsid w:val="004D2956"/>
    <w:rsid w:val="004D29EB"/>
    <w:rsid w:val="004D2A6C"/>
    <w:rsid w:val="004D2B29"/>
    <w:rsid w:val="004D2BD2"/>
    <w:rsid w:val="004D2FA2"/>
    <w:rsid w:val="004D311D"/>
    <w:rsid w:val="004D39A6"/>
    <w:rsid w:val="004D3A02"/>
    <w:rsid w:val="004D3FE2"/>
    <w:rsid w:val="004D4064"/>
    <w:rsid w:val="004D45D8"/>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B34"/>
    <w:rsid w:val="004D5C92"/>
    <w:rsid w:val="004D5CBF"/>
    <w:rsid w:val="004D5CD2"/>
    <w:rsid w:val="004D5D2B"/>
    <w:rsid w:val="004D5E96"/>
    <w:rsid w:val="004D5EFB"/>
    <w:rsid w:val="004D6382"/>
    <w:rsid w:val="004D649B"/>
    <w:rsid w:val="004D65A9"/>
    <w:rsid w:val="004D673D"/>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D7FB7"/>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5E5"/>
    <w:rsid w:val="004F0661"/>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314"/>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A11"/>
    <w:rsid w:val="004F4A83"/>
    <w:rsid w:val="004F4C75"/>
    <w:rsid w:val="004F4EDE"/>
    <w:rsid w:val="004F530A"/>
    <w:rsid w:val="004F58F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6F17"/>
    <w:rsid w:val="004F7197"/>
    <w:rsid w:val="004F7211"/>
    <w:rsid w:val="004F73AE"/>
    <w:rsid w:val="004F7528"/>
    <w:rsid w:val="004F770E"/>
    <w:rsid w:val="004F77FA"/>
    <w:rsid w:val="004F7850"/>
    <w:rsid w:val="004F7927"/>
    <w:rsid w:val="004F795D"/>
    <w:rsid w:val="004F7C40"/>
    <w:rsid w:val="004F7F56"/>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E26"/>
    <w:rsid w:val="00501EC3"/>
    <w:rsid w:val="00501F90"/>
    <w:rsid w:val="00502647"/>
    <w:rsid w:val="005029CF"/>
    <w:rsid w:val="00502BE6"/>
    <w:rsid w:val="00502D4D"/>
    <w:rsid w:val="00502DD6"/>
    <w:rsid w:val="00503047"/>
    <w:rsid w:val="005035E6"/>
    <w:rsid w:val="005036F7"/>
    <w:rsid w:val="0050399A"/>
    <w:rsid w:val="005039B6"/>
    <w:rsid w:val="00503A6B"/>
    <w:rsid w:val="00503BB0"/>
    <w:rsid w:val="00503C76"/>
    <w:rsid w:val="00503D7D"/>
    <w:rsid w:val="00503EB1"/>
    <w:rsid w:val="00503EC0"/>
    <w:rsid w:val="00503EFF"/>
    <w:rsid w:val="00504081"/>
    <w:rsid w:val="005040F3"/>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590"/>
    <w:rsid w:val="00505B2B"/>
    <w:rsid w:val="00505BDC"/>
    <w:rsid w:val="00505E6F"/>
    <w:rsid w:val="005062FD"/>
    <w:rsid w:val="0050633E"/>
    <w:rsid w:val="00506461"/>
    <w:rsid w:val="005064D0"/>
    <w:rsid w:val="005067FE"/>
    <w:rsid w:val="00506982"/>
    <w:rsid w:val="00506B5D"/>
    <w:rsid w:val="00506CFA"/>
    <w:rsid w:val="00507106"/>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907"/>
    <w:rsid w:val="00511BA3"/>
    <w:rsid w:val="00511E10"/>
    <w:rsid w:val="00511FBF"/>
    <w:rsid w:val="0051204E"/>
    <w:rsid w:val="005121E8"/>
    <w:rsid w:val="0051228E"/>
    <w:rsid w:val="005122DE"/>
    <w:rsid w:val="0051235F"/>
    <w:rsid w:val="0051261F"/>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BA"/>
    <w:rsid w:val="00513951"/>
    <w:rsid w:val="00513A5D"/>
    <w:rsid w:val="00513BA9"/>
    <w:rsid w:val="00513C03"/>
    <w:rsid w:val="00513C88"/>
    <w:rsid w:val="00513CEF"/>
    <w:rsid w:val="00514365"/>
    <w:rsid w:val="0051455D"/>
    <w:rsid w:val="005145C1"/>
    <w:rsid w:val="005146C3"/>
    <w:rsid w:val="00514736"/>
    <w:rsid w:val="00514858"/>
    <w:rsid w:val="00514C2C"/>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8AD"/>
    <w:rsid w:val="00517A2B"/>
    <w:rsid w:val="00517B54"/>
    <w:rsid w:val="00517B76"/>
    <w:rsid w:val="00517B8D"/>
    <w:rsid w:val="00517C0A"/>
    <w:rsid w:val="0052024E"/>
    <w:rsid w:val="00520516"/>
    <w:rsid w:val="00520761"/>
    <w:rsid w:val="00520C1B"/>
    <w:rsid w:val="00520C2D"/>
    <w:rsid w:val="00520D8C"/>
    <w:rsid w:val="00520E5B"/>
    <w:rsid w:val="00521003"/>
    <w:rsid w:val="0052107A"/>
    <w:rsid w:val="005212BC"/>
    <w:rsid w:val="005215EC"/>
    <w:rsid w:val="00521C85"/>
    <w:rsid w:val="00521C88"/>
    <w:rsid w:val="00521CB6"/>
    <w:rsid w:val="00521D17"/>
    <w:rsid w:val="00522077"/>
    <w:rsid w:val="00522525"/>
    <w:rsid w:val="0052263A"/>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0B"/>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A6"/>
    <w:rsid w:val="00525FEB"/>
    <w:rsid w:val="00526087"/>
    <w:rsid w:val="005265FF"/>
    <w:rsid w:val="00526713"/>
    <w:rsid w:val="00526875"/>
    <w:rsid w:val="0052691D"/>
    <w:rsid w:val="00526AA6"/>
    <w:rsid w:val="00526B0D"/>
    <w:rsid w:val="00526B5B"/>
    <w:rsid w:val="00526C70"/>
    <w:rsid w:val="0052714C"/>
    <w:rsid w:val="00527499"/>
    <w:rsid w:val="00527716"/>
    <w:rsid w:val="00527719"/>
    <w:rsid w:val="0052778A"/>
    <w:rsid w:val="00527852"/>
    <w:rsid w:val="00527DE4"/>
    <w:rsid w:val="00527DFB"/>
    <w:rsid w:val="00527E4A"/>
    <w:rsid w:val="00527ECA"/>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440"/>
    <w:rsid w:val="00532500"/>
    <w:rsid w:val="005325D3"/>
    <w:rsid w:val="0053286E"/>
    <w:rsid w:val="00532AE3"/>
    <w:rsid w:val="00532DE9"/>
    <w:rsid w:val="00533066"/>
    <w:rsid w:val="00533123"/>
    <w:rsid w:val="00533405"/>
    <w:rsid w:val="005335A4"/>
    <w:rsid w:val="00533727"/>
    <w:rsid w:val="005337B9"/>
    <w:rsid w:val="0053389F"/>
    <w:rsid w:val="005339FF"/>
    <w:rsid w:val="00533C3C"/>
    <w:rsid w:val="00533F2F"/>
    <w:rsid w:val="00534041"/>
    <w:rsid w:val="0053415A"/>
    <w:rsid w:val="005342A7"/>
    <w:rsid w:val="00534676"/>
    <w:rsid w:val="005347A5"/>
    <w:rsid w:val="0053484D"/>
    <w:rsid w:val="00534A08"/>
    <w:rsid w:val="00534AD1"/>
    <w:rsid w:val="00534B0F"/>
    <w:rsid w:val="00534C70"/>
    <w:rsid w:val="00534C8B"/>
    <w:rsid w:val="00534E48"/>
    <w:rsid w:val="0053517F"/>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76F"/>
    <w:rsid w:val="0054087A"/>
    <w:rsid w:val="00540899"/>
    <w:rsid w:val="00540AB5"/>
    <w:rsid w:val="00540B29"/>
    <w:rsid w:val="00540B98"/>
    <w:rsid w:val="00541160"/>
    <w:rsid w:val="00541651"/>
    <w:rsid w:val="005416CE"/>
    <w:rsid w:val="00541781"/>
    <w:rsid w:val="00541BBB"/>
    <w:rsid w:val="00542082"/>
    <w:rsid w:val="005423CF"/>
    <w:rsid w:val="00542602"/>
    <w:rsid w:val="00542708"/>
    <w:rsid w:val="00542714"/>
    <w:rsid w:val="00542D6B"/>
    <w:rsid w:val="00542E61"/>
    <w:rsid w:val="00543058"/>
    <w:rsid w:val="00543143"/>
    <w:rsid w:val="005434DC"/>
    <w:rsid w:val="005434F9"/>
    <w:rsid w:val="0054384C"/>
    <w:rsid w:val="00543A6B"/>
    <w:rsid w:val="00543E9E"/>
    <w:rsid w:val="0054414B"/>
    <w:rsid w:val="005441B3"/>
    <w:rsid w:val="0054437D"/>
    <w:rsid w:val="005443F6"/>
    <w:rsid w:val="00544428"/>
    <w:rsid w:val="00544554"/>
    <w:rsid w:val="005447D1"/>
    <w:rsid w:val="005448D3"/>
    <w:rsid w:val="00544983"/>
    <w:rsid w:val="00544C45"/>
    <w:rsid w:val="00544E0A"/>
    <w:rsid w:val="00545324"/>
    <w:rsid w:val="00545492"/>
    <w:rsid w:val="0054553C"/>
    <w:rsid w:val="005455B5"/>
    <w:rsid w:val="00545875"/>
    <w:rsid w:val="0054587A"/>
    <w:rsid w:val="00545A2D"/>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F7"/>
    <w:rsid w:val="00547481"/>
    <w:rsid w:val="0054749B"/>
    <w:rsid w:val="0054770F"/>
    <w:rsid w:val="0054773D"/>
    <w:rsid w:val="00547836"/>
    <w:rsid w:val="00547A1E"/>
    <w:rsid w:val="00547A84"/>
    <w:rsid w:val="00547B58"/>
    <w:rsid w:val="00547C69"/>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1E4"/>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C6C"/>
    <w:rsid w:val="00561D61"/>
    <w:rsid w:val="00561D93"/>
    <w:rsid w:val="00561EBA"/>
    <w:rsid w:val="00561EFF"/>
    <w:rsid w:val="0056204E"/>
    <w:rsid w:val="0056205F"/>
    <w:rsid w:val="00562176"/>
    <w:rsid w:val="0056228A"/>
    <w:rsid w:val="005622B8"/>
    <w:rsid w:val="005622FA"/>
    <w:rsid w:val="0056247B"/>
    <w:rsid w:val="0056263E"/>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711"/>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65F"/>
    <w:rsid w:val="005728FA"/>
    <w:rsid w:val="00572AE8"/>
    <w:rsid w:val="00572AEC"/>
    <w:rsid w:val="00572B3F"/>
    <w:rsid w:val="00572D3B"/>
    <w:rsid w:val="00573058"/>
    <w:rsid w:val="0057307B"/>
    <w:rsid w:val="005730B7"/>
    <w:rsid w:val="00573507"/>
    <w:rsid w:val="0057383D"/>
    <w:rsid w:val="005738C8"/>
    <w:rsid w:val="00573A32"/>
    <w:rsid w:val="00573B0D"/>
    <w:rsid w:val="00573BF2"/>
    <w:rsid w:val="00573D65"/>
    <w:rsid w:val="00573EBB"/>
    <w:rsid w:val="00573FF1"/>
    <w:rsid w:val="00574006"/>
    <w:rsid w:val="0057413E"/>
    <w:rsid w:val="0057429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5E"/>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FC3"/>
    <w:rsid w:val="00581284"/>
    <w:rsid w:val="0058140D"/>
    <w:rsid w:val="005814EB"/>
    <w:rsid w:val="00581B24"/>
    <w:rsid w:val="00581C7C"/>
    <w:rsid w:val="00581D84"/>
    <w:rsid w:val="00582100"/>
    <w:rsid w:val="00582369"/>
    <w:rsid w:val="00582CF3"/>
    <w:rsid w:val="00582E32"/>
    <w:rsid w:val="0058320D"/>
    <w:rsid w:val="00583248"/>
    <w:rsid w:val="00583583"/>
    <w:rsid w:val="0058359F"/>
    <w:rsid w:val="00583915"/>
    <w:rsid w:val="00583BA9"/>
    <w:rsid w:val="00583CF8"/>
    <w:rsid w:val="00583E56"/>
    <w:rsid w:val="00583E78"/>
    <w:rsid w:val="00584196"/>
    <w:rsid w:val="00584222"/>
    <w:rsid w:val="00584229"/>
    <w:rsid w:val="005842C2"/>
    <w:rsid w:val="005844C1"/>
    <w:rsid w:val="0058453F"/>
    <w:rsid w:val="005847B3"/>
    <w:rsid w:val="005847CF"/>
    <w:rsid w:val="00584836"/>
    <w:rsid w:val="00584A32"/>
    <w:rsid w:val="00584ACE"/>
    <w:rsid w:val="00584B50"/>
    <w:rsid w:val="00584BA8"/>
    <w:rsid w:val="00584C13"/>
    <w:rsid w:val="00584C91"/>
    <w:rsid w:val="00584D1E"/>
    <w:rsid w:val="00584D6F"/>
    <w:rsid w:val="00584FC3"/>
    <w:rsid w:val="005851D4"/>
    <w:rsid w:val="00585388"/>
    <w:rsid w:val="00585480"/>
    <w:rsid w:val="0058560D"/>
    <w:rsid w:val="005856AE"/>
    <w:rsid w:val="0058578C"/>
    <w:rsid w:val="00585AE9"/>
    <w:rsid w:val="00585C22"/>
    <w:rsid w:val="00585CA0"/>
    <w:rsid w:val="00585CCD"/>
    <w:rsid w:val="00585CE5"/>
    <w:rsid w:val="00585D6C"/>
    <w:rsid w:val="00585D78"/>
    <w:rsid w:val="005861D2"/>
    <w:rsid w:val="0058625B"/>
    <w:rsid w:val="005862A9"/>
    <w:rsid w:val="005862F4"/>
    <w:rsid w:val="005865A4"/>
    <w:rsid w:val="005868E7"/>
    <w:rsid w:val="00586A64"/>
    <w:rsid w:val="00586B89"/>
    <w:rsid w:val="00586D8D"/>
    <w:rsid w:val="00586EE4"/>
    <w:rsid w:val="00586F8B"/>
    <w:rsid w:val="00587232"/>
    <w:rsid w:val="0058725B"/>
    <w:rsid w:val="00587367"/>
    <w:rsid w:val="00587778"/>
    <w:rsid w:val="00587B6E"/>
    <w:rsid w:val="00587B7C"/>
    <w:rsid w:val="00587E21"/>
    <w:rsid w:val="00587F3B"/>
    <w:rsid w:val="005902E7"/>
    <w:rsid w:val="005905CA"/>
    <w:rsid w:val="0059072F"/>
    <w:rsid w:val="00590DC6"/>
    <w:rsid w:val="00590EC7"/>
    <w:rsid w:val="0059107E"/>
    <w:rsid w:val="005911A8"/>
    <w:rsid w:val="005911FB"/>
    <w:rsid w:val="0059137F"/>
    <w:rsid w:val="005913AD"/>
    <w:rsid w:val="00591525"/>
    <w:rsid w:val="005915E7"/>
    <w:rsid w:val="0059161C"/>
    <w:rsid w:val="0059166C"/>
    <w:rsid w:val="005917C4"/>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3F38"/>
    <w:rsid w:val="0059403C"/>
    <w:rsid w:val="0059427E"/>
    <w:rsid w:val="005943D6"/>
    <w:rsid w:val="00594570"/>
    <w:rsid w:val="00594597"/>
    <w:rsid w:val="005945D6"/>
    <w:rsid w:val="0059469F"/>
    <w:rsid w:val="0059494D"/>
    <w:rsid w:val="00594B41"/>
    <w:rsid w:val="00594EA8"/>
    <w:rsid w:val="00594EF9"/>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088"/>
    <w:rsid w:val="005A23AB"/>
    <w:rsid w:val="005A2540"/>
    <w:rsid w:val="005A2967"/>
    <w:rsid w:val="005A29E0"/>
    <w:rsid w:val="005A2DD8"/>
    <w:rsid w:val="005A2DE3"/>
    <w:rsid w:val="005A317D"/>
    <w:rsid w:val="005A3214"/>
    <w:rsid w:val="005A3315"/>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6FC1"/>
    <w:rsid w:val="005A704F"/>
    <w:rsid w:val="005A70C7"/>
    <w:rsid w:val="005A71BF"/>
    <w:rsid w:val="005A7276"/>
    <w:rsid w:val="005A727D"/>
    <w:rsid w:val="005A728E"/>
    <w:rsid w:val="005A768D"/>
    <w:rsid w:val="005A7973"/>
    <w:rsid w:val="005A7A60"/>
    <w:rsid w:val="005A7A8E"/>
    <w:rsid w:val="005A7C28"/>
    <w:rsid w:val="005A7CA8"/>
    <w:rsid w:val="005A7D23"/>
    <w:rsid w:val="005A7DE1"/>
    <w:rsid w:val="005A7F29"/>
    <w:rsid w:val="005A7F66"/>
    <w:rsid w:val="005B000A"/>
    <w:rsid w:val="005B0076"/>
    <w:rsid w:val="005B00FC"/>
    <w:rsid w:val="005B0100"/>
    <w:rsid w:val="005B0290"/>
    <w:rsid w:val="005B0614"/>
    <w:rsid w:val="005B0760"/>
    <w:rsid w:val="005B0761"/>
    <w:rsid w:val="005B07CD"/>
    <w:rsid w:val="005B095E"/>
    <w:rsid w:val="005B0A38"/>
    <w:rsid w:val="005B0B09"/>
    <w:rsid w:val="005B0BC6"/>
    <w:rsid w:val="005B0D42"/>
    <w:rsid w:val="005B0EB7"/>
    <w:rsid w:val="005B12BB"/>
    <w:rsid w:val="005B131D"/>
    <w:rsid w:val="005B13F8"/>
    <w:rsid w:val="005B15CC"/>
    <w:rsid w:val="005B15FA"/>
    <w:rsid w:val="005B1811"/>
    <w:rsid w:val="005B1C36"/>
    <w:rsid w:val="005B1D46"/>
    <w:rsid w:val="005B1E97"/>
    <w:rsid w:val="005B1F91"/>
    <w:rsid w:val="005B20CF"/>
    <w:rsid w:val="005B2213"/>
    <w:rsid w:val="005B235C"/>
    <w:rsid w:val="005B255D"/>
    <w:rsid w:val="005B2590"/>
    <w:rsid w:val="005B293D"/>
    <w:rsid w:val="005B2A59"/>
    <w:rsid w:val="005B2AFE"/>
    <w:rsid w:val="005B2CE4"/>
    <w:rsid w:val="005B2D62"/>
    <w:rsid w:val="005B2E82"/>
    <w:rsid w:val="005B2E83"/>
    <w:rsid w:val="005B2EEF"/>
    <w:rsid w:val="005B2F74"/>
    <w:rsid w:val="005B3184"/>
    <w:rsid w:val="005B362E"/>
    <w:rsid w:val="005B3811"/>
    <w:rsid w:val="005B38B1"/>
    <w:rsid w:val="005B3A84"/>
    <w:rsid w:val="005B3BB2"/>
    <w:rsid w:val="005B3D72"/>
    <w:rsid w:val="005B4075"/>
    <w:rsid w:val="005B4312"/>
    <w:rsid w:val="005B4404"/>
    <w:rsid w:val="005B47F9"/>
    <w:rsid w:val="005B4896"/>
    <w:rsid w:val="005B49DA"/>
    <w:rsid w:val="005B4EDF"/>
    <w:rsid w:val="005B4F17"/>
    <w:rsid w:val="005B526A"/>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6C19"/>
    <w:rsid w:val="005B6D05"/>
    <w:rsid w:val="005B6E6E"/>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8FD"/>
    <w:rsid w:val="005C19EE"/>
    <w:rsid w:val="005C1F7D"/>
    <w:rsid w:val="005C2089"/>
    <w:rsid w:val="005C209F"/>
    <w:rsid w:val="005C20B5"/>
    <w:rsid w:val="005C22CE"/>
    <w:rsid w:val="005C2362"/>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C4C"/>
    <w:rsid w:val="005C4CA6"/>
    <w:rsid w:val="005C4DBF"/>
    <w:rsid w:val="005C4E57"/>
    <w:rsid w:val="005C4F91"/>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B85"/>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06E"/>
    <w:rsid w:val="005D211C"/>
    <w:rsid w:val="005D2120"/>
    <w:rsid w:val="005D2262"/>
    <w:rsid w:val="005D22D4"/>
    <w:rsid w:val="005D258E"/>
    <w:rsid w:val="005D2649"/>
    <w:rsid w:val="005D2773"/>
    <w:rsid w:val="005D2783"/>
    <w:rsid w:val="005D2814"/>
    <w:rsid w:val="005D28FF"/>
    <w:rsid w:val="005D2B82"/>
    <w:rsid w:val="005D2BB2"/>
    <w:rsid w:val="005D2C6F"/>
    <w:rsid w:val="005D310F"/>
    <w:rsid w:val="005D338E"/>
    <w:rsid w:val="005D34F4"/>
    <w:rsid w:val="005D3637"/>
    <w:rsid w:val="005D36A1"/>
    <w:rsid w:val="005D36C1"/>
    <w:rsid w:val="005D3761"/>
    <w:rsid w:val="005D3938"/>
    <w:rsid w:val="005D3BBB"/>
    <w:rsid w:val="005D3EBB"/>
    <w:rsid w:val="005D3F63"/>
    <w:rsid w:val="005D3FB2"/>
    <w:rsid w:val="005D41F0"/>
    <w:rsid w:val="005D4772"/>
    <w:rsid w:val="005D48DD"/>
    <w:rsid w:val="005D4916"/>
    <w:rsid w:val="005D49E8"/>
    <w:rsid w:val="005D4A57"/>
    <w:rsid w:val="005D4AAB"/>
    <w:rsid w:val="005D4F0A"/>
    <w:rsid w:val="005D5013"/>
    <w:rsid w:val="005D509B"/>
    <w:rsid w:val="005D5290"/>
    <w:rsid w:val="005D5597"/>
    <w:rsid w:val="005D5724"/>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017"/>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183"/>
    <w:rsid w:val="005E22E9"/>
    <w:rsid w:val="005E263F"/>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0E"/>
    <w:rsid w:val="005E405D"/>
    <w:rsid w:val="005E40B9"/>
    <w:rsid w:val="005E422E"/>
    <w:rsid w:val="005E4274"/>
    <w:rsid w:val="005E42C5"/>
    <w:rsid w:val="005E42EC"/>
    <w:rsid w:val="005E4425"/>
    <w:rsid w:val="005E445C"/>
    <w:rsid w:val="005E4692"/>
    <w:rsid w:val="005E46FC"/>
    <w:rsid w:val="005E4720"/>
    <w:rsid w:val="005E489E"/>
    <w:rsid w:val="005E48F1"/>
    <w:rsid w:val="005E4C2E"/>
    <w:rsid w:val="005E4D9C"/>
    <w:rsid w:val="005E4DB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21C"/>
    <w:rsid w:val="005E62A6"/>
    <w:rsid w:val="005E677A"/>
    <w:rsid w:val="005E69DE"/>
    <w:rsid w:val="005E6B28"/>
    <w:rsid w:val="005E6B34"/>
    <w:rsid w:val="005E70B6"/>
    <w:rsid w:val="005E715F"/>
    <w:rsid w:val="005E726B"/>
    <w:rsid w:val="005E7285"/>
    <w:rsid w:val="005E729B"/>
    <w:rsid w:val="005E7477"/>
    <w:rsid w:val="005E76ED"/>
    <w:rsid w:val="005E78F9"/>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874"/>
    <w:rsid w:val="005F397B"/>
    <w:rsid w:val="005F3C30"/>
    <w:rsid w:val="005F3D99"/>
    <w:rsid w:val="005F3EB4"/>
    <w:rsid w:val="005F4BFA"/>
    <w:rsid w:val="005F5321"/>
    <w:rsid w:val="005F53B1"/>
    <w:rsid w:val="005F544B"/>
    <w:rsid w:val="005F5686"/>
    <w:rsid w:val="005F57C2"/>
    <w:rsid w:val="005F57E9"/>
    <w:rsid w:val="005F58D2"/>
    <w:rsid w:val="005F595C"/>
    <w:rsid w:val="005F5C64"/>
    <w:rsid w:val="005F5E1D"/>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A6A"/>
    <w:rsid w:val="005F7C0A"/>
    <w:rsid w:val="005F7D21"/>
    <w:rsid w:val="005F7DB7"/>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D3"/>
    <w:rsid w:val="00601EE0"/>
    <w:rsid w:val="00601F60"/>
    <w:rsid w:val="0060225F"/>
    <w:rsid w:val="0060253F"/>
    <w:rsid w:val="006025C1"/>
    <w:rsid w:val="00602D3D"/>
    <w:rsid w:val="00602DFB"/>
    <w:rsid w:val="00602E65"/>
    <w:rsid w:val="00602F6F"/>
    <w:rsid w:val="006030A4"/>
    <w:rsid w:val="0060329D"/>
    <w:rsid w:val="006032B3"/>
    <w:rsid w:val="0060373C"/>
    <w:rsid w:val="00603883"/>
    <w:rsid w:val="00603938"/>
    <w:rsid w:val="00603ADC"/>
    <w:rsid w:val="00603BFE"/>
    <w:rsid w:val="00603DFC"/>
    <w:rsid w:val="006042AF"/>
    <w:rsid w:val="00604429"/>
    <w:rsid w:val="00604494"/>
    <w:rsid w:val="006044D1"/>
    <w:rsid w:val="00604518"/>
    <w:rsid w:val="006045B8"/>
    <w:rsid w:val="0060464F"/>
    <w:rsid w:val="0060477F"/>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B59"/>
    <w:rsid w:val="00605C42"/>
    <w:rsid w:val="00605C71"/>
    <w:rsid w:val="00605D01"/>
    <w:rsid w:val="00605D88"/>
    <w:rsid w:val="00605DD9"/>
    <w:rsid w:val="00605E3D"/>
    <w:rsid w:val="00605E83"/>
    <w:rsid w:val="0060607C"/>
    <w:rsid w:val="00606193"/>
    <w:rsid w:val="006062B7"/>
    <w:rsid w:val="0060638F"/>
    <w:rsid w:val="00606558"/>
    <w:rsid w:val="0060694C"/>
    <w:rsid w:val="00606982"/>
    <w:rsid w:val="00606993"/>
    <w:rsid w:val="00606ACD"/>
    <w:rsid w:val="00606B23"/>
    <w:rsid w:val="00606B74"/>
    <w:rsid w:val="00606BC1"/>
    <w:rsid w:val="00606CC5"/>
    <w:rsid w:val="00606D68"/>
    <w:rsid w:val="00606DC2"/>
    <w:rsid w:val="00606FFF"/>
    <w:rsid w:val="0060707E"/>
    <w:rsid w:val="006071B2"/>
    <w:rsid w:val="0060723C"/>
    <w:rsid w:val="00607414"/>
    <w:rsid w:val="006074A3"/>
    <w:rsid w:val="0060759E"/>
    <w:rsid w:val="006076E8"/>
    <w:rsid w:val="00607820"/>
    <w:rsid w:val="00607CA6"/>
    <w:rsid w:val="00607CBD"/>
    <w:rsid w:val="00607F1E"/>
    <w:rsid w:val="00607FE8"/>
    <w:rsid w:val="006101BA"/>
    <w:rsid w:val="0061026B"/>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78"/>
    <w:rsid w:val="006118C3"/>
    <w:rsid w:val="006121FF"/>
    <w:rsid w:val="0061221E"/>
    <w:rsid w:val="00612291"/>
    <w:rsid w:val="006126CD"/>
    <w:rsid w:val="006126D3"/>
    <w:rsid w:val="006128D5"/>
    <w:rsid w:val="00612A65"/>
    <w:rsid w:val="00612CFC"/>
    <w:rsid w:val="00612D46"/>
    <w:rsid w:val="00612E0F"/>
    <w:rsid w:val="00612E6C"/>
    <w:rsid w:val="00613158"/>
    <w:rsid w:val="00613362"/>
    <w:rsid w:val="00613441"/>
    <w:rsid w:val="0061354C"/>
    <w:rsid w:val="0061358A"/>
    <w:rsid w:val="006137CF"/>
    <w:rsid w:val="00613D04"/>
    <w:rsid w:val="00614258"/>
    <w:rsid w:val="006142D6"/>
    <w:rsid w:val="0061445A"/>
    <w:rsid w:val="0061448C"/>
    <w:rsid w:val="006144D5"/>
    <w:rsid w:val="00614597"/>
    <w:rsid w:val="006146D9"/>
    <w:rsid w:val="006146DB"/>
    <w:rsid w:val="006146E4"/>
    <w:rsid w:val="00614A15"/>
    <w:rsid w:val="00614A8D"/>
    <w:rsid w:val="00614AFC"/>
    <w:rsid w:val="00614B1B"/>
    <w:rsid w:val="00614B74"/>
    <w:rsid w:val="00614DE2"/>
    <w:rsid w:val="00614F68"/>
    <w:rsid w:val="006150B0"/>
    <w:rsid w:val="006151BA"/>
    <w:rsid w:val="0061573D"/>
    <w:rsid w:val="00615760"/>
    <w:rsid w:val="006159E7"/>
    <w:rsid w:val="00615DF2"/>
    <w:rsid w:val="00615F78"/>
    <w:rsid w:val="0061611D"/>
    <w:rsid w:val="00616144"/>
    <w:rsid w:val="0061620B"/>
    <w:rsid w:val="0061630F"/>
    <w:rsid w:val="006163A6"/>
    <w:rsid w:val="00616B9B"/>
    <w:rsid w:val="00616E5F"/>
    <w:rsid w:val="00616E62"/>
    <w:rsid w:val="00617087"/>
    <w:rsid w:val="0061719A"/>
    <w:rsid w:val="0061729C"/>
    <w:rsid w:val="00617A80"/>
    <w:rsid w:val="00617DF3"/>
    <w:rsid w:val="006203C9"/>
    <w:rsid w:val="006204BB"/>
    <w:rsid w:val="00620562"/>
    <w:rsid w:val="0062066A"/>
    <w:rsid w:val="00620CF8"/>
    <w:rsid w:val="00620D42"/>
    <w:rsid w:val="00620D64"/>
    <w:rsid w:val="00620F4B"/>
    <w:rsid w:val="00620F76"/>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BE9"/>
    <w:rsid w:val="00624C0F"/>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A0C"/>
    <w:rsid w:val="00627A39"/>
    <w:rsid w:val="00627BD6"/>
    <w:rsid w:val="00630022"/>
    <w:rsid w:val="0063018E"/>
    <w:rsid w:val="00630243"/>
    <w:rsid w:val="00630275"/>
    <w:rsid w:val="00630389"/>
    <w:rsid w:val="00630447"/>
    <w:rsid w:val="00630526"/>
    <w:rsid w:val="0063058F"/>
    <w:rsid w:val="00630691"/>
    <w:rsid w:val="00630703"/>
    <w:rsid w:val="0063073E"/>
    <w:rsid w:val="006307D1"/>
    <w:rsid w:val="00630820"/>
    <w:rsid w:val="00630868"/>
    <w:rsid w:val="006309B7"/>
    <w:rsid w:val="00630BBE"/>
    <w:rsid w:val="00631405"/>
    <w:rsid w:val="00631636"/>
    <w:rsid w:val="00631709"/>
    <w:rsid w:val="006317C4"/>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CC2"/>
    <w:rsid w:val="00633DC4"/>
    <w:rsid w:val="00633E00"/>
    <w:rsid w:val="00633F03"/>
    <w:rsid w:val="00634247"/>
    <w:rsid w:val="006343F3"/>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579"/>
    <w:rsid w:val="006366A8"/>
    <w:rsid w:val="006367B5"/>
    <w:rsid w:val="00636866"/>
    <w:rsid w:val="00636A16"/>
    <w:rsid w:val="00637176"/>
    <w:rsid w:val="006371AF"/>
    <w:rsid w:val="0063722B"/>
    <w:rsid w:val="00637364"/>
    <w:rsid w:val="00637769"/>
    <w:rsid w:val="00637877"/>
    <w:rsid w:val="0063787B"/>
    <w:rsid w:val="00637C67"/>
    <w:rsid w:val="00637DBD"/>
    <w:rsid w:val="00637E9A"/>
    <w:rsid w:val="00640030"/>
    <w:rsid w:val="00640469"/>
    <w:rsid w:val="0064060A"/>
    <w:rsid w:val="00640AFB"/>
    <w:rsid w:val="00640E37"/>
    <w:rsid w:val="00640F70"/>
    <w:rsid w:val="006410EA"/>
    <w:rsid w:val="006411F3"/>
    <w:rsid w:val="00641954"/>
    <w:rsid w:val="00641ABE"/>
    <w:rsid w:val="00641B56"/>
    <w:rsid w:val="00641D0E"/>
    <w:rsid w:val="00641D37"/>
    <w:rsid w:val="00641D72"/>
    <w:rsid w:val="00641DDD"/>
    <w:rsid w:val="00642084"/>
    <w:rsid w:val="006421CF"/>
    <w:rsid w:val="006422F6"/>
    <w:rsid w:val="0064246E"/>
    <w:rsid w:val="0064279F"/>
    <w:rsid w:val="00642877"/>
    <w:rsid w:val="00642B50"/>
    <w:rsid w:val="00642BA0"/>
    <w:rsid w:val="00642FAC"/>
    <w:rsid w:val="0064360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23"/>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2EB"/>
    <w:rsid w:val="00647300"/>
    <w:rsid w:val="00647469"/>
    <w:rsid w:val="006474FD"/>
    <w:rsid w:val="0064762E"/>
    <w:rsid w:val="0064769C"/>
    <w:rsid w:val="00647861"/>
    <w:rsid w:val="00647AB8"/>
    <w:rsid w:val="00647FD8"/>
    <w:rsid w:val="006503F1"/>
    <w:rsid w:val="00650501"/>
    <w:rsid w:val="006505E9"/>
    <w:rsid w:val="0065079E"/>
    <w:rsid w:val="006507D1"/>
    <w:rsid w:val="00650B45"/>
    <w:rsid w:val="00650CC7"/>
    <w:rsid w:val="00650D7D"/>
    <w:rsid w:val="00651739"/>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4C"/>
    <w:rsid w:val="00653A61"/>
    <w:rsid w:val="00653C46"/>
    <w:rsid w:val="00653EE8"/>
    <w:rsid w:val="006542A1"/>
    <w:rsid w:val="006542C8"/>
    <w:rsid w:val="006542D9"/>
    <w:rsid w:val="006544B1"/>
    <w:rsid w:val="006545DA"/>
    <w:rsid w:val="006546DE"/>
    <w:rsid w:val="0065498A"/>
    <w:rsid w:val="0065499F"/>
    <w:rsid w:val="00654B0E"/>
    <w:rsid w:val="00654BB0"/>
    <w:rsid w:val="00654C4B"/>
    <w:rsid w:val="00655123"/>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88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670"/>
    <w:rsid w:val="0066293B"/>
    <w:rsid w:val="00662B22"/>
    <w:rsid w:val="00662C9D"/>
    <w:rsid w:val="006630F0"/>
    <w:rsid w:val="006632DC"/>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D7"/>
    <w:rsid w:val="00664A18"/>
    <w:rsid w:val="00664DFF"/>
    <w:rsid w:val="00664ED3"/>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60"/>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2AA"/>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97"/>
    <w:rsid w:val="00680EDD"/>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594"/>
    <w:rsid w:val="00683630"/>
    <w:rsid w:val="006837F3"/>
    <w:rsid w:val="00683893"/>
    <w:rsid w:val="0068399F"/>
    <w:rsid w:val="00683A17"/>
    <w:rsid w:val="00683AA5"/>
    <w:rsid w:val="00683B48"/>
    <w:rsid w:val="00683C58"/>
    <w:rsid w:val="00683CCC"/>
    <w:rsid w:val="00683CE4"/>
    <w:rsid w:val="00683DCF"/>
    <w:rsid w:val="00684056"/>
    <w:rsid w:val="0068483F"/>
    <w:rsid w:val="006848CB"/>
    <w:rsid w:val="00684975"/>
    <w:rsid w:val="00684D41"/>
    <w:rsid w:val="00684D52"/>
    <w:rsid w:val="006850A0"/>
    <w:rsid w:val="006853BD"/>
    <w:rsid w:val="00685628"/>
    <w:rsid w:val="006856F6"/>
    <w:rsid w:val="0068575A"/>
    <w:rsid w:val="0068575D"/>
    <w:rsid w:val="00685793"/>
    <w:rsid w:val="006857B6"/>
    <w:rsid w:val="00685832"/>
    <w:rsid w:val="00685B5A"/>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706E"/>
    <w:rsid w:val="0068725A"/>
    <w:rsid w:val="006872D8"/>
    <w:rsid w:val="00687370"/>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C5"/>
    <w:rsid w:val="00694627"/>
    <w:rsid w:val="00694A20"/>
    <w:rsid w:val="00694AA6"/>
    <w:rsid w:val="00694B49"/>
    <w:rsid w:val="00694B64"/>
    <w:rsid w:val="00694D70"/>
    <w:rsid w:val="00694E44"/>
    <w:rsid w:val="00694E47"/>
    <w:rsid w:val="00694EC5"/>
    <w:rsid w:val="00695067"/>
    <w:rsid w:val="00695168"/>
    <w:rsid w:val="0069525D"/>
    <w:rsid w:val="006954CD"/>
    <w:rsid w:val="00695537"/>
    <w:rsid w:val="006957B0"/>
    <w:rsid w:val="006958F6"/>
    <w:rsid w:val="00695B6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703"/>
    <w:rsid w:val="00697C70"/>
    <w:rsid w:val="00697D1A"/>
    <w:rsid w:val="00697DD2"/>
    <w:rsid w:val="006A0105"/>
    <w:rsid w:val="006A0582"/>
    <w:rsid w:val="006A077E"/>
    <w:rsid w:val="006A0791"/>
    <w:rsid w:val="006A08D0"/>
    <w:rsid w:val="006A09A7"/>
    <w:rsid w:val="006A0A36"/>
    <w:rsid w:val="006A0BC3"/>
    <w:rsid w:val="006A0D95"/>
    <w:rsid w:val="006A0DA4"/>
    <w:rsid w:val="006A0DDF"/>
    <w:rsid w:val="006A0E94"/>
    <w:rsid w:val="006A0F76"/>
    <w:rsid w:val="006A0FDB"/>
    <w:rsid w:val="006A100F"/>
    <w:rsid w:val="006A1093"/>
    <w:rsid w:val="006A1218"/>
    <w:rsid w:val="006A1226"/>
    <w:rsid w:val="006A12B4"/>
    <w:rsid w:val="006A1735"/>
    <w:rsid w:val="006A17CE"/>
    <w:rsid w:val="006A1948"/>
    <w:rsid w:val="006A1F70"/>
    <w:rsid w:val="006A22FF"/>
    <w:rsid w:val="006A23C5"/>
    <w:rsid w:val="006A24B0"/>
    <w:rsid w:val="006A27D9"/>
    <w:rsid w:val="006A28F5"/>
    <w:rsid w:val="006A292D"/>
    <w:rsid w:val="006A2B30"/>
    <w:rsid w:val="006A2B3E"/>
    <w:rsid w:val="006A2B78"/>
    <w:rsid w:val="006A2E54"/>
    <w:rsid w:val="006A2F60"/>
    <w:rsid w:val="006A31F3"/>
    <w:rsid w:val="006A3501"/>
    <w:rsid w:val="006A37B1"/>
    <w:rsid w:val="006A3953"/>
    <w:rsid w:val="006A3ADC"/>
    <w:rsid w:val="006A3DBD"/>
    <w:rsid w:val="006A3E38"/>
    <w:rsid w:val="006A3F30"/>
    <w:rsid w:val="006A46A9"/>
    <w:rsid w:val="006A4765"/>
    <w:rsid w:val="006A4B88"/>
    <w:rsid w:val="006A4C66"/>
    <w:rsid w:val="006A4DBD"/>
    <w:rsid w:val="006A4DD7"/>
    <w:rsid w:val="006A4FDF"/>
    <w:rsid w:val="006A51C2"/>
    <w:rsid w:val="006A52D2"/>
    <w:rsid w:val="006A53FD"/>
    <w:rsid w:val="006A55C6"/>
    <w:rsid w:val="006A581F"/>
    <w:rsid w:val="006A5843"/>
    <w:rsid w:val="006A58E3"/>
    <w:rsid w:val="006A59E1"/>
    <w:rsid w:val="006A5A45"/>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D6C"/>
    <w:rsid w:val="006B0E52"/>
    <w:rsid w:val="006B0E99"/>
    <w:rsid w:val="006B0F3D"/>
    <w:rsid w:val="006B1333"/>
    <w:rsid w:val="006B1720"/>
    <w:rsid w:val="006B1FC1"/>
    <w:rsid w:val="006B2056"/>
    <w:rsid w:val="006B2083"/>
    <w:rsid w:val="006B216F"/>
    <w:rsid w:val="006B22EF"/>
    <w:rsid w:val="006B26D5"/>
    <w:rsid w:val="006B2728"/>
    <w:rsid w:val="006B2775"/>
    <w:rsid w:val="006B283C"/>
    <w:rsid w:val="006B29DE"/>
    <w:rsid w:val="006B2A22"/>
    <w:rsid w:val="006B2C57"/>
    <w:rsid w:val="006B2D09"/>
    <w:rsid w:val="006B2D2B"/>
    <w:rsid w:val="006B2F83"/>
    <w:rsid w:val="006B2FB7"/>
    <w:rsid w:val="006B325F"/>
    <w:rsid w:val="006B328F"/>
    <w:rsid w:val="006B35A7"/>
    <w:rsid w:val="006B3C18"/>
    <w:rsid w:val="006B3E1E"/>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ED4"/>
    <w:rsid w:val="006C2FBB"/>
    <w:rsid w:val="006C2FCC"/>
    <w:rsid w:val="006C315E"/>
    <w:rsid w:val="006C348F"/>
    <w:rsid w:val="006C355C"/>
    <w:rsid w:val="006C35FA"/>
    <w:rsid w:val="006C3ABD"/>
    <w:rsid w:val="006C3D0B"/>
    <w:rsid w:val="006C3F10"/>
    <w:rsid w:val="006C46B5"/>
    <w:rsid w:val="006C495B"/>
    <w:rsid w:val="006C4F2C"/>
    <w:rsid w:val="006C4FB4"/>
    <w:rsid w:val="006C5060"/>
    <w:rsid w:val="006C5071"/>
    <w:rsid w:val="006C5114"/>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B7"/>
    <w:rsid w:val="006D0FEA"/>
    <w:rsid w:val="006D1203"/>
    <w:rsid w:val="006D1442"/>
    <w:rsid w:val="006D14E5"/>
    <w:rsid w:val="006D1575"/>
    <w:rsid w:val="006D19CC"/>
    <w:rsid w:val="006D19E2"/>
    <w:rsid w:val="006D1FD2"/>
    <w:rsid w:val="006D207F"/>
    <w:rsid w:val="006D21B9"/>
    <w:rsid w:val="006D227C"/>
    <w:rsid w:val="006D24F9"/>
    <w:rsid w:val="006D2546"/>
    <w:rsid w:val="006D25F8"/>
    <w:rsid w:val="006D27C3"/>
    <w:rsid w:val="006D27D5"/>
    <w:rsid w:val="006D27FD"/>
    <w:rsid w:val="006D2A88"/>
    <w:rsid w:val="006D2DFF"/>
    <w:rsid w:val="006D3286"/>
    <w:rsid w:val="006D344D"/>
    <w:rsid w:val="006D359E"/>
    <w:rsid w:val="006D396E"/>
    <w:rsid w:val="006D3E99"/>
    <w:rsid w:val="006D4303"/>
    <w:rsid w:val="006D432A"/>
    <w:rsid w:val="006D4437"/>
    <w:rsid w:val="006D4958"/>
    <w:rsid w:val="006D4986"/>
    <w:rsid w:val="006D4CDD"/>
    <w:rsid w:val="006D4E10"/>
    <w:rsid w:val="006D501B"/>
    <w:rsid w:val="006D5295"/>
    <w:rsid w:val="006D5339"/>
    <w:rsid w:val="006D586F"/>
    <w:rsid w:val="006D58FF"/>
    <w:rsid w:val="006D5A2A"/>
    <w:rsid w:val="006D5F99"/>
    <w:rsid w:val="006D62D7"/>
    <w:rsid w:val="006D6415"/>
    <w:rsid w:val="006D65F0"/>
    <w:rsid w:val="006D6692"/>
    <w:rsid w:val="006D67D8"/>
    <w:rsid w:val="006D6844"/>
    <w:rsid w:val="006D6937"/>
    <w:rsid w:val="006D69CE"/>
    <w:rsid w:val="006D6A8E"/>
    <w:rsid w:val="006D6D6D"/>
    <w:rsid w:val="006D6E6A"/>
    <w:rsid w:val="006D704D"/>
    <w:rsid w:val="006D71A7"/>
    <w:rsid w:val="006D7749"/>
    <w:rsid w:val="006D7C47"/>
    <w:rsid w:val="006D7CDF"/>
    <w:rsid w:val="006D7D29"/>
    <w:rsid w:val="006D7D6E"/>
    <w:rsid w:val="006E029F"/>
    <w:rsid w:val="006E0405"/>
    <w:rsid w:val="006E042D"/>
    <w:rsid w:val="006E0531"/>
    <w:rsid w:val="006E061B"/>
    <w:rsid w:val="006E06CF"/>
    <w:rsid w:val="006E0716"/>
    <w:rsid w:val="006E07D9"/>
    <w:rsid w:val="006E0855"/>
    <w:rsid w:val="006E0877"/>
    <w:rsid w:val="006E0A13"/>
    <w:rsid w:val="006E0AE3"/>
    <w:rsid w:val="006E0B99"/>
    <w:rsid w:val="006E0BF5"/>
    <w:rsid w:val="006E0C52"/>
    <w:rsid w:val="006E0E20"/>
    <w:rsid w:val="006E0FD5"/>
    <w:rsid w:val="006E10B4"/>
    <w:rsid w:val="006E1593"/>
    <w:rsid w:val="006E1623"/>
    <w:rsid w:val="006E16CF"/>
    <w:rsid w:val="006E186C"/>
    <w:rsid w:val="006E1ADD"/>
    <w:rsid w:val="006E1C3F"/>
    <w:rsid w:val="006E1FEB"/>
    <w:rsid w:val="006E2177"/>
    <w:rsid w:val="006E21BE"/>
    <w:rsid w:val="006E2290"/>
    <w:rsid w:val="006E2315"/>
    <w:rsid w:val="006E2B49"/>
    <w:rsid w:val="006E2F0B"/>
    <w:rsid w:val="006E3009"/>
    <w:rsid w:val="006E3081"/>
    <w:rsid w:val="006E310F"/>
    <w:rsid w:val="006E312F"/>
    <w:rsid w:val="006E33BA"/>
    <w:rsid w:val="006E370E"/>
    <w:rsid w:val="006E3787"/>
    <w:rsid w:val="006E390C"/>
    <w:rsid w:val="006E39D5"/>
    <w:rsid w:val="006E39F0"/>
    <w:rsid w:val="006E3BC1"/>
    <w:rsid w:val="006E3C46"/>
    <w:rsid w:val="006E3E92"/>
    <w:rsid w:val="006E3EF6"/>
    <w:rsid w:val="006E3FBB"/>
    <w:rsid w:val="006E414C"/>
    <w:rsid w:val="006E41F2"/>
    <w:rsid w:val="006E420D"/>
    <w:rsid w:val="006E4237"/>
    <w:rsid w:val="006E43A9"/>
    <w:rsid w:val="006E452B"/>
    <w:rsid w:val="006E491B"/>
    <w:rsid w:val="006E4B54"/>
    <w:rsid w:val="006E4CC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B0E"/>
    <w:rsid w:val="006F1CDA"/>
    <w:rsid w:val="006F1DE0"/>
    <w:rsid w:val="006F1F79"/>
    <w:rsid w:val="006F1FBB"/>
    <w:rsid w:val="006F226E"/>
    <w:rsid w:val="006F22F2"/>
    <w:rsid w:val="006F23CC"/>
    <w:rsid w:val="006F23EB"/>
    <w:rsid w:val="006F2701"/>
    <w:rsid w:val="006F2784"/>
    <w:rsid w:val="006F27AF"/>
    <w:rsid w:val="006F2AC0"/>
    <w:rsid w:val="006F2B54"/>
    <w:rsid w:val="006F2D52"/>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20"/>
    <w:rsid w:val="00700391"/>
    <w:rsid w:val="00700B5D"/>
    <w:rsid w:val="00700F3A"/>
    <w:rsid w:val="00700F85"/>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C38"/>
    <w:rsid w:val="00702FD9"/>
    <w:rsid w:val="00703121"/>
    <w:rsid w:val="00703336"/>
    <w:rsid w:val="00703374"/>
    <w:rsid w:val="007035BF"/>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B27"/>
    <w:rsid w:val="00705E28"/>
    <w:rsid w:val="0070665E"/>
    <w:rsid w:val="00706915"/>
    <w:rsid w:val="0070693F"/>
    <w:rsid w:val="00706A6A"/>
    <w:rsid w:val="00706A6C"/>
    <w:rsid w:val="00706DE5"/>
    <w:rsid w:val="00706E39"/>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441"/>
    <w:rsid w:val="0071260F"/>
    <w:rsid w:val="00712674"/>
    <w:rsid w:val="00712678"/>
    <w:rsid w:val="0071295C"/>
    <w:rsid w:val="007129F5"/>
    <w:rsid w:val="00712C1B"/>
    <w:rsid w:val="00712DB1"/>
    <w:rsid w:val="00712E5A"/>
    <w:rsid w:val="00712E70"/>
    <w:rsid w:val="00712F9D"/>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E18"/>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6F51"/>
    <w:rsid w:val="0071702C"/>
    <w:rsid w:val="007174C6"/>
    <w:rsid w:val="0071758A"/>
    <w:rsid w:val="007177EE"/>
    <w:rsid w:val="00717AB6"/>
    <w:rsid w:val="00717B3D"/>
    <w:rsid w:val="00717B55"/>
    <w:rsid w:val="00717C4E"/>
    <w:rsid w:val="00717E3B"/>
    <w:rsid w:val="00717E97"/>
    <w:rsid w:val="00717F04"/>
    <w:rsid w:val="00717F9E"/>
    <w:rsid w:val="00720088"/>
    <w:rsid w:val="0072013B"/>
    <w:rsid w:val="0072017A"/>
    <w:rsid w:val="007202D1"/>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4C6"/>
    <w:rsid w:val="00726762"/>
    <w:rsid w:val="007267F9"/>
    <w:rsid w:val="00726956"/>
    <w:rsid w:val="007269AC"/>
    <w:rsid w:val="00726C2C"/>
    <w:rsid w:val="00726DFA"/>
    <w:rsid w:val="00727231"/>
    <w:rsid w:val="00727B00"/>
    <w:rsid w:val="00727B94"/>
    <w:rsid w:val="00727C16"/>
    <w:rsid w:val="00727DFE"/>
    <w:rsid w:val="00730018"/>
    <w:rsid w:val="00730225"/>
    <w:rsid w:val="00730346"/>
    <w:rsid w:val="00730423"/>
    <w:rsid w:val="0073082D"/>
    <w:rsid w:val="00730A10"/>
    <w:rsid w:val="00730BC4"/>
    <w:rsid w:val="0073103D"/>
    <w:rsid w:val="007313E9"/>
    <w:rsid w:val="00731629"/>
    <w:rsid w:val="00731935"/>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4AB"/>
    <w:rsid w:val="00735547"/>
    <w:rsid w:val="0073568C"/>
    <w:rsid w:val="00735970"/>
    <w:rsid w:val="00735B15"/>
    <w:rsid w:val="00735BF1"/>
    <w:rsid w:val="00735E54"/>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1E2B"/>
    <w:rsid w:val="007420DC"/>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418F"/>
    <w:rsid w:val="007443A3"/>
    <w:rsid w:val="007443CB"/>
    <w:rsid w:val="00744795"/>
    <w:rsid w:val="007448C4"/>
    <w:rsid w:val="007448E9"/>
    <w:rsid w:val="00744AE1"/>
    <w:rsid w:val="00744B4C"/>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8B7"/>
    <w:rsid w:val="007468D3"/>
    <w:rsid w:val="00746ABA"/>
    <w:rsid w:val="00746BE6"/>
    <w:rsid w:val="00746DA5"/>
    <w:rsid w:val="00746DBE"/>
    <w:rsid w:val="00746EA6"/>
    <w:rsid w:val="00747068"/>
    <w:rsid w:val="0074718A"/>
    <w:rsid w:val="00747237"/>
    <w:rsid w:val="0074741C"/>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AD4"/>
    <w:rsid w:val="00753B2D"/>
    <w:rsid w:val="00753C4D"/>
    <w:rsid w:val="00753C6D"/>
    <w:rsid w:val="00753D39"/>
    <w:rsid w:val="00753D46"/>
    <w:rsid w:val="00753D54"/>
    <w:rsid w:val="00753DBB"/>
    <w:rsid w:val="0075410C"/>
    <w:rsid w:val="007545ED"/>
    <w:rsid w:val="007548D4"/>
    <w:rsid w:val="00754A78"/>
    <w:rsid w:val="00754BC8"/>
    <w:rsid w:val="00754BCD"/>
    <w:rsid w:val="00754CCE"/>
    <w:rsid w:val="00754F94"/>
    <w:rsid w:val="00755028"/>
    <w:rsid w:val="007551CD"/>
    <w:rsid w:val="00755215"/>
    <w:rsid w:val="00755291"/>
    <w:rsid w:val="007552AD"/>
    <w:rsid w:val="00755429"/>
    <w:rsid w:val="007557B6"/>
    <w:rsid w:val="00755871"/>
    <w:rsid w:val="00755A95"/>
    <w:rsid w:val="00755AF9"/>
    <w:rsid w:val="00755CB2"/>
    <w:rsid w:val="00755D2C"/>
    <w:rsid w:val="00755D5E"/>
    <w:rsid w:val="00755DDA"/>
    <w:rsid w:val="00755E2E"/>
    <w:rsid w:val="00755E3A"/>
    <w:rsid w:val="00755FA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07"/>
    <w:rsid w:val="00756E3B"/>
    <w:rsid w:val="00756F47"/>
    <w:rsid w:val="0075718F"/>
    <w:rsid w:val="0075736D"/>
    <w:rsid w:val="00757418"/>
    <w:rsid w:val="007574C2"/>
    <w:rsid w:val="007574CE"/>
    <w:rsid w:val="007574E8"/>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A7"/>
    <w:rsid w:val="00762B63"/>
    <w:rsid w:val="00762BA7"/>
    <w:rsid w:val="00762C7B"/>
    <w:rsid w:val="00762D60"/>
    <w:rsid w:val="00762E48"/>
    <w:rsid w:val="00762F11"/>
    <w:rsid w:val="00763002"/>
    <w:rsid w:val="0076340F"/>
    <w:rsid w:val="007634DA"/>
    <w:rsid w:val="00763792"/>
    <w:rsid w:val="007637A3"/>
    <w:rsid w:val="00763850"/>
    <w:rsid w:val="00763956"/>
    <w:rsid w:val="0076399F"/>
    <w:rsid w:val="007639AB"/>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32"/>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111B"/>
    <w:rsid w:val="0077142B"/>
    <w:rsid w:val="00771466"/>
    <w:rsid w:val="0077157F"/>
    <w:rsid w:val="0077171B"/>
    <w:rsid w:val="0077183E"/>
    <w:rsid w:val="007719F5"/>
    <w:rsid w:val="00771A14"/>
    <w:rsid w:val="00771B23"/>
    <w:rsid w:val="0077201F"/>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D8A"/>
    <w:rsid w:val="00773F5B"/>
    <w:rsid w:val="00774178"/>
    <w:rsid w:val="0077426A"/>
    <w:rsid w:val="00774296"/>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033"/>
    <w:rsid w:val="0077718F"/>
    <w:rsid w:val="007771BE"/>
    <w:rsid w:val="007772DB"/>
    <w:rsid w:val="0077776E"/>
    <w:rsid w:val="00777796"/>
    <w:rsid w:val="0077794C"/>
    <w:rsid w:val="00777B8D"/>
    <w:rsid w:val="007800A0"/>
    <w:rsid w:val="007800FA"/>
    <w:rsid w:val="00780273"/>
    <w:rsid w:val="00780299"/>
    <w:rsid w:val="00780408"/>
    <w:rsid w:val="007805B1"/>
    <w:rsid w:val="00780734"/>
    <w:rsid w:val="00780758"/>
    <w:rsid w:val="00780783"/>
    <w:rsid w:val="00780786"/>
    <w:rsid w:val="007807B5"/>
    <w:rsid w:val="00780953"/>
    <w:rsid w:val="00780C42"/>
    <w:rsid w:val="00780E1C"/>
    <w:rsid w:val="00780E27"/>
    <w:rsid w:val="00780E7E"/>
    <w:rsid w:val="00780F21"/>
    <w:rsid w:val="00781094"/>
    <w:rsid w:val="007813E3"/>
    <w:rsid w:val="00781752"/>
    <w:rsid w:val="0078180D"/>
    <w:rsid w:val="00781848"/>
    <w:rsid w:val="00781865"/>
    <w:rsid w:val="00781932"/>
    <w:rsid w:val="00781F47"/>
    <w:rsid w:val="00782013"/>
    <w:rsid w:val="00782092"/>
    <w:rsid w:val="007821B4"/>
    <w:rsid w:val="007824C0"/>
    <w:rsid w:val="007826E3"/>
    <w:rsid w:val="007826FF"/>
    <w:rsid w:val="00782942"/>
    <w:rsid w:val="00782A0B"/>
    <w:rsid w:val="00782B14"/>
    <w:rsid w:val="00782C46"/>
    <w:rsid w:val="00782D19"/>
    <w:rsid w:val="00782DC6"/>
    <w:rsid w:val="00782DCA"/>
    <w:rsid w:val="007835FA"/>
    <w:rsid w:val="0078376B"/>
    <w:rsid w:val="007838FB"/>
    <w:rsid w:val="00783D15"/>
    <w:rsid w:val="00783ED8"/>
    <w:rsid w:val="00783F13"/>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EFE"/>
    <w:rsid w:val="00791417"/>
    <w:rsid w:val="007914E0"/>
    <w:rsid w:val="00791587"/>
    <w:rsid w:val="007916AC"/>
    <w:rsid w:val="00791820"/>
    <w:rsid w:val="00791B32"/>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4BD"/>
    <w:rsid w:val="00797652"/>
    <w:rsid w:val="007976B9"/>
    <w:rsid w:val="00797813"/>
    <w:rsid w:val="007978B1"/>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180F"/>
    <w:rsid w:val="007A2003"/>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4CAC"/>
    <w:rsid w:val="007A5045"/>
    <w:rsid w:val="007A5141"/>
    <w:rsid w:val="007A5244"/>
    <w:rsid w:val="007A52E2"/>
    <w:rsid w:val="007A534F"/>
    <w:rsid w:val="007A53BB"/>
    <w:rsid w:val="007A5735"/>
    <w:rsid w:val="007A5A44"/>
    <w:rsid w:val="007A5ADC"/>
    <w:rsid w:val="007A5B2A"/>
    <w:rsid w:val="007A5B83"/>
    <w:rsid w:val="007A613D"/>
    <w:rsid w:val="007A6399"/>
    <w:rsid w:val="007A63E9"/>
    <w:rsid w:val="007A66AC"/>
    <w:rsid w:val="007A6883"/>
    <w:rsid w:val="007A693D"/>
    <w:rsid w:val="007A6944"/>
    <w:rsid w:val="007A69A8"/>
    <w:rsid w:val="007A69B5"/>
    <w:rsid w:val="007A6FB3"/>
    <w:rsid w:val="007A723B"/>
    <w:rsid w:val="007A7259"/>
    <w:rsid w:val="007A7480"/>
    <w:rsid w:val="007A7493"/>
    <w:rsid w:val="007A7630"/>
    <w:rsid w:val="007A76DD"/>
    <w:rsid w:val="007A7708"/>
    <w:rsid w:val="007A772F"/>
    <w:rsid w:val="007A77C3"/>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14"/>
    <w:rsid w:val="007B137B"/>
    <w:rsid w:val="007B14DC"/>
    <w:rsid w:val="007B14EB"/>
    <w:rsid w:val="007B1A9C"/>
    <w:rsid w:val="007B1B1F"/>
    <w:rsid w:val="007B1D50"/>
    <w:rsid w:val="007B1D81"/>
    <w:rsid w:val="007B1F5A"/>
    <w:rsid w:val="007B1FCA"/>
    <w:rsid w:val="007B2054"/>
    <w:rsid w:val="007B2793"/>
    <w:rsid w:val="007B2C74"/>
    <w:rsid w:val="007B2D95"/>
    <w:rsid w:val="007B2EB0"/>
    <w:rsid w:val="007B3062"/>
    <w:rsid w:val="007B3063"/>
    <w:rsid w:val="007B3114"/>
    <w:rsid w:val="007B353C"/>
    <w:rsid w:val="007B36DD"/>
    <w:rsid w:val="007B38F5"/>
    <w:rsid w:val="007B4165"/>
    <w:rsid w:val="007B43AD"/>
    <w:rsid w:val="007B43BC"/>
    <w:rsid w:val="007B43E3"/>
    <w:rsid w:val="007B461D"/>
    <w:rsid w:val="007B46DF"/>
    <w:rsid w:val="007B48AF"/>
    <w:rsid w:val="007B48ED"/>
    <w:rsid w:val="007B496F"/>
    <w:rsid w:val="007B4DBF"/>
    <w:rsid w:val="007B4E92"/>
    <w:rsid w:val="007B4F86"/>
    <w:rsid w:val="007B5361"/>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31A"/>
    <w:rsid w:val="007B7448"/>
    <w:rsid w:val="007B7733"/>
    <w:rsid w:val="007B794A"/>
    <w:rsid w:val="007B7A6A"/>
    <w:rsid w:val="007B7B8F"/>
    <w:rsid w:val="007B7E4D"/>
    <w:rsid w:val="007B7E78"/>
    <w:rsid w:val="007B7E7E"/>
    <w:rsid w:val="007B7E9B"/>
    <w:rsid w:val="007C029D"/>
    <w:rsid w:val="007C02CB"/>
    <w:rsid w:val="007C0598"/>
    <w:rsid w:val="007C0829"/>
    <w:rsid w:val="007C08AA"/>
    <w:rsid w:val="007C099F"/>
    <w:rsid w:val="007C0AFA"/>
    <w:rsid w:val="007C0B7D"/>
    <w:rsid w:val="007C0B8E"/>
    <w:rsid w:val="007C0F74"/>
    <w:rsid w:val="007C0FB9"/>
    <w:rsid w:val="007C0FD9"/>
    <w:rsid w:val="007C1227"/>
    <w:rsid w:val="007C135D"/>
    <w:rsid w:val="007C148B"/>
    <w:rsid w:val="007C155E"/>
    <w:rsid w:val="007C17E4"/>
    <w:rsid w:val="007C186E"/>
    <w:rsid w:val="007C1916"/>
    <w:rsid w:val="007C19AF"/>
    <w:rsid w:val="007C1AA9"/>
    <w:rsid w:val="007C1B6F"/>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65"/>
    <w:rsid w:val="007C3CD4"/>
    <w:rsid w:val="007C3D85"/>
    <w:rsid w:val="007C3DBE"/>
    <w:rsid w:val="007C3E5B"/>
    <w:rsid w:val="007C3E63"/>
    <w:rsid w:val="007C4066"/>
    <w:rsid w:val="007C40BB"/>
    <w:rsid w:val="007C4228"/>
    <w:rsid w:val="007C441E"/>
    <w:rsid w:val="007C4564"/>
    <w:rsid w:val="007C46AD"/>
    <w:rsid w:val="007C470A"/>
    <w:rsid w:val="007C498B"/>
    <w:rsid w:val="007C4AF9"/>
    <w:rsid w:val="007C4F02"/>
    <w:rsid w:val="007C4F15"/>
    <w:rsid w:val="007C5080"/>
    <w:rsid w:val="007C51A4"/>
    <w:rsid w:val="007C5207"/>
    <w:rsid w:val="007C5292"/>
    <w:rsid w:val="007C54E3"/>
    <w:rsid w:val="007C54E4"/>
    <w:rsid w:val="007C5A6B"/>
    <w:rsid w:val="007C5C0C"/>
    <w:rsid w:val="007C5D33"/>
    <w:rsid w:val="007C5E9F"/>
    <w:rsid w:val="007C5EA3"/>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74D"/>
    <w:rsid w:val="007D4771"/>
    <w:rsid w:val="007D49E0"/>
    <w:rsid w:val="007D4B15"/>
    <w:rsid w:val="007D4C12"/>
    <w:rsid w:val="007D4EEA"/>
    <w:rsid w:val="007D4F75"/>
    <w:rsid w:val="007D5130"/>
    <w:rsid w:val="007D5209"/>
    <w:rsid w:val="007D52D8"/>
    <w:rsid w:val="007D548C"/>
    <w:rsid w:val="007D5518"/>
    <w:rsid w:val="007D5568"/>
    <w:rsid w:val="007D5865"/>
    <w:rsid w:val="007D58C6"/>
    <w:rsid w:val="007D5B12"/>
    <w:rsid w:val="007D5EBC"/>
    <w:rsid w:val="007D6412"/>
    <w:rsid w:val="007D663A"/>
    <w:rsid w:val="007D6675"/>
    <w:rsid w:val="007D66C1"/>
    <w:rsid w:val="007D6D9C"/>
    <w:rsid w:val="007D6DBF"/>
    <w:rsid w:val="007D6EF8"/>
    <w:rsid w:val="007D70C3"/>
    <w:rsid w:val="007D7134"/>
    <w:rsid w:val="007D7B7B"/>
    <w:rsid w:val="007D7EC6"/>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969"/>
    <w:rsid w:val="007E2A46"/>
    <w:rsid w:val="007E2B3B"/>
    <w:rsid w:val="007E2BE4"/>
    <w:rsid w:val="007E2BF9"/>
    <w:rsid w:val="007E2D97"/>
    <w:rsid w:val="007E305F"/>
    <w:rsid w:val="007E31DD"/>
    <w:rsid w:val="007E31E4"/>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BDD"/>
    <w:rsid w:val="007E5C40"/>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3AD"/>
    <w:rsid w:val="007E745A"/>
    <w:rsid w:val="007E75F6"/>
    <w:rsid w:val="007E7835"/>
    <w:rsid w:val="007E794B"/>
    <w:rsid w:val="007E79F3"/>
    <w:rsid w:val="007E7D10"/>
    <w:rsid w:val="007E7D9D"/>
    <w:rsid w:val="007E7F5D"/>
    <w:rsid w:val="007E7F5E"/>
    <w:rsid w:val="007F0100"/>
    <w:rsid w:val="007F0569"/>
    <w:rsid w:val="007F05CF"/>
    <w:rsid w:val="007F068B"/>
    <w:rsid w:val="007F089C"/>
    <w:rsid w:val="007F08EF"/>
    <w:rsid w:val="007F0C96"/>
    <w:rsid w:val="007F0D6F"/>
    <w:rsid w:val="007F0EA2"/>
    <w:rsid w:val="007F10BB"/>
    <w:rsid w:val="007F13E9"/>
    <w:rsid w:val="007F1610"/>
    <w:rsid w:val="007F1719"/>
    <w:rsid w:val="007F1A08"/>
    <w:rsid w:val="007F1AF6"/>
    <w:rsid w:val="007F1C9F"/>
    <w:rsid w:val="007F1D05"/>
    <w:rsid w:val="007F1D98"/>
    <w:rsid w:val="007F1EA2"/>
    <w:rsid w:val="007F2117"/>
    <w:rsid w:val="007F218E"/>
    <w:rsid w:val="007F243E"/>
    <w:rsid w:val="007F274D"/>
    <w:rsid w:val="007F2A94"/>
    <w:rsid w:val="007F2C2C"/>
    <w:rsid w:val="007F2C46"/>
    <w:rsid w:val="007F32E2"/>
    <w:rsid w:val="007F33D5"/>
    <w:rsid w:val="007F36BF"/>
    <w:rsid w:val="007F3714"/>
    <w:rsid w:val="007F3747"/>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3F"/>
    <w:rsid w:val="007F74BA"/>
    <w:rsid w:val="007F77D1"/>
    <w:rsid w:val="007F7865"/>
    <w:rsid w:val="007F7AD6"/>
    <w:rsid w:val="007F7FD6"/>
    <w:rsid w:val="00800175"/>
    <w:rsid w:val="0080038D"/>
    <w:rsid w:val="008004FC"/>
    <w:rsid w:val="0080056F"/>
    <w:rsid w:val="008005BC"/>
    <w:rsid w:val="00800631"/>
    <w:rsid w:val="008007AA"/>
    <w:rsid w:val="008007DF"/>
    <w:rsid w:val="00800AD4"/>
    <w:rsid w:val="00800C2A"/>
    <w:rsid w:val="00800D98"/>
    <w:rsid w:val="00800E22"/>
    <w:rsid w:val="00800F5C"/>
    <w:rsid w:val="008011F0"/>
    <w:rsid w:val="0080120E"/>
    <w:rsid w:val="00801300"/>
    <w:rsid w:val="0080161F"/>
    <w:rsid w:val="0080164F"/>
    <w:rsid w:val="008016D1"/>
    <w:rsid w:val="008018EC"/>
    <w:rsid w:val="00801D83"/>
    <w:rsid w:val="00801E6B"/>
    <w:rsid w:val="00802088"/>
    <w:rsid w:val="0080234F"/>
    <w:rsid w:val="00802C77"/>
    <w:rsid w:val="00802CCF"/>
    <w:rsid w:val="00802F7D"/>
    <w:rsid w:val="008030D0"/>
    <w:rsid w:val="0080313B"/>
    <w:rsid w:val="00803510"/>
    <w:rsid w:val="00803641"/>
    <w:rsid w:val="008037B3"/>
    <w:rsid w:val="00803A91"/>
    <w:rsid w:val="00803D0A"/>
    <w:rsid w:val="00803D9D"/>
    <w:rsid w:val="00803DF8"/>
    <w:rsid w:val="00803F63"/>
    <w:rsid w:val="00803F76"/>
    <w:rsid w:val="00803FB7"/>
    <w:rsid w:val="00804261"/>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85E"/>
    <w:rsid w:val="00805988"/>
    <w:rsid w:val="00805A43"/>
    <w:rsid w:val="00805AE5"/>
    <w:rsid w:val="00805B0F"/>
    <w:rsid w:val="00805FD7"/>
    <w:rsid w:val="00805FF3"/>
    <w:rsid w:val="00806168"/>
    <w:rsid w:val="00806320"/>
    <w:rsid w:val="00806421"/>
    <w:rsid w:val="008066C8"/>
    <w:rsid w:val="00806FF5"/>
    <w:rsid w:val="008071D5"/>
    <w:rsid w:val="0080721E"/>
    <w:rsid w:val="0080724D"/>
    <w:rsid w:val="008074D5"/>
    <w:rsid w:val="008074F3"/>
    <w:rsid w:val="0080750D"/>
    <w:rsid w:val="00807719"/>
    <w:rsid w:val="008077E1"/>
    <w:rsid w:val="00807854"/>
    <w:rsid w:val="008078F6"/>
    <w:rsid w:val="0080795F"/>
    <w:rsid w:val="00807AEA"/>
    <w:rsid w:val="00807B13"/>
    <w:rsid w:val="00807BE5"/>
    <w:rsid w:val="00807E1E"/>
    <w:rsid w:val="00807E33"/>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E5B"/>
    <w:rsid w:val="00813F34"/>
    <w:rsid w:val="0081432C"/>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0B9"/>
    <w:rsid w:val="00816185"/>
    <w:rsid w:val="008161D3"/>
    <w:rsid w:val="008162A3"/>
    <w:rsid w:val="008162BD"/>
    <w:rsid w:val="00816362"/>
    <w:rsid w:val="0081647B"/>
    <w:rsid w:val="00816609"/>
    <w:rsid w:val="00816654"/>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A8A"/>
    <w:rsid w:val="00822B84"/>
    <w:rsid w:val="0082328A"/>
    <w:rsid w:val="008232AD"/>
    <w:rsid w:val="008236E5"/>
    <w:rsid w:val="0082379E"/>
    <w:rsid w:val="008237BE"/>
    <w:rsid w:val="00823860"/>
    <w:rsid w:val="00823AC6"/>
    <w:rsid w:val="00823C83"/>
    <w:rsid w:val="00823CF0"/>
    <w:rsid w:val="00823E3B"/>
    <w:rsid w:val="00823F43"/>
    <w:rsid w:val="0082412D"/>
    <w:rsid w:val="0082456E"/>
    <w:rsid w:val="008245D2"/>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5BF"/>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D50"/>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689"/>
    <w:rsid w:val="00842886"/>
    <w:rsid w:val="00842904"/>
    <w:rsid w:val="00842B0E"/>
    <w:rsid w:val="00842B37"/>
    <w:rsid w:val="00843007"/>
    <w:rsid w:val="008434AD"/>
    <w:rsid w:val="00843507"/>
    <w:rsid w:val="0084391A"/>
    <w:rsid w:val="00843B97"/>
    <w:rsid w:val="00843BEF"/>
    <w:rsid w:val="00843E8C"/>
    <w:rsid w:val="0084402A"/>
    <w:rsid w:val="00844219"/>
    <w:rsid w:val="0084434D"/>
    <w:rsid w:val="008443C9"/>
    <w:rsid w:val="008443F5"/>
    <w:rsid w:val="0084450D"/>
    <w:rsid w:val="00844680"/>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52"/>
    <w:rsid w:val="00850881"/>
    <w:rsid w:val="00850D5B"/>
    <w:rsid w:val="00850FF3"/>
    <w:rsid w:val="008512B3"/>
    <w:rsid w:val="008514CA"/>
    <w:rsid w:val="00851842"/>
    <w:rsid w:val="0085191A"/>
    <w:rsid w:val="00851E77"/>
    <w:rsid w:val="0085204D"/>
    <w:rsid w:val="0085222F"/>
    <w:rsid w:val="00852381"/>
    <w:rsid w:val="008524B7"/>
    <w:rsid w:val="00852726"/>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32"/>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03E"/>
    <w:rsid w:val="00862110"/>
    <w:rsid w:val="00862114"/>
    <w:rsid w:val="00862189"/>
    <w:rsid w:val="00862243"/>
    <w:rsid w:val="008622DD"/>
    <w:rsid w:val="0086276A"/>
    <w:rsid w:val="00862784"/>
    <w:rsid w:val="0086279E"/>
    <w:rsid w:val="00862B1D"/>
    <w:rsid w:val="00862B3C"/>
    <w:rsid w:val="00862C3D"/>
    <w:rsid w:val="00862C45"/>
    <w:rsid w:val="00862D7C"/>
    <w:rsid w:val="00862DC4"/>
    <w:rsid w:val="00862DD5"/>
    <w:rsid w:val="00862EEE"/>
    <w:rsid w:val="008630FC"/>
    <w:rsid w:val="00863764"/>
    <w:rsid w:val="008637A3"/>
    <w:rsid w:val="008637CB"/>
    <w:rsid w:val="0086399C"/>
    <w:rsid w:val="00863B07"/>
    <w:rsid w:val="00863B98"/>
    <w:rsid w:val="00863CD8"/>
    <w:rsid w:val="0086400E"/>
    <w:rsid w:val="008640E5"/>
    <w:rsid w:val="008641A6"/>
    <w:rsid w:val="00864383"/>
    <w:rsid w:val="00864456"/>
    <w:rsid w:val="008646AD"/>
    <w:rsid w:val="008646C0"/>
    <w:rsid w:val="008646F5"/>
    <w:rsid w:val="008647C6"/>
    <w:rsid w:val="00864874"/>
    <w:rsid w:val="00864A37"/>
    <w:rsid w:val="00864A50"/>
    <w:rsid w:val="00864B23"/>
    <w:rsid w:val="00864B8F"/>
    <w:rsid w:val="00864F35"/>
    <w:rsid w:val="0086505E"/>
    <w:rsid w:val="008650C9"/>
    <w:rsid w:val="00865140"/>
    <w:rsid w:val="00865345"/>
    <w:rsid w:val="0086562E"/>
    <w:rsid w:val="00865691"/>
    <w:rsid w:val="008658F7"/>
    <w:rsid w:val="00865D70"/>
    <w:rsid w:val="00865ED0"/>
    <w:rsid w:val="008661B4"/>
    <w:rsid w:val="00866253"/>
    <w:rsid w:val="008663D3"/>
    <w:rsid w:val="008663FA"/>
    <w:rsid w:val="00866689"/>
    <w:rsid w:val="0086695D"/>
    <w:rsid w:val="00866A26"/>
    <w:rsid w:val="00866AD6"/>
    <w:rsid w:val="00866BB3"/>
    <w:rsid w:val="00866CA0"/>
    <w:rsid w:val="00866CA4"/>
    <w:rsid w:val="00866D3A"/>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6D"/>
    <w:rsid w:val="008740C8"/>
    <w:rsid w:val="008740C9"/>
    <w:rsid w:val="008742B2"/>
    <w:rsid w:val="00874486"/>
    <w:rsid w:val="0087455E"/>
    <w:rsid w:val="0087466C"/>
    <w:rsid w:val="008746E1"/>
    <w:rsid w:val="008748B8"/>
    <w:rsid w:val="00874AF3"/>
    <w:rsid w:val="00874CC3"/>
    <w:rsid w:val="00874CF8"/>
    <w:rsid w:val="0087508F"/>
    <w:rsid w:val="0087527C"/>
    <w:rsid w:val="00875369"/>
    <w:rsid w:val="008754B1"/>
    <w:rsid w:val="008756B0"/>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096"/>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8B5"/>
    <w:rsid w:val="00885A1F"/>
    <w:rsid w:val="00885E43"/>
    <w:rsid w:val="00885E7C"/>
    <w:rsid w:val="00885F6C"/>
    <w:rsid w:val="00886014"/>
    <w:rsid w:val="0088626E"/>
    <w:rsid w:val="00886393"/>
    <w:rsid w:val="008867D4"/>
    <w:rsid w:val="00886935"/>
    <w:rsid w:val="00886949"/>
    <w:rsid w:val="008869EF"/>
    <w:rsid w:val="00886B07"/>
    <w:rsid w:val="00886DF0"/>
    <w:rsid w:val="0088722E"/>
    <w:rsid w:val="008872A6"/>
    <w:rsid w:val="0088757B"/>
    <w:rsid w:val="008875CF"/>
    <w:rsid w:val="0088764A"/>
    <w:rsid w:val="00887699"/>
    <w:rsid w:val="00887858"/>
    <w:rsid w:val="00887872"/>
    <w:rsid w:val="00887A51"/>
    <w:rsid w:val="00887C99"/>
    <w:rsid w:val="00887CB3"/>
    <w:rsid w:val="00887E97"/>
    <w:rsid w:val="00887ED8"/>
    <w:rsid w:val="00887F92"/>
    <w:rsid w:val="008908A8"/>
    <w:rsid w:val="0089093F"/>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E01"/>
    <w:rsid w:val="00892E94"/>
    <w:rsid w:val="00893429"/>
    <w:rsid w:val="00893741"/>
    <w:rsid w:val="00893835"/>
    <w:rsid w:val="00893877"/>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819"/>
    <w:rsid w:val="00896978"/>
    <w:rsid w:val="00896C67"/>
    <w:rsid w:val="00896DA1"/>
    <w:rsid w:val="00897094"/>
    <w:rsid w:val="00897108"/>
    <w:rsid w:val="008971A8"/>
    <w:rsid w:val="0089722C"/>
    <w:rsid w:val="008972FF"/>
    <w:rsid w:val="008974FA"/>
    <w:rsid w:val="00897556"/>
    <w:rsid w:val="0089793E"/>
    <w:rsid w:val="008979DE"/>
    <w:rsid w:val="00897A73"/>
    <w:rsid w:val="00897A7B"/>
    <w:rsid w:val="00897AA1"/>
    <w:rsid w:val="00897C45"/>
    <w:rsid w:val="00897CB1"/>
    <w:rsid w:val="00897CCF"/>
    <w:rsid w:val="00897CFE"/>
    <w:rsid w:val="008A00B0"/>
    <w:rsid w:val="008A0335"/>
    <w:rsid w:val="008A0411"/>
    <w:rsid w:val="008A0473"/>
    <w:rsid w:val="008A0509"/>
    <w:rsid w:val="008A086D"/>
    <w:rsid w:val="008A0E69"/>
    <w:rsid w:val="008A100A"/>
    <w:rsid w:val="008A132A"/>
    <w:rsid w:val="008A1917"/>
    <w:rsid w:val="008A1944"/>
    <w:rsid w:val="008A1D22"/>
    <w:rsid w:val="008A1E1F"/>
    <w:rsid w:val="008A1E7C"/>
    <w:rsid w:val="008A1EAA"/>
    <w:rsid w:val="008A20E3"/>
    <w:rsid w:val="008A21AC"/>
    <w:rsid w:val="008A2601"/>
    <w:rsid w:val="008A28FE"/>
    <w:rsid w:val="008A2A5B"/>
    <w:rsid w:val="008A2A64"/>
    <w:rsid w:val="008A2C2E"/>
    <w:rsid w:val="008A2CC4"/>
    <w:rsid w:val="008A2D16"/>
    <w:rsid w:val="008A2D97"/>
    <w:rsid w:val="008A2DA6"/>
    <w:rsid w:val="008A2F8B"/>
    <w:rsid w:val="008A30F4"/>
    <w:rsid w:val="008A343D"/>
    <w:rsid w:val="008A3669"/>
    <w:rsid w:val="008A3FF0"/>
    <w:rsid w:val="008A4167"/>
    <w:rsid w:val="008A4187"/>
    <w:rsid w:val="008A41C1"/>
    <w:rsid w:val="008A4257"/>
    <w:rsid w:val="008A43EF"/>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15"/>
    <w:rsid w:val="008A7B44"/>
    <w:rsid w:val="008A7D97"/>
    <w:rsid w:val="008B06C0"/>
    <w:rsid w:val="008B0772"/>
    <w:rsid w:val="008B0787"/>
    <w:rsid w:val="008B0844"/>
    <w:rsid w:val="008B089E"/>
    <w:rsid w:val="008B08C3"/>
    <w:rsid w:val="008B098C"/>
    <w:rsid w:val="008B0A03"/>
    <w:rsid w:val="008B0CC4"/>
    <w:rsid w:val="008B0CC8"/>
    <w:rsid w:val="008B0D38"/>
    <w:rsid w:val="008B0E1C"/>
    <w:rsid w:val="008B0EA5"/>
    <w:rsid w:val="008B1030"/>
    <w:rsid w:val="008B136E"/>
    <w:rsid w:val="008B15DA"/>
    <w:rsid w:val="008B165B"/>
    <w:rsid w:val="008B1690"/>
    <w:rsid w:val="008B19D7"/>
    <w:rsid w:val="008B1A0E"/>
    <w:rsid w:val="008B1A89"/>
    <w:rsid w:val="008B1DDA"/>
    <w:rsid w:val="008B2107"/>
    <w:rsid w:val="008B2131"/>
    <w:rsid w:val="008B2178"/>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1"/>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1E84"/>
    <w:rsid w:val="008C2100"/>
    <w:rsid w:val="008C217C"/>
    <w:rsid w:val="008C2233"/>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D3"/>
    <w:rsid w:val="008C4AFA"/>
    <w:rsid w:val="008C4B0D"/>
    <w:rsid w:val="008C4C0A"/>
    <w:rsid w:val="008C4CE1"/>
    <w:rsid w:val="008C5158"/>
    <w:rsid w:val="008C522E"/>
    <w:rsid w:val="008C53B7"/>
    <w:rsid w:val="008C5617"/>
    <w:rsid w:val="008C5777"/>
    <w:rsid w:val="008C57F6"/>
    <w:rsid w:val="008C586C"/>
    <w:rsid w:val="008C58E9"/>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61"/>
    <w:rsid w:val="008D027B"/>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A95"/>
    <w:rsid w:val="008D1C6C"/>
    <w:rsid w:val="008D20B1"/>
    <w:rsid w:val="008D2342"/>
    <w:rsid w:val="008D25AE"/>
    <w:rsid w:val="008D2A05"/>
    <w:rsid w:val="008D2ABD"/>
    <w:rsid w:val="008D2B74"/>
    <w:rsid w:val="008D2B99"/>
    <w:rsid w:val="008D3423"/>
    <w:rsid w:val="008D3488"/>
    <w:rsid w:val="008D35CF"/>
    <w:rsid w:val="008D366A"/>
    <w:rsid w:val="008D370F"/>
    <w:rsid w:val="008D3764"/>
    <w:rsid w:val="008D37D8"/>
    <w:rsid w:val="008D3A13"/>
    <w:rsid w:val="008D3A4C"/>
    <w:rsid w:val="008D3B1F"/>
    <w:rsid w:val="008D3C5B"/>
    <w:rsid w:val="008D3C99"/>
    <w:rsid w:val="008D3D27"/>
    <w:rsid w:val="008D3EBF"/>
    <w:rsid w:val="008D3FD5"/>
    <w:rsid w:val="008D4139"/>
    <w:rsid w:val="008D4207"/>
    <w:rsid w:val="008D4374"/>
    <w:rsid w:val="008D44F0"/>
    <w:rsid w:val="008D4530"/>
    <w:rsid w:val="008D4963"/>
    <w:rsid w:val="008D4D8C"/>
    <w:rsid w:val="008D51A1"/>
    <w:rsid w:val="008D5387"/>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D06"/>
    <w:rsid w:val="008D6E5A"/>
    <w:rsid w:val="008D71FB"/>
    <w:rsid w:val="008D7450"/>
    <w:rsid w:val="008D747F"/>
    <w:rsid w:val="008D7795"/>
    <w:rsid w:val="008D7971"/>
    <w:rsid w:val="008D7ADE"/>
    <w:rsid w:val="008D7B02"/>
    <w:rsid w:val="008D7C57"/>
    <w:rsid w:val="008D7DAD"/>
    <w:rsid w:val="008D7E51"/>
    <w:rsid w:val="008E0182"/>
    <w:rsid w:val="008E04C5"/>
    <w:rsid w:val="008E04DD"/>
    <w:rsid w:val="008E0881"/>
    <w:rsid w:val="008E08C8"/>
    <w:rsid w:val="008E0AE5"/>
    <w:rsid w:val="008E0B20"/>
    <w:rsid w:val="008E0BA8"/>
    <w:rsid w:val="008E0D54"/>
    <w:rsid w:val="008E1080"/>
    <w:rsid w:val="008E13C4"/>
    <w:rsid w:val="008E16C0"/>
    <w:rsid w:val="008E188E"/>
    <w:rsid w:val="008E1956"/>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2F8"/>
    <w:rsid w:val="008E3412"/>
    <w:rsid w:val="008E38F0"/>
    <w:rsid w:val="008E3D61"/>
    <w:rsid w:val="008E3ECA"/>
    <w:rsid w:val="008E3F17"/>
    <w:rsid w:val="008E405F"/>
    <w:rsid w:val="008E406F"/>
    <w:rsid w:val="008E41A5"/>
    <w:rsid w:val="008E41ED"/>
    <w:rsid w:val="008E420C"/>
    <w:rsid w:val="008E4242"/>
    <w:rsid w:val="008E4288"/>
    <w:rsid w:val="008E42BE"/>
    <w:rsid w:val="008E46D0"/>
    <w:rsid w:val="008E476C"/>
    <w:rsid w:val="008E491E"/>
    <w:rsid w:val="008E4BB1"/>
    <w:rsid w:val="008E503B"/>
    <w:rsid w:val="008E536A"/>
    <w:rsid w:val="008E56C7"/>
    <w:rsid w:val="008E58DD"/>
    <w:rsid w:val="008E590F"/>
    <w:rsid w:val="008E5B7C"/>
    <w:rsid w:val="008E5BD7"/>
    <w:rsid w:val="008E5F62"/>
    <w:rsid w:val="008E5FAB"/>
    <w:rsid w:val="008E6030"/>
    <w:rsid w:val="008E6150"/>
    <w:rsid w:val="008E6202"/>
    <w:rsid w:val="008E643E"/>
    <w:rsid w:val="008E6726"/>
    <w:rsid w:val="008E6744"/>
    <w:rsid w:val="008E6A73"/>
    <w:rsid w:val="008E6B52"/>
    <w:rsid w:val="008E6C30"/>
    <w:rsid w:val="008E6D71"/>
    <w:rsid w:val="008E6DBA"/>
    <w:rsid w:val="008E6E58"/>
    <w:rsid w:val="008E6E68"/>
    <w:rsid w:val="008E6F5E"/>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1B22"/>
    <w:rsid w:val="008F2390"/>
    <w:rsid w:val="008F23DF"/>
    <w:rsid w:val="008F2554"/>
    <w:rsid w:val="008F2735"/>
    <w:rsid w:val="008F27F5"/>
    <w:rsid w:val="008F2A87"/>
    <w:rsid w:val="008F2C0C"/>
    <w:rsid w:val="008F2C53"/>
    <w:rsid w:val="008F2CC4"/>
    <w:rsid w:val="008F2D91"/>
    <w:rsid w:val="008F2F53"/>
    <w:rsid w:val="008F30B0"/>
    <w:rsid w:val="008F30B8"/>
    <w:rsid w:val="008F3569"/>
    <w:rsid w:val="008F3607"/>
    <w:rsid w:val="008F3C9A"/>
    <w:rsid w:val="008F3CF5"/>
    <w:rsid w:val="008F3D9F"/>
    <w:rsid w:val="008F4238"/>
    <w:rsid w:val="008F4305"/>
    <w:rsid w:val="008F4444"/>
    <w:rsid w:val="008F449C"/>
    <w:rsid w:val="008F4633"/>
    <w:rsid w:val="008F474A"/>
    <w:rsid w:val="008F4A6F"/>
    <w:rsid w:val="008F4B46"/>
    <w:rsid w:val="008F4DB5"/>
    <w:rsid w:val="008F4DD0"/>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708"/>
    <w:rsid w:val="008F6888"/>
    <w:rsid w:val="008F6A96"/>
    <w:rsid w:val="008F6C0E"/>
    <w:rsid w:val="008F70BC"/>
    <w:rsid w:val="008F720D"/>
    <w:rsid w:val="008F73A6"/>
    <w:rsid w:val="008F78EE"/>
    <w:rsid w:val="008F7933"/>
    <w:rsid w:val="008F7A07"/>
    <w:rsid w:val="008F7D30"/>
    <w:rsid w:val="008F7E9F"/>
    <w:rsid w:val="00900037"/>
    <w:rsid w:val="00900094"/>
    <w:rsid w:val="00900210"/>
    <w:rsid w:val="0090026F"/>
    <w:rsid w:val="00900501"/>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CC0"/>
    <w:rsid w:val="00901D09"/>
    <w:rsid w:val="00901D28"/>
    <w:rsid w:val="009020FB"/>
    <w:rsid w:val="009023BD"/>
    <w:rsid w:val="009025B1"/>
    <w:rsid w:val="0090260A"/>
    <w:rsid w:val="009026A5"/>
    <w:rsid w:val="00902773"/>
    <w:rsid w:val="009029BD"/>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0CC"/>
    <w:rsid w:val="0090411E"/>
    <w:rsid w:val="009042BF"/>
    <w:rsid w:val="009043BB"/>
    <w:rsid w:val="00904589"/>
    <w:rsid w:val="0090475A"/>
    <w:rsid w:val="0090496B"/>
    <w:rsid w:val="009049C2"/>
    <w:rsid w:val="00904C64"/>
    <w:rsid w:val="00904E38"/>
    <w:rsid w:val="009052ED"/>
    <w:rsid w:val="00905542"/>
    <w:rsid w:val="00905545"/>
    <w:rsid w:val="00905623"/>
    <w:rsid w:val="0090579C"/>
    <w:rsid w:val="009058A9"/>
    <w:rsid w:val="00905A8C"/>
    <w:rsid w:val="00905BB5"/>
    <w:rsid w:val="00905CE5"/>
    <w:rsid w:val="00905E21"/>
    <w:rsid w:val="00905E48"/>
    <w:rsid w:val="00905E49"/>
    <w:rsid w:val="00905F33"/>
    <w:rsid w:val="0090607D"/>
    <w:rsid w:val="009061B8"/>
    <w:rsid w:val="009061EA"/>
    <w:rsid w:val="00906293"/>
    <w:rsid w:val="009065A4"/>
    <w:rsid w:val="00906A15"/>
    <w:rsid w:val="00906B0A"/>
    <w:rsid w:val="00906D8C"/>
    <w:rsid w:val="00906DF5"/>
    <w:rsid w:val="00906F39"/>
    <w:rsid w:val="00907162"/>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628"/>
    <w:rsid w:val="0091170F"/>
    <w:rsid w:val="00911AC8"/>
    <w:rsid w:val="00911E3D"/>
    <w:rsid w:val="00911F9C"/>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58E"/>
    <w:rsid w:val="0091466C"/>
    <w:rsid w:val="00914714"/>
    <w:rsid w:val="00914960"/>
    <w:rsid w:val="00914A09"/>
    <w:rsid w:val="00914A78"/>
    <w:rsid w:val="00914A7D"/>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61E1"/>
    <w:rsid w:val="009161EF"/>
    <w:rsid w:val="0091627F"/>
    <w:rsid w:val="00916486"/>
    <w:rsid w:val="00916552"/>
    <w:rsid w:val="009167B5"/>
    <w:rsid w:val="0091685B"/>
    <w:rsid w:val="009169F8"/>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C4"/>
    <w:rsid w:val="00920BEF"/>
    <w:rsid w:val="00920C63"/>
    <w:rsid w:val="00920EB8"/>
    <w:rsid w:val="00920F71"/>
    <w:rsid w:val="00920FDA"/>
    <w:rsid w:val="00921148"/>
    <w:rsid w:val="0092128B"/>
    <w:rsid w:val="0092145E"/>
    <w:rsid w:val="00921813"/>
    <w:rsid w:val="0092190B"/>
    <w:rsid w:val="00921986"/>
    <w:rsid w:val="00921F28"/>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416"/>
    <w:rsid w:val="00923A2C"/>
    <w:rsid w:val="00923DBC"/>
    <w:rsid w:val="00923E62"/>
    <w:rsid w:val="00923FA2"/>
    <w:rsid w:val="00923FEE"/>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184"/>
    <w:rsid w:val="0093137B"/>
    <w:rsid w:val="009313E7"/>
    <w:rsid w:val="0093151F"/>
    <w:rsid w:val="009315C2"/>
    <w:rsid w:val="009315E4"/>
    <w:rsid w:val="009317F4"/>
    <w:rsid w:val="0093193A"/>
    <w:rsid w:val="00931D5B"/>
    <w:rsid w:val="00931F6C"/>
    <w:rsid w:val="00932016"/>
    <w:rsid w:val="00932339"/>
    <w:rsid w:val="00932363"/>
    <w:rsid w:val="009323C1"/>
    <w:rsid w:val="009323C9"/>
    <w:rsid w:val="009324E0"/>
    <w:rsid w:val="009324F5"/>
    <w:rsid w:val="00932629"/>
    <w:rsid w:val="009326D1"/>
    <w:rsid w:val="00932776"/>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9F8"/>
    <w:rsid w:val="00935A12"/>
    <w:rsid w:val="00935B63"/>
    <w:rsid w:val="009360BB"/>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7C"/>
    <w:rsid w:val="00940280"/>
    <w:rsid w:val="00940469"/>
    <w:rsid w:val="00940510"/>
    <w:rsid w:val="00940514"/>
    <w:rsid w:val="00940519"/>
    <w:rsid w:val="00940598"/>
    <w:rsid w:val="00940680"/>
    <w:rsid w:val="0094093A"/>
    <w:rsid w:val="0094094B"/>
    <w:rsid w:val="00940CE1"/>
    <w:rsid w:val="00940DA0"/>
    <w:rsid w:val="0094130B"/>
    <w:rsid w:val="0094130D"/>
    <w:rsid w:val="0094167C"/>
    <w:rsid w:val="009418B3"/>
    <w:rsid w:val="00941D17"/>
    <w:rsid w:val="00941F17"/>
    <w:rsid w:val="0094200C"/>
    <w:rsid w:val="00942094"/>
    <w:rsid w:val="009421CA"/>
    <w:rsid w:val="0094220E"/>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4FE2"/>
    <w:rsid w:val="00945002"/>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B13"/>
    <w:rsid w:val="00950CEB"/>
    <w:rsid w:val="00950E34"/>
    <w:rsid w:val="00950F62"/>
    <w:rsid w:val="0095106A"/>
    <w:rsid w:val="0095120F"/>
    <w:rsid w:val="00951376"/>
    <w:rsid w:val="00951490"/>
    <w:rsid w:val="009514D4"/>
    <w:rsid w:val="0095177D"/>
    <w:rsid w:val="00951B8F"/>
    <w:rsid w:val="00951C13"/>
    <w:rsid w:val="00951C57"/>
    <w:rsid w:val="00951C6A"/>
    <w:rsid w:val="00951C78"/>
    <w:rsid w:val="00951E1B"/>
    <w:rsid w:val="009520BD"/>
    <w:rsid w:val="0095224D"/>
    <w:rsid w:val="00952711"/>
    <w:rsid w:val="0095291A"/>
    <w:rsid w:val="00952BA0"/>
    <w:rsid w:val="00952D94"/>
    <w:rsid w:val="00952E89"/>
    <w:rsid w:val="009531DD"/>
    <w:rsid w:val="0095326D"/>
    <w:rsid w:val="009532EC"/>
    <w:rsid w:val="009534BB"/>
    <w:rsid w:val="00953604"/>
    <w:rsid w:val="00953675"/>
    <w:rsid w:val="00953B34"/>
    <w:rsid w:val="00953B57"/>
    <w:rsid w:val="00953CCD"/>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279"/>
    <w:rsid w:val="00956A58"/>
    <w:rsid w:val="00956B13"/>
    <w:rsid w:val="00956BAD"/>
    <w:rsid w:val="00956C74"/>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AD9"/>
    <w:rsid w:val="00962B95"/>
    <w:rsid w:val="00962E88"/>
    <w:rsid w:val="00962EB2"/>
    <w:rsid w:val="00962EED"/>
    <w:rsid w:val="00962F88"/>
    <w:rsid w:val="00963053"/>
    <w:rsid w:val="0096314B"/>
    <w:rsid w:val="00963350"/>
    <w:rsid w:val="009635FB"/>
    <w:rsid w:val="009637A0"/>
    <w:rsid w:val="0096404D"/>
    <w:rsid w:val="009640AF"/>
    <w:rsid w:val="00964194"/>
    <w:rsid w:val="009641D3"/>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C16"/>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1FC6"/>
    <w:rsid w:val="0097204A"/>
    <w:rsid w:val="0097219B"/>
    <w:rsid w:val="00972390"/>
    <w:rsid w:val="009725EA"/>
    <w:rsid w:val="009725EC"/>
    <w:rsid w:val="009726BF"/>
    <w:rsid w:val="0097271A"/>
    <w:rsid w:val="00972842"/>
    <w:rsid w:val="009729BF"/>
    <w:rsid w:val="00972B52"/>
    <w:rsid w:val="00972CFA"/>
    <w:rsid w:val="00972D8F"/>
    <w:rsid w:val="00972E9F"/>
    <w:rsid w:val="0097306E"/>
    <w:rsid w:val="00973166"/>
    <w:rsid w:val="009733CA"/>
    <w:rsid w:val="00973468"/>
    <w:rsid w:val="009736EE"/>
    <w:rsid w:val="00973782"/>
    <w:rsid w:val="00973AE4"/>
    <w:rsid w:val="00973EB3"/>
    <w:rsid w:val="00974043"/>
    <w:rsid w:val="009740DE"/>
    <w:rsid w:val="00974227"/>
    <w:rsid w:val="00974428"/>
    <w:rsid w:val="0097446A"/>
    <w:rsid w:val="00974750"/>
    <w:rsid w:val="00974CD0"/>
    <w:rsid w:val="00974E24"/>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35B"/>
    <w:rsid w:val="009763DB"/>
    <w:rsid w:val="009764C0"/>
    <w:rsid w:val="009764C4"/>
    <w:rsid w:val="00976594"/>
    <w:rsid w:val="009766EE"/>
    <w:rsid w:val="0097675F"/>
    <w:rsid w:val="00976991"/>
    <w:rsid w:val="00976E85"/>
    <w:rsid w:val="0097702A"/>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429"/>
    <w:rsid w:val="0098453B"/>
    <w:rsid w:val="009847ED"/>
    <w:rsid w:val="0098488B"/>
    <w:rsid w:val="0098495A"/>
    <w:rsid w:val="00984B69"/>
    <w:rsid w:val="00984BBB"/>
    <w:rsid w:val="00984C38"/>
    <w:rsid w:val="00984CB8"/>
    <w:rsid w:val="0098528E"/>
    <w:rsid w:val="009852C8"/>
    <w:rsid w:val="0098535A"/>
    <w:rsid w:val="00985478"/>
    <w:rsid w:val="009854FF"/>
    <w:rsid w:val="0098569F"/>
    <w:rsid w:val="0098578D"/>
    <w:rsid w:val="00985A1E"/>
    <w:rsid w:val="00985BC9"/>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6FC5"/>
    <w:rsid w:val="009870F5"/>
    <w:rsid w:val="0098725B"/>
    <w:rsid w:val="009877D1"/>
    <w:rsid w:val="00987A9E"/>
    <w:rsid w:val="00987AB7"/>
    <w:rsid w:val="00987B9D"/>
    <w:rsid w:val="00987BD8"/>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DE1"/>
    <w:rsid w:val="00992F16"/>
    <w:rsid w:val="0099338C"/>
    <w:rsid w:val="009933CA"/>
    <w:rsid w:val="009933E1"/>
    <w:rsid w:val="0099360E"/>
    <w:rsid w:val="0099392E"/>
    <w:rsid w:val="0099399C"/>
    <w:rsid w:val="00993A9C"/>
    <w:rsid w:val="00993B4C"/>
    <w:rsid w:val="00993D5C"/>
    <w:rsid w:val="00993DA4"/>
    <w:rsid w:val="00993DA6"/>
    <w:rsid w:val="00993EF2"/>
    <w:rsid w:val="00993F41"/>
    <w:rsid w:val="00994383"/>
    <w:rsid w:val="00994459"/>
    <w:rsid w:val="0099447B"/>
    <w:rsid w:val="009944F1"/>
    <w:rsid w:val="0099478F"/>
    <w:rsid w:val="00994941"/>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17"/>
    <w:rsid w:val="00997547"/>
    <w:rsid w:val="00997616"/>
    <w:rsid w:val="009976F5"/>
    <w:rsid w:val="00997B97"/>
    <w:rsid w:val="00997BD4"/>
    <w:rsid w:val="00997F0C"/>
    <w:rsid w:val="00997FA5"/>
    <w:rsid w:val="009A0145"/>
    <w:rsid w:val="009A0250"/>
    <w:rsid w:val="009A0468"/>
    <w:rsid w:val="009A04F9"/>
    <w:rsid w:val="009A05E8"/>
    <w:rsid w:val="009A08CB"/>
    <w:rsid w:val="009A0C69"/>
    <w:rsid w:val="009A0F35"/>
    <w:rsid w:val="009A1196"/>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080"/>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B9A"/>
    <w:rsid w:val="009B4D5B"/>
    <w:rsid w:val="009B4F9B"/>
    <w:rsid w:val="009B5257"/>
    <w:rsid w:val="009B55E5"/>
    <w:rsid w:val="009B56E9"/>
    <w:rsid w:val="009B5740"/>
    <w:rsid w:val="009B593D"/>
    <w:rsid w:val="009B5956"/>
    <w:rsid w:val="009B5B74"/>
    <w:rsid w:val="009B5CF6"/>
    <w:rsid w:val="009B5DE0"/>
    <w:rsid w:val="009B5E39"/>
    <w:rsid w:val="009B5E70"/>
    <w:rsid w:val="009B5F1E"/>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90"/>
    <w:rsid w:val="009C0CD9"/>
    <w:rsid w:val="009C0D26"/>
    <w:rsid w:val="009C1120"/>
    <w:rsid w:val="009C14AA"/>
    <w:rsid w:val="009C14B5"/>
    <w:rsid w:val="009C1599"/>
    <w:rsid w:val="009C19A2"/>
    <w:rsid w:val="009C1CEA"/>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45"/>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3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E1"/>
    <w:rsid w:val="009D3D22"/>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79B"/>
    <w:rsid w:val="009E1825"/>
    <w:rsid w:val="009E191C"/>
    <w:rsid w:val="009E1BB9"/>
    <w:rsid w:val="009E1C35"/>
    <w:rsid w:val="009E1C39"/>
    <w:rsid w:val="009E1D38"/>
    <w:rsid w:val="009E1EDC"/>
    <w:rsid w:val="009E2155"/>
    <w:rsid w:val="009E2330"/>
    <w:rsid w:val="009E2352"/>
    <w:rsid w:val="009E24A4"/>
    <w:rsid w:val="009E2538"/>
    <w:rsid w:val="009E25BC"/>
    <w:rsid w:val="009E272B"/>
    <w:rsid w:val="009E2936"/>
    <w:rsid w:val="009E2B2C"/>
    <w:rsid w:val="009E2FA3"/>
    <w:rsid w:val="009E2FA5"/>
    <w:rsid w:val="009E303C"/>
    <w:rsid w:val="009E30AF"/>
    <w:rsid w:val="009E315E"/>
    <w:rsid w:val="009E329E"/>
    <w:rsid w:val="009E3331"/>
    <w:rsid w:val="009E34A7"/>
    <w:rsid w:val="009E34D9"/>
    <w:rsid w:val="009E3516"/>
    <w:rsid w:val="009E370D"/>
    <w:rsid w:val="009E3797"/>
    <w:rsid w:val="009E3E7B"/>
    <w:rsid w:val="009E3EFA"/>
    <w:rsid w:val="009E41A7"/>
    <w:rsid w:val="009E45D1"/>
    <w:rsid w:val="009E4644"/>
    <w:rsid w:val="009E46F3"/>
    <w:rsid w:val="009E496F"/>
    <w:rsid w:val="009E4A93"/>
    <w:rsid w:val="009E4B16"/>
    <w:rsid w:val="009E4B62"/>
    <w:rsid w:val="009E4C69"/>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E7EE3"/>
    <w:rsid w:val="009F0042"/>
    <w:rsid w:val="009F039A"/>
    <w:rsid w:val="009F0534"/>
    <w:rsid w:val="009F0569"/>
    <w:rsid w:val="009F08F6"/>
    <w:rsid w:val="009F0A67"/>
    <w:rsid w:val="009F0D78"/>
    <w:rsid w:val="009F0F95"/>
    <w:rsid w:val="009F139B"/>
    <w:rsid w:val="009F146B"/>
    <w:rsid w:val="009F17E7"/>
    <w:rsid w:val="009F19F0"/>
    <w:rsid w:val="009F1C40"/>
    <w:rsid w:val="009F1E7D"/>
    <w:rsid w:val="009F1F61"/>
    <w:rsid w:val="009F2171"/>
    <w:rsid w:val="009F2615"/>
    <w:rsid w:val="009F26E9"/>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C17"/>
    <w:rsid w:val="009F6DA5"/>
    <w:rsid w:val="009F6DDB"/>
    <w:rsid w:val="009F702F"/>
    <w:rsid w:val="009F7047"/>
    <w:rsid w:val="009F7067"/>
    <w:rsid w:val="009F7204"/>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9FE"/>
    <w:rsid w:val="00A00CE7"/>
    <w:rsid w:val="00A00D9F"/>
    <w:rsid w:val="00A00E5A"/>
    <w:rsid w:val="00A00FEB"/>
    <w:rsid w:val="00A0102F"/>
    <w:rsid w:val="00A01211"/>
    <w:rsid w:val="00A01407"/>
    <w:rsid w:val="00A01498"/>
    <w:rsid w:val="00A01626"/>
    <w:rsid w:val="00A0172D"/>
    <w:rsid w:val="00A018ED"/>
    <w:rsid w:val="00A01905"/>
    <w:rsid w:val="00A0193D"/>
    <w:rsid w:val="00A01A8E"/>
    <w:rsid w:val="00A01C15"/>
    <w:rsid w:val="00A01F1F"/>
    <w:rsid w:val="00A0205F"/>
    <w:rsid w:val="00A0237E"/>
    <w:rsid w:val="00A023D8"/>
    <w:rsid w:val="00A02429"/>
    <w:rsid w:val="00A0273B"/>
    <w:rsid w:val="00A02A6A"/>
    <w:rsid w:val="00A02AB0"/>
    <w:rsid w:val="00A02BF4"/>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AB4"/>
    <w:rsid w:val="00A04B6C"/>
    <w:rsid w:val="00A04F3F"/>
    <w:rsid w:val="00A05100"/>
    <w:rsid w:val="00A05140"/>
    <w:rsid w:val="00A05380"/>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DDB"/>
    <w:rsid w:val="00A06E05"/>
    <w:rsid w:val="00A071FE"/>
    <w:rsid w:val="00A0722E"/>
    <w:rsid w:val="00A073AF"/>
    <w:rsid w:val="00A07518"/>
    <w:rsid w:val="00A07682"/>
    <w:rsid w:val="00A07804"/>
    <w:rsid w:val="00A078B9"/>
    <w:rsid w:val="00A07AAD"/>
    <w:rsid w:val="00A07B48"/>
    <w:rsid w:val="00A07D57"/>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89A"/>
    <w:rsid w:val="00A11984"/>
    <w:rsid w:val="00A11BAE"/>
    <w:rsid w:val="00A11CCC"/>
    <w:rsid w:val="00A11EDC"/>
    <w:rsid w:val="00A11F8A"/>
    <w:rsid w:val="00A12174"/>
    <w:rsid w:val="00A12191"/>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C31"/>
    <w:rsid w:val="00A13D05"/>
    <w:rsid w:val="00A13D9C"/>
    <w:rsid w:val="00A13FF1"/>
    <w:rsid w:val="00A14177"/>
    <w:rsid w:val="00A141CC"/>
    <w:rsid w:val="00A14297"/>
    <w:rsid w:val="00A14455"/>
    <w:rsid w:val="00A145DE"/>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3D0"/>
    <w:rsid w:val="00A1553A"/>
    <w:rsid w:val="00A15577"/>
    <w:rsid w:val="00A1561E"/>
    <w:rsid w:val="00A1566D"/>
    <w:rsid w:val="00A15AFC"/>
    <w:rsid w:val="00A15CF1"/>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1DB"/>
    <w:rsid w:val="00A215CE"/>
    <w:rsid w:val="00A21710"/>
    <w:rsid w:val="00A218D0"/>
    <w:rsid w:val="00A219A3"/>
    <w:rsid w:val="00A21A80"/>
    <w:rsid w:val="00A21C87"/>
    <w:rsid w:val="00A21D7A"/>
    <w:rsid w:val="00A21EAF"/>
    <w:rsid w:val="00A21FE0"/>
    <w:rsid w:val="00A22006"/>
    <w:rsid w:val="00A221CC"/>
    <w:rsid w:val="00A223AE"/>
    <w:rsid w:val="00A225CE"/>
    <w:rsid w:val="00A225EC"/>
    <w:rsid w:val="00A22826"/>
    <w:rsid w:val="00A22AB8"/>
    <w:rsid w:val="00A234BB"/>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B9"/>
    <w:rsid w:val="00A259BB"/>
    <w:rsid w:val="00A25B7D"/>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6EC"/>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EA3"/>
    <w:rsid w:val="00A31FBD"/>
    <w:rsid w:val="00A32357"/>
    <w:rsid w:val="00A3239A"/>
    <w:rsid w:val="00A3244A"/>
    <w:rsid w:val="00A325F5"/>
    <w:rsid w:val="00A32619"/>
    <w:rsid w:val="00A326B2"/>
    <w:rsid w:val="00A3274F"/>
    <w:rsid w:val="00A32916"/>
    <w:rsid w:val="00A32A37"/>
    <w:rsid w:val="00A32C80"/>
    <w:rsid w:val="00A32CB6"/>
    <w:rsid w:val="00A32CD4"/>
    <w:rsid w:val="00A32D72"/>
    <w:rsid w:val="00A333FE"/>
    <w:rsid w:val="00A3381B"/>
    <w:rsid w:val="00A33BB2"/>
    <w:rsid w:val="00A33C4A"/>
    <w:rsid w:val="00A33D0D"/>
    <w:rsid w:val="00A33D69"/>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423"/>
    <w:rsid w:val="00A40532"/>
    <w:rsid w:val="00A4074D"/>
    <w:rsid w:val="00A40B8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818"/>
    <w:rsid w:val="00A42988"/>
    <w:rsid w:val="00A429F9"/>
    <w:rsid w:val="00A42A5D"/>
    <w:rsid w:val="00A42C53"/>
    <w:rsid w:val="00A42E2F"/>
    <w:rsid w:val="00A42EA5"/>
    <w:rsid w:val="00A42F2B"/>
    <w:rsid w:val="00A430B9"/>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27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93"/>
    <w:rsid w:val="00A467AB"/>
    <w:rsid w:val="00A46962"/>
    <w:rsid w:val="00A46999"/>
    <w:rsid w:val="00A46AAD"/>
    <w:rsid w:val="00A46C7E"/>
    <w:rsid w:val="00A46CA4"/>
    <w:rsid w:val="00A46CED"/>
    <w:rsid w:val="00A46D13"/>
    <w:rsid w:val="00A46E70"/>
    <w:rsid w:val="00A46F7B"/>
    <w:rsid w:val="00A47336"/>
    <w:rsid w:val="00A47367"/>
    <w:rsid w:val="00A47572"/>
    <w:rsid w:val="00A4765D"/>
    <w:rsid w:val="00A47738"/>
    <w:rsid w:val="00A47BE7"/>
    <w:rsid w:val="00A47CEF"/>
    <w:rsid w:val="00A47D0C"/>
    <w:rsid w:val="00A47D29"/>
    <w:rsid w:val="00A47F58"/>
    <w:rsid w:val="00A47FEE"/>
    <w:rsid w:val="00A5047D"/>
    <w:rsid w:val="00A504A2"/>
    <w:rsid w:val="00A504F5"/>
    <w:rsid w:val="00A50536"/>
    <w:rsid w:val="00A505FB"/>
    <w:rsid w:val="00A50651"/>
    <w:rsid w:val="00A50746"/>
    <w:rsid w:val="00A507F8"/>
    <w:rsid w:val="00A50B6B"/>
    <w:rsid w:val="00A50D89"/>
    <w:rsid w:val="00A50DB7"/>
    <w:rsid w:val="00A50E3C"/>
    <w:rsid w:val="00A50F2B"/>
    <w:rsid w:val="00A50FE7"/>
    <w:rsid w:val="00A51047"/>
    <w:rsid w:val="00A514E7"/>
    <w:rsid w:val="00A516E2"/>
    <w:rsid w:val="00A51AB7"/>
    <w:rsid w:val="00A51B82"/>
    <w:rsid w:val="00A51B84"/>
    <w:rsid w:val="00A51FDE"/>
    <w:rsid w:val="00A524D0"/>
    <w:rsid w:val="00A524DA"/>
    <w:rsid w:val="00A52518"/>
    <w:rsid w:val="00A526A0"/>
    <w:rsid w:val="00A52940"/>
    <w:rsid w:val="00A529BF"/>
    <w:rsid w:val="00A52AA6"/>
    <w:rsid w:val="00A52D56"/>
    <w:rsid w:val="00A52DA8"/>
    <w:rsid w:val="00A53215"/>
    <w:rsid w:val="00A53343"/>
    <w:rsid w:val="00A53617"/>
    <w:rsid w:val="00A5365B"/>
    <w:rsid w:val="00A538C0"/>
    <w:rsid w:val="00A5395F"/>
    <w:rsid w:val="00A53B0A"/>
    <w:rsid w:val="00A53D23"/>
    <w:rsid w:val="00A53DF3"/>
    <w:rsid w:val="00A540B1"/>
    <w:rsid w:val="00A540B3"/>
    <w:rsid w:val="00A54133"/>
    <w:rsid w:val="00A541A7"/>
    <w:rsid w:val="00A54325"/>
    <w:rsid w:val="00A5432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2F4"/>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535"/>
    <w:rsid w:val="00A62642"/>
    <w:rsid w:val="00A6265C"/>
    <w:rsid w:val="00A627E4"/>
    <w:rsid w:val="00A62ADE"/>
    <w:rsid w:val="00A62CCF"/>
    <w:rsid w:val="00A62E0C"/>
    <w:rsid w:val="00A62FE8"/>
    <w:rsid w:val="00A632AF"/>
    <w:rsid w:val="00A634FA"/>
    <w:rsid w:val="00A635CF"/>
    <w:rsid w:val="00A6390F"/>
    <w:rsid w:val="00A64038"/>
    <w:rsid w:val="00A640CB"/>
    <w:rsid w:val="00A64160"/>
    <w:rsid w:val="00A6440C"/>
    <w:rsid w:val="00A648EB"/>
    <w:rsid w:val="00A64B02"/>
    <w:rsid w:val="00A64CD6"/>
    <w:rsid w:val="00A64DD4"/>
    <w:rsid w:val="00A64DE5"/>
    <w:rsid w:val="00A64ECE"/>
    <w:rsid w:val="00A650FD"/>
    <w:rsid w:val="00A65279"/>
    <w:rsid w:val="00A652B3"/>
    <w:rsid w:val="00A65324"/>
    <w:rsid w:val="00A6553F"/>
    <w:rsid w:val="00A655AC"/>
    <w:rsid w:val="00A65691"/>
    <w:rsid w:val="00A656B3"/>
    <w:rsid w:val="00A6580E"/>
    <w:rsid w:val="00A65919"/>
    <w:rsid w:val="00A65B45"/>
    <w:rsid w:val="00A65B9C"/>
    <w:rsid w:val="00A65F64"/>
    <w:rsid w:val="00A66056"/>
    <w:rsid w:val="00A66472"/>
    <w:rsid w:val="00A665F6"/>
    <w:rsid w:val="00A667A1"/>
    <w:rsid w:val="00A66AAA"/>
    <w:rsid w:val="00A66C7B"/>
    <w:rsid w:val="00A66E6B"/>
    <w:rsid w:val="00A672E8"/>
    <w:rsid w:val="00A675D9"/>
    <w:rsid w:val="00A67760"/>
    <w:rsid w:val="00A67AA0"/>
    <w:rsid w:val="00A67BC3"/>
    <w:rsid w:val="00A67C0E"/>
    <w:rsid w:val="00A67D6D"/>
    <w:rsid w:val="00A70243"/>
    <w:rsid w:val="00A70362"/>
    <w:rsid w:val="00A70420"/>
    <w:rsid w:val="00A7067D"/>
    <w:rsid w:val="00A706DE"/>
    <w:rsid w:val="00A7076A"/>
    <w:rsid w:val="00A7086B"/>
    <w:rsid w:val="00A70937"/>
    <w:rsid w:val="00A70AC3"/>
    <w:rsid w:val="00A70B04"/>
    <w:rsid w:val="00A70CA3"/>
    <w:rsid w:val="00A70E16"/>
    <w:rsid w:val="00A711DC"/>
    <w:rsid w:val="00A71223"/>
    <w:rsid w:val="00A715CC"/>
    <w:rsid w:val="00A7170D"/>
    <w:rsid w:val="00A7187A"/>
    <w:rsid w:val="00A718E6"/>
    <w:rsid w:val="00A71911"/>
    <w:rsid w:val="00A71A19"/>
    <w:rsid w:val="00A72154"/>
    <w:rsid w:val="00A72357"/>
    <w:rsid w:val="00A72786"/>
    <w:rsid w:val="00A7278B"/>
    <w:rsid w:val="00A7289E"/>
    <w:rsid w:val="00A729E3"/>
    <w:rsid w:val="00A72A69"/>
    <w:rsid w:val="00A72B27"/>
    <w:rsid w:val="00A72C02"/>
    <w:rsid w:val="00A72DC7"/>
    <w:rsid w:val="00A72F10"/>
    <w:rsid w:val="00A7302A"/>
    <w:rsid w:val="00A7304C"/>
    <w:rsid w:val="00A73169"/>
    <w:rsid w:val="00A731FB"/>
    <w:rsid w:val="00A7321B"/>
    <w:rsid w:val="00A73401"/>
    <w:rsid w:val="00A7342F"/>
    <w:rsid w:val="00A73756"/>
    <w:rsid w:val="00A738FE"/>
    <w:rsid w:val="00A73B71"/>
    <w:rsid w:val="00A73CA0"/>
    <w:rsid w:val="00A73E65"/>
    <w:rsid w:val="00A73F11"/>
    <w:rsid w:val="00A7441C"/>
    <w:rsid w:val="00A74496"/>
    <w:rsid w:val="00A74560"/>
    <w:rsid w:val="00A745CA"/>
    <w:rsid w:val="00A74888"/>
    <w:rsid w:val="00A74B0F"/>
    <w:rsid w:val="00A74EA5"/>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34B"/>
    <w:rsid w:val="00A77893"/>
    <w:rsid w:val="00A77AF0"/>
    <w:rsid w:val="00A77B1C"/>
    <w:rsid w:val="00A77E09"/>
    <w:rsid w:val="00A80111"/>
    <w:rsid w:val="00A80315"/>
    <w:rsid w:val="00A80323"/>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6EB"/>
    <w:rsid w:val="00A81ABF"/>
    <w:rsid w:val="00A81D08"/>
    <w:rsid w:val="00A81D12"/>
    <w:rsid w:val="00A81FA4"/>
    <w:rsid w:val="00A82568"/>
    <w:rsid w:val="00A826C1"/>
    <w:rsid w:val="00A82BE3"/>
    <w:rsid w:val="00A82C4A"/>
    <w:rsid w:val="00A82C73"/>
    <w:rsid w:val="00A82DCC"/>
    <w:rsid w:val="00A82EB7"/>
    <w:rsid w:val="00A82ECC"/>
    <w:rsid w:val="00A82FB9"/>
    <w:rsid w:val="00A83239"/>
    <w:rsid w:val="00A83254"/>
    <w:rsid w:val="00A83661"/>
    <w:rsid w:val="00A836AD"/>
    <w:rsid w:val="00A838C7"/>
    <w:rsid w:val="00A838E2"/>
    <w:rsid w:val="00A8393F"/>
    <w:rsid w:val="00A83C16"/>
    <w:rsid w:val="00A83C7F"/>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1C"/>
    <w:rsid w:val="00A86FC6"/>
    <w:rsid w:val="00A87126"/>
    <w:rsid w:val="00A87293"/>
    <w:rsid w:val="00A87505"/>
    <w:rsid w:val="00A876CD"/>
    <w:rsid w:val="00A876DD"/>
    <w:rsid w:val="00A87773"/>
    <w:rsid w:val="00A90260"/>
    <w:rsid w:val="00A902C8"/>
    <w:rsid w:val="00A903B1"/>
    <w:rsid w:val="00A903C5"/>
    <w:rsid w:val="00A9094A"/>
    <w:rsid w:val="00A909E5"/>
    <w:rsid w:val="00A90C9D"/>
    <w:rsid w:val="00A91122"/>
    <w:rsid w:val="00A913C0"/>
    <w:rsid w:val="00A91676"/>
    <w:rsid w:val="00A918C4"/>
    <w:rsid w:val="00A9191E"/>
    <w:rsid w:val="00A91AC0"/>
    <w:rsid w:val="00A91BC0"/>
    <w:rsid w:val="00A91D06"/>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3C2"/>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32B"/>
    <w:rsid w:val="00A973C8"/>
    <w:rsid w:val="00A973F5"/>
    <w:rsid w:val="00A97BA5"/>
    <w:rsid w:val="00A97E1F"/>
    <w:rsid w:val="00A97EE2"/>
    <w:rsid w:val="00AA0150"/>
    <w:rsid w:val="00AA01F9"/>
    <w:rsid w:val="00AA0258"/>
    <w:rsid w:val="00AA031E"/>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CA2"/>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7C1"/>
    <w:rsid w:val="00AA39F1"/>
    <w:rsid w:val="00AA3C6E"/>
    <w:rsid w:val="00AA3DC3"/>
    <w:rsid w:val="00AA3F32"/>
    <w:rsid w:val="00AA409E"/>
    <w:rsid w:val="00AA40BA"/>
    <w:rsid w:val="00AA4130"/>
    <w:rsid w:val="00AA4186"/>
    <w:rsid w:val="00AA41E5"/>
    <w:rsid w:val="00AA43DD"/>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F2A"/>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339"/>
    <w:rsid w:val="00AB1469"/>
    <w:rsid w:val="00AB1A3B"/>
    <w:rsid w:val="00AB1C04"/>
    <w:rsid w:val="00AB1C24"/>
    <w:rsid w:val="00AB209C"/>
    <w:rsid w:val="00AB20B4"/>
    <w:rsid w:val="00AB22D5"/>
    <w:rsid w:val="00AB23C9"/>
    <w:rsid w:val="00AB24A2"/>
    <w:rsid w:val="00AB2662"/>
    <w:rsid w:val="00AB26F9"/>
    <w:rsid w:val="00AB28F9"/>
    <w:rsid w:val="00AB29E5"/>
    <w:rsid w:val="00AB2E0E"/>
    <w:rsid w:val="00AB2E41"/>
    <w:rsid w:val="00AB2E7C"/>
    <w:rsid w:val="00AB2F6E"/>
    <w:rsid w:val="00AB308B"/>
    <w:rsid w:val="00AB30E9"/>
    <w:rsid w:val="00AB3243"/>
    <w:rsid w:val="00AB33BF"/>
    <w:rsid w:val="00AB33F1"/>
    <w:rsid w:val="00AB3780"/>
    <w:rsid w:val="00AB3DD5"/>
    <w:rsid w:val="00AB3DE0"/>
    <w:rsid w:val="00AB3E97"/>
    <w:rsid w:val="00AB4188"/>
    <w:rsid w:val="00AB418B"/>
    <w:rsid w:val="00AB4445"/>
    <w:rsid w:val="00AB4634"/>
    <w:rsid w:val="00AB4910"/>
    <w:rsid w:val="00AB4BCF"/>
    <w:rsid w:val="00AB4BEA"/>
    <w:rsid w:val="00AB4C3A"/>
    <w:rsid w:val="00AB4CEF"/>
    <w:rsid w:val="00AB4D90"/>
    <w:rsid w:val="00AB511D"/>
    <w:rsid w:val="00AB55E8"/>
    <w:rsid w:val="00AB56E1"/>
    <w:rsid w:val="00AB5881"/>
    <w:rsid w:val="00AB5A88"/>
    <w:rsid w:val="00AB5AB7"/>
    <w:rsid w:val="00AB5C4A"/>
    <w:rsid w:val="00AB5DC2"/>
    <w:rsid w:val="00AB5F1D"/>
    <w:rsid w:val="00AB5FE9"/>
    <w:rsid w:val="00AB6A2B"/>
    <w:rsid w:val="00AB6EB6"/>
    <w:rsid w:val="00AB7393"/>
    <w:rsid w:val="00AB74F8"/>
    <w:rsid w:val="00AB757B"/>
    <w:rsid w:val="00AB770A"/>
    <w:rsid w:val="00AB775A"/>
    <w:rsid w:val="00AB7791"/>
    <w:rsid w:val="00AB7866"/>
    <w:rsid w:val="00AB7A2F"/>
    <w:rsid w:val="00AB7B22"/>
    <w:rsid w:val="00AB7E1A"/>
    <w:rsid w:val="00AC008A"/>
    <w:rsid w:val="00AC019C"/>
    <w:rsid w:val="00AC0489"/>
    <w:rsid w:val="00AC0603"/>
    <w:rsid w:val="00AC0702"/>
    <w:rsid w:val="00AC070F"/>
    <w:rsid w:val="00AC07E7"/>
    <w:rsid w:val="00AC09A2"/>
    <w:rsid w:val="00AC0A51"/>
    <w:rsid w:val="00AC0A58"/>
    <w:rsid w:val="00AC0CBD"/>
    <w:rsid w:val="00AC1052"/>
    <w:rsid w:val="00AC118D"/>
    <w:rsid w:val="00AC12DA"/>
    <w:rsid w:val="00AC13B1"/>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1D6"/>
    <w:rsid w:val="00AC3213"/>
    <w:rsid w:val="00AC3317"/>
    <w:rsid w:val="00AC3480"/>
    <w:rsid w:val="00AC355D"/>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A5D"/>
    <w:rsid w:val="00AC5D81"/>
    <w:rsid w:val="00AC5E51"/>
    <w:rsid w:val="00AC614B"/>
    <w:rsid w:val="00AC621A"/>
    <w:rsid w:val="00AC6349"/>
    <w:rsid w:val="00AC65E8"/>
    <w:rsid w:val="00AC6643"/>
    <w:rsid w:val="00AC669E"/>
    <w:rsid w:val="00AC66D5"/>
    <w:rsid w:val="00AC67D2"/>
    <w:rsid w:val="00AC6BFD"/>
    <w:rsid w:val="00AC6C31"/>
    <w:rsid w:val="00AC6DB5"/>
    <w:rsid w:val="00AC7151"/>
    <w:rsid w:val="00AC73F5"/>
    <w:rsid w:val="00AC7717"/>
    <w:rsid w:val="00AC7773"/>
    <w:rsid w:val="00AC791D"/>
    <w:rsid w:val="00AC7AB8"/>
    <w:rsid w:val="00AC7B51"/>
    <w:rsid w:val="00AC7BC2"/>
    <w:rsid w:val="00AC7C08"/>
    <w:rsid w:val="00AC7E6E"/>
    <w:rsid w:val="00AC7F6B"/>
    <w:rsid w:val="00AC7FB3"/>
    <w:rsid w:val="00AD009C"/>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7"/>
    <w:rsid w:val="00AD1588"/>
    <w:rsid w:val="00AD15C0"/>
    <w:rsid w:val="00AD17F1"/>
    <w:rsid w:val="00AD1A9F"/>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1E6"/>
    <w:rsid w:val="00AD7374"/>
    <w:rsid w:val="00AD74D8"/>
    <w:rsid w:val="00AD75D1"/>
    <w:rsid w:val="00AD7AD4"/>
    <w:rsid w:val="00AD7BF5"/>
    <w:rsid w:val="00AD7F31"/>
    <w:rsid w:val="00AE001B"/>
    <w:rsid w:val="00AE08A4"/>
    <w:rsid w:val="00AE09E4"/>
    <w:rsid w:val="00AE0AB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E4"/>
    <w:rsid w:val="00AE36E3"/>
    <w:rsid w:val="00AE381A"/>
    <w:rsid w:val="00AE397A"/>
    <w:rsid w:val="00AE3A44"/>
    <w:rsid w:val="00AE3B23"/>
    <w:rsid w:val="00AE3C37"/>
    <w:rsid w:val="00AE3D32"/>
    <w:rsid w:val="00AE3E59"/>
    <w:rsid w:val="00AE3EB2"/>
    <w:rsid w:val="00AE3F15"/>
    <w:rsid w:val="00AE3F21"/>
    <w:rsid w:val="00AE43B7"/>
    <w:rsid w:val="00AE477B"/>
    <w:rsid w:val="00AE4870"/>
    <w:rsid w:val="00AE4A0C"/>
    <w:rsid w:val="00AE4D7D"/>
    <w:rsid w:val="00AE4E7A"/>
    <w:rsid w:val="00AE4E92"/>
    <w:rsid w:val="00AE4F7B"/>
    <w:rsid w:val="00AE4FF2"/>
    <w:rsid w:val="00AE52D3"/>
    <w:rsid w:val="00AE541A"/>
    <w:rsid w:val="00AE549C"/>
    <w:rsid w:val="00AE54FC"/>
    <w:rsid w:val="00AE5C52"/>
    <w:rsid w:val="00AE5E63"/>
    <w:rsid w:val="00AE60BF"/>
    <w:rsid w:val="00AE618A"/>
    <w:rsid w:val="00AE6592"/>
    <w:rsid w:val="00AE65CC"/>
    <w:rsid w:val="00AE661A"/>
    <w:rsid w:val="00AE6690"/>
    <w:rsid w:val="00AE6C43"/>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27A"/>
    <w:rsid w:val="00AF040D"/>
    <w:rsid w:val="00AF0511"/>
    <w:rsid w:val="00AF0525"/>
    <w:rsid w:val="00AF05A8"/>
    <w:rsid w:val="00AF0656"/>
    <w:rsid w:val="00AF076D"/>
    <w:rsid w:val="00AF0796"/>
    <w:rsid w:val="00AF0F7E"/>
    <w:rsid w:val="00AF0FD4"/>
    <w:rsid w:val="00AF1343"/>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15"/>
    <w:rsid w:val="00AF3A48"/>
    <w:rsid w:val="00AF3BFF"/>
    <w:rsid w:val="00AF3DA7"/>
    <w:rsid w:val="00AF3E12"/>
    <w:rsid w:val="00AF4055"/>
    <w:rsid w:val="00AF4062"/>
    <w:rsid w:val="00AF44BA"/>
    <w:rsid w:val="00AF46D8"/>
    <w:rsid w:val="00AF4764"/>
    <w:rsid w:val="00AF47A1"/>
    <w:rsid w:val="00AF493E"/>
    <w:rsid w:val="00AF4A76"/>
    <w:rsid w:val="00AF4C4D"/>
    <w:rsid w:val="00AF4C7C"/>
    <w:rsid w:val="00AF504E"/>
    <w:rsid w:val="00AF528A"/>
    <w:rsid w:val="00AF55C7"/>
    <w:rsid w:val="00AF5696"/>
    <w:rsid w:val="00AF59F8"/>
    <w:rsid w:val="00AF6213"/>
    <w:rsid w:val="00AF6899"/>
    <w:rsid w:val="00AF6BD9"/>
    <w:rsid w:val="00AF6E10"/>
    <w:rsid w:val="00AF6E56"/>
    <w:rsid w:val="00AF7082"/>
    <w:rsid w:val="00AF77AA"/>
    <w:rsid w:val="00AF79D6"/>
    <w:rsid w:val="00AF7AB8"/>
    <w:rsid w:val="00AF7C00"/>
    <w:rsid w:val="00AF7C07"/>
    <w:rsid w:val="00B00544"/>
    <w:rsid w:val="00B0071D"/>
    <w:rsid w:val="00B007E6"/>
    <w:rsid w:val="00B00F8C"/>
    <w:rsid w:val="00B01037"/>
    <w:rsid w:val="00B01099"/>
    <w:rsid w:val="00B01214"/>
    <w:rsid w:val="00B0141F"/>
    <w:rsid w:val="00B01429"/>
    <w:rsid w:val="00B0146D"/>
    <w:rsid w:val="00B0165E"/>
    <w:rsid w:val="00B017FD"/>
    <w:rsid w:val="00B01B37"/>
    <w:rsid w:val="00B01BE7"/>
    <w:rsid w:val="00B020EA"/>
    <w:rsid w:val="00B02155"/>
    <w:rsid w:val="00B02243"/>
    <w:rsid w:val="00B02C6E"/>
    <w:rsid w:val="00B02EEA"/>
    <w:rsid w:val="00B02F06"/>
    <w:rsid w:val="00B02F95"/>
    <w:rsid w:val="00B03668"/>
    <w:rsid w:val="00B03698"/>
    <w:rsid w:val="00B036D4"/>
    <w:rsid w:val="00B036F7"/>
    <w:rsid w:val="00B03744"/>
    <w:rsid w:val="00B03770"/>
    <w:rsid w:val="00B037B3"/>
    <w:rsid w:val="00B039E0"/>
    <w:rsid w:val="00B03ADC"/>
    <w:rsid w:val="00B03BD3"/>
    <w:rsid w:val="00B03BFC"/>
    <w:rsid w:val="00B03EA2"/>
    <w:rsid w:val="00B040BC"/>
    <w:rsid w:val="00B0422A"/>
    <w:rsid w:val="00B043EB"/>
    <w:rsid w:val="00B04449"/>
    <w:rsid w:val="00B04486"/>
    <w:rsid w:val="00B044E6"/>
    <w:rsid w:val="00B04535"/>
    <w:rsid w:val="00B04840"/>
    <w:rsid w:val="00B04BF0"/>
    <w:rsid w:val="00B04D15"/>
    <w:rsid w:val="00B04E7D"/>
    <w:rsid w:val="00B04E8C"/>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68"/>
    <w:rsid w:val="00B11094"/>
    <w:rsid w:val="00B1110F"/>
    <w:rsid w:val="00B111EA"/>
    <w:rsid w:val="00B1142F"/>
    <w:rsid w:val="00B114C2"/>
    <w:rsid w:val="00B11577"/>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3B1"/>
    <w:rsid w:val="00B17594"/>
    <w:rsid w:val="00B176CC"/>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C5"/>
    <w:rsid w:val="00B20FFC"/>
    <w:rsid w:val="00B2134A"/>
    <w:rsid w:val="00B21742"/>
    <w:rsid w:val="00B21A8F"/>
    <w:rsid w:val="00B21C57"/>
    <w:rsid w:val="00B21C8F"/>
    <w:rsid w:val="00B21D89"/>
    <w:rsid w:val="00B21DE7"/>
    <w:rsid w:val="00B21ECB"/>
    <w:rsid w:val="00B21F04"/>
    <w:rsid w:val="00B220F7"/>
    <w:rsid w:val="00B221B4"/>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05F"/>
    <w:rsid w:val="00B241C7"/>
    <w:rsid w:val="00B24347"/>
    <w:rsid w:val="00B244A7"/>
    <w:rsid w:val="00B24617"/>
    <w:rsid w:val="00B2474E"/>
    <w:rsid w:val="00B2475E"/>
    <w:rsid w:val="00B2499A"/>
    <w:rsid w:val="00B24A0F"/>
    <w:rsid w:val="00B24EBA"/>
    <w:rsid w:val="00B25008"/>
    <w:rsid w:val="00B2506E"/>
    <w:rsid w:val="00B255D0"/>
    <w:rsid w:val="00B2577A"/>
    <w:rsid w:val="00B25842"/>
    <w:rsid w:val="00B25C0E"/>
    <w:rsid w:val="00B25D2C"/>
    <w:rsid w:val="00B25E5C"/>
    <w:rsid w:val="00B260CE"/>
    <w:rsid w:val="00B261EF"/>
    <w:rsid w:val="00B26263"/>
    <w:rsid w:val="00B26321"/>
    <w:rsid w:val="00B2638A"/>
    <w:rsid w:val="00B2674A"/>
    <w:rsid w:val="00B2683C"/>
    <w:rsid w:val="00B2690B"/>
    <w:rsid w:val="00B26CAD"/>
    <w:rsid w:val="00B26D72"/>
    <w:rsid w:val="00B26D79"/>
    <w:rsid w:val="00B27181"/>
    <w:rsid w:val="00B273AF"/>
    <w:rsid w:val="00B27675"/>
    <w:rsid w:val="00B27925"/>
    <w:rsid w:val="00B27AB6"/>
    <w:rsid w:val="00B27BB7"/>
    <w:rsid w:val="00B27D6D"/>
    <w:rsid w:val="00B27F8C"/>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1E74"/>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3F"/>
    <w:rsid w:val="00B356C2"/>
    <w:rsid w:val="00B357DC"/>
    <w:rsid w:val="00B35926"/>
    <w:rsid w:val="00B35A44"/>
    <w:rsid w:val="00B35A62"/>
    <w:rsid w:val="00B35BDB"/>
    <w:rsid w:val="00B35D1D"/>
    <w:rsid w:val="00B35ECA"/>
    <w:rsid w:val="00B36006"/>
    <w:rsid w:val="00B361AF"/>
    <w:rsid w:val="00B36492"/>
    <w:rsid w:val="00B36790"/>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08"/>
    <w:rsid w:val="00B4167B"/>
    <w:rsid w:val="00B416EA"/>
    <w:rsid w:val="00B4171C"/>
    <w:rsid w:val="00B417EC"/>
    <w:rsid w:val="00B418A1"/>
    <w:rsid w:val="00B4194D"/>
    <w:rsid w:val="00B41966"/>
    <w:rsid w:val="00B41D40"/>
    <w:rsid w:val="00B41E6B"/>
    <w:rsid w:val="00B41F13"/>
    <w:rsid w:val="00B42233"/>
    <w:rsid w:val="00B429EA"/>
    <w:rsid w:val="00B42A68"/>
    <w:rsid w:val="00B433B3"/>
    <w:rsid w:val="00B43892"/>
    <w:rsid w:val="00B43B32"/>
    <w:rsid w:val="00B43D6C"/>
    <w:rsid w:val="00B43DA5"/>
    <w:rsid w:val="00B43EDA"/>
    <w:rsid w:val="00B4403E"/>
    <w:rsid w:val="00B44205"/>
    <w:rsid w:val="00B44290"/>
    <w:rsid w:val="00B44666"/>
    <w:rsid w:val="00B446A1"/>
    <w:rsid w:val="00B446D1"/>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39"/>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C36"/>
    <w:rsid w:val="00B52D91"/>
    <w:rsid w:val="00B52F71"/>
    <w:rsid w:val="00B53396"/>
    <w:rsid w:val="00B53881"/>
    <w:rsid w:val="00B5399B"/>
    <w:rsid w:val="00B53B44"/>
    <w:rsid w:val="00B53F62"/>
    <w:rsid w:val="00B53FB2"/>
    <w:rsid w:val="00B54042"/>
    <w:rsid w:val="00B540F0"/>
    <w:rsid w:val="00B542A2"/>
    <w:rsid w:val="00B54358"/>
    <w:rsid w:val="00B545C7"/>
    <w:rsid w:val="00B5474C"/>
    <w:rsid w:val="00B54807"/>
    <w:rsid w:val="00B548B9"/>
    <w:rsid w:val="00B54A9E"/>
    <w:rsid w:val="00B54ACA"/>
    <w:rsid w:val="00B54B1E"/>
    <w:rsid w:val="00B54CD4"/>
    <w:rsid w:val="00B54D84"/>
    <w:rsid w:val="00B54E27"/>
    <w:rsid w:val="00B55054"/>
    <w:rsid w:val="00B5515A"/>
    <w:rsid w:val="00B55237"/>
    <w:rsid w:val="00B55490"/>
    <w:rsid w:val="00B555E3"/>
    <w:rsid w:val="00B558AD"/>
    <w:rsid w:val="00B559EF"/>
    <w:rsid w:val="00B55AC5"/>
    <w:rsid w:val="00B56207"/>
    <w:rsid w:val="00B5629D"/>
    <w:rsid w:val="00B565EA"/>
    <w:rsid w:val="00B56BDF"/>
    <w:rsid w:val="00B56D2A"/>
    <w:rsid w:val="00B56E48"/>
    <w:rsid w:val="00B56EF7"/>
    <w:rsid w:val="00B575F9"/>
    <w:rsid w:val="00B576C8"/>
    <w:rsid w:val="00B579BC"/>
    <w:rsid w:val="00B579BF"/>
    <w:rsid w:val="00B57FB8"/>
    <w:rsid w:val="00B60168"/>
    <w:rsid w:val="00B6018C"/>
    <w:rsid w:val="00B606B9"/>
    <w:rsid w:val="00B60812"/>
    <w:rsid w:val="00B60875"/>
    <w:rsid w:val="00B60A62"/>
    <w:rsid w:val="00B60BD4"/>
    <w:rsid w:val="00B60CB5"/>
    <w:rsid w:val="00B60CF7"/>
    <w:rsid w:val="00B60E22"/>
    <w:rsid w:val="00B60FB1"/>
    <w:rsid w:val="00B6102D"/>
    <w:rsid w:val="00B61326"/>
    <w:rsid w:val="00B61391"/>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50"/>
    <w:rsid w:val="00B63270"/>
    <w:rsid w:val="00B635A7"/>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9C3"/>
    <w:rsid w:val="00B66BD7"/>
    <w:rsid w:val="00B66CB0"/>
    <w:rsid w:val="00B66E38"/>
    <w:rsid w:val="00B66EE5"/>
    <w:rsid w:val="00B66FD9"/>
    <w:rsid w:val="00B66FE6"/>
    <w:rsid w:val="00B671BE"/>
    <w:rsid w:val="00B672B0"/>
    <w:rsid w:val="00B672D5"/>
    <w:rsid w:val="00B678EA"/>
    <w:rsid w:val="00B67A26"/>
    <w:rsid w:val="00B67BA3"/>
    <w:rsid w:val="00B67DAE"/>
    <w:rsid w:val="00B67E8C"/>
    <w:rsid w:val="00B67F43"/>
    <w:rsid w:val="00B67FF5"/>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1EA"/>
    <w:rsid w:val="00B73275"/>
    <w:rsid w:val="00B73322"/>
    <w:rsid w:val="00B73328"/>
    <w:rsid w:val="00B7355F"/>
    <w:rsid w:val="00B7369A"/>
    <w:rsid w:val="00B736B3"/>
    <w:rsid w:val="00B7370E"/>
    <w:rsid w:val="00B738ED"/>
    <w:rsid w:val="00B739E1"/>
    <w:rsid w:val="00B73A79"/>
    <w:rsid w:val="00B73A95"/>
    <w:rsid w:val="00B73AAF"/>
    <w:rsid w:val="00B73BB5"/>
    <w:rsid w:val="00B73E47"/>
    <w:rsid w:val="00B73FDF"/>
    <w:rsid w:val="00B740D4"/>
    <w:rsid w:val="00B740E7"/>
    <w:rsid w:val="00B7438B"/>
    <w:rsid w:val="00B74951"/>
    <w:rsid w:val="00B74B5D"/>
    <w:rsid w:val="00B7504C"/>
    <w:rsid w:val="00B752B5"/>
    <w:rsid w:val="00B75395"/>
    <w:rsid w:val="00B753E8"/>
    <w:rsid w:val="00B75482"/>
    <w:rsid w:val="00B75781"/>
    <w:rsid w:val="00B757DF"/>
    <w:rsid w:val="00B75826"/>
    <w:rsid w:val="00B75908"/>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04"/>
    <w:rsid w:val="00B77540"/>
    <w:rsid w:val="00B77727"/>
    <w:rsid w:val="00B77744"/>
    <w:rsid w:val="00B77BBD"/>
    <w:rsid w:val="00B77EEB"/>
    <w:rsid w:val="00B80121"/>
    <w:rsid w:val="00B80167"/>
    <w:rsid w:val="00B80924"/>
    <w:rsid w:val="00B80F0C"/>
    <w:rsid w:val="00B80F96"/>
    <w:rsid w:val="00B8112E"/>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3DF"/>
    <w:rsid w:val="00B83421"/>
    <w:rsid w:val="00B83478"/>
    <w:rsid w:val="00B83CD2"/>
    <w:rsid w:val="00B8400F"/>
    <w:rsid w:val="00B843F9"/>
    <w:rsid w:val="00B84481"/>
    <w:rsid w:val="00B8453F"/>
    <w:rsid w:val="00B846F8"/>
    <w:rsid w:val="00B849F3"/>
    <w:rsid w:val="00B84F4F"/>
    <w:rsid w:val="00B85205"/>
    <w:rsid w:val="00B853F7"/>
    <w:rsid w:val="00B8541D"/>
    <w:rsid w:val="00B85757"/>
    <w:rsid w:val="00B85773"/>
    <w:rsid w:val="00B85A1B"/>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0DF"/>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0CE"/>
    <w:rsid w:val="00B9227F"/>
    <w:rsid w:val="00B9238A"/>
    <w:rsid w:val="00B924E0"/>
    <w:rsid w:val="00B926E0"/>
    <w:rsid w:val="00B928F1"/>
    <w:rsid w:val="00B92A0A"/>
    <w:rsid w:val="00B92B90"/>
    <w:rsid w:val="00B92D00"/>
    <w:rsid w:val="00B92F78"/>
    <w:rsid w:val="00B93017"/>
    <w:rsid w:val="00B930DC"/>
    <w:rsid w:val="00B93141"/>
    <w:rsid w:val="00B9327A"/>
    <w:rsid w:val="00B93493"/>
    <w:rsid w:val="00B9380B"/>
    <w:rsid w:val="00B93AD9"/>
    <w:rsid w:val="00B93B7A"/>
    <w:rsid w:val="00B93F0C"/>
    <w:rsid w:val="00B93F76"/>
    <w:rsid w:val="00B9405C"/>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C8"/>
    <w:rsid w:val="00B96866"/>
    <w:rsid w:val="00B96887"/>
    <w:rsid w:val="00B96C4C"/>
    <w:rsid w:val="00B96D0B"/>
    <w:rsid w:val="00B96E06"/>
    <w:rsid w:val="00B9709A"/>
    <w:rsid w:val="00B9722A"/>
    <w:rsid w:val="00B973C7"/>
    <w:rsid w:val="00B97436"/>
    <w:rsid w:val="00B9753A"/>
    <w:rsid w:val="00B97651"/>
    <w:rsid w:val="00B97786"/>
    <w:rsid w:val="00B978AC"/>
    <w:rsid w:val="00B97BA3"/>
    <w:rsid w:val="00B97DB5"/>
    <w:rsid w:val="00BA0247"/>
    <w:rsid w:val="00BA03C4"/>
    <w:rsid w:val="00BA0564"/>
    <w:rsid w:val="00BA09E0"/>
    <w:rsid w:val="00BA0B9C"/>
    <w:rsid w:val="00BA0CA4"/>
    <w:rsid w:val="00BA0D6A"/>
    <w:rsid w:val="00BA0DB4"/>
    <w:rsid w:val="00BA0E30"/>
    <w:rsid w:val="00BA1071"/>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2FA3"/>
    <w:rsid w:val="00BA3287"/>
    <w:rsid w:val="00BA32E9"/>
    <w:rsid w:val="00BA361D"/>
    <w:rsid w:val="00BA36DB"/>
    <w:rsid w:val="00BA36E7"/>
    <w:rsid w:val="00BA38B5"/>
    <w:rsid w:val="00BA3A75"/>
    <w:rsid w:val="00BA3BFA"/>
    <w:rsid w:val="00BA3C35"/>
    <w:rsid w:val="00BA3D28"/>
    <w:rsid w:val="00BA4354"/>
    <w:rsid w:val="00BA4B9F"/>
    <w:rsid w:val="00BA5036"/>
    <w:rsid w:val="00BA50A0"/>
    <w:rsid w:val="00BA5672"/>
    <w:rsid w:val="00BA5869"/>
    <w:rsid w:val="00BA58C6"/>
    <w:rsid w:val="00BA598B"/>
    <w:rsid w:val="00BA5E57"/>
    <w:rsid w:val="00BA6182"/>
    <w:rsid w:val="00BA6190"/>
    <w:rsid w:val="00BA6325"/>
    <w:rsid w:val="00BA634B"/>
    <w:rsid w:val="00BA658E"/>
    <w:rsid w:val="00BA6611"/>
    <w:rsid w:val="00BA6A4E"/>
    <w:rsid w:val="00BA6C5F"/>
    <w:rsid w:val="00BA6DD8"/>
    <w:rsid w:val="00BA7015"/>
    <w:rsid w:val="00BA71BB"/>
    <w:rsid w:val="00BA736F"/>
    <w:rsid w:val="00BA76B2"/>
    <w:rsid w:val="00BA78FD"/>
    <w:rsid w:val="00BA7903"/>
    <w:rsid w:val="00BA7A51"/>
    <w:rsid w:val="00BA7B72"/>
    <w:rsid w:val="00BA7CA8"/>
    <w:rsid w:val="00BA7F37"/>
    <w:rsid w:val="00BA7FA7"/>
    <w:rsid w:val="00BB0013"/>
    <w:rsid w:val="00BB03B7"/>
    <w:rsid w:val="00BB0582"/>
    <w:rsid w:val="00BB061A"/>
    <w:rsid w:val="00BB06AE"/>
    <w:rsid w:val="00BB0B7D"/>
    <w:rsid w:val="00BB0EA9"/>
    <w:rsid w:val="00BB0F00"/>
    <w:rsid w:val="00BB0F94"/>
    <w:rsid w:val="00BB0FE3"/>
    <w:rsid w:val="00BB1082"/>
    <w:rsid w:val="00BB129A"/>
    <w:rsid w:val="00BB12BC"/>
    <w:rsid w:val="00BB1589"/>
    <w:rsid w:val="00BB1614"/>
    <w:rsid w:val="00BB179E"/>
    <w:rsid w:val="00BB1840"/>
    <w:rsid w:val="00BB1D36"/>
    <w:rsid w:val="00BB1E26"/>
    <w:rsid w:val="00BB1F3A"/>
    <w:rsid w:val="00BB20D8"/>
    <w:rsid w:val="00BB22FA"/>
    <w:rsid w:val="00BB249C"/>
    <w:rsid w:val="00BB2673"/>
    <w:rsid w:val="00BB290A"/>
    <w:rsid w:val="00BB2ADF"/>
    <w:rsid w:val="00BB2C48"/>
    <w:rsid w:val="00BB2FCB"/>
    <w:rsid w:val="00BB3250"/>
    <w:rsid w:val="00BB3277"/>
    <w:rsid w:val="00BB34B7"/>
    <w:rsid w:val="00BB353E"/>
    <w:rsid w:val="00BB36B3"/>
    <w:rsid w:val="00BB36D8"/>
    <w:rsid w:val="00BB3BA3"/>
    <w:rsid w:val="00BB3CED"/>
    <w:rsid w:val="00BB3DD2"/>
    <w:rsid w:val="00BB3DDA"/>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779"/>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4A2C"/>
    <w:rsid w:val="00BC50F9"/>
    <w:rsid w:val="00BC532C"/>
    <w:rsid w:val="00BC5381"/>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3F1"/>
    <w:rsid w:val="00BD0521"/>
    <w:rsid w:val="00BD07D3"/>
    <w:rsid w:val="00BD0AB2"/>
    <w:rsid w:val="00BD0B0E"/>
    <w:rsid w:val="00BD0B66"/>
    <w:rsid w:val="00BD0FBA"/>
    <w:rsid w:val="00BD1423"/>
    <w:rsid w:val="00BD15FD"/>
    <w:rsid w:val="00BD1607"/>
    <w:rsid w:val="00BD1640"/>
    <w:rsid w:val="00BD16F4"/>
    <w:rsid w:val="00BD1712"/>
    <w:rsid w:val="00BD1D1D"/>
    <w:rsid w:val="00BD1D6F"/>
    <w:rsid w:val="00BD1DEF"/>
    <w:rsid w:val="00BD1EFC"/>
    <w:rsid w:val="00BD222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1A6"/>
    <w:rsid w:val="00BD423C"/>
    <w:rsid w:val="00BD427C"/>
    <w:rsid w:val="00BD447E"/>
    <w:rsid w:val="00BD47A4"/>
    <w:rsid w:val="00BD4830"/>
    <w:rsid w:val="00BD4884"/>
    <w:rsid w:val="00BD4960"/>
    <w:rsid w:val="00BD4C19"/>
    <w:rsid w:val="00BD4D1F"/>
    <w:rsid w:val="00BD4E8C"/>
    <w:rsid w:val="00BD5002"/>
    <w:rsid w:val="00BD5152"/>
    <w:rsid w:val="00BD568A"/>
    <w:rsid w:val="00BD5718"/>
    <w:rsid w:val="00BD5860"/>
    <w:rsid w:val="00BD58E2"/>
    <w:rsid w:val="00BD5A95"/>
    <w:rsid w:val="00BD5B5D"/>
    <w:rsid w:val="00BD5C09"/>
    <w:rsid w:val="00BD5C10"/>
    <w:rsid w:val="00BD5FB7"/>
    <w:rsid w:val="00BD6288"/>
    <w:rsid w:val="00BD66A7"/>
    <w:rsid w:val="00BD6B31"/>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1F5"/>
    <w:rsid w:val="00BE192F"/>
    <w:rsid w:val="00BE1B5E"/>
    <w:rsid w:val="00BE1FB7"/>
    <w:rsid w:val="00BE28EE"/>
    <w:rsid w:val="00BE2D0B"/>
    <w:rsid w:val="00BE2FC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505"/>
    <w:rsid w:val="00BE4558"/>
    <w:rsid w:val="00BE45B6"/>
    <w:rsid w:val="00BE473F"/>
    <w:rsid w:val="00BE4A78"/>
    <w:rsid w:val="00BE4B79"/>
    <w:rsid w:val="00BE4B82"/>
    <w:rsid w:val="00BE4DF2"/>
    <w:rsid w:val="00BE5037"/>
    <w:rsid w:val="00BE50D2"/>
    <w:rsid w:val="00BE531E"/>
    <w:rsid w:val="00BE549F"/>
    <w:rsid w:val="00BE54A3"/>
    <w:rsid w:val="00BE552D"/>
    <w:rsid w:val="00BE5591"/>
    <w:rsid w:val="00BE5719"/>
    <w:rsid w:val="00BE596B"/>
    <w:rsid w:val="00BE5AAB"/>
    <w:rsid w:val="00BE5AC7"/>
    <w:rsid w:val="00BE5C47"/>
    <w:rsid w:val="00BE5D9C"/>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9EE"/>
    <w:rsid w:val="00BE7B32"/>
    <w:rsid w:val="00BE7D0F"/>
    <w:rsid w:val="00BE7DAF"/>
    <w:rsid w:val="00BE7E1E"/>
    <w:rsid w:val="00BE7EC7"/>
    <w:rsid w:val="00BE7F68"/>
    <w:rsid w:val="00BF0333"/>
    <w:rsid w:val="00BF053B"/>
    <w:rsid w:val="00BF0816"/>
    <w:rsid w:val="00BF08AE"/>
    <w:rsid w:val="00BF08C6"/>
    <w:rsid w:val="00BF099E"/>
    <w:rsid w:val="00BF0E0C"/>
    <w:rsid w:val="00BF0E63"/>
    <w:rsid w:val="00BF0FB5"/>
    <w:rsid w:val="00BF1109"/>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6AA"/>
    <w:rsid w:val="00BF390E"/>
    <w:rsid w:val="00BF3C4E"/>
    <w:rsid w:val="00BF3D5C"/>
    <w:rsid w:val="00BF3EB8"/>
    <w:rsid w:val="00BF3FFE"/>
    <w:rsid w:val="00BF4436"/>
    <w:rsid w:val="00BF4659"/>
    <w:rsid w:val="00BF4702"/>
    <w:rsid w:val="00BF471A"/>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32F"/>
    <w:rsid w:val="00BF64E9"/>
    <w:rsid w:val="00BF65D7"/>
    <w:rsid w:val="00BF6665"/>
    <w:rsid w:val="00BF6974"/>
    <w:rsid w:val="00BF6A8D"/>
    <w:rsid w:val="00BF6BC0"/>
    <w:rsid w:val="00BF6C07"/>
    <w:rsid w:val="00BF6ECB"/>
    <w:rsid w:val="00BF73B5"/>
    <w:rsid w:val="00BF74FE"/>
    <w:rsid w:val="00BF75D3"/>
    <w:rsid w:val="00BF7649"/>
    <w:rsid w:val="00BF79D0"/>
    <w:rsid w:val="00BF7CB6"/>
    <w:rsid w:val="00BF7D82"/>
    <w:rsid w:val="00BF7DAE"/>
    <w:rsid w:val="00BF7FFA"/>
    <w:rsid w:val="00C0031A"/>
    <w:rsid w:val="00C008B0"/>
    <w:rsid w:val="00C00AB7"/>
    <w:rsid w:val="00C00C3C"/>
    <w:rsid w:val="00C00E70"/>
    <w:rsid w:val="00C00F9F"/>
    <w:rsid w:val="00C00FCF"/>
    <w:rsid w:val="00C012EB"/>
    <w:rsid w:val="00C01380"/>
    <w:rsid w:val="00C013A0"/>
    <w:rsid w:val="00C0141A"/>
    <w:rsid w:val="00C0148A"/>
    <w:rsid w:val="00C015BF"/>
    <w:rsid w:val="00C01687"/>
    <w:rsid w:val="00C017A9"/>
    <w:rsid w:val="00C01980"/>
    <w:rsid w:val="00C01A73"/>
    <w:rsid w:val="00C01B78"/>
    <w:rsid w:val="00C01E5D"/>
    <w:rsid w:val="00C01EC0"/>
    <w:rsid w:val="00C02177"/>
    <w:rsid w:val="00C02509"/>
    <w:rsid w:val="00C02800"/>
    <w:rsid w:val="00C029A0"/>
    <w:rsid w:val="00C02A43"/>
    <w:rsid w:val="00C02C01"/>
    <w:rsid w:val="00C02DC0"/>
    <w:rsid w:val="00C02E65"/>
    <w:rsid w:val="00C03081"/>
    <w:rsid w:val="00C0315D"/>
    <w:rsid w:val="00C03278"/>
    <w:rsid w:val="00C032DC"/>
    <w:rsid w:val="00C03325"/>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5CC"/>
    <w:rsid w:val="00C067F5"/>
    <w:rsid w:val="00C06A66"/>
    <w:rsid w:val="00C06D77"/>
    <w:rsid w:val="00C06E52"/>
    <w:rsid w:val="00C06F76"/>
    <w:rsid w:val="00C06FD2"/>
    <w:rsid w:val="00C07269"/>
    <w:rsid w:val="00C073D1"/>
    <w:rsid w:val="00C0742D"/>
    <w:rsid w:val="00C075A7"/>
    <w:rsid w:val="00C07A46"/>
    <w:rsid w:val="00C07D6A"/>
    <w:rsid w:val="00C07F6F"/>
    <w:rsid w:val="00C10183"/>
    <w:rsid w:val="00C101B7"/>
    <w:rsid w:val="00C103E8"/>
    <w:rsid w:val="00C10591"/>
    <w:rsid w:val="00C1079F"/>
    <w:rsid w:val="00C1093D"/>
    <w:rsid w:val="00C112B8"/>
    <w:rsid w:val="00C112ED"/>
    <w:rsid w:val="00C11305"/>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593"/>
    <w:rsid w:val="00C14ACD"/>
    <w:rsid w:val="00C14C85"/>
    <w:rsid w:val="00C14D00"/>
    <w:rsid w:val="00C14DFE"/>
    <w:rsid w:val="00C14FC9"/>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7E0"/>
    <w:rsid w:val="00C16933"/>
    <w:rsid w:val="00C16D1C"/>
    <w:rsid w:val="00C16D26"/>
    <w:rsid w:val="00C16E56"/>
    <w:rsid w:val="00C16EDC"/>
    <w:rsid w:val="00C16F20"/>
    <w:rsid w:val="00C16FB4"/>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50F"/>
    <w:rsid w:val="00C20623"/>
    <w:rsid w:val="00C2072D"/>
    <w:rsid w:val="00C20743"/>
    <w:rsid w:val="00C207D6"/>
    <w:rsid w:val="00C20A81"/>
    <w:rsid w:val="00C20A85"/>
    <w:rsid w:val="00C20D57"/>
    <w:rsid w:val="00C20DF5"/>
    <w:rsid w:val="00C20E95"/>
    <w:rsid w:val="00C20FCA"/>
    <w:rsid w:val="00C212CB"/>
    <w:rsid w:val="00C21555"/>
    <w:rsid w:val="00C2165D"/>
    <w:rsid w:val="00C218E8"/>
    <w:rsid w:val="00C219DD"/>
    <w:rsid w:val="00C21C4A"/>
    <w:rsid w:val="00C22389"/>
    <w:rsid w:val="00C225AE"/>
    <w:rsid w:val="00C225BB"/>
    <w:rsid w:val="00C22830"/>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781"/>
    <w:rsid w:val="00C258C6"/>
    <w:rsid w:val="00C25C22"/>
    <w:rsid w:val="00C25C49"/>
    <w:rsid w:val="00C2618D"/>
    <w:rsid w:val="00C2644D"/>
    <w:rsid w:val="00C264C5"/>
    <w:rsid w:val="00C265BD"/>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0D1"/>
    <w:rsid w:val="00C321AC"/>
    <w:rsid w:val="00C32214"/>
    <w:rsid w:val="00C3231D"/>
    <w:rsid w:val="00C3253A"/>
    <w:rsid w:val="00C327C3"/>
    <w:rsid w:val="00C32801"/>
    <w:rsid w:val="00C32B80"/>
    <w:rsid w:val="00C32C08"/>
    <w:rsid w:val="00C32FB8"/>
    <w:rsid w:val="00C33067"/>
    <w:rsid w:val="00C3312C"/>
    <w:rsid w:val="00C33174"/>
    <w:rsid w:val="00C33211"/>
    <w:rsid w:val="00C33230"/>
    <w:rsid w:val="00C33251"/>
    <w:rsid w:val="00C33428"/>
    <w:rsid w:val="00C335F0"/>
    <w:rsid w:val="00C3364D"/>
    <w:rsid w:val="00C3377A"/>
    <w:rsid w:val="00C33B2C"/>
    <w:rsid w:val="00C33C9D"/>
    <w:rsid w:val="00C33CAB"/>
    <w:rsid w:val="00C33DD8"/>
    <w:rsid w:val="00C33F40"/>
    <w:rsid w:val="00C340FC"/>
    <w:rsid w:val="00C343B0"/>
    <w:rsid w:val="00C344F6"/>
    <w:rsid w:val="00C344FB"/>
    <w:rsid w:val="00C345C0"/>
    <w:rsid w:val="00C346DE"/>
    <w:rsid w:val="00C34899"/>
    <w:rsid w:val="00C349D6"/>
    <w:rsid w:val="00C34DE4"/>
    <w:rsid w:val="00C34E6C"/>
    <w:rsid w:val="00C35023"/>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23F"/>
    <w:rsid w:val="00C37617"/>
    <w:rsid w:val="00C376DF"/>
    <w:rsid w:val="00C37791"/>
    <w:rsid w:val="00C379A2"/>
    <w:rsid w:val="00C37A1E"/>
    <w:rsid w:val="00C37ACE"/>
    <w:rsid w:val="00C37AE6"/>
    <w:rsid w:val="00C37C95"/>
    <w:rsid w:val="00C37CB8"/>
    <w:rsid w:val="00C37FA9"/>
    <w:rsid w:val="00C4000E"/>
    <w:rsid w:val="00C40176"/>
    <w:rsid w:val="00C401D4"/>
    <w:rsid w:val="00C40226"/>
    <w:rsid w:val="00C40621"/>
    <w:rsid w:val="00C4062E"/>
    <w:rsid w:val="00C4082A"/>
    <w:rsid w:val="00C4088A"/>
    <w:rsid w:val="00C40BC2"/>
    <w:rsid w:val="00C40DE8"/>
    <w:rsid w:val="00C4147B"/>
    <w:rsid w:val="00C4156C"/>
    <w:rsid w:val="00C4166C"/>
    <w:rsid w:val="00C41B17"/>
    <w:rsid w:val="00C41DCA"/>
    <w:rsid w:val="00C41FA3"/>
    <w:rsid w:val="00C41FBF"/>
    <w:rsid w:val="00C4203E"/>
    <w:rsid w:val="00C4211F"/>
    <w:rsid w:val="00C42467"/>
    <w:rsid w:val="00C42540"/>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DB"/>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7AD"/>
    <w:rsid w:val="00C52B7B"/>
    <w:rsid w:val="00C52B88"/>
    <w:rsid w:val="00C52BD0"/>
    <w:rsid w:val="00C52E21"/>
    <w:rsid w:val="00C52E6C"/>
    <w:rsid w:val="00C52F60"/>
    <w:rsid w:val="00C52F77"/>
    <w:rsid w:val="00C530FA"/>
    <w:rsid w:val="00C53429"/>
    <w:rsid w:val="00C53592"/>
    <w:rsid w:val="00C536A4"/>
    <w:rsid w:val="00C5376B"/>
    <w:rsid w:val="00C538F2"/>
    <w:rsid w:val="00C53F74"/>
    <w:rsid w:val="00C54067"/>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D04"/>
    <w:rsid w:val="00C56E16"/>
    <w:rsid w:val="00C56EC4"/>
    <w:rsid w:val="00C56EFF"/>
    <w:rsid w:val="00C57490"/>
    <w:rsid w:val="00C57570"/>
    <w:rsid w:val="00C57801"/>
    <w:rsid w:val="00C57A4E"/>
    <w:rsid w:val="00C57B11"/>
    <w:rsid w:val="00C57B32"/>
    <w:rsid w:val="00C57C3B"/>
    <w:rsid w:val="00C57D21"/>
    <w:rsid w:val="00C57D81"/>
    <w:rsid w:val="00C57E43"/>
    <w:rsid w:val="00C57F20"/>
    <w:rsid w:val="00C6020C"/>
    <w:rsid w:val="00C60371"/>
    <w:rsid w:val="00C603A9"/>
    <w:rsid w:val="00C6044D"/>
    <w:rsid w:val="00C604EF"/>
    <w:rsid w:val="00C6052F"/>
    <w:rsid w:val="00C60691"/>
    <w:rsid w:val="00C607AF"/>
    <w:rsid w:val="00C608B0"/>
    <w:rsid w:val="00C610DF"/>
    <w:rsid w:val="00C61167"/>
    <w:rsid w:val="00C61202"/>
    <w:rsid w:val="00C61285"/>
    <w:rsid w:val="00C61456"/>
    <w:rsid w:val="00C6145D"/>
    <w:rsid w:val="00C61778"/>
    <w:rsid w:val="00C6196E"/>
    <w:rsid w:val="00C6203B"/>
    <w:rsid w:val="00C62091"/>
    <w:rsid w:val="00C62298"/>
    <w:rsid w:val="00C622A7"/>
    <w:rsid w:val="00C62412"/>
    <w:rsid w:val="00C6249D"/>
    <w:rsid w:val="00C624D5"/>
    <w:rsid w:val="00C6253B"/>
    <w:rsid w:val="00C62743"/>
    <w:rsid w:val="00C629BA"/>
    <w:rsid w:val="00C62A0E"/>
    <w:rsid w:val="00C62B59"/>
    <w:rsid w:val="00C62C14"/>
    <w:rsid w:val="00C62EDD"/>
    <w:rsid w:val="00C62F79"/>
    <w:rsid w:val="00C63180"/>
    <w:rsid w:val="00C63217"/>
    <w:rsid w:val="00C632CD"/>
    <w:rsid w:val="00C63379"/>
    <w:rsid w:val="00C63530"/>
    <w:rsid w:val="00C63598"/>
    <w:rsid w:val="00C63671"/>
    <w:rsid w:val="00C636C8"/>
    <w:rsid w:val="00C63753"/>
    <w:rsid w:val="00C63B14"/>
    <w:rsid w:val="00C63BD2"/>
    <w:rsid w:val="00C64220"/>
    <w:rsid w:val="00C64276"/>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3E7"/>
    <w:rsid w:val="00C67400"/>
    <w:rsid w:val="00C676E5"/>
    <w:rsid w:val="00C67816"/>
    <w:rsid w:val="00C678D4"/>
    <w:rsid w:val="00C6790C"/>
    <w:rsid w:val="00C67914"/>
    <w:rsid w:val="00C67E53"/>
    <w:rsid w:val="00C67EBE"/>
    <w:rsid w:val="00C700EC"/>
    <w:rsid w:val="00C70280"/>
    <w:rsid w:val="00C703CE"/>
    <w:rsid w:val="00C704EA"/>
    <w:rsid w:val="00C706AD"/>
    <w:rsid w:val="00C70710"/>
    <w:rsid w:val="00C70974"/>
    <w:rsid w:val="00C70A2D"/>
    <w:rsid w:val="00C70AAF"/>
    <w:rsid w:val="00C70C90"/>
    <w:rsid w:val="00C71020"/>
    <w:rsid w:val="00C71039"/>
    <w:rsid w:val="00C71085"/>
    <w:rsid w:val="00C71090"/>
    <w:rsid w:val="00C71138"/>
    <w:rsid w:val="00C71240"/>
    <w:rsid w:val="00C71254"/>
    <w:rsid w:val="00C7128D"/>
    <w:rsid w:val="00C71364"/>
    <w:rsid w:val="00C713B3"/>
    <w:rsid w:val="00C716C3"/>
    <w:rsid w:val="00C71926"/>
    <w:rsid w:val="00C71944"/>
    <w:rsid w:val="00C7198C"/>
    <w:rsid w:val="00C71C6B"/>
    <w:rsid w:val="00C71CEB"/>
    <w:rsid w:val="00C71DB1"/>
    <w:rsid w:val="00C72035"/>
    <w:rsid w:val="00C721D5"/>
    <w:rsid w:val="00C72225"/>
    <w:rsid w:val="00C726A8"/>
    <w:rsid w:val="00C726E5"/>
    <w:rsid w:val="00C726F7"/>
    <w:rsid w:val="00C72831"/>
    <w:rsid w:val="00C728BA"/>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8E4"/>
    <w:rsid w:val="00C75B2D"/>
    <w:rsid w:val="00C75E8D"/>
    <w:rsid w:val="00C75F25"/>
    <w:rsid w:val="00C765EA"/>
    <w:rsid w:val="00C766DB"/>
    <w:rsid w:val="00C76D62"/>
    <w:rsid w:val="00C76D70"/>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903"/>
    <w:rsid w:val="00C83AF9"/>
    <w:rsid w:val="00C83EB2"/>
    <w:rsid w:val="00C83F40"/>
    <w:rsid w:val="00C840E7"/>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D6B"/>
    <w:rsid w:val="00C90E22"/>
    <w:rsid w:val="00C90E6C"/>
    <w:rsid w:val="00C9114A"/>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E80"/>
    <w:rsid w:val="00C94040"/>
    <w:rsid w:val="00C9422A"/>
    <w:rsid w:val="00C942E7"/>
    <w:rsid w:val="00C943BD"/>
    <w:rsid w:val="00C943E8"/>
    <w:rsid w:val="00C943F4"/>
    <w:rsid w:val="00C947F6"/>
    <w:rsid w:val="00C94816"/>
    <w:rsid w:val="00C94859"/>
    <w:rsid w:val="00C94876"/>
    <w:rsid w:val="00C94BCA"/>
    <w:rsid w:val="00C94C12"/>
    <w:rsid w:val="00C94D11"/>
    <w:rsid w:val="00C94D22"/>
    <w:rsid w:val="00C94E8B"/>
    <w:rsid w:val="00C94EA9"/>
    <w:rsid w:val="00C95030"/>
    <w:rsid w:val="00C950F5"/>
    <w:rsid w:val="00C952E8"/>
    <w:rsid w:val="00C9588A"/>
    <w:rsid w:val="00C95944"/>
    <w:rsid w:val="00C95C6C"/>
    <w:rsid w:val="00C95CA4"/>
    <w:rsid w:val="00C95D0C"/>
    <w:rsid w:val="00C95DC8"/>
    <w:rsid w:val="00C95E01"/>
    <w:rsid w:val="00C95E55"/>
    <w:rsid w:val="00C95E83"/>
    <w:rsid w:val="00C95E8A"/>
    <w:rsid w:val="00C96327"/>
    <w:rsid w:val="00C96344"/>
    <w:rsid w:val="00C965C9"/>
    <w:rsid w:val="00C9696D"/>
    <w:rsid w:val="00C96A66"/>
    <w:rsid w:val="00C96B34"/>
    <w:rsid w:val="00C96BAD"/>
    <w:rsid w:val="00C96E5E"/>
    <w:rsid w:val="00C9737B"/>
    <w:rsid w:val="00C974CA"/>
    <w:rsid w:val="00C97640"/>
    <w:rsid w:val="00C978BF"/>
    <w:rsid w:val="00C979C5"/>
    <w:rsid w:val="00C97BE0"/>
    <w:rsid w:val="00C97DD8"/>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770"/>
    <w:rsid w:val="00CA1807"/>
    <w:rsid w:val="00CA18A7"/>
    <w:rsid w:val="00CA1B19"/>
    <w:rsid w:val="00CA1C15"/>
    <w:rsid w:val="00CA2028"/>
    <w:rsid w:val="00CA2034"/>
    <w:rsid w:val="00CA230A"/>
    <w:rsid w:val="00CA25C6"/>
    <w:rsid w:val="00CA27CC"/>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C6A"/>
    <w:rsid w:val="00CA7D8F"/>
    <w:rsid w:val="00CA7E1A"/>
    <w:rsid w:val="00CA7F72"/>
    <w:rsid w:val="00CB0483"/>
    <w:rsid w:val="00CB0625"/>
    <w:rsid w:val="00CB0632"/>
    <w:rsid w:val="00CB0655"/>
    <w:rsid w:val="00CB0681"/>
    <w:rsid w:val="00CB0763"/>
    <w:rsid w:val="00CB0A53"/>
    <w:rsid w:val="00CB0AE2"/>
    <w:rsid w:val="00CB0BD0"/>
    <w:rsid w:val="00CB103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56"/>
    <w:rsid w:val="00CB33A7"/>
    <w:rsid w:val="00CB344A"/>
    <w:rsid w:val="00CB3510"/>
    <w:rsid w:val="00CB3543"/>
    <w:rsid w:val="00CB3557"/>
    <w:rsid w:val="00CB3760"/>
    <w:rsid w:val="00CB376B"/>
    <w:rsid w:val="00CB390B"/>
    <w:rsid w:val="00CB3D3A"/>
    <w:rsid w:val="00CB3FB1"/>
    <w:rsid w:val="00CB40B2"/>
    <w:rsid w:val="00CB4251"/>
    <w:rsid w:val="00CB43AA"/>
    <w:rsid w:val="00CB481A"/>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211"/>
    <w:rsid w:val="00CB724C"/>
    <w:rsid w:val="00CB742A"/>
    <w:rsid w:val="00CB7482"/>
    <w:rsid w:val="00CB7A8C"/>
    <w:rsid w:val="00CB7EE5"/>
    <w:rsid w:val="00CB7FB6"/>
    <w:rsid w:val="00CC00B1"/>
    <w:rsid w:val="00CC0178"/>
    <w:rsid w:val="00CC0350"/>
    <w:rsid w:val="00CC07DA"/>
    <w:rsid w:val="00CC086C"/>
    <w:rsid w:val="00CC0B83"/>
    <w:rsid w:val="00CC0DB5"/>
    <w:rsid w:val="00CC0E54"/>
    <w:rsid w:val="00CC100C"/>
    <w:rsid w:val="00CC10E8"/>
    <w:rsid w:val="00CC1128"/>
    <w:rsid w:val="00CC123D"/>
    <w:rsid w:val="00CC12B5"/>
    <w:rsid w:val="00CC1364"/>
    <w:rsid w:val="00CC1430"/>
    <w:rsid w:val="00CC1493"/>
    <w:rsid w:val="00CC14B5"/>
    <w:rsid w:val="00CC15A5"/>
    <w:rsid w:val="00CC15B3"/>
    <w:rsid w:val="00CC15D1"/>
    <w:rsid w:val="00CC1BE1"/>
    <w:rsid w:val="00CC1F56"/>
    <w:rsid w:val="00CC1F93"/>
    <w:rsid w:val="00CC23DC"/>
    <w:rsid w:val="00CC244D"/>
    <w:rsid w:val="00CC24DF"/>
    <w:rsid w:val="00CC254C"/>
    <w:rsid w:val="00CC2724"/>
    <w:rsid w:val="00CC27F8"/>
    <w:rsid w:val="00CC2970"/>
    <w:rsid w:val="00CC2B00"/>
    <w:rsid w:val="00CC2C03"/>
    <w:rsid w:val="00CC2C25"/>
    <w:rsid w:val="00CC2C8F"/>
    <w:rsid w:val="00CC2F6A"/>
    <w:rsid w:val="00CC3208"/>
    <w:rsid w:val="00CC347B"/>
    <w:rsid w:val="00CC363C"/>
    <w:rsid w:val="00CC3845"/>
    <w:rsid w:val="00CC387E"/>
    <w:rsid w:val="00CC3C15"/>
    <w:rsid w:val="00CC3EFE"/>
    <w:rsid w:val="00CC3F94"/>
    <w:rsid w:val="00CC4029"/>
    <w:rsid w:val="00CC41F3"/>
    <w:rsid w:val="00CC424A"/>
    <w:rsid w:val="00CC45F4"/>
    <w:rsid w:val="00CC47A9"/>
    <w:rsid w:val="00CC47FF"/>
    <w:rsid w:val="00CC493A"/>
    <w:rsid w:val="00CC4BEE"/>
    <w:rsid w:val="00CC4DF0"/>
    <w:rsid w:val="00CC4E60"/>
    <w:rsid w:val="00CC5254"/>
    <w:rsid w:val="00CC54D1"/>
    <w:rsid w:val="00CC5894"/>
    <w:rsid w:val="00CC5969"/>
    <w:rsid w:val="00CC5B0C"/>
    <w:rsid w:val="00CC5C17"/>
    <w:rsid w:val="00CC5DB8"/>
    <w:rsid w:val="00CC5DC8"/>
    <w:rsid w:val="00CC5FB6"/>
    <w:rsid w:val="00CC5FE8"/>
    <w:rsid w:val="00CC64AE"/>
    <w:rsid w:val="00CC688C"/>
    <w:rsid w:val="00CC68A9"/>
    <w:rsid w:val="00CC69CF"/>
    <w:rsid w:val="00CC6B3E"/>
    <w:rsid w:val="00CC6B7A"/>
    <w:rsid w:val="00CC6DBE"/>
    <w:rsid w:val="00CC6E50"/>
    <w:rsid w:val="00CC6F5F"/>
    <w:rsid w:val="00CC6F69"/>
    <w:rsid w:val="00CC70BB"/>
    <w:rsid w:val="00CC70D7"/>
    <w:rsid w:val="00CC713B"/>
    <w:rsid w:val="00CC72DD"/>
    <w:rsid w:val="00CC7341"/>
    <w:rsid w:val="00CC76B2"/>
    <w:rsid w:val="00CC776B"/>
    <w:rsid w:val="00CC78CD"/>
    <w:rsid w:val="00CC793E"/>
    <w:rsid w:val="00CC7C26"/>
    <w:rsid w:val="00CC7F48"/>
    <w:rsid w:val="00CC7F5E"/>
    <w:rsid w:val="00CD004E"/>
    <w:rsid w:val="00CD00AA"/>
    <w:rsid w:val="00CD0412"/>
    <w:rsid w:val="00CD04E5"/>
    <w:rsid w:val="00CD04EE"/>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5EB"/>
    <w:rsid w:val="00CD17E0"/>
    <w:rsid w:val="00CD18A0"/>
    <w:rsid w:val="00CD1BCF"/>
    <w:rsid w:val="00CD1BD9"/>
    <w:rsid w:val="00CD1E00"/>
    <w:rsid w:val="00CD1FA9"/>
    <w:rsid w:val="00CD22AA"/>
    <w:rsid w:val="00CD2393"/>
    <w:rsid w:val="00CD2942"/>
    <w:rsid w:val="00CD29CB"/>
    <w:rsid w:val="00CD2B19"/>
    <w:rsid w:val="00CD2BD8"/>
    <w:rsid w:val="00CD2E78"/>
    <w:rsid w:val="00CD313B"/>
    <w:rsid w:val="00CD31CA"/>
    <w:rsid w:val="00CD3313"/>
    <w:rsid w:val="00CD3452"/>
    <w:rsid w:val="00CD3642"/>
    <w:rsid w:val="00CD36E2"/>
    <w:rsid w:val="00CD3717"/>
    <w:rsid w:val="00CD399A"/>
    <w:rsid w:val="00CD3B77"/>
    <w:rsid w:val="00CD3FDC"/>
    <w:rsid w:val="00CD40C0"/>
    <w:rsid w:val="00CD4258"/>
    <w:rsid w:val="00CD43AE"/>
    <w:rsid w:val="00CD44BB"/>
    <w:rsid w:val="00CD4582"/>
    <w:rsid w:val="00CD4DBB"/>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15E"/>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861"/>
    <w:rsid w:val="00CE496F"/>
    <w:rsid w:val="00CE49AD"/>
    <w:rsid w:val="00CE49E6"/>
    <w:rsid w:val="00CE4FF8"/>
    <w:rsid w:val="00CE51CC"/>
    <w:rsid w:val="00CE51D1"/>
    <w:rsid w:val="00CE5245"/>
    <w:rsid w:val="00CE525A"/>
    <w:rsid w:val="00CE5343"/>
    <w:rsid w:val="00CE57DE"/>
    <w:rsid w:val="00CE5828"/>
    <w:rsid w:val="00CE5A2E"/>
    <w:rsid w:val="00CE5B11"/>
    <w:rsid w:val="00CE5C01"/>
    <w:rsid w:val="00CE5C84"/>
    <w:rsid w:val="00CE5CB8"/>
    <w:rsid w:val="00CE6003"/>
    <w:rsid w:val="00CE6519"/>
    <w:rsid w:val="00CE6600"/>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8B7"/>
    <w:rsid w:val="00CE798D"/>
    <w:rsid w:val="00CE79E8"/>
    <w:rsid w:val="00CE7AD7"/>
    <w:rsid w:val="00CE7C24"/>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D2E"/>
    <w:rsid w:val="00CF1E06"/>
    <w:rsid w:val="00CF1FE7"/>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AF9"/>
    <w:rsid w:val="00CF3B53"/>
    <w:rsid w:val="00CF3C13"/>
    <w:rsid w:val="00CF3CF1"/>
    <w:rsid w:val="00CF3F4C"/>
    <w:rsid w:val="00CF44DC"/>
    <w:rsid w:val="00CF46D0"/>
    <w:rsid w:val="00CF477E"/>
    <w:rsid w:val="00CF4A79"/>
    <w:rsid w:val="00CF4B6C"/>
    <w:rsid w:val="00CF4BFB"/>
    <w:rsid w:val="00CF4C42"/>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D5B"/>
    <w:rsid w:val="00D04ED6"/>
    <w:rsid w:val="00D04FA2"/>
    <w:rsid w:val="00D05073"/>
    <w:rsid w:val="00D05326"/>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65C"/>
    <w:rsid w:val="00D077D8"/>
    <w:rsid w:val="00D07919"/>
    <w:rsid w:val="00D07947"/>
    <w:rsid w:val="00D07E1D"/>
    <w:rsid w:val="00D100E8"/>
    <w:rsid w:val="00D1071F"/>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419"/>
    <w:rsid w:val="00D13BC1"/>
    <w:rsid w:val="00D13CA6"/>
    <w:rsid w:val="00D13D3F"/>
    <w:rsid w:val="00D13DDF"/>
    <w:rsid w:val="00D13DE9"/>
    <w:rsid w:val="00D1407D"/>
    <w:rsid w:val="00D14179"/>
    <w:rsid w:val="00D141D9"/>
    <w:rsid w:val="00D144AA"/>
    <w:rsid w:val="00D14885"/>
    <w:rsid w:val="00D148EA"/>
    <w:rsid w:val="00D1495C"/>
    <w:rsid w:val="00D14988"/>
    <w:rsid w:val="00D14AC2"/>
    <w:rsid w:val="00D14FD9"/>
    <w:rsid w:val="00D15486"/>
    <w:rsid w:val="00D155E8"/>
    <w:rsid w:val="00D15668"/>
    <w:rsid w:val="00D15733"/>
    <w:rsid w:val="00D1574B"/>
    <w:rsid w:val="00D157E2"/>
    <w:rsid w:val="00D1591A"/>
    <w:rsid w:val="00D15A5E"/>
    <w:rsid w:val="00D15B5A"/>
    <w:rsid w:val="00D15DF3"/>
    <w:rsid w:val="00D15E1F"/>
    <w:rsid w:val="00D1608C"/>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16"/>
    <w:rsid w:val="00D22976"/>
    <w:rsid w:val="00D22A50"/>
    <w:rsid w:val="00D22B03"/>
    <w:rsid w:val="00D22C24"/>
    <w:rsid w:val="00D22C38"/>
    <w:rsid w:val="00D22E75"/>
    <w:rsid w:val="00D231DC"/>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36"/>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3D7"/>
    <w:rsid w:val="00D31449"/>
    <w:rsid w:val="00D316DE"/>
    <w:rsid w:val="00D3186F"/>
    <w:rsid w:val="00D3196A"/>
    <w:rsid w:val="00D32004"/>
    <w:rsid w:val="00D32026"/>
    <w:rsid w:val="00D32161"/>
    <w:rsid w:val="00D32402"/>
    <w:rsid w:val="00D32411"/>
    <w:rsid w:val="00D32453"/>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7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B6"/>
    <w:rsid w:val="00D372D4"/>
    <w:rsid w:val="00D3735A"/>
    <w:rsid w:val="00D37680"/>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19"/>
    <w:rsid w:val="00D41CA1"/>
    <w:rsid w:val="00D423B2"/>
    <w:rsid w:val="00D424FB"/>
    <w:rsid w:val="00D4277E"/>
    <w:rsid w:val="00D4286E"/>
    <w:rsid w:val="00D42965"/>
    <w:rsid w:val="00D42990"/>
    <w:rsid w:val="00D42B24"/>
    <w:rsid w:val="00D42B30"/>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ADF"/>
    <w:rsid w:val="00D47F5E"/>
    <w:rsid w:val="00D500C5"/>
    <w:rsid w:val="00D5019D"/>
    <w:rsid w:val="00D50368"/>
    <w:rsid w:val="00D505A5"/>
    <w:rsid w:val="00D505F2"/>
    <w:rsid w:val="00D506E0"/>
    <w:rsid w:val="00D50914"/>
    <w:rsid w:val="00D50925"/>
    <w:rsid w:val="00D50998"/>
    <w:rsid w:val="00D50AEE"/>
    <w:rsid w:val="00D50DCB"/>
    <w:rsid w:val="00D511C9"/>
    <w:rsid w:val="00D512DA"/>
    <w:rsid w:val="00D514C4"/>
    <w:rsid w:val="00D51567"/>
    <w:rsid w:val="00D51616"/>
    <w:rsid w:val="00D517A9"/>
    <w:rsid w:val="00D5186C"/>
    <w:rsid w:val="00D5189B"/>
    <w:rsid w:val="00D51A77"/>
    <w:rsid w:val="00D51AFF"/>
    <w:rsid w:val="00D51B2C"/>
    <w:rsid w:val="00D51CB9"/>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45D"/>
    <w:rsid w:val="00D5357D"/>
    <w:rsid w:val="00D535B4"/>
    <w:rsid w:val="00D53637"/>
    <w:rsid w:val="00D53BEF"/>
    <w:rsid w:val="00D53CB5"/>
    <w:rsid w:val="00D53F4C"/>
    <w:rsid w:val="00D5401B"/>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2BE"/>
    <w:rsid w:val="00D554DB"/>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745"/>
    <w:rsid w:val="00D577C9"/>
    <w:rsid w:val="00D5788D"/>
    <w:rsid w:val="00D5795F"/>
    <w:rsid w:val="00D57A1D"/>
    <w:rsid w:val="00D57E13"/>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A11"/>
    <w:rsid w:val="00D64DEA"/>
    <w:rsid w:val="00D64E5A"/>
    <w:rsid w:val="00D64F13"/>
    <w:rsid w:val="00D65215"/>
    <w:rsid w:val="00D65322"/>
    <w:rsid w:val="00D6549A"/>
    <w:rsid w:val="00D655BB"/>
    <w:rsid w:val="00D6580C"/>
    <w:rsid w:val="00D65941"/>
    <w:rsid w:val="00D6600E"/>
    <w:rsid w:val="00D660D4"/>
    <w:rsid w:val="00D66185"/>
    <w:rsid w:val="00D6647F"/>
    <w:rsid w:val="00D665E8"/>
    <w:rsid w:val="00D66675"/>
    <w:rsid w:val="00D66B4D"/>
    <w:rsid w:val="00D66D2D"/>
    <w:rsid w:val="00D670A4"/>
    <w:rsid w:val="00D671A3"/>
    <w:rsid w:val="00D67264"/>
    <w:rsid w:val="00D6742F"/>
    <w:rsid w:val="00D6757C"/>
    <w:rsid w:val="00D67AE2"/>
    <w:rsid w:val="00D67C2C"/>
    <w:rsid w:val="00D67C95"/>
    <w:rsid w:val="00D67D63"/>
    <w:rsid w:val="00D67E70"/>
    <w:rsid w:val="00D67F3C"/>
    <w:rsid w:val="00D67F3D"/>
    <w:rsid w:val="00D67FA8"/>
    <w:rsid w:val="00D702F0"/>
    <w:rsid w:val="00D703A2"/>
    <w:rsid w:val="00D703B5"/>
    <w:rsid w:val="00D70721"/>
    <w:rsid w:val="00D707C3"/>
    <w:rsid w:val="00D708E8"/>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0F2"/>
    <w:rsid w:val="00D741E3"/>
    <w:rsid w:val="00D741EB"/>
    <w:rsid w:val="00D74642"/>
    <w:rsid w:val="00D748F8"/>
    <w:rsid w:val="00D74D57"/>
    <w:rsid w:val="00D74F18"/>
    <w:rsid w:val="00D74F50"/>
    <w:rsid w:val="00D75006"/>
    <w:rsid w:val="00D75045"/>
    <w:rsid w:val="00D7515B"/>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75"/>
    <w:rsid w:val="00D776AB"/>
    <w:rsid w:val="00D77954"/>
    <w:rsid w:val="00D77B4C"/>
    <w:rsid w:val="00D77C33"/>
    <w:rsid w:val="00D77C79"/>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2A"/>
    <w:rsid w:val="00D83659"/>
    <w:rsid w:val="00D8377F"/>
    <w:rsid w:val="00D8389E"/>
    <w:rsid w:val="00D83901"/>
    <w:rsid w:val="00D83AC3"/>
    <w:rsid w:val="00D83BBF"/>
    <w:rsid w:val="00D83D2C"/>
    <w:rsid w:val="00D83E3E"/>
    <w:rsid w:val="00D83F81"/>
    <w:rsid w:val="00D840DE"/>
    <w:rsid w:val="00D841BA"/>
    <w:rsid w:val="00D842D9"/>
    <w:rsid w:val="00D844DD"/>
    <w:rsid w:val="00D84558"/>
    <w:rsid w:val="00D845E4"/>
    <w:rsid w:val="00D848EA"/>
    <w:rsid w:val="00D84916"/>
    <w:rsid w:val="00D8497C"/>
    <w:rsid w:val="00D8497D"/>
    <w:rsid w:val="00D84EBC"/>
    <w:rsid w:val="00D85018"/>
    <w:rsid w:val="00D85243"/>
    <w:rsid w:val="00D8553F"/>
    <w:rsid w:val="00D85930"/>
    <w:rsid w:val="00D85A77"/>
    <w:rsid w:val="00D85AC2"/>
    <w:rsid w:val="00D85DDC"/>
    <w:rsid w:val="00D85F24"/>
    <w:rsid w:val="00D85F59"/>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44A"/>
    <w:rsid w:val="00D9469D"/>
    <w:rsid w:val="00D94F7A"/>
    <w:rsid w:val="00D95370"/>
    <w:rsid w:val="00D959A1"/>
    <w:rsid w:val="00D95C9A"/>
    <w:rsid w:val="00D95D26"/>
    <w:rsid w:val="00D95DAC"/>
    <w:rsid w:val="00D95EB3"/>
    <w:rsid w:val="00D95F0D"/>
    <w:rsid w:val="00D95FB7"/>
    <w:rsid w:val="00D961F0"/>
    <w:rsid w:val="00D96447"/>
    <w:rsid w:val="00D9653E"/>
    <w:rsid w:val="00D967F3"/>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90"/>
    <w:rsid w:val="00DA11C8"/>
    <w:rsid w:val="00DA11EF"/>
    <w:rsid w:val="00DA12AF"/>
    <w:rsid w:val="00DA1305"/>
    <w:rsid w:val="00DA13A8"/>
    <w:rsid w:val="00DA1404"/>
    <w:rsid w:val="00DA158C"/>
    <w:rsid w:val="00DA168E"/>
    <w:rsid w:val="00DA1804"/>
    <w:rsid w:val="00DA1A4C"/>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161"/>
    <w:rsid w:val="00DA517F"/>
    <w:rsid w:val="00DA553C"/>
    <w:rsid w:val="00DA563B"/>
    <w:rsid w:val="00DA56D7"/>
    <w:rsid w:val="00DA57D4"/>
    <w:rsid w:val="00DA57D8"/>
    <w:rsid w:val="00DA5CD9"/>
    <w:rsid w:val="00DA5E35"/>
    <w:rsid w:val="00DA5E39"/>
    <w:rsid w:val="00DA5EE2"/>
    <w:rsid w:val="00DA6085"/>
    <w:rsid w:val="00DA61B0"/>
    <w:rsid w:val="00DA6226"/>
    <w:rsid w:val="00DA6365"/>
    <w:rsid w:val="00DA68A5"/>
    <w:rsid w:val="00DA6BA2"/>
    <w:rsid w:val="00DA6BE0"/>
    <w:rsid w:val="00DA6DC5"/>
    <w:rsid w:val="00DA70CA"/>
    <w:rsid w:val="00DA7138"/>
    <w:rsid w:val="00DA71B1"/>
    <w:rsid w:val="00DA74AB"/>
    <w:rsid w:val="00DA74BC"/>
    <w:rsid w:val="00DA7728"/>
    <w:rsid w:val="00DA77BA"/>
    <w:rsid w:val="00DA7899"/>
    <w:rsid w:val="00DA78A3"/>
    <w:rsid w:val="00DA793B"/>
    <w:rsid w:val="00DA7996"/>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56"/>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CC6"/>
    <w:rsid w:val="00DB2D15"/>
    <w:rsid w:val="00DB31F1"/>
    <w:rsid w:val="00DB338B"/>
    <w:rsid w:val="00DB33CA"/>
    <w:rsid w:val="00DB3707"/>
    <w:rsid w:val="00DB3724"/>
    <w:rsid w:val="00DB3770"/>
    <w:rsid w:val="00DB381F"/>
    <w:rsid w:val="00DB3881"/>
    <w:rsid w:val="00DB39D3"/>
    <w:rsid w:val="00DB3AD9"/>
    <w:rsid w:val="00DB409E"/>
    <w:rsid w:val="00DB41A3"/>
    <w:rsid w:val="00DB43B1"/>
    <w:rsid w:val="00DB43E4"/>
    <w:rsid w:val="00DB43EB"/>
    <w:rsid w:val="00DB4BA2"/>
    <w:rsid w:val="00DB4CC4"/>
    <w:rsid w:val="00DB4E8E"/>
    <w:rsid w:val="00DB5104"/>
    <w:rsid w:val="00DB513A"/>
    <w:rsid w:val="00DB51E2"/>
    <w:rsid w:val="00DB51EA"/>
    <w:rsid w:val="00DB5469"/>
    <w:rsid w:val="00DB5574"/>
    <w:rsid w:val="00DB56CA"/>
    <w:rsid w:val="00DB58FC"/>
    <w:rsid w:val="00DB591A"/>
    <w:rsid w:val="00DB5B35"/>
    <w:rsid w:val="00DB607C"/>
    <w:rsid w:val="00DB60B5"/>
    <w:rsid w:val="00DB6108"/>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15E"/>
    <w:rsid w:val="00DC2278"/>
    <w:rsid w:val="00DC29B5"/>
    <w:rsid w:val="00DC2BCA"/>
    <w:rsid w:val="00DC2DBF"/>
    <w:rsid w:val="00DC302B"/>
    <w:rsid w:val="00DC303C"/>
    <w:rsid w:val="00DC327B"/>
    <w:rsid w:val="00DC3376"/>
    <w:rsid w:val="00DC3417"/>
    <w:rsid w:val="00DC3AA6"/>
    <w:rsid w:val="00DC3B1A"/>
    <w:rsid w:val="00DC3CA6"/>
    <w:rsid w:val="00DC3D59"/>
    <w:rsid w:val="00DC3E72"/>
    <w:rsid w:val="00DC3EE4"/>
    <w:rsid w:val="00DC4184"/>
    <w:rsid w:val="00DC4224"/>
    <w:rsid w:val="00DC440D"/>
    <w:rsid w:val="00DC4739"/>
    <w:rsid w:val="00DC4854"/>
    <w:rsid w:val="00DC4904"/>
    <w:rsid w:val="00DC4A35"/>
    <w:rsid w:val="00DC4A39"/>
    <w:rsid w:val="00DC4AFD"/>
    <w:rsid w:val="00DC4D6D"/>
    <w:rsid w:val="00DC5145"/>
    <w:rsid w:val="00DC53C9"/>
    <w:rsid w:val="00DC5438"/>
    <w:rsid w:val="00DC54F2"/>
    <w:rsid w:val="00DC55EB"/>
    <w:rsid w:val="00DC5792"/>
    <w:rsid w:val="00DC5861"/>
    <w:rsid w:val="00DC586D"/>
    <w:rsid w:val="00DC597D"/>
    <w:rsid w:val="00DC5D96"/>
    <w:rsid w:val="00DC5E74"/>
    <w:rsid w:val="00DC5FE6"/>
    <w:rsid w:val="00DC633D"/>
    <w:rsid w:val="00DC6356"/>
    <w:rsid w:val="00DC6388"/>
    <w:rsid w:val="00DC638E"/>
    <w:rsid w:val="00DC6838"/>
    <w:rsid w:val="00DC69B0"/>
    <w:rsid w:val="00DC6ADC"/>
    <w:rsid w:val="00DC6C80"/>
    <w:rsid w:val="00DC6D14"/>
    <w:rsid w:val="00DC6E54"/>
    <w:rsid w:val="00DC7463"/>
    <w:rsid w:val="00DC74FC"/>
    <w:rsid w:val="00DC766E"/>
    <w:rsid w:val="00DC76C6"/>
    <w:rsid w:val="00DC7713"/>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6"/>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2FD3"/>
    <w:rsid w:val="00DD329F"/>
    <w:rsid w:val="00DD33D4"/>
    <w:rsid w:val="00DD3479"/>
    <w:rsid w:val="00DD35A0"/>
    <w:rsid w:val="00DD384D"/>
    <w:rsid w:val="00DD38BD"/>
    <w:rsid w:val="00DD3DFF"/>
    <w:rsid w:val="00DD3E4B"/>
    <w:rsid w:val="00DD3F6C"/>
    <w:rsid w:val="00DD41EB"/>
    <w:rsid w:val="00DD4276"/>
    <w:rsid w:val="00DD432B"/>
    <w:rsid w:val="00DD44B5"/>
    <w:rsid w:val="00DD4839"/>
    <w:rsid w:val="00DD4984"/>
    <w:rsid w:val="00DD498F"/>
    <w:rsid w:val="00DD4AAB"/>
    <w:rsid w:val="00DD4AE7"/>
    <w:rsid w:val="00DD5008"/>
    <w:rsid w:val="00DD509D"/>
    <w:rsid w:val="00DD544A"/>
    <w:rsid w:val="00DD5741"/>
    <w:rsid w:val="00DD5964"/>
    <w:rsid w:val="00DD6079"/>
    <w:rsid w:val="00DD6328"/>
    <w:rsid w:val="00DD659F"/>
    <w:rsid w:val="00DD65AC"/>
    <w:rsid w:val="00DD682A"/>
    <w:rsid w:val="00DD691E"/>
    <w:rsid w:val="00DD6B54"/>
    <w:rsid w:val="00DD6C3E"/>
    <w:rsid w:val="00DD7035"/>
    <w:rsid w:val="00DD70C2"/>
    <w:rsid w:val="00DD7467"/>
    <w:rsid w:val="00DD74D9"/>
    <w:rsid w:val="00DD7548"/>
    <w:rsid w:val="00DD75FA"/>
    <w:rsid w:val="00DD76E1"/>
    <w:rsid w:val="00DD7980"/>
    <w:rsid w:val="00DD79AB"/>
    <w:rsid w:val="00DD7C6D"/>
    <w:rsid w:val="00DD7E2B"/>
    <w:rsid w:val="00DD7E91"/>
    <w:rsid w:val="00DE007B"/>
    <w:rsid w:val="00DE04E3"/>
    <w:rsid w:val="00DE07BB"/>
    <w:rsid w:val="00DE0818"/>
    <w:rsid w:val="00DE0966"/>
    <w:rsid w:val="00DE0A4C"/>
    <w:rsid w:val="00DE0A6B"/>
    <w:rsid w:val="00DE0BB5"/>
    <w:rsid w:val="00DE0E94"/>
    <w:rsid w:val="00DE11DC"/>
    <w:rsid w:val="00DE1596"/>
    <w:rsid w:val="00DE1B3C"/>
    <w:rsid w:val="00DE1B45"/>
    <w:rsid w:val="00DE1C83"/>
    <w:rsid w:val="00DE1F0D"/>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4C1E"/>
    <w:rsid w:val="00DE5021"/>
    <w:rsid w:val="00DE50B3"/>
    <w:rsid w:val="00DE50B8"/>
    <w:rsid w:val="00DE5241"/>
    <w:rsid w:val="00DE5273"/>
    <w:rsid w:val="00DE52A0"/>
    <w:rsid w:val="00DE5335"/>
    <w:rsid w:val="00DE5513"/>
    <w:rsid w:val="00DE582E"/>
    <w:rsid w:val="00DE59C6"/>
    <w:rsid w:val="00DE5A45"/>
    <w:rsid w:val="00DE5C8B"/>
    <w:rsid w:val="00DE5CD3"/>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35"/>
    <w:rsid w:val="00DF4A6A"/>
    <w:rsid w:val="00DF501B"/>
    <w:rsid w:val="00DF5134"/>
    <w:rsid w:val="00DF538F"/>
    <w:rsid w:val="00DF56C5"/>
    <w:rsid w:val="00DF57AB"/>
    <w:rsid w:val="00DF5A78"/>
    <w:rsid w:val="00DF5A82"/>
    <w:rsid w:val="00DF5B67"/>
    <w:rsid w:val="00DF5B70"/>
    <w:rsid w:val="00DF5B7F"/>
    <w:rsid w:val="00DF5BF5"/>
    <w:rsid w:val="00DF5BFB"/>
    <w:rsid w:val="00DF5C27"/>
    <w:rsid w:val="00DF6023"/>
    <w:rsid w:val="00DF69BE"/>
    <w:rsid w:val="00DF6CCC"/>
    <w:rsid w:val="00DF6CDE"/>
    <w:rsid w:val="00DF6DA7"/>
    <w:rsid w:val="00DF6DE0"/>
    <w:rsid w:val="00DF6F0B"/>
    <w:rsid w:val="00DF6F36"/>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A82"/>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5B"/>
    <w:rsid w:val="00E13485"/>
    <w:rsid w:val="00E134D6"/>
    <w:rsid w:val="00E13581"/>
    <w:rsid w:val="00E13C3D"/>
    <w:rsid w:val="00E13D9D"/>
    <w:rsid w:val="00E14037"/>
    <w:rsid w:val="00E1424F"/>
    <w:rsid w:val="00E144A2"/>
    <w:rsid w:val="00E145F1"/>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529"/>
    <w:rsid w:val="00E16AD6"/>
    <w:rsid w:val="00E16CDC"/>
    <w:rsid w:val="00E170A3"/>
    <w:rsid w:val="00E1715C"/>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1E5"/>
    <w:rsid w:val="00E212CA"/>
    <w:rsid w:val="00E21630"/>
    <w:rsid w:val="00E21670"/>
    <w:rsid w:val="00E216A7"/>
    <w:rsid w:val="00E21A09"/>
    <w:rsid w:val="00E21A92"/>
    <w:rsid w:val="00E21BAE"/>
    <w:rsid w:val="00E21D42"/>
    <w:rsid w:val="00E220E0"/>
    <w:rsid w:val="00E2247D"/>
    <w:rsid w:val="00E22579"/>
    <w:rsid w:val="00E22629"/>
    <w:rsid w:val="00E22783"/>
    <w:rsid w:val="00E227A6"/>
    <w:rsid w:val="00E227BA"/>
    <w:rsid w:val="00E2282E"/>
    <w:rsid w:val="00E2283A"/>
    <w:rsid w:val="00E2283D"/>
    <w:rsid w:val="00E2284B"/>
    <w:rsid w:val="00E2291A"/>
    <w:rsid w:val="00E22A7F"/>
    <w:rsid w:val="00E22C5B"/>
    <w:rsid w:val="00E22F0B"/>
    <w:rsid w:val="00E22F4E"/>
    <w:rsid w:val="00E232D5"/>
    <w:rsid w:val="00E235D1"/>
    <w:rsid w:val="00E2375D"/>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369"/>
    <w:rsid w:val="00E27426"/>
    <w:rsid w:val="00E27498"/>
    <w:rsid w:val="00E274B8"/>
    <w:rsid w:val="00E2750A"/>
    <w:rsid w:val="00E275C5"/>
    <w:rsid w:val="00E27875"/>
    <w:rsid w:val="00E27911"/>
    <w:rsid w:val="00E27CFE"/>
    <w:rsid w:val="00E300D1"/>
    <w:rsid w:val="00E301E8"/>
    <w:rsid w:val="00E30237"/>
    <w:rsid w:val="00E303F6"/>
    <w:rsid w:val="00E305AB"/>
    <w:rsid w:val="00E307F7"/>
    <w:rsid w:val="00E30A19"/>
    <w:rsid w:val="00E30A5F"/>
    <w:rsid w:val="00E30AA7"/>
    <w:rsid w:val="00E30C13"/>
    <w:rsid w:val="00E30C31"/>
    <w:rsid w:val="00E30CE2"/>
    <w:rsid w:val="00E30DE5"/>
    <w:rsid w:val="00E3101C"/>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3DD"/>
    <w:rsid w:val="00E3285C"/>
    <w:rsid w:val="00E328F0"/>
    <w:rsid w:val="00E32A4C"/>
    <w:rsid w:val="00E32DC2"/>
    <w:rsid w:val="00E330DF"/>
    <w:rsid w:val="00E33449"/>
    <w:rsid w:val="00E339AD"/>
    <w:rsid w:val="00E33A8C"/>
    <w:rsid w:val="00E33E63"/>
    <w:rsid w:val="00E34093"/>
    <w:rsid w:val="00E3413F"/>
    <w:rsid w:val="00E341AF"/>
    <w:rsid w:val="00E341E0"/>
    <w:rsid w:val="00E341E5"/>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6035"/>
    <w:rsid w:val="00E360D3"/>
    <w:rsid w:val="00E3623B"/>
    <w:rsid w:val="00E362C2"/>
    <w:rsid w:val="00E3638A"/>
    <w:rsid w:val="00E3648B"/>
    <w:rsid w:val="00E364B4"/>
    <w:rsid w:val="00E36526"/>
    <w:rsid w:val="00E3652A"/>
    <w:rsid w:val="00E36927"/>
    <w:rsid w:val="00E36AA7"/>
    <w:rsid w:val="00E36D8A"/>
    <w:rsid w:val="00E36E44"/>
    <w:rsid w:val="00E36FA2"/>
    <w:rsid w:val="00E36FB8"/>
    <w:rsid w:val="00E37024"/>
    <w:rsid w:val="00E370AE"/>
    <w:rsid w:val="00E3715F"/>
    <w:rsid w:val="00E378D3"/>
    <w:rsid w:val="00E37C7C"/>
    <w:rsid w:val="00E37E96"/>
    <w:rsid w:val="00E40177"/>
    <w:rsid w:val="00E4019E"/>
    <w:rsid w:val="00E403AF"/>
    <w:rsid w:val="00E405C3"/>
    <w:rsid w:val="00E406C8"/>
    <w:rsid w:val="00E40A01"/>
    <w:rsid w:val="00E40B50"/>
    <w:rsid w:val="00E40DDB"/>
    <w:rsid w:val="00E40E69"/>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D18"/>
    <w:rsid w:val="00E45D8D"/>
    <w:rsid w:val="00E45F3E"/>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293"/>
    <w:rsid w:val="00E52316"/>
    <w:rsid w:val="00E52408"/>
    <w:rsid w:val="00E527A5"/>
    <w:rsid w:val="00E52A73"/>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945"/>
    <w:rsid w:val="00E5597C"/>
    <w:rsid w:val="00E55D69"/>
    <w:rsid w:val="00E55DA4"/>
    <w:rsid w:val="00E565D4"/>
    <w:rsid w:val="00E565E3"/>
    <w:rsid w:val="00E566C4"/>
    <w:rsid w:val="00E56863"/>
    <w:rsid w:val="00E56A45"/>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35"/>
    <w:rsid w:val="00E6149A"/>
    <w:rsid w:val="00E6179E"/>
    <w:rsid w:val="00E618B9"/>
    <w:rsid w:val="00E618E7"/>
    <w:rsid w:val="00E619B7"/>
    <w:rsid w:val="00E61DAD"/>
    <w:rsid w:val="00E61DEE"/>
    <w:rsid w:val="00E61E57"/>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B8E"/>
    <w:rsid w:val="00E64C00"/>
    <w:rsid w:val="00E64DAE"/>
    <w:rsid w:val="00E64F39"/>
    <w:rsid w:val="00E650C7"/>
    <w:rsid w:val="00E65180"/>
    <w:rsid w:val="00E6519A"/>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2E"/>
    <w:rsid w:val="00E66056"/>
    <w:rsid w:val="00E66082"/>
    <w:rsid w:val="00E66333"/>
    <w:rsid w:val="00E663F5"/>
    <w:rsid w:val="00E666B4"/>
    <w:rsid w:val="00E666F9"/>
    <w:rsid w:val="00E668E0"/>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CD7"/>
    <w:rsid w:val="00E71DB5"/>
    <w:rsid w:val="00E720CE"/>
    <w:rsid w:val="00E72373"/>
    <w:rsid w:val="00E724BF"/>
    <w:rsid w:val="00E72859"/>
    <w:rsid w:val="00E7286C"/>
    <w:rsid w:val="00E72A93"/>
    <w:rsid w:val="00E72FD5"/>
    <w:rsid w:val="00E731AE"/>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3E7"/>
    <w:rsid w:val="00E776B7"/>
    <w:rsid w:val="00E77802"/>
    <w:rsid w:val="00E778DB"/>
    <w:rsid w:val="00E7790B"/>
    <w:rsid w:val="00E77B26"/>
    <w:rsid w:val="00E77CA4"/>
    <w:rsid w:val="00E80359"/>
    <w:rsid w:val="00E80389"/>
    <w:rsid w:val="00E8059F"/>
    <w:rsid w:val="00E80807"/>
    <w:rsid w:val="00E80819"/>
    <w:rsid w:val="00E80D3C"/>
    <w:rsid w:val="00E80D40"/>
    <w:rsid w:val="00E80DAC"/>
    <w:rsid w:val="00E80EC6"/>
    <w:rsid w:val="00E80F06"/>
    <w:rsid w:val="00E80FD5"/>
    <w:rsid w:val="00E810E5"/>
    <w:rsid w:val="00E811BC"/>
    <w:rsid w:val="00E815D9"/>
    <w:rsid w:val="00E81678"/>
    <w:rsid w:val="00E8168E"/>
    <w:rsid w:val="00E81826"/>
    <w:rsid w:val="00E818AC"/>
    <w:rsid w:val="00E818C4"/>
    <w:rsid w:val="00E818FF"/>
    <w:rsid w:val="00E81C28"/>
    <w:rsid w:val="00E8209B"/>
    <w:rsid w:val="00E82213"/>
    <w:rsid w:val="00E8239C"/>
    <w:rsid w:val="00E82495"/>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1DB"/>
    <w:rsid w:val="00E8525C"/>
    <w:rsid w:val="00E852A6"/>
    <w:rsid w:val="00E8533B"/>
    <w:rsid w:val="00E85442"/>
    <w:rsid w:val="00E854FC"/>
    <w:rsid w:val="00E85747"/>
    <w:rsid w:val="00E857ED"/>
    <w:rsid w:val="00E86173"/>
    <w:rsid w:val="00E863FF"/>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C2F"/>
    <w:rsid w:val="00E92D03"/>
    <w:rsid w:val="00E92D5F"/>
    <w:rsid w:val="00E92D6F"/>
    <w:rsid w:val="00E92E29"/>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5BF"/>
    <w:rsid w:val="00E96669"/>
    <w:rsid w:val="00E967F7"/>
    <w:rsid w:val="00E96CC9"/>
    <w:rsid w:val="00E96D74"/>
    <w:rsid w:val="00E96D83"/>
    <w:rsid w:val="00E9715B"/>
    <w:rsid w:val="00E971F5"/>
    <w:rsid w:val="00E97245"/>
    <w:rsid w:val="00E9725A"/>
    <w:rsid w:val="00E974C2"/>
    <w:rsid w:val="00E97542"/>
    <w:rsid w:val="00E975EC"/>
    <w:rsid w:val="00E97741"/>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5CD"/>
    <w:rsid w:val="00EA388F"/>
    <w:rsid w:val="00EA3A87"/>
    <w:rsid w:val="00EA3BAA"/>
    <w:rsid w:val="00EA3C83"/>
    <w:rsid w:val="00EA3D3C"/>
    <w:rsid w:val="00EA3D7D"/>
    <w:rsid w:val="00EA3E5C"/>
    <w:rsid w:val="00EA4011"/>
    <w:rsid w:val="00EA4031"/>
    <w:rsid w:val="00EA4462"/>
    <w:rsid w:val="00EA4552"/>
    <w:rsid w:val="00EA46DE"/>
    <w:rsid w:val="00EA4A96"/>
    <w:rsid w:val="00EA4BA4"/>
    <w:rsid w:val="00EA4BEC"/>
    <w:rsid w:val="00EA4C57"/>
    <w:rsid w:val="00EA4CE5"/>
    <w:rsid w:val="00EA503D"/>
    <w:rsid w:val="00EA508E"/>
    <w:rsid w:val="00EA50E3"/>
    <w:rsid w:val="00EA52EE"/>
    <w:rsid w:val="00EA530B"/>
    <w:rsid w:val="00EA54D9"/>
    <w:rsid w:val="00EA56FC"/>
    <w:rsid w:val="00EA5816"/>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701"/>
    <w:rsid w:val="00EB1CCA"/>
    <w:rsid w:val="00EB1E53"/>
    <w:rsid w:val="00EB1F9E"/>
    <w:rsid w:val="00EB2078"/>
    <w:rsid w:val="00EB21BE"/>
    <w:rsid w:val="00EB22CA"/>
    <w:rsid w:val="00EB2464"/>
    <w:rsid w:val="00EB2777"/>
    <w:rsid w:val="00EB280A"/>
    <w:rsid w:val="00EB2F7E"/>
    <w:rsid w:val="00EB30E3"/>
    <w:rsid w:val="00EB311F"/>
    <w:rsid w:val="00EB326E"/>
    <w:rsid w:val="00EB392C"/>
    <w:rsid w:val="00EB3A4D"/>
    <w:rsid w:val="00EB3DA8"/>
    <w:rsid w:val="00EB3DC7"/>
    <w:rsid w:val="00EB3FB7"/>
    <w:rsid w:val="00EB401D"/>
    <w:rsid w:val="00EB417A"/>
    <w:rsid w:val="00EB418D"/>
    <w:rsid w:val="00EB43A8"/>
    <w:rsid w:val="00EB44FE"/>
    <w:rsid w:val="00EB4678"/>
    <w:rsid w:val="00EB4882"/>
    <w:rsid w:val="00EB4998"/>
    <w:rsid w:val="00EB4B90"/>
    <w:rsid w:val="00EB4C30"/>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6046"/>
    <w:rsid w:val="00EB6126"/>
    <w:rsid w:val="00EB6449"/>
    <w:rsid w:val="00EB6850"/>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599"/>
    <w:rsid w:val="00EC059B"/>
    <w:rsid w:val="00EC09B3"/>
    <w:rsid w:val="00EC0BE6"/>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7D"/>
    <w:rsid w:val="00EC1CCB"/>
    <w:rsid w:val="00EC1FD8"/>
    <w:rsid w:val="00EC20C1"/>
    <w:rsid w:val="00EC20EE"/>
    <w:rsid w:val="00EC22CB"/>
    <w:rsid w:val="00EC23A7"/>
    <w:rsid w:val="00EC23B3"/>
    <w:rsid w:val="00EC23B9"/>
    <w:rsid w:val="00EC2A32"/>
    <w:rsid w:val="00EC2B27"/>
    <w:rsid w:val="00EC2B31"/>
    <w:rsid w:val="00EC2D95"/>
    <w:rsid w:val="00EC2EA4"/>
    <w:rsid w:val="00EC30EB"/>
    <w:rsid w:val="00EC310F"/>
    <w:rsid w:val="00EC3333"/>
    <w:rsid w:val="00EC33B8"/>
    <w:rsid w:val="00EC343B"/>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8D8"/>
    <w:rsid w:val="00EC4AA6"/>
    <w:rsid w:val="00EC4B07"/>
    <w:rsid w:val="00EC4D56"/>
    <w:rsid w:val="00EC4DCE"/>
    <w:rsid w:val="00EC4ED7"/>
    <w:rsid w:val="00EC51C8"/>
    <w:rsid w:val="00EC52D5"/>
    <w:rsid w:val="00EC5416"/>
    <w:rsid w:val="00EC5502"/>
    <w:rsid w:val="00EC55B8"/>
    <w:rsid w:val="00EC5605"/>
    <w:rsid w:val="00EC56A6"/>
    <w:rsid w:val="00EC5E05"/>
    <w:rsid w:val="00EC5EA3"/>
    <w:rsid w:val="00EC671E"/>
    <w:rsid w:val="00EC6AB5"/>
    <w:rsid w:val="00EC6C6E"/>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568"/>
    <w:rsid w:val="00ED4588"/>
    <w:rsid w:val="00ED4A3C"/>
    <w:rsid w:val="00ED4D69"/>
    <w:rsid w:val="00ED4E78"/>
    <w:rsid w:val="00ED4EB6"/>
    <w:rsid w:val="00ED4F2E"/>
    <w:rsid w:val="00ED508C"/>
    <w:rsid w:val="00ED50E2"/>
    <w:rsid w:val="00ED5242"/>
    <w:rsid w:val="00ED55CD"/>
    <w:rsid w:val="00ED5621"/>
    <w:rsid w:val="00ED5AAF"/>
    <w:rsid w:val="00ED5AE3"/>
    <w:rsid w:val="00ED5AEC"/>
    <w:rsid w:val="00ED5D25"/>
    <w:rsid w:val="00ED5E36"/>
    <w:rsid w:val="00ED63AC"/>
    <w:rsid w:val="00ED648B"/>
    <w:rsid w:val="00ED6586"/>
    <w:rsid w:val="00ED660B"/>
    <w:rsid w:val="00ED67B6"/>
    <w:rsid w:val="00ED6A77"/>
    <w:rsid w:val="00ED6B37"/>
    <w:rsid w:val="00ED6C08"/>
    <w:rsid w:val="00ED6C58"/>
    <w:rsid w:val="00ED6DAC"/>
    <w:rsid w:val="00ED6E24"/>
    <w:rsid w:val="00ED6E42"/>
    <w:rsid w:val="00ED6E83"/>
    <w:rsid w:val="00ED6F9C"/>
    <w:rsid w:val="00ED77CB"/>
    <w:rsid w:val="00ED78AB"/>
    <w:rsid w:val="00ED7A5A"/>
    <w:rsid w:val="00ED7B0B"/>
    <w:rsid w:val="00ED7D36"/>
    <w:rsid w:val="00ED7DB8"/>
    <w:rsid w:val="00ED7EDA"/>
    <w:rsid w:val="00EE00E9"/>
    <w:rsid w:val="00EE02C1"/>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186"/>
    <w:rsid w:val="00EE23B9"/>
    <w:rsid w:val="00EE267B"/>
    <w:rsid w:val="00EE273A"/>
    <w:rsid w:val="00EE27B3"/>
    <w:rsid w:val="00EE2A33"/>
    <w:rsid w:val="00EE33BD"/>
    <w:rsid w:val="00EE3454"/>
    <w:rsid w:val="00EE3682"/>
    <w:rsid w:val="00EE37C3"/>
    <w:rsid w:val="00EE3BD8"/>
    <w:rsid w:val="00EE3EE6"/>
    <w:rsid w:val="00EE418B"/>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6017"/>
    <w:rsid w:val="00EE667C"/>
    <w:rsid w:val="00EE67A3"/>
    <w:rsid w:val="00EE688A"/>
    <w:rsid w:val="00EE6A73"/>
    <w:rsid w:val="00EE6AED"/>
    <w:rsid w:val="00EE6BDB"/>
    <w:rsid w:val="00EE6C44"/>
    <w:rsid w:val="00EE6D2C"/>
    <w:rsid w:val="00EE6D54"/>
    <w:rsid w:val="00EE6E70"/>
    <w:rsid w:val="00EE7187"/>
    <w:rsid w:val="00EE739F"/>
    <w:rsid w:val="00EE743A"/>
    <w:rsid w:val="00EE7484"/>
    <w:rsid w:val="00EE7493"/>
    <w:rsid w:val="00EE7A6A"/>
    <w:rsid w:val="00EE7BC3"/>
    <w:rsid w:val="00EE7D25"/>
    <w:rsid w:val="00EE7F05"/>
    <w:rsid w:val="00EF0001"/>
    <w:rsid w:val="00EF041C"/>
    <w:rsid w:val="00EF044B"/>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FA1"/>
    <w:rsid w:val="00EF20F0"/>
    <w:rsid w:val="00EF21C8"/>
    <w:rsid w:val="00EF2366"/>
    <w:rsid w:val="00EF24BE"/>
    <w:rsid w:val="00EF268C"/>
    <w:rsid w:val="00EF2971"/>
    <w:rsid w:val="00EF2A4C"/>
    <w:rsid w:val="00EF2A59"/>
    <w:rsid w:val="00EF2B37"/>
    <w:rsid w:val="00EF2B41"/>
    <w:rsid w:val="00EF2D65"/>
    <w:rsid w:val="00EF3071"/>
    <w:rsid w:val="00EF30E9"/>
    <w:rsid w:val="00EF31B8"/>
    <w:rsid w:val="00EF324C"/>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8C"/>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127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53E"/>
    <w:rsid w:val="00F0354E"/>
    <w:rsid w:val="00F035FD"/>
    <w:rsid w:val="00F037F1"/>
    <w:rsid w:val="00F03B07"/>
    <w:rsid w:val="00F0402C"/>
    <w:rsid w:val="00F04202"/>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884"/>
    <w:rsid w:val="00F07AF8"/>
    <w:rsid w:val="00F07E79"/>
    <w:rsid w:val="00F07FC2"/>
    <w:rsid w:val="00F1009D"/>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6F6"/>
    <w:rsid w:val="00F127B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CC"/>
    <w:rsid w:val="00F148B0"/>
    <w:rsid w:val="00F14F89"/>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1B4"/>
    <w:rsid w:val="00F2432D"/>
    <w:rsid w:val="00F24446"/>
    <w:rsid w:val="00F24690"/>
    <w:rsid w:val="00F24767"/>
    <w:rsid w:val="00F2488D"/>
    <w:rsid w:val="00F248B7"/>
    <w:rsid w:val="00F24AF9"/>
    <w:rsid w:val="00F24B08"/>
    <w:rsid w:val="00F24BE7"/>
    <w:rsid w:val="00F24DEE"/>
    <w:rsid w:val="00F24DF6"/>
    <w:rsid w:val="00F24E20"/>
    <w:rsid w:val="00F24F79"/>
    <w:rsid w:val="00F2503B"/>
    <w:rsid w:val="00F25525"/>
    <w:rsid w:val="00F255E3"/>
    <w:rsid w:val="00F257B3"/>
    <w:rsid w:val="00F25CAD"/>
    <w:rsid w:val="00F26034"/>
    <w:rsid w:val="00F260B0"/>
    <w:rsid w:val="00F2610E"/>
    <w:rsid w:val="00F2619D"/>
    <w:rsid w:val="00F26314"/>
    <w:rsid w:val="00F26475"/>
    <w:rsid w:val="00F26BC0"/>
    <w:rsid w:val="00F26E67"/>
    <w:rsid w:val="00F26FE3"/>
    <w:rsid w:val="00F27033"/>
    <w:rsid w:val="00F27225"/>
    <w:rsid w:val="00F27353"/>
    <w:rsid w:val="00F274EE"/>
    <w:rsid w:val="00F275B6"/>
    <w:rsid w:val="00F278A7"/>
    <w:rsid w:val="00F27B64"/>
    <w:rsid w:val="00F27BF1"/>
    <w:rsid w:val="00F27E2B"/>
    <w:rsid w:val="00F27F5C"/>
    <w:rsid w:val="00F303F0"/>
    <w:rsid w:val="00F305AB"/>
    <w:rsid w:val="00F305F2"/>
    <w:rsid w:val="00F306BC"/>
    <w:rsid w:val="00F30856"/>
    <w:rsid w:val="00F308B4"/>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2BF"/>
    <w:rsid w:val="00F3330A"/>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89E"/>
    <w:rsid w:val="00F358EE"/>
    <w:rsid w:val="00F365C2"/>
    <w:rsid w:val="00F36671"/>
    <w:rsid w:val="00F36BD9"/>
    <w:rsid w:val="00F36D9D"/>
    <w:rsid w:val="00F36E46"/>
    <w:rsid w:val="00F372E7"/>
    <w:rsid w:val="00F374F0"/>
    <w:rsid w:val="00F375D2"/>
    <w:rsid w:val="00F37604"/>
    <w:rsid w:val="00F377C3"/>
    <w:rsid w:val="00F37A46"/>
    <w:rsid w:val="00F37B73"/>
    <w:rsid w:val="00F37B76"/>
    <w:rsid w:val="00F37BA1"/>
    <w:rsid w:val="00F40075"/>
    <w:rsid w:val="00F40431"/>
    <w:rsid w:val="00F404CD"/>
    <w:rsid w:val="00F40552"/>
    <w:rsid w:val="00F4059C"/>
    <w:rsid w:val="00F406CA"/>
    <w:rsid w:val="00F408D8"/>
    <w:rsid w:val="00F409FE"/>
    <w:rsid w:val="00F40A77"/>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7E2"/>
    <w:rsid w:val="00F4695B"/>
    <w:rsid w:val="00F46BC0"/>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92E"/>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2166"/>
    <w:rsid w:val="00F52609"/>
    <w:rsid w:val="00F526E1"/>
    <w:rsid w:val="00F52B07"/>
    <w:rsid w:val="00F52C2B"/>
    <w:rsid w:val="00F52E7C"/>
    <w:rsid w:val="00F53049"/>
    <w:rsid w:val="00F53485"/>
    <w:rsid w:val="00F5387C"/>
    <w:rsid w:val="00F538BC"/>
    <w:rsid w:val="00F53B08"/>
    <w:rsid w:val="00F53DAC"/>
    <w:rsid w:val="00F53DD5"/>
    <w:rsid w:val="00F53DFA"/>
    <w:rsid w:val="00F5403C"/>
    <w:rsid w:val="00F54163"/>
    <w:rsid w:val="00F54480"/>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12"/>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366"/>
    <w:rsid w:val="00F6153A"/>
    <w:rsid w:val="00F619EF"/>
    <w:rsid w:val="00F61B60"/>
    <w:rsid w:val="00F61DB6"/>
    <w:rsid w:val="00F61FDF"/>
    <w:rsid w:val="00F620C1"/>
    <w:rsid w:val="00F621EF"/>
    <w:rsid w:val="00F622FF"/>
    <w:rsid w:val="00F62345"/>
    <w:rsid w:val="00F6248F"/>
    <w:rsid w:val="00F62B71"/>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48E"/>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2B1"/>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9DC"/>
    <w:rsid w:val="00F71B47"/>
    <w:rsid w:val="00F71BE3"/>
    <w:rsid w:val="00F71FA9"/>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C6C"/>
    <w:rsid w:val="00F750EF"/>
    <w:rsid w:val="00F751CA"/>
    <w:rsid w:val="00F75384"/>
    <w:rsid w:val="00F7546E"/>
    <w:rsid w:val="00F75B0C"/>
    <w:rsid w:val="00F75BA9"/>
    <w:rsid w:val="00F75CB7"/>
    <w:rsid w:val="00F75DB2"/>
    <w:rsid w:val="00F75DCA"/>
    <w:rsid w:val="00F7638F"/>
    <w:rsid w:val="00F766C5"/>
    <w:rsid w:val="00F76774"/>
    <w:rsid w:val="00F768C2"/>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B4"/>
    <w:rsid w:val="00F806CD"/>
    <w:rsid w:val="00F80967"/>
    <w:rsid w:val="00F80FC4"/>
    <w:rsid w:val="00F81024"/>
    <w:rsid w:val="00F810F1"/>
    <w:rsid w:val="00F81176"/>
    <w:rsid w:val="00F812A5"/>
    <w:rsid w:val="00F813CE"/>
    <w:rsid w:val="00F81462"/>
    <w:rsid w:val="00F814DE"/>
    <w:rsid w:val="00F816E5"/>
    <w:rsid w:val="00F81983"/>
    <w:rsid w:val="00F81994"/>
    <w:rsid w:val="00F819BA"/>
    <w:rsid w:val="00F81AA7"/>
    <w:rsid w:val="00F81BE8"/>
    <w:rsid w:val="00F81CDC"/>
    <w:rsid w:val="00F81D2D"/>
    <w:rsid w:val="00F81FB7"/>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B8F"/>
    <w:rsid w:val="00F90E94"/>
    <w:rsid w:val="00F911D7"/>
    <w:rsid w:val="00F9121F"/>
    <w:rsid w:val="00F9122F"/>
    <w:rsid w:val="00F91446"/>
    <w:rsid w:val="00F91482"/>
    <w:rsid w:val="00F9158A"/>
    <w:rsid w:val="00F9170C"/>
    <w:rsid w:val="00F917EB"/>
    <w:rsid w:val="00F91847"/>
    <w:rsid w:val="00F920A6"/>
    <w:rsid w:val="00F9212F"/>
    <w:rsid w:val="00F92237"/>
    <w:rsid w:val="00F92246"/>
    <w:rsid w:val="00F92265"/>
    <w:rsid w:val="00F922F9"/>
    <w:rsid w:val="00F92389"/>
    <w:rsid w:val="00F9293E"/>
    <w:rsid w:val="00F929FA"/>
    <w:rsid w:val="00F92AA4"/>
    <w:rsid w:val="00F92C5A"/>
    <w:rsid w:val="00F92DE6"/>
    <w:rsid w:val="00F92E18"/>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BB"/>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141"/>
    <w:rsid w:val="00F973AB"/>
    <w:rsid w:val="00F9747F"/>
    <w:rsid w:val="00F9779C"/>
    <w:rsid w:val="00F97815"/>
    <w:rsid w:val="00F978F8"/>
    <w:rsid w:val="00F97914"/>
    <w:rsid w:val="00F97A02"/>
    <w:rsid w:val="00F97B27"/>
    <w:rsid w:val="00F97B78"/>
    <w:rsid w:val="00F97C9B"/>
    <w:rsid w:val="00FA00C7"/>
    <w:rsid w:val="00FA0121"/>
    <w:rsid w:val="00FA015A"/>
    <w:rsid w:val="00FA02AF"/>
    <w:rsid w:val="00FA062D"/>
    <w:rsid w:val="00FA06DF"/>
    <w:rsid w:val="00FA0783"/>
    <w:rsid w:val="00FA0888"/>
    <w:rsid w:val="00FA0926"/>
    <w:rsid w:val="00FA0990"/>
    <w:rsid w:val="00FA0A68"/>
    <w:rsid w:val="00FA0AF5"/>
    <w:rsid w:val="00FA0C10"/>
    <w:rsid w:val="00FA0D86"/>
    <w:rsid w:val="00FA0F09"/>
    <w:rsid w:val="00FA185B"/>
    <w:rsid w:val="00FA1ADF"/>
    <w:rsid w:val="00FA1C08"/>
    <w:rsid w:val="00FA233D"/>
    <w:rsid w:val="00FA24A6"/>
    <w:rsid w:val="00FA256A"/>
    <w:rsid w:val="00FA260E"/>
    <w:rsid w:val="00FA2670"/>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6F"/>
    <w:rsid w:val="00FA67DF"/>
    <w:rsid w:val="00FA6C46"/>
    <w:rsid w:val="00FA6CA0"/>
    <w:rsid w:val="00FA6F15"/>
    <w:rsid w:val="00FA714C"/>
    <w:rsid w:val="00FA7226"/>
    <w:rsid w:val="00FA7528"/>
    <w:rsid w:val="00FA7845"/>
    <w:rsid w:val="00FA7876"/>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14E"/>
    <w:rsid w:val="00FB134D"/>
    <w:rsid w:val="00FB13DF"/>
    <w:rsid w:val="00FB1406"/>
    <w:rsid w:val="00FB15E2"/>
    <w:rsid w:val="00FB1640"/>
    <w:rsid w:val="00FB17AC"/>
    <w:rsid w:val="00FB17E3"/>
    <w:rsid w:val="00FB1AF7"/>
    <w:rsid w:val="00FB1D1E"/>
    <w:rsid w:val="00FB1F5D"/>
    <w:rsid w:val="00FB21B8"/>
    <w:rsid w:val="00FB26D8"/>
    <w:rsid w:val="00FB271E"/>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62"/>
    <w:rsid w:val="00FB5E8C"/>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15"/>
    <w:rsid w:val="00FC28EB"/>
    <w:rsid w:val="00FC2DA7"/>
    <w:rsid w:val="00FC3096"/>
    <w:rsid w:val="00FC3155"/>
    <w:rsid w:val="00FC3221"/>
    <w:rsid w:val="00FC324C"/>
    <w:rsid w:val="00FC32B5"/>
    <w:rsid w:val="00FC3332"/>
    <w:rsid w:val="00FC3B68"/>
    <w:rsid w:val="00FC3D2E"/>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AEB"/>
    <w:rsid w:val="00FC6B38"/>
    <w:rsid w:val="00FC6C73"/>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B3"/>
    <w:rsid w:val="00FD082A"/>
    <w:rsid w:val="00FD09DB"/>
    <w:rsid w:val="00FD0B65"/>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848"/>
    <w:rsid w:val="00FD4AF8"/>
    <w:rsid w:val="00FD4D58"/>
    <w:rsid w:val="00FD4DF9"/>
    <w:rsid w:val="00FD4FC4"/>
    <w:rsid w:val="00FD515E"/>
    <w:rsid w:val="00FD52E3"/>
    <w:rsid w:val="00FD5669"/>
    <w:rsid w:val="00FD58E1"/>
    <w:rsid w:val="00FD5A1A"/>
    <w:rsid w:val="00FD5A43"/>
    <w:rsid w:val="00FD5AA1"/>
    <w:rsid w:val="00FD5AB3"/>
    <w:rsid w:val="00FD5B97"/>
    <w:rsid w:val="00FD5CBF"/>
    <w:rsid w:val="00FD5EB3"/>
    <w:rsid w:val="00FD5EDB"/>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F24"/>
    <w:rsid w:val="00FE3120"/>
    <w:rsid w:val="00FE3146"/>
    <w:rsid w:val="00FE3174"/>
    <w:rsid w:val="00FE336E"/>
    <w:rsid w:val="00FE3C19"/>
    <w:rsid w:val="00FE3FDC"/>
    <w:rsid w:val="00FE407F"/>
    <w:rsid w:val="00FE438E"/>
    <w:rsid w:val="00FE46E8"/>
    <w:rsid w:val="00FE49C5"/>
    <w:rsid w:val="00FE4A0D"/>
    <w:rsid w:val="00FE4E41"/>
    <w:rsid w:val="00FE4F7E"/>
    <w:rsid w:val="00FE5267"/>
    <w:rsid w:val="00FE53B5"/>
    <w:rsid w:val="00FE5409"/>
    <w:rsid w:val="00FE5446"/>
    <w:rsid w:val="00FE54D9"/>
    <w:rsid w:val="00FE55E7"/>
    <w:rsid w:val="00FE56E9"/>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B40"/>
    <w:rsid w:val="00FE7D6A"/>
    <w:rsid w:val="00FE7EB1"/>
    <w:rsid w:val="00FF018E"/>
    <w:rsid w:val="00FF074F"/>
    <w:rsid w:val="00FF0829"/>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5EB"/>
    <w:rsid w:val="00FF36CB"/>
    <w:rsid w:val="00FF39EE"/>
    <w:rsid w:val="00FF3C49"/>
    <w:rsid w:val="00FF3ED1"/>
    <w:rsid w:val="00FF40E6"/>
    <w:rsid w:val="00FF487B"/>
    <w:rsid w:val="00FF48A3"/>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73083E"/>
  <w15:docId w15:val="{CEA248FF-C33C-4702-AB38-091E816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4D5B34"/>
    <w:pPr>
      <w:ind w:left="-142"/>
      <w:outlineLvl w:val="1"/>
    </w:pPr>
    <w:rPr>
      <w:rFonts w:ascii="Verdana" w:hAnsi="Verdana" w:cs="Arial"/>
      <w:b/>
      <w:bCs/>
      <w:spacing w:val="-4"/>
      <w:kern w:val="28"/>
      <w:sz w:val="22"/>
      <w:szCs w:val="22"/>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4D5B34"/>
    <w:rPr>
      <w:rFonts w:ascii="Verdana" w:hAnsi="Verdana" w:cs="Arial"/>
      <w:b/>
      <w:bCs/>
      <w:spacing w:val="-4"/>
      <w:kern w:val="28"/>
      <w:sz w:val="22"/>
      <w:szCs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76610400">
      <w:bodyDiv w:val="1"/>
      <w:marLeft w:val="0"/>
      <w:marRight w:val="0"/>
      <w:marTop w:val="0"/>
      <w:marBottom w:val="0"/>
      <w:divBdr>
        <w:top w:val="none" w:sz="0" w:space="0" w:color="auto"/>
        <w:left w:val="none" w:sz="0" w:space="0" w:color="auto"/>
        <w:bottom w:val="none" w:sz="0" w:space="0" w:color="auto"/>
        <w:right w:val="none" w:sz="0" w:space="0" w:color="auto"/>
      </w:divBdr>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18008571">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29357268">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58776718">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74116349">
      <w:bodyDiv w:val="1"/>
      <w:marLeft w:val="0"/>
      <w:marRight w:val="0"/>
      <w:marTop w:val="0"/>
      <w:marBottom w:val="0"/>
      <w:divBdr>
        <w:top w:val="none" w:sz="0" w:space="0" w:color="auto"/>
        <w:left w:val="none" w:sz="0" w:space="0" w:color="auto"/>
        <w:bottom w:val="none" w:sz="0" w:space="0" w:color="auto"/>
        <w:right w:val="none" w:sz="0" w:space="0" w:color="auto"/>
      </w:divBdr>
      <w:divsChild>
        <w:div w:id="175966987">
          <w:marLeft w:val="1166"/>
          <w:marRight w:val="0"/>
          <w:marTop w:val="96"/>
          <w:marBottom w:val="0"/>
          <w:divBdr>
            <w:top w:val="none" w:sz="0" w:space="0" w:color="auto"/>
            <w:left w:val="none" w:sz="0" w:space="0" w:color="auto"/>
            <w:bottom w:val="none" w:sz="0" w:space="0" w:color="auto"/>
            <w:right w:val="none" w:sz="0" w:space="0" w:color="auto"/>
          </w:divBdr>
        </w:div>
        <w:div w:id="823745400">
          <w:marLeft w:val="547"/>
          <w:marRight w:val="0"/>
          <w:marTop w:val="106"/>
          <w:marBottom w:val="0"/>
          <w:divBdr>
            <w:top w:val="none" w:sz="0" w:space="0" w:color="auto"/>
            <w:left w:val="none" w:sz="0" w:space="0" w:color="auto"/>
            <w:bottom w:val="none" w:sz="0" w:space="0" w:color="auto"/>
            <w:right w:val="none" w:sz="0" w:space="0" w:color="auto"/>
          </w:divBdr>
        </w:div>
        <w:div w:id="1576819565">
          <w:marLeft w:val="547"/>
          <w:marRight w:val="0"/>
          <w:marTop w:val="106"/>
          <w:marBottom w:val="0"/>
          <w:divBdr>
            <w:top w:val="none" w:sz="0" w:space="0" w:color="auto"/>
            <w:left w:val="none" w:sz="0" w:space="0" w:color="auto"/>
            <w:bottom w:val="none" w:sz="0" w:space="0" w:color="auto"/>
            <w:right w:val="none" w:sz="0" w:space="0" w:color="auto"/>
          </w:divBdr>
        </w:div>
      </w:divsChild>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660859">
      <w:bodyDiv w:val="1"/>
      <w:marLeft w:val="0"/>
      <w:marRight w:val="0"/>
      <w:marTop w:val="0"/>
      <w:marBottom w:val="0"/>
      <w:divBdr>
        <w:top w:val="none" w:sz="0" w:space="0" w:color="auto"/>
        <w:left w:val="none" w:sz="0" w:space="0" w:color="auto"/>
        <w:bottom w:val="none" w:sz="0" w:space="0" w:color="auto"/>
        <w:right w:val="none" w:sz="0" w:space="0" w:color="auto"/>
      </w:divBdr>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00498787">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22824975">
      <w:bodyDiv w:val="1"/>
      <w:marLeft w:val="0"/>
      <w:marRight w:val="0"/>
      <w:marTop w:val="0"/>
      <w:marBottom w:val="0"/>
      <w:divBdr>
        <w:top w:val="none" w:sz="0" w:space="0" w:color="auto"/>
        <w:left w:val="none" w:sz="0" w:space="0" w:color="auto"/>
        <w:bottom w:val="none" w:sz="0" w:space="0" w:color="auto"/>
        <w:right w:val="none" w:sz="0" w:space="0" w:color="auto"/>
      </w:divBdr>
    </w:div>
    <w:div w:id="1026906337">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65638973">
      <w:bodyDiv w:val="1"/>
      <w:marLeft w:val="0"/>
      <w:marRight w:val="0"/>
      <w:marTop w:val="0"/>
      <w:marBottom w:val="0"/>
      <w:divBdr>
        <w:top w:val="none" w:sz="0" w:space="0" w:color="auto"/>
        <w:left w:val="none" w:sz="0" w:space="0" w:color="auto"/>
        <w:bottom w:val="none" w:sz="0" w:space="0" w:color="auto"/>
        <w:right w:val="none" w:sz="0" w:space="0" w:color="auto"/>
      </w:divBdr>
      <w:divsChild>
        <w:div w:id="724182734">
          <w:marLeft w:val="0"/>
          <w:marRight w:val="0"/>
          <w:marTop w:val="0"/>
          <w:marBottom w:val="0"/>
          <w:divBdr>
            <w:top w:val="none" w:sz="0" w:space="0" w:color="auto"/>
            <w:left w:val="none" w:sz="0" w:space="0" w:color="auto"/>
            <w:bottom w:val="none" w:sz="0" w:space="0" w:color="auto"/>
            <w:right w:val="none" w:sz="0" w:space="0" w:color="auto"/>
          </w:divBdr>
          <w:divsChild>
            <w:div w:id="1437561738">
              <w:marLeft w:val="0"/>
              <w:marRight w:val="0"/>
              <w:marTop w:val="0"/>
              <w:marBottom w:val="0"/>
              <w:divBdr>
                <w:top w:val="none" w:sz="0" w:space="0" w:color="auto"/>
                <w:left w:val="none" w:sz="0" w:space="0" w:color="auto"/>
                <w:bottom w:val="none" w:sz="0" w:space="0" w:color="auto"/>
                <w:right w:val="none" w:sz="0" w:space="0" w:color="auto"/>
              </w:divBdr>
              <w:divsChild>
                <w:div w:id="139083397">
                  <w:marLeft w:val="0"/>
                  <w:marRight w:val="0"/>
                  <w:marTop w:val="0"/>
                  <w:marBottom w:val="120"/>
                  <w:divBdr>
                    <w:top w:val="none" w:sz="0" w:space="0" w:color="auto"/>
                    <w:left w:val="none" w:sz="0" w:space="0" w:color="auto"/>
                    <w:bottom w:val="none" w:sz="0" w:space="0" w:color="auto"/>
                    <w:right w:val="none" w:sz="0" w:space="0" w:color="auto"/>
                  </w:divBdr>
                </w:div>
                <w:div w:id="388113686">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777364082">
          <w:marLeft w:val="0"/>
          <w:marRight w:val="0"/>
          <w:marTop w:val="0"/>
          <w:marBottom w:val="0"/>
          <w:divBdr>
            <w:top w:val="none" w:sz="0" w:space="0" w:color="auto"/>
            <w:left w:val="none" w:sz="0" w:space="0" w:color="auto"/>
            <w:bottom w:val="none" w:sz="0" w:space="0" w:color="auto"/>
            <w:right w:val="none" w:sz="0" w:space="0" w:color="auto"/>
          </w:divBdr>
          <w:divsChild>
            <w:div w:id="207689645">
              <w:marLeft w:val="0"/>
              <w:marRight w:val="0"/>
              <w:marTop w:val="0"/>
              <w:marBottom w:val="0"/>
              <w:divBdr>
                <w:top w:val="none" w:sz="0" w:space="0" w:color="auto"/>
                <w:left w:val="none" w:sz="0" w:space="0" w:color="auto"/>
                <w:bottom w:val="none" w:sz="0" w:space="0" w:color="auto"/>
                <w:right w:val="none" w:sz="0" w:space="0" w:color="auto"/>
              </w:divBdr>
              <w:divsChild>
                <w:div w:id="392971783">
                  <w:marLeft w:val="840"/>
                  <w:marRight w:val="0"/>
                  <w:marTop w:val="0"/>
                  <w:marBottom w:val="120"/>
                  <w:divBdr>
                    <w:top w:val="none" w:sz="0" w:space="0" w:color="auto"/>
                    <w:left w:val="none" w:sz="0" w:space="0" w:color="auto"/>
                    <w:bottom w:val="none" w:sz="0" w:space="0" w:color="auto"/>
                    <w:right w:val="none" w:sz="0" w:space="0" w:color="auto"/>
                  </w:divBdr>
                </w:div>
                <w:div w:id="423763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3932010">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5489774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2052293">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2611780">
      <w:bodyDiv w:val="1"/>
      <w:marLeft w:val="0"/>
      <w:marRight w:val="0"/>
      <w:marTop w:val="0"/>
      <w:marBottom w:val="0"/>
      <w:divBdr>
        <w:top w:val="none" w:sz="0" w:space="0" w:color="auto"/>
        <w:left w:val="none" w:sz="0" w:space="0" w:color="auto"/>
        <w:bottom w:val="none" w:sz="0" w:space="0" w:color="auto"/>
        <w:right w:val="none" w:sz="0" w:space="0" w:color="auto"/>
      </w:divBdr>
      <w:divsChild>
        <w:div w:id="435952490">
          <w:marLeft w:val="547"/>
          <w:marRight w:val="0"/>
          <w:marTop w:val="106"/>
          <w:marBottom w:val="0"/>
          <w:divBdr>
            <w:top w:val="none" w:sz="0" w:space="0" w:color="auto"/>
            <w:left w:val="none" w:sz="0" w:space="0" w:color="auto"/>
            <w:bottom w:val="none" w:sz="0" w:space="0" w:color="auto"/>
            <w:right w:val="none" w:sz="0" w:space="0" w:color="auto"/>
          </w:divBdr>
        </w:div>
        <w:div w:id="614865636">
          <w:marLeft w:val="547"/>
          <w:marRight w:val="0"/>
          <w:marTop w:val="106"/>
          <w:marBottom w:val="0"/>
          <w:divBdr>
            <w:top w:val="none" w:sz="0" w:space="0" w:color="auto"/>
            <w:left w:val="none" w:sz="0" w:space="0" w:color="auto"/>
            <w:bottom w:val="none" w:sz="0" w:space="0" w:color="auto"/>
            <w:right w:val="none" w:sz="0" w:space="0" w:color="auto"/>
          </w:divBdr>
        </w:div>
        <w:div w:id="1372999403">
          <w:marLeft w:val="547"/>
          <w:marRight w:val="0"/>
          <w:marTop w:val="106"/>
          <w:marBottom w:val="0"/>
          <w:divBdr>
            <w:top w:val="none" w:sz="0" w:space="0" w:color="auto"/>
            <w:left w:val="none" w:sz="0" w:space="0" w:color="auto"/>
            <w:bottom w:val="none" w:sz="0" w:space="0" w:color="auto"/>
            <w:right w:val="none" w:sz="0" w:space="0" w:color="auto"/>
          </w:divBdr>
        </w:div>
      </w:divsChild>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18400264">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4475006">
      <w:bodyDiv w:val="1"/>
      <w:marLeft w:val="0"/>
      <w:marRight w:val="0"/>
      <w:marTop w:val="0"/>
      <w:marBottom w:val="0"/>
      <w:divBdr>
        <w:top w:val="none" w:sz="0" w:space="0" w:color="auto"/>
        <w:left w:val="none" w:sz="0" w:space="0" w:color="auto"/>
        <w:bottom w:val="none" w:sz="0" w:space="0" w:color="auto"/>
        <w:right w:val="none" w:sz="0" w:space="0" w:color="auto"/>
      </w:divBdr>
      <w:divsChild>
        <w:div w:id="703213350">
          <w:marLeft w:val="0"/>
          <w:marRight w:val="0"/>
          <w:marTop w:val="0"/>
          <w:marBottom w:val="0"/>
          <w:divBdr>
            <w:top w:val="none" w:sz="0" w:space="0" w:color="auto"/>
            <w:left w:val="none" w:sz="0" w:space="0" w:color="auto"/>
            <w:bottom w:val="none" w:sz="0" w:space="0" w:color="auto"/>
            <w:right w:val="none" w:sz="0" w:space="0" w:color="auto"/>
          </w:divBdr>
          <w:divsChild>
            <w:div w:id="1577127998">
              <w:marLeft w:val="0"/>
              <w:marRight w:val="0"/>
              <w:marTop w:val="0"/>
              <w:marBottom w:val="0"/>
              <w:divBdr>
                <w:top w:val="none" w:sz="0" w:space="0" w:color="auto"/>
                <w:left w:val="none" w:sz="0" w:space="0" w:color="auto"/>
                <w:bottom w:val="none" w:sz="0" w:space="0" w:color="auto"/>
                <w:right w:val="none" w:sz="0" w:space="0" w:color="auto"/>
              </w:divBdr>
              <w:divsChild>
                <w:div w:id="1166704621">
                  <w:marLeft w:val="0"/>
                  <w:marRight w:val="0"/>
                  <w:marTop w:val="0"/>
                  <w:marBottom w:val="120"/>
                  <w:divBdr>
                    <w:top w:val="none" w:sz="0" w:space="0" w:color="auto"/>
                    <w:left w:val="none" w:sz="0" w:space="0" w:color="auto"/>
                    <w:bottom w:val="none" w:sz="0" w:space="0" w:color="auto"/>
                    <w:right w:val="none" w:sz="0" w:space="0" w:color="auto"/>
                  </w:divBdr>
                </w:div>
                <w:div w:id="1581061734">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383946395">
          <w:marLeft w:val="0"/>
          <w:marRight w:val="0"/>
          <w:marTop w:val="0"/>
          <w:marBottom w:val="0"/>
          <w:divBdr>
            <w:top w:val="none" w:sz="0" w:space="0" w:color="auto"/>
            <w:left w:val="none" w:sz="0" w:space="0" w:color="auto"/>
            <w:bottom w:val="none" w:sz="0" w:space="0" w:color="auto"/>
            <w:right w:val="none" w:sz="0" w:space="0" w:color="auto"/>
          </w:divBdr>
          <w:divsChild>
            <w:div w:id="948392688">
              <w:marLeft w:val="0"/>
              <w:marRight w:val="0"/>
              <w:marTop w:val="0"/>
              <w:marBottom w:val="0"/>
              <w:divBdr>
                <w:top w:val="none" w:sz="0" w:space="0" w:color="auto"/>
                <w:left w:val="none" w:sz="0" w:space="0" w:color="auto"/>
                <w:bottom w:val="none" w:sz="0" w:space="0" w:color="auto"/>
                <w:right w:val="none" w:sz="0" w:space="0" w:color="auto"/>
              </w:divBdr>
              <w:divsChild>
                <w:div w:id="479811922">
                  <w:marLeft w:val="0"/>
                  <w:marRight w:val="0"/>
                  <w:marTop w:val="0"/>
                  <w:marBottom w:val="120"/>
                  <w:divBdr>
                    <w:top w:val="none" w:sz="0" w:space="0" w:color="auto"/>
                    <w:left w:val="none" w:sz="0" w:space="0" w:color="auto"/>
                    <w:bottom w:val="none" w:sz="0" w:space="0" w:color="auto"/>
                    <w:right w:val="none" w:sz="0" w:space="0" w:color="auto"/>
                  </w:divBdr>
                </w:div>
                <w:div w:id="919171842">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492672992">
      <w:bodyDiv w:val="1"/>
      <w:marLeft w:val="0"/>
      <w:marRight w:val="0"/>
      <w:marTop w:val="0"/>
      <w:marBottom w:val="0"/>
      <w:divBdr>
        <w:top w:val="none" w:sz="0" w:space="0" w:color="auto"/>
        <w:left w:val="none" w:sz="0" w:space="0" w:color="auto"/>
        <w:bottom w:val="none" w:sz="0" w:space="0" w:color="auto"/>
        <w:right w:val="none" w:sz="0" w:space="0" w:color="auto"/>
      </w:divBdr>
      <w:divsChild>
        <w:div w:id="409238671">
          <w:marLeft w:val="547"/>
          <w:marRight w:val="0"/>
          <w:marTop w:val="106"/>
          <w:marBottom w:val="0"/>
          <w:divBdr>
            <w:top w:val="none" w:sz="0" w:space="0" w:color="auto"/>
            <w:left w:val="none" w:sz="0" w:space="0" w:color="auto"/>
            <w:bottom w:val="none" w:sz="0" w:space="0" w:color="auto"/>
            <w:right w:val="none" w:sz="0" w:space="0" w:color="auto"/>
          </w:divBdr>
        </w:div>
        <w:div w:id="462963439">
          <w:marLeft w:val="547"/>
          <w:marRight w:val="0"/>
          <w:marTop w:val="106"/>
          <w:marBottom w:val="0"/>
          <w:divBdr>
            <w:top w:val="none" w:sz="0" w:space="0" w:color="auto"/>
            <w:left w:val="none" w:sz="0" w:space="0" w:color="auto"/>
            <w:bottom w:val="none" w:sz="0" w:space="0" w:color="auto"/>
            <w:right w:val="none" w:sz="0" w:space="0" w:color="auto"/>
          </w:divBdr>
        </w:div>
        <w:div w:id="798108676">
          <w:marLeft w:val="547"/>
          <w:marRight w:val="0"/>
          <w:marTop w:val="106"/>
          <w:marBottom w:val="0"/>
          <w:divBdr>
            <w:top w:val="none" w:sz="0" w:space="0" w:color="auto"/>
            <w:left w:val="none" w:sz="0" w:space="0" w:color="auto"/>
            <w:bottom w:val="none" w:sz="0" w:space="0" w:color="auto"/>
            <w:right w:val="none" w:sz="0" w:space="0" w:color="auto"/>
          </w:divBdr>
        </w:div>
      </w:divsChild>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798135278">
      <w:bodyDiv w:val="1"/>
      <w:marLeft w:val="0"/>
      <w:marRight w:val="0"/>
      <w:marTop w:val="0"/>
      <w:marBottom w:val="0"/>
      <w:divBdr>
        <w:top w:val="none" w:sz="0" w:space="0" w:color="auto"/>
        <w:left w:val="none" w:sz="0" w:space="0" w:color="auto"/>
        <w:bottom w:val="none" w:sz="0" w:space="0" w:color="auto"/>
        <w:right w:val="none" w:sz="0" w:space="0" w:color="auto"/>
      </w:divBdr>
      <w:divsChild>
        <w:div w:id="343554682">
          <w:marLeft w:val="1166"/>
          <w:marRight w:val="0"/>
          <w:marTop w:val="96"/>
          <w:marBottom w:val="0"/>
          <w:divBdr>
            <w:top w:val="none" w:sz="0" w:space="0" w:color="auto"/>
            <w:left w:val="none" w:sz="0" w:space="0" w:color="auto"/>
            <w:bottom w:val="none" w:sz="0" w:space="0" w:color="auto"/>
            <w:right w:val="none" w:sz="0" w:space="0" w:color="auto"/>
          </w:divBdr>
        </w:div>
        <w:div w:id="1102989076">
          <w:marLeft w:val="547"/>
          <w:marRight w:val="0"/>
          <w:marTop w:val="106"/>
          <w:marBottom w:val="0"/>
          <w:divBdr>
            <w:top w:val="none" w:sz="0" w:space="0" w:color="auto"/>
            <w:left w:val="none" w:sz="0" w:space="0" w:color="auto"/>
            <w:bottom w:val="none" w:sz="0" w:space="0" w:color="auto"/>
            <w:right w:val="none" w:sz="0" w:space="0" w:color="auto"/>
          </w:divBdr>
        </w:div>
        <w:div w:id="1133326031">
          <w:marLeft w:val="1166"/>
          <w:marRight w:val="0"/>
          <w:marTop w:val="96"/>
          <w:marBottom w:val="0"/>
          <w:divBdr>
            <w:top w:val="none" w:sz="0" w:space="0" w:color="auto"/>
            <w:left w:val="none" w:sz="0" w:space="0" w:color="auto"/>
            <w:bottom w:val="none" w:sz="0" w:space="0" w:color="auto"/>
            <w:right w:val="none" w:sz="0" w:space="0" w:color="auto"/>
          </w:divBdr>
        </w:div>
        <w:div w:id="1475954203">
          <w:marLeft w:val="547"/>
          <w:marRight w:val="0"/>
          <w:marTop w:val="106"/>
          <w:marBottom w:val="0"/>
          <w:divBdr>
            <w:top w:val="none" w:sz="0" w:space="0" w:color="auto"/>
            <w:left w:val="none" w:sz="0" w:space="0" w:color="auto"/>
            <w:bottom w:val="none" w:sz="0" w:space="0" w:color="auto"/>
            <w:right w:val="none" w:sz="0" w:space="0" w:color="auto"/>
          </w:divBdr>
        </w:div>
        <w:div w:id="1564757895">
          <w:marLeft w:val="547"/>
          <w:marRight w:val="0"/>
          <w:marTop w:val="106"/>
          <w:marBottom w:val="0"/>
          <w:divBdr>
            <w:top w:val="none" w:sz="0" w:space="0" w:color="auto"/>
            <w:left w:val="none" w:sz="0" w:space="0" w:color="auto"/>
            <w:bottom w:val="none" w:sz="0" w:space="0" w:color="auto"/>
            <w:right w:val="none" w:sz="0" w:space="0" w:color="auto"/>
          </w:divBdr>
        </w:div>
        <w:div w:id="1997952045">
          <w:marLeft w:val="1166"/>
          <w:marRight w:val="0"/>
          <w:marTop w:val="96"/>
          <w:marBottom w:val="0"/>
          <w:divBdr>
            <w:top w:val="none" w:sz="0" w:space="0" w:color="auto"/>
            <w:left w:val="none" w:sz="0" w:space="0" w:color="auto"/>
            <w:bottom w:val="none" w:sz="0" w:space="0" w:color="auto"/>
            <w:right w:val="none" w:sz="0" w:space="0" w:color="auto"/>
          </w:divBdr>
        </w:div>
      </w:divsChild>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24601401">
      <w:bodyDiv w:val="1"/>
      <w:marLeft w:val="0"/>
      <w:marRight w:val="0"/>
      <w:marTop w:val="0"/>
      <w:marBottom w:val="0"/>
      <w:divBdr>
        <w:top w:val="none" w:sz="0" w:space="0" w:color="auto"/>
        <w:left w:val="none" w:sz="0" w:space="0" w:color="auto"/>
        <w:bottom w:val="none" w:sz="0" w:space="0" w:color="auto"/>
        <w:right w:val="none" w:sz="0" w:space="0" w:color="auto"/>
      </w:divBdr>
      <w:divsChild>
        <w:div w:id="400951348">
          <w:marLeft w:val="1166"/>
          <w:marRight w:val="0"/>
          <w:marTop w:val="96"/>
          <w:marBottom w:val="0"/>
          <w:divBdr>
            <w:top w:val="none" w:sz="0" w:space="0" w:color="auto"/>
            <w:left w:val="none" w:sz="0" w:space="0" w:color="auto"/>
            <w:bottom w:val="none" w:sz="0" w:space="0" w:color="auto"/>
            <w:right w:val="none" w:sz="0" w:space="0" w:color="auto"/>
          </w:divBdr>
        </w:div>
        <w:div w:id="696275372">
          <w:marLeft w:val="547"/>
          <w:marRight w:val="0"/>
          <w:marTop w:val="106"/>
          <w:marBottom w:val="0"/>
          <w:divBdr>
            <w:top w:val="none" w:sz="0" w:space="0" w:color="auto"/>
            <w:left w:val="none" w:sz="0" w:space="0" w:color="auto"/>
            <w:bottom w:val="none" w:sz="0" w:space="0" w:color="auto"/>
            <w:right w:val="none" w:sz="0" w:space="0" w:color="auto"/>
          </w:divBdr>
        </w:div>
        <w:div w:id="986320136">
          <w:marLeft w:val="547"/>
          <w:marRight w:val="0"/>
          <w:marTop w:val="106"/>
          <w:marBottom w:val="0"/>
          <w:divBdr>
            <w:top w:val="none" w:sz="0" w:space="0" w:color="auto"/>
            <w:left w:val="none" w:sz="0" w:space="0" w:color="auto"/>
            <w:bottom w:val="none" w:sz="0" w:space="0" w:color="auto"/>
            <w:right w:val="none" w:sz="0" w:space="0" w:color="auto"/>
          </w:divBdr>
        </w:div>
        <w:div w:id="1001545270">
          <w:marLeft w:val="1166"/>
          <w:marRight w:val="0"/>
          <w:marTop w:val="96"/>
          <w:marBottom w:val="0"/>
          <w:divBdr>
            <w:top w:val="none" w:sz="0" w:space="0" w:color="auto"/>
            <w:left w:val="none" w:sz="0" w:space="0" w:color="auto"/>
            <w:bottom w:val="none" w:sz="0" w:space="0" w:color="auto"/>
            <w:right w:val="none" w:sz="0" w:space="0" w:color="auto"/>
          </w:divBdr>
        </w:div>
        <w:div w:id="1004548443">
          <w:marLeft w:val="547"/>
          <w:marRight w:val="0"/>
          <w:marTop w:val="106"/>
          <w:marBottom w:val="0"/>
          <w:divBdr>
            <w:top w:val="none" w:sz="0" w:space="0" w:color="auto"/>
            <w:left w:val="none" w:sz="0" w:space="0" w:color="auto"/>
            <w:bottom w:val="none" w:sz="0" w:space="0" w:color="auto"/>
            <w:right w:val="none" w:sz="0" w:space="0" w:color="auto"/>
          </w:divBdr>
        </w:div>
        <w:div w:id="1140610075">
          <w:marLeft w:val="547"/>
          <w:marRight w:val="0"/>
          <w:marTop w:val="106"/>
          <w:marBottom w:val="0"/>
          <w:divBdr>
            <w:top w:val="none" w:sz="0" w:space="0" w:color="auto"/>
            <w:left w:val="none" w:sz="0" w:space="0" w:color="auto"/>
            <w:bottom w:val="none" w:sz="0" w:space="0" w:color="auto"/>
            <w:right w:val="none" w:sz="0" w:space="0" w:color="auto"/>
          </w:divBdr>
        </w:div>
        <w:div w:id="1607888920">
          <w:marLeft w:val="1166"/>
          <w:marRight w:val="0"/>
          <w:marTop w:val="96"/>
          <w:marBottom w:val="0"/>
          <w:divBdr>
            <w:top w:val="none" w:sz="0" w:space="0" w:color="auto"/>
            <w:left w:val="none" w:sz="0" w:space="0" w:color="auto"/>
            <w:bottom w:val="none" w:sz="0" w:space="0" w:color="auto"/>
            <w:right w:val="none" w:sz="0" w:space="0" w:color="auto"/>
          </w:divBdr>
        </w:div>
      </w:divsChild>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74169252">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1589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69</TotalTime>
  <Pages>25</Pages>
  <Words>8176</Words>
  <Characters>46605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54672</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17</cp:revision>
  <cp:lastPrinted>2024-01-08T00:20:00Z</cp:lastPrinted>
  <dcterms:created xsi:type="dcterms:W3CDTF">2024-01-08T00:09:00Z</dcterms:created>
  <dcterms:modified xsi:type="dcterms:W3CDTF">2024-02-22T00:46:00Z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y fmtid="{D5CDD505-2E9C-101B-9397-08002B2CF9AE}" pid="4" name="MSIP_Label_defa4170-0d19-0005-0004-bc88714345d2_Enabled">
    <vt:lpwstr>true</vt:lpwstr>
  </property>
  <property fmtid="{D5CDD505-2E9C-101B-9397-08002B2CF9AE}" pid="5" name="MSIP_Label_defa4170-0d19-0005-0004-bc88714345d2_SetDate">
    <vt:lpwstr>2024-01-05T02:15:08Z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18164870-dc27-4677-a269-62dbd92c10ea</vt:lpwstr>
  </property>
  <property fmtid="{D5CDD505-2E9C-101B-9397-08002B2CF9AE}" pid="9" name="MSIP_Label_defa4170-0d19-0005-0004-bc88714345d2_ActionId">
    <vt:lpwstr>0e67f1a0-d24e-4ed2-8ea2-a3b888ffccc8</vt:lpwstr>
  </property>
  <property fmtid="{D5CDD505-2E9C-101B-9397-08002B2CF9AE}" pid="10" name="MSIP_Label_defa4170-0d19-0005-0004-bc88714345d2_ContentBits">
    <vt:lpwstr>0</vt:lpwstr>
  </property>
</Properties>
</file>