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33EDF9CF"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460E5A">
        <w:rPr>
          <w:caps w:val="0"/>
        </w:rPr>
        <w:t>6</w:t>
      </w:r>
      <w:r w:rsidR="0080444C">
        <w:rPr>
          <w:caps w:val="0"/>
        </w:rPr>
        <w:t>1</w:t>
      </w:r>
    </w:p>
    <w:p w14:paraId="0C6B487A" w14:textId="77777777" w:rsidR="00900037" w:rsidRPr="00013220" w:rsidRDefault="00900037" w:rsidP="002B6652">
      <w:pPr>
        <w:pStyle w:val="Subtitle"/>
        <w:ind w:left="-426" w:right="-623"/>
        <w:jc w:val="center"/>
        <w:rPr>
          <w:b/>
          <w:i w:val="0"/>
          <w:sz w:val="36"/>
          <w:szCs w:val="36"/>
        </w:rPr>
      </w:pPr>
    </w:p>
    <w:p w14:paraId="0AC82FDD" w14:textId="32A44D49" w:rsidR="00900037" w:rsidRPr="006F7EC0" w:rsidRDefault="0080444C" w:rsidP="006F7EC0">
      <w:pPr>
        <w:pStyle w:val="Title"/>
        <w:spacing w:before="200"/>
        <w:ind w:left="-426" w:right="-623"/>
        <w:jc w:val="center"/>
        <w:rPr>
          <w:caps w:val="0"/>
          <w:sz w:val="28"/>
          <w:szCs w:val="28"/>
        </w:rPr>
      </w:pPr>
      <w:r>
        <w:rPr>
          <w:caps w:val="0"/>
          <w:sz w:val="28"/>
          <w:szCs w:val="28"/>
        </w:rPr>
        <w:t xml:space="preserve">July </w:t>
      </w:r>
      <w:r w:rsidR="00D85930">
        <w:rPr>
          <w:caps w:val="0"/>
          <w:sz w:val="28"/>
          <w:szCs w:val="28"/>
        </w:rPr>
        <w:t xml:space="preserve">2023 </w:t>
      </w:r>
      <w:r w:rsidR="00900037" w:rsidRPr="006F7EC0">
        <w:rPr>
          <w:caps w:val="0"/>
          <w:sz w:val="28"/>
          <w:szCs w:val="28"/>
        </w:rPr>
        <w:t>t</w:t>
      </w:r>
      <w:r w:rsidR="00D00877">
        <w:rPr>
          <w:caps w:val="0"/>
          <w:sz w:val="28"/>
          <w:szCs w:val="28"/>
        </w:rPr>
        <w:t xml:space="preserve">o </w:t>
      </w:r>
      <w:r>
        <w:rPr>
          <w:caps w:val="0"/>
          <w:sz w:val="28"/>
          <w:szCs w:val="28"/>
        </w:rPr>
        <w:t xml:space="preserve">September </w:t>
      </w:r>
      <w:r w:rsidR="00D85930">
        <w:rPr>
          <w:caps w:val="0"/>
          <w:sz w:val="28"/>
          <w:szCs w:val="28"/>
        </w:rPr>
        <w:t>2023</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625DB5DF"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1959955A" w:rsidR="00900037" w:rsidRPr="005F5686" w:rsidRDefault="00900037" w:rsidP="00EE5878">
      <w:pPr>
        <w:pStyle w:val="Subtitle"/>
        <w:ind w:left="142" w:right="141"/>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r w:rsidR="005F5686">
        <w:rPr>
          <w:sz w:val="22"/>
          <w:szCs w:val="22"/>
        </w:rPr>
        <w:t xml:space="preserve"> </w:t>
      </w:r>
      <w:r w:rsidR="005F5686" w:rsidRPr="005F5686">
        <w:rPr>
          <w:sz w:val="22"/>
          <w:szCs w:val="22"/>
        </w:rPr>
        <w:t xml:space="preserve">and presented to the Family Responsibilities Board pursuant to section 144 of the Family Responsibilities Commission Act 2008. </w:t>
      </w:r>
    </w:p>
    <w:p w14:paraId="0F8F41BF" w14:textId="77777777" w:rsidR="00900037" w:rsidRPr="00013220" w:rsidRDefault="00900037" w:rsidP="002B6652">
      <w:pPr>
        <w:pStyle w:val="Subtitle"/>
        <w:ind w:left="-426" w:right="-623"/>
      </w:pPr>
    </w:p>
    <w:p w14:paraId="7626B2DC" w14:textId="77777777" w:rsidR="00900037" w:rsidRDefault="00900037" w:rsidP="002B6652">
      <w:pPr>
        <w:pStyle w:val="Subtitle"/>
        <w:ind w:left="-426" w:right="-623"/>
      </w:pPr>
    </w:p>
    <w:p w14:paraId="20273867" w14:textId="77777777" w:rsidR="00EE5878" w:rsidRDefault="00EE5878" w:rsidP="00EE5878">
      <w:pPr>
        <w:pStyle w:val="Subtitle"/>
        <w:ind w:left="-426" w:right="-623"/>
      </w:pPr>
    </w:p>
    <w:p w14:paraId="05D9E53A" w14:textId="21888AB0" w:rsidR="00E55D69" w:rsidRPr="00EE5878" w:rsidRDefault="005F5686" w:rsidP="00EE5878">
      <w:pPr>
        <w:pStyle w:val="Subtitle"/>
        <w:ind w:left="1276" w:right="1417"/>
        <w:rPr>
          <w:sz w:val="18"/>
          <w:szCs w:val="18"/>
        </w:rPr>
        <w:sectPr w:rsidR="00E55D69" w:rsidRPr="00EE5878" w:rsidSect="003362C2">
          <w:headerReference w:type="even" r:id="rId8"/>
          <w:footerReference w:type="even" r:id="rId9"/>
          <w:footerReference w:type="default" r:id="rId10"/>
          <w:footerReference w:type="first" r:id="rId11"/>
          <w:type w:val="oddPage"/>
          <w:pgSz w:w="11907" w:h="16840" w:code="9"/>
          <w:pgMar w:top="680" w:right="1134" w:bottom="284" w:left="1134" w:header="0" w:footer="964" w:gutter="0"/>
          <w:pgNumType w:start="1"/>
          <w:cols w:space="720"/>
          <w:titlePg/>
          <w:docGrid w:linePitch="360"/>
        </w:sectPr>
      </w:pPr>
      <w:r w:rsidRPr="00EE5878">
        <w:rPr>
          <w:sz w:val="18"/>
          <w:szCs w:val="18"/>
        </w:rPr>
        <w:t>The Family Responsibilities Commission publishes</w:t>
      </w:r>
      <w:r w:rsidR="00E53455" w:rsidRPr="00EE5878">
        <w:rPr>
          <w:sz w:val="18"/>
          <w:szCs w:val="18"/>
        </w:rPr>
        <w:t xml:space="preserve"> annual and quarterly reports on the Commission’s website in line with its</w:t>
      </w:r>
      <w:r w:rsidR="003467B2">
        <w:rPr>
          <w:sz w:val="18"/>
          <w:szCs w:val="18"/>
        </w:rPr>
        <w:t xml:space="preserve"> policy and commitment to</w:t>
      </w:r>
      <w:r w:rsidR="00E53455" w:rsidRPr="00EE5878">
        <w:rPr>
          <w:sz w:val="18"/>
          <w:szCs w:val="18"/>
        </w:rPr>
        <w:t xml:space="preserve"> </w:t>
      </w:r>
      <w:r w:rsidR="003467B2">
        <w:rPr>
          <w:sz w:val="18"/>
          <w:szCs w:val="18"/>
        </w:rPr>
        <w:t>o</w:t>
      </w:r>
      <w:r w:rsidR="00E53455" w:rsidRPr="00EE5878">
        <w:rPr>
          <w:sz w:val="18"/>
          <w:szCs w:val="18"/>
        </w:rPr>
        <w:t xml:space="preserve">pen </w:t>
      </w:r>
      <w:r w:rsidR="003467B2">
        <w:rPr>
          <w:sz w:val="18"/>
          <w:szCs w:val="18"/>
        </w:rPr>
        <w:t>d</w:t>
      </w:r>
      <w:r w:rsidR="00E53455" w:rsidRPr="00EE5878">
        <w:rPr>
          <w:sz w:val="18"/>
          <w:szCs w:val="18"/>
        </w:rPr>
        <w:t xml:space="preserve">ata </w:t>
      </w:r>
      <w:r w:rsidR="003467B2">
        <w:rPr>
          <w:sz w:val="18"/>
          <w:szCs w:val="18"/>
        </w:rPr>
        <w:t xml:space="preserve">available to the public. </w:t>
      </w:r>
      <w:r w:rsidR="00585CCD">
        <w:rPr>
          <w:sz w:val="18"/>
          <w:szCs w:val="18"/>
        </w:rPr>
        <w:t>F</w:t>
      </w:r>
      <w:r w:rsidR="00E53455">
        <w:rPr>
          <w:sz w:val="18"/>
          <w:szCs w:val="18"/>
        </w:rPr>
        <w:t>or more details see: www.fr</w:t>
      </w:r>
      <w:r w:rsidR="00585CCD">
        <w:rPr>
          <w:sz w:val="18"/>
          <w:szCs w:val="18"/>
        </w:rPr>
        <w:t>cq.org.au</w:t>
      </w:r>
      <w:r w:rsidR="00E53455" w:rsidRPr="00EE5878">
        <w:rPr>
          <w:sz w:val="18"/>
          <w:szCs w:val="18"/>
        </w:rPr>
        <w:t xml:space="preserve">   </w:t>
      </w:r>
    </w:p>
    <w:p w14:paraId="133B9553" w14:textId="77777777" w:rsidR="00900037" w:rsidRPr="00DA4801" w:rsidRDefault="00900037" w:rsidP="002B6652">
      <w:pPr>
        <w:pStyle w:val="Subtitle"/>
        <w:ind w:left="-426" w:right="-623"/>
      </w:pPr>
    </w:p>
    <w:p w14:paraId="4AADBA18" w14:textId="176E54FB" w:rsidR="00EE5878" w:rsidRDefault="00900037" w:rsidP="00EE5878">
      <w:pPr>
        <w:pStyle w:val="Heading4"/>
        <w:ind w:left="-142"/>
        <w:jc w:val="left"/>
      </w:pPr>
      <w:r>
        <w:br w:type="page"/>
      </w:r>
      <w:r w:rsidRPr="00DD384D">
        <w:lastRenderedPageBreak/>
        <w:t>Executive Summary</w:t>
      </w:r>
    </w:p>
    <w:p w14:paraId="14804824" w14:textId="7DBD1872" w:rsidR="008A481F" w:rsidRPr="00ED55CD" w:rsidRDefault="00536924" w:rsidP="00EE5878">
      <w:pPr>
        <w:ind w:left="-142" w:right="-425"/>
        <w:jc w:val="both"/>
        <w:rPr>
          <w:rFonts w:cs="Arial"/>
        </w:rPr>
      </w:pPr>
      <w:r w:rsidRPr="00ED55CD">
        <w:rPr>
          <w:rFonts w:cs="Arial"/>
        </w:rPr>
        <w:t xml:space="preserve">The </w:t>
      </w:r>
      <w:r w:rsidR="00105F8E" w:rsidRPr="00ED55CD">
        <w:rPr>
          <w:rFonts w:cs="Arial"/>
        </w:rPr>
        <w:t>Famil</w:t>
      </w:r>
      <w:r w:rsidR="00105F8E">
        <w:rPr>
          <w:rFonts w:cs="Arial"/>
        </w:rPr>
        <w:t>y</w:t>
      </w:r>
      <w:r w:rsidR="00105F8E" w:rsidRPr="00ED55CD">
        <w:rPr>
          <w:rFonts w:cs="Arial"/>
        </w:rPr>
        <w:t xml:space="preserve"> </w:t>
      </w:r>
      <w:r w:rsidRPr="00ED55CD">
        <w:rPr>
          <w:rFonts w:cs="Arial"/>
        </w:rPr>
        <w:t>Responsibilities Commission (FRC) is a key mechanism to support welfare reform community members and their families to restore socially responsible standards of behaviour and es</w:t>
      </w:r>
      <w:r w:rsidR="005F5686" w:rsidRPr="00ED55CD">
        <w:rPr>
          <w:rFonts w:cs="Arial"/>
        </w:rPr>
        <w:t>tablish local authority.</w:t>
      </w:r>
    </w:p>
    <w:p w14:paraId="095C30D2" w14:textId="77777777" w:rsidR="008A481F" w:rsidRPr="00ED55CD" w:rsidRDefault="008A481F" w:rsidP="008A481F">
      <w:pPr>
        <w:ind w:left="-142" w:right="-425"/>
        <w:jc w:val="both"/>
        <w:rPr>
          <w:rFonts w:cs="Arial"/>
        </w:rPr>
      </w:pPr>
    </w:p>
    <w:p w14:paraId="4A84018C" w14:textId="3BBD0864" w:rsidR="008A481F" w:rsidRDefault="008A481F" w:rsidP="008A481F">
      <w:pPr>
        <w:ind w:left="-142" w:right="-425"/>
        <w:jc w:val="both"/>
        <w:rPr>
          <w:rFonts w:cs="Arial"/>
        </w:rPr>
      </w:pPr>
      <w:r w:rsidRPr="00ED55CD">
        <w:rPr>
          <w:rFonts w:cs="Arial"/>
        </w:rPr>
        <w:t xml:space="preserve">The </w:t>
      </w:r>
      <w:r w:rsidR="00F1037E" w:rsidRPr="00ED55CD">
        <w:rPr>
          <w:rFonts w:cs="Arial"/>
          <w:i/>
          <w:iCs/>
        </w:rPr>
        <w:t>Family Responsibilities Commission Act 2008</w:t>
      </w:r>
      <w:r w:rsidR="00F1037E" w:rsidRPr="00ED55CD">
        <w:rPr>
          <w:rFonts w:cs="Arial"/>
        </w:rPr>
        <w:t xml:space="preserve"> (</w:t>
      </w:r>
      <w:r w:rsidRPr="00ED55CD">
        <w:rPr>
          <w:rFonts w:cs="Arial"/>
        </w:rPr>
        <w:t>FRC Act</w:t>
      </w:r>
      <w:r w:rsidR="00F1037E" w:rsidRPr="00ED55CD">
        <w:rPr>
          <w:rFonts w:cs="Arial"/>
        </w:rPr>
        <w:t>)</w:t>
      </w:r>
      <w:r w:rsidRPr="00ED55CD">
        <w:rPr>
          <w:rFonts w:cs="Arial"/>
        </w:rPr>
        <w:t xml:space="preserve"> provides for the establishment of the Family Responsibilities Board (FR Board)</w:t>
      </w:r>
      <w:r w:rsidR="00F1037E" w:rsidRPr="00ED55CD">
        <w:rPr>
          <w:rFonts w:cs="Arial"/>
        </w:rPr>
        <w:t>. The FR Board</w:t>
      </w:r>
      <w:r w:rsidRPr="00ED55CD">
        <w:rPr>
          <w:rFonts w:cs="Arial"/>
        </w:rPr>
        <w:t xml:space="preserve"> has a mandate to</w:t>
      </w:r>
      <w:r w:rsidRPr="00E34093">
        <w:rPr>
          <w:rFonts w:cs="Arial"/>
        </w:rPr>
        <w:t xml:space="preserve"> give advice and make recommendations to the Minister about the operation of the Commission and similarly to give advice and make recommendations to the Commissioner about the performance of the Commission’s functions.</w:t>
      </w:r>
    </w:p>
    <w:p w14:paraId="44F6A5C3" w14:textId="77777777" w:rsidR="008A481F" w:rsidRPr="00ED55CD" w:rsidRDefault="008A481F" w:rsidP="008A481F">
      <w:pPr>
        <w:ind w:left="-142" w:right="-425"/>
        <w:jc w:val="both"/>
        <w:rPr>
          <w:rFonts w:cs="Arial"/>
        </w:rPr>
      </w:pPr>
    </w:p>
    <w:p w14:paraId="66498A76" w14:textId="6930E900" w:rsidR="00536924" w:rsidRPr="008A481F" w:rsidRDefault="005F5686" w:rsidP="00EE5878">
      <w:pPr>
        <w:ind w:left="-142" w:right="-425"/>
        <w:jc w:val="both"/>
        <w:rPr>
          <w:rFonts w:cs="Arial"/>
        </w:rPr>
      </w:pPr>
      <w:r w:rsidRPr="00ED55CD">
        <w:rPr>
          <w:rFonts w:cs="Arial"/>
        </w:rPr>
        <w:t xml:space="preserve">The Commissioner must </w:t>
      </w:r>
      <w:r w:rsidR="00585CCD" w:rsidRPr="00ED55CD">
        <w:rPr>
          <w:rFonts w:cs="Arial"/>
        </w:rPr>
        <w:t>as soon as practical after each quarter, give the F</w:t>
      </w:r>
      <w:r w:rsidR="00F1037E" w:rsidRPr="00ED55CD">
        <w:rPr>
          <w:rFonts w:cs="Arial"/>
        </w:rPr>
        <w:t>R</w:t>
      </w:r>
      <w:r w:rsidR="00585CCD" w:rsidRPr="00ED55CD">
        <w:rPr>
          <w:rFonts w:cs="Arial"/>
        </w:rPr>
        <w:t xml:space="preserve"> Board a written report about the Commission’s operations during the period.</w:t>
      </w:r>
      <w:r w:rsidR="00585CCD" w:rsidRPr="002A42B2">
        <w:rPr>
          <w:rFonts w:cs="Arial"/>
          <w:vertAlign w:val="superscript"/>
        </w:rPr>
        <w:footnoteReference w:id="2"/>
      </w:r>
      <w:r w:rsidR="00585CCD" w:rsidRPr="00ED55CD">
        <w:rPr>
          <w:rFonts w:cs="Arial"/>
        </w:rPr>
        <w:t xml:space="preserve"> </w:t>
      </w:r>
      <w:r w:rsidR="008A481F" w:rsidRPr="00ED55CD">
        <w:rPr>
          <w:rFonts w:cs="Arial"/>
        </w:rPr>
        <w:t xml:space="preserve">This report sets out the Commission’s key operational matters for the period </w:t>
      </w:r>
      <w:r w:rsidR="0080444C">
        <w:rPr>
          <w:rFonts w:cs="Arial"/>
        </w:rPr>
        <w:t>July</w:t>
      </w:r>
      <w:r w:rsidR="0080444C" w:rsidRPr="00ED55CD">
        <w:rPr>
          <w:rFonts w:cs="Arial"/>
        </w:rPr>
        <w:t xml:space="preserve"> </w:t>
      </w:r>
      <w:r w:rsidR="003467B2" w:rsidRPr="00ED55CD">
        <w:rPr>
          <w:rFonts w:cs="Arial"/>
        </w:rPr>
        <w:t xml:space="preserve">to </w:t>
      </w:r>
      <w:r w:rsidR="0080444C">
        <w:rPr>
          <w:rFonts w:cs="Arial"/>
        </w:rPr>
        <w:t>September</w:t>
      </w:r>
      <w:r w:rsidR="0080444C" w:rsidRPr="00ED55CD">
        <w:rPr>
          <w:rFonts w:cs="Arial"/>
        </w:rPr>
        <w:t xml:space="preserve"> </w:t>
      </w:r>
      <w:r w:rsidR="00D85930">
        <w:rPr>
          <w:rFonts w:cs="Arial"/>
        </w:rPr>
        <w:t>2023</w:t>
      </w:r>
      <w:r w:rsidR="003467B2" w:rsidRPr="00ED55CD">
        <w:rPr>
          <w:rFonts w:cs="Arial"/>
        </w:rPr>
        <w:t>.</w:t>
      </w:r>
    </w:p>
    <w:p w14:paraId="40CC71BC" w14:textId="77777777" w:rsidR="00585CCD" w:rsidRPr="00ED55CD" w:rsidRDefault="00585CCD" w:rsidP="00ED55CD">
      <w:pPr>
        <w:ind w:left="-142" w:right="-425"/>
        <w:jc w:val="both"/>
        <w:rPr>
          <w:rFonts w:cs="Arial"/>
        </w:rPr>
      </w:pPr>
    </w:p>
    <w:p w14:paraId="71A6161F" w14:textId="7FCC50ED" w:rsidR="00B24A0F" w:rsidRPr="00ED55CD" w:rsidRDefault="00E744F9" w:rsidP="00ED55CD">
      <w:pPr>
        <w:ind w:left="-142" w:right="-425"/>
        <w:jc w:val="both"/>
        <w:rPr>
          <w:rFonts w:cs="Arial"/>
        </w:rPr>
      </w:pPr>
      <w:r w:rsidRPr="00ED55CD">
        <w:rPr>
          <w:rFonts w:cs="Arial"/>
        </w:rPr>
        <w:t xml:space="preserve">Quantified in the table below are the activities undertaken by the Commission during </w:t>
      </w:r>
      <w:r w:rsidR="00A15FC1" w:rsidRPr="00ED55CD">
        <w:rPr>
          <w:rFonts w:cs="Arial"/>
        </w:rPr>
        <w:t xml:space="preserve">quarter </w:t>
      </w:r>
      <w:r w:rsidR="00460E5A">
        <w:rPr>
          <w:rFonts w:cs="Arial"/>
        </w:rPr>
        <w:t>6</w:t>
      </w:r>
      <w:r w:rsidR="00EE7CC7">
        <w:rPr>
          <w:rFonts w:cs="Arial"/>
        </w:rPr>
        <w:t>1</w:t>
      </w:r>
      <w:r w:rsidR="00281E08" w:rsidRPr="00ED55CD">
        <w:rPr>
          <w:rFonts w:cs="Arial"/>
        </w:rPr>
        <w:t xml:space="preserve"> </w:t>
      </w:r>
      <w:r w:rsidRPr="00ED55CD">
        <w:rPr>
          <w:rFonts w:cs="Arial"/>
        </w:rPr>
        <w:t>with comparisons shown to the previous quarter.</w:t>
      </w:r>
    </w:p>
    <w:p w14:paraId="0C420264" w14:textId="77777777" w:rsidR="0023544C" w:rsidRPr="0071779E" w:rsidRDefault="0023544C" w:rsidP="00C7128D">
      <w:pPr>
        <w:spacing w:after="120" w:line="240" w:lineRule="auto"/>
        <w:ind w:right="-425"/>
        <w:jc w:val="both"/>
        <w:rPr>
          <w:bCs/>
        </w:rPr>
      </w:pPr>
      <w:bookmarkStart w:id="0" w:name="_Hlk38021442"/>
    </w:p>
    <w:p w14:paraId="7466B2AC" w14:textId="44FA6B14" w:rsidR="0023544C" w:rsidRPr="00C7128D" w:rsidRDefault="00C7128D" w:rsidP="00C7128D">
      <w:pPr>
        <w:spacing w:after="120" w:line="240" w:lineRule="auto"/>
        <w:ind w:right="-425"/>
        <w:jc w:val="both"/>
        <w:rPr>
          <w:sz w:val="16"/>
          <w:szCs w:val="16"/>
        </w:rPr>
      </w:pPr>
      <w:r w:rsidRPr="00012B69">
        <w:rPr>
          <w:b/>
          <w:sz w:val="16"/>
          <w:szCs w:val="16"/>
        </w:rPr>
        <w:t>Table 1:</w:t>
      </w:r>
      <w:r w:rsidRPr="00012B69">
        <w:rPr>
          <w:sz w:val="16"/>
          <w:szCs w:val="16"/>
        </w:rPr>
        <w:t xml:space="preserve"> Activity from 1 </w:t>
      </w:r>
      <w:r w:rsidR="0080444C">
        <w:rPr>
          <w:sz w:val="16"/>
          <w:szCs w:val="16"/>
        </w:rPr>
        <w:t xml:space="preserve">April </w:t>
      </w:r>
      <w:r w:rsidR="00413FAC">
        <w:rPr>
          <w:sz w:val="16"/>
          <w:szCs w:val="16"/>
        </w:rPr>
        <w:t>202</w:t>
      </w:r>
      <w:r w:rsidR="00460E5A">
        <w:rPr>
          <w:sz w:val="16"/>
          <w:szCs w:val="16"/>
        </w:rPr>
        <w:t>3</w:t>
      </w:r>
      <w:r w:rsidR="00DA70CA">
        <w:rPr>
          <w:sz w:val="16"/>
          <w:szCs w:val="16"/>
        </w:rPr>
        <w:t xml:space="preserve"> </w:t>
      </w:r>
      <w:r>
        <w:rPr>
          <w:sz w:val="16"/>
          <w:szCs w:val="16"/>
        </w:rPr>
        <w:t xml:space="preserve">to </w:t>
      </w:r>
      <w:r w:rsidR="007B7E78">
        <w:rPr>
          <w:sz w:val="16"/>
          <w:szCs w:val="16"/>
        </w:rPr>
        <w:t>3</w:t>
      </w:r>
      <w:r w:rsidR="00460E5A">
        <w:rPr>
          <w:sz w:val="16"/>
          <w:szCs w:val="16"/>
        </w:rPr>
        <w:t xml:space="preserve">0 </w:t>
      </w:r>
      <w:r w:rsidR="0080444C">
        <w:rPr>
          <w:sz w:val="16"/>
          <w:szCs w:val="16"/>
        </w:rPr>
        <w:t xml:space="preserve">September </w:t>
      </w:r>
      <w:r w:rsidR="00C01980">
        <w:rPr>
          <w:sz w:val="16"/>
          <w:szCs w:val="16"/>
        </w:rPr>
        <w:t xml:space="preserve">2023 </w:t>
      </w:r>
    </w:p>
    <w:tbl>
      <w:tblPr>
        <w:tblW w:w="9389" w:type="dxa"/>
        <w:tblInd w:w="103" w:type="dxa"/>
        <w:tblLook w:val="04A0" w:firstRow="1" w:lastRow="0" w:firstColumn="1" w:lastColumn="0" w:noHBand="0" w:noVBand="1"/>
      </w:tblPr>
      <w:tblGrid>
        <w:gridCol w:w="7405"/>
        <w:gridCol w:w="992"/>
        <w:gridCol w:w="992"/>
      </w:tblGrid>
      <w:tr w:rsidR="0080444C" w:rsidRPr="00504360" w14:paraId="0784B417" w14:textId="3D149EED" w:rsidTr="0080444C">
        <w:trPr>
          <w:trHeight w:val="398"/>
        </w:trPr>
        <w:tc>
          <w:tcPr>
            <w:tcW w:w="7405"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7FB879A0" w:rsidR="0080444C" w:rsidRPr="00504360" w:rsidRDefault="0080444C" w:rsidP="0080444C">
            <w:pPr>
              <w:spacing w:before="60" w:line="240" w:lineRule="auto"/>
              <w:rPr>
                <w:rFonts w:cs="Arial"/>
                <w:b/>
                <w:bCs/>
                <w:sz w:val="18"/>
                <w:szCs w:val="18"/>
                <w:lang w:eastAsia="en-AU"/>
              </w:rPr>
            </w:pPr>
            <w:r w:rsidRPr="00504360">
              <w:rPr>
                <w:rFonts w:cs="Arial"/>
                <w:b/>
                <w:bCs/>
                <w:sz w:val="18"/>
                <w:szCs w:val="18"/>
                <w:lang w:eastAsia="en-AU"/>
              </w:rPr>
              <w:t>Activity for the quarter</w:t>
            </w:r>
          </w:p>
        </w:tc>
        <w:tc>
          <w:tcPr>
            <w:tcW w:w="992" w:type="dxa"/>
            <w:tcBorders>
              <w:top w:val="single" w:sz="4" w:space="0" w:color="auto"/>
              <w:left w:val="single" w:sz="4" w:space="0" w:color="auto"/>
              <w:bottom w:val="single" w:sz="4" w:space="0" w:color="auto"/>
              <w:right w:val="single" w:sz="4" w:space="0" w:color="auto"/>
            </w:tcBorders>
          </w:tcPr>
          <w:p w14:paraId="5A5164C0" w14:textId="59E5C1EF" w:rsidR="0080444C" w:rsidRPr="00504360" w:rsidRDefault="0080444C" w:rsidP="0080444C">
            <w:pPr>
              <w:spacing w:before="60"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60</w:t>
            </w:r>
          </w:p>
        </w:tc>
        <w:tc>
          <w:tcPr>
            <w:tcW w:w="992" w:type="dxa"/>
            <w:tcBorders>
              <w:top w:val="single" w:sz="4" w:space="0" w:color="auto"/>
              <w:left w:val="single" w:sz="4" w:space="0" w:color="auto"/>
              <w:bottom w:val="single" w:sz="4" w:space="0" w:color="auto"/>
              <w:right w:val="single" w:sz="4" w:space="0" w:color="auto"/>
            </w:tcBorders>
          </w:tcPr>
          <w:p w14:paraId="26E501C0" w14:textId="79B9DA32" w:rsidR="0080444C" w:rsidRPr="00504360" w:rsidRDefault="00BF34A3" w:rsidP="0080444C">
            <w:pPr>
              <w:spacing w:before="60" w:line="240" w:lineRule="auto"/>
              <w:jc w:val="right"/>
              <w:rPr>
                <w:rFonts w:cs="Arial"/>
                <w:b/>
                <w:bCs/>
                <w:sz w:val="18"/>
                <w:szCs w:val="18"/>
                <w:lang w:eastAsia="en-AU"/>
              </w:rPr>
            </w:pPr>
            <w:r>
              <w:rPr>
                <w:rFonts w:cs="Arial"/>
                <w:b/>
                <w:bCs/>
                <w:sz w:val="18"/>
                <w:szCs w:val="18"/>
                <w:lang w:eastAsia="en-AU"/>
              </w:rPr>
              <w:t>Qtr 61</w:t>
            </w:r>
          </w:p>
        </w:tc>
      </w:tr>
      <w:tr w:rsidR="00BF34A3" w:rsidRPr="00504360" w14:paraId="2B1B5FCF" w14:textId="3916237B" w:rsidTr="008044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E8F5726" w14:textId="0D4E4259" w:rsidR="00BF34A3" w:rsidRPr="00504360" w:rsidRDefault="00BF34A3" w:rsidP="00BF34A3">
            <w:pPr>
              <w:spacing w:line="240" w:lineRule="auto"/>
              <w:rPr>
                <w:rFonts w:cs="Arial"/>
                <w:sz w:val="18"/>
                <w:szCs w:val="18"/>
                <w:lang w:eastAsia="en-AU"/>
              </w:rPr>
            </w:pPr>
            <w:r w:rsidRPr="00504360">
              <w:rPr>
                <w:rFonts w:cs="Arial"/>
                <w:sz w:val="18"/>
                <w:szCs w:val="18"/>
                <w:lang w:eastAsia="en-AU"/>
              </w:rPr>
              <w:t>Total number of notices received by the Commission</w:t>
            </w:r>
            <w:r w:rsidRPr="00504360">
              <w:rPr>
                <w:rStyle w:val="FootnoteReference"/>
                <w:sz w:val="18"/>
                <w:szCs w:val="18"/>
                <w:lang w:eastAsia="en-AU"/>
              </w:rPr>
              <w:footnoteReference w:id="3"/>
            </w:r>
          </w:p>
        </w:tc>
        <w:tc>
          <w:tcPr>
            <w:tcW w:w="992" w:type="dxa"/>
            <w:tcBorders>
              <w:top w:val="single" w:sz="4" w:space="0" w:color="auto"/>
              <w:left w:val="single" w:sz="4" w:space="0" w:color="auto"/>
              <w:bottom w:val="single" w:sz="4" w:space="0" w:color="auto"/>
              <w:right w:val="single" w:sz="4" w:space="0" w:color="auto"/>
            </w:tcBorders>
          </w:tcPr>
          <w:p w14:paraId="4501E93B" w14:textId="5E4DC99C" w:rsidR="00BF34A3" w:rsidRPr="00733DE0" w:rsidRDefault="00BF34A3" w:rsidP="00BF34A3">
            <w:pPr>
              <w:spacing w:line="240" w:lineRule="auto"/>
              <w:jc w:val="right"/>
              <w:rPr>
                <w:rFonts w:cs="Arial"/>
                <w:sz w:val="18"/>
                <w:szCs w:val="18"/>
              </w:rPr>
            </w:pPr>
            <w:r>
              <w:rPr>
                <w:rFonts w:cs="Arial"/>
                <w:sz w:val="18"/>
                <w:szCs w:val="18"/>
              </w:rPr>
              <w:t>2,079</w:t>
            </w:r>
          </w:p>
        </w:tc>
        <w:tc>
          <w:tcPr>
            <w:tcW w:w="992" w:type="dxa"/>
            <w:tcBorders>
              <w:top w:val="single" w:sz="4" w:space="0" w:color="auto"/>
              <w:left w:val="single" w:sz="4" w:space="0" w:color="auto"/>
              <w:bottom w:val="single" w:sz="4" w:space="0" w:color="auto"/>
              <w:right w:val="single" w:sz="4" w:space="0" w:color="auto"/>
            </w:tcBorders>
          </w:tcPr>
          <w:p w14:paraId="7FA692B3" w14:textId="002D630D" w:rsidR="00BF34A3" w:rsidRPr="00733DE0" w:rsidRDefault="00BF34A3" w:rsidP="00BF34A3">
            <w:pPr>
              <w:spacing w:line="240" w:lineRule="auto"/>
              <w:jc w:val="right"/>
              <w:rPr>
                <w:rFonts w:cs="Arial"/>
                <w:sz w:val="18"/>
                <w:szCs w:val="18"/>
              </w:rPr>
            </w:pPr>
            <w:r>
              <w:rPr>
                <w:rFonts w:cs="Arial"/>
                <w:sz w:val="18"/>
                <w:szCs w:val="18"/>
              </w:rPr>
              <w:t>2,075</w:t>
            </w:r>
          </w:p>
        </w:tc>
      </w:tr>
      <w:tr w:rsidR="00BF34A3" w:rsidRPr="00504360" w14:paraId="624B7E23" w14:textId="6160C99C" w:rsidTr="008044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B61E1FF" w14:textId="384922C7" w:rsidR="00BF34A3" w:rsidRPr="00504360" w:rsidRDefault="00BF34A3" w:rsidP="00BF34A3">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tcPr>
          <w:p w14:paraId="1B5E6F1A" w14:textId="693C5311" w:rsidR="00BF34A3" w:rsidRPr="00733DE0" w:rsidRDefault="00BF34A3" w:rsidP="00BF34A3">
            <w:pPr>
              <w:spacing w:line="240" w:lineRule="auto"/>
              <w:jc w:val="right"/>
              <w:rPr>
                <w:rFonts w:cs="Arial"/>
                <w:sz w:val="18"/>
                <w:szCs w:val="18"/>
              </w:rPr>
            </w:pPr>
            <w:r>
              <w:rPr>
                <w:rFonts w:cs="Arial"/>
                <w:sz w:val="18"/>
                <w:szCs w:val="18"/>
              </w:rPr>
              <w:t>1,408</w:t>
            </w:r>
          </w:p>
        </w:tc>
        <w:tc>
          <w:tcPr>
            <w:tcW w:w="992" w:type="dxa"/>
            <w:tcBorders>
              <w:top w:val="single" w:sz="4" w:space="0" w:color="auto"/>
              <w:left w:val="single" w:sz="4" w:space="0" w:color="auto"/>
              <w:bottom w:val="single" w:sz="4" w:space="0" w:color="auto"/>
              <w:right w:val="single" w:sz="4" w:space="0" w:color="auto"/>
            </w:tcBorders>
          </w:tcPr>
          <w:p w14:paraId="01FC42FF" w14:textId="683D879E" w:rsidR="00BF34A3" w:rsidRPr="00733DE0" w:rsidRDefault="00BF34A3" w:rsidP="00BF34A3">
            <w:pPr>
              <w:spacing w:line="240" w:lineRule="auto"/>
              <w:jc w:val="right"/>
              <w:rPr>
                <w:rFonts w:cs="Arial"/>
                <w:sz w:val="18"/>
                <w:szCs w:val="18"/>
              </w:rPr>
            </w:pPr>
            <w:r>
              <w:rPr>
                <w:rFonts w:cs="Arial"/>
                <w:sz w:val="18"/>
                <w:szCs w:val="18"/>
              </w:rPr>
              <w:t>1,434</w:t>
            </w:r>
          </w:p>
        </w:tc>
      </w:tr>
      <w:tr w:rsidR="00BF34A3" w:rsidRPr="00504360" w14:paraId="387F01C7" w14:textId="397348D0" w:rsidTr="008044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955DD30" w14:textId="72D55FA5" w:rsidR="00BF34A3" w:rsidRPr="00504360" w:rsidRDefault="00BF34A3" w:rsidP="00BF34A3">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not within jurisdiction</w:t>
            </w:r>
          </w:p>
        </w:tc>
        <w:tc>
          <w:tcPr>
            <w:tcW w:w="992" w:type="dxa"/>
            <w:tcBorders>
              <w:top w:val="single" w:sz="4" w:space="0" w:color="auto"/>
              <w:left w:val="single" w:sz="4" w:space="0" w:color="auto"/>
              <w:bottom w:val="single" w:sz="4" w:space="0" w:color="auto"/>
              <w:right w:val="single" w:sz="4" w:space="0" w:color="auto"/>
            </w:tcBorders>
          </w:tcPr>
          <w:p w14:paraId="6D4709BF" w14:textId="4A4B9482" w:rsidR="00BF34A3" w:rsidRPr="00733DE0" w:rsidRDefault="00BF34A3" w:rsidP="00BF34A3">
            <w:pPr>
              <w:spacing w:line="240" w:lineRule="auto"/>
              <w:jc w:val="right"/>
              <w:rPr>
                <w:rFonts w:cs="Arial"/>
                <w:sz w:val="18"/>
                <w:szCs w:val="18"/>
              </w:rPr>
            </w:pPr>
            <w:r>
              <w:rPr>
                <w:rFonts w:cs="Arial"/>
                <w:sz w:val="18"/>
                <w:szCs w:val="18"/>
              </w:rPr>
              <w:t>671</w:t>
            </w:r>
          </w:p>
        </w:tc>
        <w:tc>
          <w:tcPr>
            <w:tcW w:w="992" w:type="dxa"/>
            <w:tcBorders>
              <w:top w:val="single" w:sz="4" w:space="0" w:color="auto"/>
              <w:left w:val="single" w:sz="4" w:space="0" w:color="auto"/>
              <w:bottom w:val="single" w:sz="4" w:space="0" w:color="auto"/>
              <w:right w:val="single" w:sz="4" w:space="0" w:color="auto"/>
            </w:tcBorders>
          </w:tcPr>
          <w:p w14:paraId="15DC554A" w14:textId="1B88A473" w:rsidR="00BF34A3" w:rsidRPr="00733DE0" w:rsidRDefault="00BF34A3" w:rsidP="00BF34A3">
            <w:pPr>
              <w:spacing w:line="240" w:lineRule="auto"/>
              <w:jc w:val="right"/>
              <w:rPr>
                <w:rFonts w:cs="Arial"/>
                <w:sz w:val="18"/>
                <w:szCs w:val="18"/>
              </w:rPr>
            </w:pPr>
            <w:r>
              <w:rPr>
                <w:rFonts w:cs="Arial"/>
                <w:sz w:val="18"/>
                <w:szCs w:val="18"/>
              </w:rPr>
              <w:t>641</w:t>
            </w:r>
          </w:p>
        </w:tc>
      </w:tr>
      <w:tr w:rsidR="00BF34A3" w:rsidRPr="00504360" w14:paraId="5B71472F" w14:textId="7175663E" w:rsidTr="008044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8542D45" w14:textId="3B7AB833" w:rsidR="00BF34A3" w:rsidRPr="00504360" w:rsidRDefault="00BF34A3" w:rsidP="00BF34A3">
            <w:pPr>
              <w:spacing w:line="240" w:lineRule="auto"/>
              <w:rPr>
                <w:rFonts w:cs="Arial"/>
                <w:sz w:val="18"/>
                <w:szCs w:val="18"/>
                <w:lang w:eastAsia="en-AU"/>
              </w:rPr>
            </w:pPr>
            <w:r w:rsidRPr="00504360">
              <w:rPr>
                <w:rFonts w:cs="Arial"/>
                <w:sz w:val="18"/>
                <w:szCs w:val="18"/>
                <w:lang w:eastAsia="en-AU"/>
              </w:rPr>
              <w:t xml:space="preserve">Number of clients notified to the Commission from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vAlign w:val="center"/>
          </w:tcPr>
          <w:p w14:paraId="1CF97E96" w14:textId="508D1731" w:rsidR="00BF34A3" w:rsidRPr="00733DE0" w:rsidRDefault="00BF34A3" w:rsidP="00BF34A3">
            <w:pPr>
              <w:spacing w:line="240" w:lineRule="auto"/>
              <w:jc w:val="right"/>
              <w:rPr>
                <w:rFonts w:cs="Arial"/>
                <w:sz w:val="18"/>
                <w:szCs w:val="18"/>
              </w:rPr>
            </w:pPr>
            <w:r>
              <w:rPr>
                <w:rFonts w:cs="Arial"/>
                <w:sz w:val="18"/>
                <w:szCs w:val="18"/>
              </w:rPr>
              <w:t>714</w:t>
            </w:r>
          </w:p>
        </w:tc>
        <w:tc>
          <w:tcPr>
            <w:tcW w:w="992" w:type="dxa"/>
            <w:tcBorders>
              <w:top w:val="single" w:sz="4" w:space="0" w:color="auto"/>
              <w:left w:val="single" w:sz="4" w:space="0" w:color="auto"/>
              <w:bottom w:val="single" w:sz="4" w:space="0" w:color="auto"/>
              <w:right w:val="single" w:sz="4" w:space="0" w:color="auto"/>
            </w:tcBorders>
            <w:vAlign w:val="center"/>
          </w:tcPr>
          <w:p w14:paraId="3B7D6E74" w14:textId="64198ECA" w:rsidR="00BF34A3" w:rsidRPr="00733DE0" w:rsidRDefault="00BF34A3" w:rsidP="00BF34A3">
            <w:pPr>
              <w:spacing w:line="240" w:lineRule="auto"/>
              <w:jc w:val="right"/>
              <w:rPr>
                <w:rFonts w:cs="Arial"/>
                <w:sz w:val="18"/>
                <w:szCs w:val="18"/>
              </w:rPr>
            </w:pPr>
            <w:r>
              <w:rPr>
                <w:rFonts w:cs="Arial"/>
                <w:sz w:val="18"/>
                <w:szCs w:val="18"/>
              </w:rPr>
              <w:t>721</w:t>
            </w:r>
          </w:p>
        </w:tc>
      </w:tr>
      <w:tr w:rsidR="0080444C" w:rsidRPr="00504360" w14:paraId="5B70DF90" w14:textId="1D3723A1" w:rsidTr="0080444C">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79B93333" w14:textId="77777777" w:rsidR="0080444C" w:rsidRPr="00504360" w:rsidRDefault="0080444C" w:rsidP="0080444C">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67F8103" w14:textId="4FBF9615" w:rsidR="0080444C" w:rsidRPr="00733DE0" w:rsidRDefault="0080444C" w:rsidP="0080444C">
            <w:pPr>
              <w:spacing w:line="240" w:lineRule="auto"/>
              <w:jc w:val="right"/>
              <w:rPr>
                <w:rFonts w:cs="Arial"/>
                <w:sz w:val="18"/>
                <w:szCs w:val="18"/>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5578A6A5" w14:textId="2A7A0787" w:rsidR="0080444C" w:rsidRPr="00733DE0" w:rsidRDefault="0080444C" w:rsidP="0080444C">
            <w:pPr>
              <w:spacing w:line="240" w:lineRule="auto"/>
              <w:jc w:val="right"/>
              <w:rPr>
                <w:rFonts w:cs="Arial"/>
                <w:sz w:val="18"/>
                <w:szCs w:val="18"/>
              </w:rPr>
            </w:pPr>
          </w:p>
        </w:tc>
      </w:tr>
      <w:tr w:rsidR="0080444C" w:rsidRPr="00504360" w14:paraId="4598B56C" w14:textId="33927A0C" w:rsidTr="008044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4812E09" w14:textId="3ACBCAEC" w:rsidR="0080444C" w:rsidRPr="001E2C9A" w:rsidRDefault="0080444C" w:rsidP="0080444C">
            <w:pPr>
              <w:spacing w:line="240" w:lineRule="auto"/>
              <w:rPr>
                <w:rFonts w:cs="Arial"/>
                <w:b/>
                <w:bCs/>
                <w:sz w:val="18"/>
                <w:szCs w:val="18"/>
                <w:lang w:eastAsia="en-AU"/>
              </w:rPr>
            </w:pPr>
            <w:r w:rsidRPr="0041058E">
              <w:rPr>
                <w:rFonts w:cs="Arial"/>
                <w:b/>
                <w:bCs/>
                <w:sz w:val="18"/>
                <w:szCs w:val="18"/>
                <w:lang w:eastAsia="en-AU"/>
              </w:rPr>
              <w:t>Conferences</w:t>
            </w:r>
          </w:p>
        </w:tc>
        <w:tc>
          <w:tcPr>
            <w:tcW w:w="992" w:type="dxa"/>
            <w:tcBorders>
              <w:top w:val="single" w:sz="4" w:space="0" w:color="auto"/>
              <w:left w:val="single" w:sz="4" w:space="0" w:color="auto"/>
              <w:bottom w:val="single" w:sz="4" w:space="0" w:color="auto"/>
              <w:right w:val="single" w:sz="4" w:space="0" w:color="auto"/>
            </w:tcBorders>
            <w:vAlign w:val="center"/>
          </w:tcPr>
          <w:p w14:paraId="035E845F" w14:textId="03ED70F5" w:rsidR="0080444C" w:rsidRPr="00733DE0" w:rsidRDefault="0080444C" w:rsidP="0080444C">
            <w:pPr>
              <w:spacing w:line="240" w:lineRule="auto"/>
              <w:jc w:val="right"/>
              <w:rPr>
                <w:rFonts w:cs="Arial"/>
                <w:sz w:val="18"/>
                <w:szCs w:val="18"/>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16E0B551" w14:textId="0485280F" w:rsidR="0080444C" w:rsidRPr="00733DE0" w:rsidRDefault="0080444C" w:rsidP="0080444C">
            <w:pPr>
              <w:spacing w:line="240" w:lineRule="auto"/>
              <w:jc w:val="right"/>
              <w:rPr>
                <w:rFonts w:cs="Arial"/>
                <w:sz w:val="18"/>
                <w:szCs w:val="18"/>
              </w:rPr>
            </w:pPr>
          </w:p>
        </w:tc>
      </w:tr>
      <w:tr w:rsidR="00BF34A3" w:rsidRPr="00504360" w14:paraId="357F6E2A" w14:textId="41D70874" w:rsidTr="008044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CD2AEC3" w14:textId="72F76CB9" w:rsidR="00BF34A3" w:rsidRPr="0041058E" w:rsidRDefault="00BF34A3" w:rsidP="00BF34A3">
            <w:pPr>
              <w:spacing w:line="240" w:lineRule="auto"/>
              <w:rPr>
                <w:rFonts w:cs="Arial"/>
                <w:b/>
                <w:bCs/>
                <w:sz w:val="18"/>
                <w:szCs w:val="18"/>
                <w:lang w:eastAsia="en-AU"/>
              </w:rPr>
            </w:pPr>
            <w:r w:rsidRPr="00504360">
              <w:rPr>
                <w:rFonts w:cs="Arial"/>
                <w:sz w:val="18"/>
                <w:szCs w:val="18"/>
                <w:lang w:eastAsia="en-AU"/>
              </w:rPr>
              <w:t>Conferences conducted</w:t>
            </w:r>
          </w:p>
        </w:tc>
        <w:tc>
          <w:tcPr>
            <w:tcW w:w="992" w:type="dxa"/>
            <w:tcBorders>
              <w:top w:val="single" w:sz="4" w:space="0" w:color="auto"/>
              <w:left w:val="single" w:sz="4" w:space="0" w:color="auto"/>
              <w:bottom w:val="single" w:sz="4" w:space="0" w:color="auto"/>
              <w:right w:val="single" w:sz="4" w:space="0" w:color="auto"/>
            </w:tcBorders>
            <w:vAlign w:val="center"/>
          </w:tcPr>
          <w:p w14:paraId="5A3F282E" w14:textId="47132BDD" w:rsidR="00BF34A3" w:rsidRPr="002D2253" w:rsidRDefault="00BF34A3" w:rsidP="00BF34A3">
            <w:pPr>
              <w:spacing w:line="240" w:lineRule="auto"/>
              <w:jc w:val="right"/>
              <w:rPr>
                <w:rFonts w:cs="Arial"/>
                <w:sz w:val="18"/>
                <w:szCs w:val="18"/>
              </w:rPr>
            </w:pPr>
            <w:r>
              <w:rPr>
                <w:rFonts w:cs="Arial"/>
                <w:sz w:val="18"/>
                <w:szCs w:val="18"/>
              </w:rPr>
              <w:t>250</w:t>
            </w:r>
          </w:p>
        </w:tc>
        <w:tc>
          <w:tcPr>
            <w:tcW w:w="992" w:type="dxa"/>
            <w:tcBorders>
              <w:top w:val="single" w:sz="4" w:space="0" w:color="auto"/>
              <w:left w:val="single" w:sz="4" w:space="0" w:color="auto"/>
              <w:bottom w:val="single" w:sz="4" w:space="0" w:color="auto"/>
              <w:right w:val="single" w:sz="4" w:space="0" w:color="auto"/>
            </w:tcBorders>
            <w:vAlign w:val="center"/>
          </w:tcPr>
          <w:p w14:paraId="7A3A9BFF" w14:textId="195F0269" w:rsidR="00BF34A3" w:rsidRPr="002D2253" w:rsidRDefault="00BF34A3" w:rsidP="00BF34A3">
            <w:pPr>
              <w:spacing w:line="240" w:lineRule="auto"/>
              <w:jc w:val="right"/>
              <w:rPr>
                <w:rFonts w:cs="Arial"/>
                <w:sz w:val="18"/>
                <w:szCs w:val="18"/>
              </w:rPr>
            </w:pPr>
            <w:r>
              <w:rPr>
                <w:rFonts w:cs="Arial"/>
                <w:sz w:val="18"/>
                <w:szCs w:val="18"/>
              </w:rPr>
              <w:t>228</w:t>
            </w:r>
          </w:p>
        </w:tc>
      </w:tr>
      <w:tr w:rsidR="00BF34A3" w:rsidRPr="00504360" w14:paraId="6640BF7C" w14:textId="5B7F536F" w:rsidTr="008044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F4BA4D9" w14:textId="42488895" w:rsidR="00BF34A3" w:rsidRPr="00504360" w:rsidRDefault="00BF34A3" w:rsidP="00BF34A3">
            <w:pPr>
              <w:spacing w:line="240" w:lineRule="auto"/>
              <w:rPr>
                <w:rFonts w:cs="Arial"/>
                <w:sz w:val="18"/>
                <w:szCs w:val="18"/>
                <w:lang w:eastAsia="en-AU"/>
              </w:rPr>
            </w:pPr>
            <w:r w:rsidRPr="00504360">
              <w:rPr>
                <w:rFonts w:cs="Arial"/>
                <w:sz w:val="18"/>
                <w:szCs w:val="18"/>
                <w:lang w:eastAsia="en-AU"/>
              </w:rPr>
              <w:t>Number of clients served to attend conference</w:t>
            </w:r>
          </w:p>
        </w:tc>
        <w:tc>
          <w:tcPr>
            <w:tcW w:w="992" w:type="dxa"/>
            <w:tcBorders>
              <w:top w:val="single" w:sz="4" w:space="0" w:color="auto"/>
              <w:left w:val="single" w:sz="4" w:space="0" w:color="auto"/>
              <w:bottom w:val="single" w:sz="4" w:space="0" w:color="auto"/>
              <w:right w:val="single" w:sz="4" w:space="0" w:color="auto"/>
            </w:tcBorders>
            <w:vAlign w:val="center"/>
          </w:tcPr>
          <w:p w14:paraId="333605AE" w14:textId="4586945A" w:rsidR="00BF34A3" w:rsidRPr="002D2253" w:rsidRDefault="00BF34A3" w:rsidP="00BF34A3">
            <w:pPr>
              <w:spacing w:line="240" w:lineRule="auto"/>
              <w:jc w:val="right"/>
              <w:rPr>
                <w:rFonts w:cs="Arial"/>
                <w:sz w:val="18"/>
                <w:szCs w:val="18"/>
              </w:rPr>
            </w:pPr>
            <w:r>
              <w:rPr>
                <w:rFonts w:cs="Arial"/>
                <w:sz w:val="18"/>
                <w:szCs w:val="18"/>
              </w:rPr>
              <w:t>207</w:t>
            </w:r>
          </w:p>
        </w:tc>
        <w:tc>
          <w:tcPr>
            <w:tcW w:w="992" w:type="dxa"/>
            <w:tcBorders>
              <w:top w:val="single" w:sz="4" w:space="0" w:color="auto"/>
              <w:left w:val="single" w:sz="4" w:space="0" w:color="auto"/>
              <w:bottom w:val="single" w:sz="4" w:space="0" w:color="auto"/>
              <w:right w:val="single" w:sz="4" w:space="0" w:color="auto"/>
            </w:tcBorders>
            <w:vAlign w:val="center"/>
          </w:tcPr>
          <w:p w14:paraId="160DAEC2" w14:textId="6CEC27BF" w:rsidR="00BF34A3" w:rsidRPr="002D2253" w:rsidRDefault="00BF34A3" w:rsidP="00BF34A3">
            <w:pPr>
              <w:spacing w:line="240" w:lineRule="auto"/>
              <w:jc w:val="right"/>
              <w:rPr>
                <w:rFonts w:cs="Arial"/>
                <w:sz w:val="18"/>
                <w:szCs w:val="18"/>
              </w:rPr>
            </w:pPr>
            <w:r>
              <w:rPr>
                <w:rFonts w:cs="Arial"/>
                <w:sz w:val="18"/>
                <w:szCs w:val="18"/>
              </w:rPr>
              <w:t>184</w:t>
            </w:r>
          </w:p>
        </w:tc>
      </w:tr>
      <w:tr w:rsidR="00BF34A3" w:rsidRPr="00504360" w14:paraId="5461BF2B" w14:textId="1AFD0216" w:rsidTr="008044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1A9D1E6" w14:textId="41FA7E88" w:rsidR="00BF34A3" w:rsidRPr="00504360" w:rsidRDefault="00BF34A3" w:rsidP="00BF34A3">
            <w:pPr>
              <w:spacing w:line="240" w:lineRule="auto"/>
              <w:rPr>
                <w:rFonts w:cs="Arial"/>
                <w:sz w:val="18"/>
                <w:szCs w:val="18"/>
                <w:lang w:eastAsia="en-AU"/>
              </w:rPr>
            </w:pPr>
            <w:r w:rsidRPr="0041058E">
              <w:rPr>
                <w:rFonts w:cs="Arial"/>
                <w:sz w:val="18"/>
                <w:szCs w:val="18"/>
                <w:lang w:eastAsia="en-AU"/>
              </w:rPr>
              <w:t>Attendance percentage for conferences</w:t>
            </w:r>
          </w:p>
        </w:tc>
        <w:tc>
          <w:tcPr>
            <w:tcW w:w="992" w:type="dxa"/>
            <w:tcBorders>
              <w:top w:val="single" w:sz="4" w:space="0" w:color="auto"/>
              <w:left w:val="single" w:sz="4" w:space="0" w:color="auto"/>
              <w:bottom w:val="single" w:sz="4" w:space="0" w:color="auto"/>
              <w:right w:val="single" w:sz="4" w:space="0" w:color="auto"/>
            </w:tcBorders>
            <w:vAlign w:val="center"/>
          </w:tcPr>
          <w:p w14:paraId="11452CDB" w14:textId="56F61D15" w:rsidR="00BF34A3" w:rsidRPr="002D2253" w:rsidRDefault="00BF34A3" w:rsidP="00BF34A3">
            <w:pPr>
              <w:spacing w:line="240" w:lineRule="auto"/>
              <w:jc w:val="right"/>
              <w:rPr>
                <w:rFonts w:cs="Arial"/>
                <w:sz w:val="18"/>
                <w:szCs w:val="18"/>
              </w:rPr>
            </w:pPr>
            <w:r>
              <w:rPr>
                <w:rFonts w:cs="Arial"/>
                <w:sz w:val="18"/>
                <w:szCs w:val="18"/>
              </w:rPr>
              <w:t>70%</w:t>
            </w:r>
          </w:p>
        </w:tc>
        <w:tc>
          <w:tcPr>
            <w:tcW w:w="992" w:type="dxa"/>
            <w:tcBorders>
              <w:top w:val="single" w:sz="4" w:space="0" w:color="auto"/>
              <w:left w:val="single" w:sz="4" w:space="0" w:color="auto"/>
              <w:bottom w:val="single" w:sz="4" w:space="0" w:color="auto"/>
              <w:right w:val="single" w:sz="4" w:space="0" w:color="auto"/>
            </w:tcBorders>
            <w:vAlign w:val="center"/>
          </w:tcPr>
          <w:p w14:paraId="2B2A8376" w14:textId="3ABDADAB" w:rsidR="00BF34A3" w:rsidRPr="002D2253" w:rsidRDefault="00BF34A3" w:rsidP="00BF34A3">
            <w:pPr>
              <w:spacing w:line="240" w:lineRule="auto"/>
              <w:jc w:val="right"/>
              <w:rPr>
                <w:rFonts w:cs="Arial"/>
                <w:sz w:val="18"/>
                <w:szCs w:val="18"/>
              </w:rPr>
            </w:pPr>
            <w:r>
              <w:rPr>
                <w:rFonts w:cs="Arial"/>
                <w:sz w:val="18"/>
                <w:szCs w:val="18"/>
              </w:rPr>
              <w:t>60%</w:t>
            </w:r>
          </w:p>
        </w:tc>
      </w:tr>
      <w:tr w:rsidR="00BF34A3" w:rsidRPr="00504360" w14:paraId="71489B13" w14:textId="49DA7767" w:rsidTr="008044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AC9675E" w14:textId="41D4EDB0" w:rsidR="00BF34A3" w:rsidRPr="00504360" w:rsidRDefault="00BF34A3" w:rsidP="00BF34A3">
            <w:pPr>
              <w:spacing w:line="240" w:lineRule="auto"/>
              <w:rPr>
                <w:rFonts w:cs="Arial"/>
                <w:sz w:val="18"/>
                <w:szCs w:val="18"/>
                <w:lang w:eastAsia="en-AU"/>
              </w:rPr>
            </w:pPr>
            <w:r w:rsidRPr="00E10506">
              <w:rPr>
                <w:rFonts w:cs="Arial"/>
                <w:sz w:val="18"/>
                <w:szCs w:val="18"/>
                <w:lang w:eastAsia="en-AU"/>
              </w:rPr>
              <w:t>Non-attendance percentage with acceptable (reasonable) excuse for conferences</w:t>
            </w:r>
          </w:p>
        </w:tc>
        <w:tc>
          <w:tcPr>
            <w:tcW w:w="992" w:type="dxa"/>
            <w:tcBorders>
              <w:top w:val="single" w:sz="4" w:space="0" w:color="auto"/>
              <w:left w:val="single" w:sz="4" w:space="0" w:color="auto"/>
              <w:bottom w:val="single" w:sz="4" w:space="0" w:color="auto"/>
              <w:right w:val="single" w:sz="4" w:space="0" w:color="auto"/>
            </w:tcBorders>
            <w:vAlign w:val="center"/>
          </w:tcPr>
          <w:p w14:paraId="314C2601" w14:textId="3AC6870C" w:rsidR="00BF34A3" w:rsidRPr="002D2253" w:rsidRDefault="00BF34A3" w:rsidP="00BF34A3">
            <w:pPr>
              <w:spacing w:line="240" w:lineRule="auto"/>
              <w:jc w:val="right"/>
              <w:rPr>
                <w:rFonts w:cs="Arial"/>
                <w:sz w:val="18"/>
                <w:szCs w:val="18"/>
                <w:lang w:eastAsia="en-AU"/>
              </w:rPr>
            </w:pPr>
            <w:r>
              <w:rPr>
                <w:rFonts w:cs="Arial"/>
                <w:sz w:val="18"/>
                <w:szCs w:val="18"/>
              </w:rPr>
              <w:t>38%</w:t>
            </w:r>
          </w:p>
        </w:tc>
        <w:tc>
          <w:tcPr>
            <w:tcW w:w="992" w:type="dxa"/>
            <w:tcBorders>
              <w:top w:val="single" w:sz="4" w:space="0" w:color="auto"/>
              <w:left w:val="single" w:sz="4" w:space="0" w:color="auto"/>
              <w:bottom w:val="single" w:sz="4" w:space="0" w:color="auto"/>
              <w:right w:val="single" w:sz="4" w:space="0" w:color="auto"/>
            </w:tcBorders>
            <w:vAlign w:val="center"/>
          </w:tcPr>
          <w:p w14:paraId="7F7C0BF6" w14:textId="19BC4686" w:rsidR="00BF34A3" w:rsidRPr="002D2253" w:rsidRDefault="00BF34A3" w:rsidP="00BF34A3">
            <w:pPr>
              <w:spacing w:line="240" w:lineRule="auto"/>
              <w:jc w:val="right"/>
              <w:rPr>
                <w:rFonts w:cs="Arial"/>
                <w:sz w:val="18"/>
                <w:szCs w:val="18"/>
                <w:lang w:eastAsia="en-AU"/>
              </w:rPr>
            </w:pPr>
            <w:r>
              <w:rPr>
                <w:rFonts w:cs="Arial"/>
                <w:sz w:val="18"/>
                <w:szCs w:val="18"/>
              </w:rPr>
              <w:t>40%</w:t>
            </w:r>
          </w:p>
        </w:tc>
      </w:tr>
      <w:tr w:rsidR="0080444C" w:rsidRPr="00504360" w14:paraId="000DC7AD" w14:textId="3667ABB8" w:rsidTr="0080444C">
        <w:trPr>
          <w:trHeight w:val="152"/>
        </w:trPr>
        <w:tc>
          <w:tcPr>
            <w:tcW w:w="7405" w:type="dxa"/>
            <w:tcBorders>
              <w:top w:val="nil"/>
              <w:left w:val="single" w:sz="4" w:space="0" w:color="auto"/>
              <w:bottom w:val="single" w:sz="4" w:space="0" w:color="auto"/>
              <w:right w:val="single" w:sz="4" w:space="0" w:color="auto"/>
            </w:tcBorders>
            <w:shd w:val="clear" w:color="auto" w:fill="auto"/>
            <w:vAlign w:val="center"/>
          </w:tcPr>
          <w:p w14:paraId="7D6B840B" w14:textId="77777777" w:rsidR="0080444C" w:rsidRPr="00504360" w:rsidRDefault="0080444C" w:rsidP="0080444C">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0107BD2" w14:textId="6D3797B8" w:rsidR="0080444C" w:rsidRPr="00733DE0" w:rsidRDefault="0080444C" w:rsidP="0080444C">
            <w:pPr>
              <w:spacing w:line="240" w:lineRule="auto"/>
              <w:jc w:val="right"/>
              <w:rPr>
                <w:rFonts w:cs="Arial"/>
                <w:sz w:val="18"/>
                <w:szCs w:val="18"/>
                <w:lang w:eastAsia="en-AU"/>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41EB3D4F" w14:textId="515AB64D" w:rsidR="0080444C" w:rsidRPr="00733DE0" w:rsidRDefault="0080444C" w:rsidP="0080444C">
            <w:pPr>
              <w:spacing w:line="240" w:lineRule="auto"/>
              <w:jc w:val="right"/>
              <w:rPr>
                <w:rFonts w:cs="Arial"/>
                <w:sz w:val="18"/>
                <w:szCs w:val="18"/>
                <w:lang w:eastAsia="en-AU"/>
              </w:rPr>
            </w:pPr>
          </w:p>
        </w:tc>
      </w:tr>
      <w:tr w:rsidR="0080444C" w:rsidRPr="00504360" w14:paraId="242866B2" w14:textId="4CD35DA5" w:rsidTr="008044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31F76B6" w14:textId="6FFCCD1B" w:rsidR="0080444C" w:rsidRPr="00504360" w:rsidRDefault="0080444C" w:rsidP="0080444C">
            <w:pPr>
              <w:spacing w:line="240" w:lineRule="auto"/>
              <w:rPr>
                <w:rFonts w:cs="Arial"/>
                <w:b/>
                <w:sz w:val="18"/>
                <w:szCs w:val="18"/>
                <w:lang w:eastAsia="en-AU"/>
              </w:rPr>
            </w:pPr>
            <w:r w:rsidRPr="00504360">
              <w:rPr>
                <w:rFonts w:cs="Arial"/>
                <w:b/>
                <w:sz w:val="18"/>
                <w:szCs w:val="18"/>
                <w:lang w:eastAsia="en-AU"/>
              </w:rPr>
              <w:t xml:space="preserve">Conference outcomes </w:t>
            </w:r>
          </w:p>
        </w:tc>
        <w:tc>
          <w:tcPr>
            <w:tcW w:w="992" w:type="dxa"/>
            <w:tcBorders>
              <w:top w:val="single" w:sz="4" w:space="0" w:color="auto"/>
              <w:left w:val="single" w:sz="4" w:space="0" w:color="auto"/>
              <w:bottom w:val="single" w:sz="4" w:space="0" w:color="auto"/>
              <w:right w:val="single" w:sz="4" w:space="0" w:color="auto"/>
            </w:tcBorders>
            <w:vAlign w:val="center"/>
          </w:tcPr>
          <w:p w14:paraId="26CFF1EF" w14:textId="08C46F2C" w:rsidR="0080444C" w:rsidRPr="00733DE0" w:rsidRDefault="0080444C" w:rsidP="0080444C">
            <w:pPr>
              <w:spacing w:line="240" w:lineRule="auto"/>
              <w:jc w:val="right"/>
              <w:rPr>
                <w:rFonts w:cs="Arial"/>
                <w:sz w:val="18"/>
                <w:szCs w:val="18"/>
                <w:lang w:eastAsia="en-AU"/>
              </w:rPr>
            </w:pPr>
            <w:r>
              <w:rPr>
                <w:rFonts w:cs="Arial"/>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tcPr>
          <w:p w14:paraId="0B35147E" w14:textId="336AE495" w:rsidR="0080444C" w:rsidRPr="00733DE0" w:rsidRDefault="0080444C" w:rsidP="0080444C">
            <w:pPr>
              <w:spacing w:line="240" w:lineRule="auto"/>
              <w:jc w:val="right"/>
              <w:rPr>
                <w:rFonts w:cs="Arial"/>
                <w:sz w:val="18"/>
                <w:szCs w:val="18"/>
                <w:lang w:eastAsia="en-AU"/>
              </w:rPr>
            </w:pPr>
          </w:p>
        </w:tc>
      </w:tr>
      <w:tr w:rsidR="00BF34A3" w:rsidRPr="00504360" w14:paraId="5D7BAD0E" w14:textId="4CD5AF9A" w:rsidTr="008044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9792EEC" w14:textId="2B628293" w:rsidR="00BF34A3" w:rsidRPr="00504360" w:rsidRDefault="00BF34A3" w:rsidP="00BF34A3">
            <w:pPr>
              <w:spacing w:line="240" w:lineRule="auto"/>
              <w:rPr>
                <w:rFonts w:cs="Arial"/>
                <w:sz w:val="18"/>
                <w:szCs w:val="18"/>
                <w:lang w:eastAsia="en-AU"/>
              </w:rPr>
            </w:pPr>
            <w:r w:rsidRPr="00504360">
              <w:rPr>
                <w:rFonts w:cs="Arial"/>
                <w:sz w:val="18"/>
                <w:szCs w:val="18"/>
              </w:rPr>
              <w:t>Agreements to attend community support services</w:t>
            </w:r>
          </w:p>
        </w:tc>
        <w:tc>
          <w:tcPr>
            <w:tcW w:w="992" w:type="dxa"/>
            <w:tcBorders>
              <w:top w:val="single" w:sz="4" w:space="0" w:color="auto"/>
              <w:left w:val="single" w:sz="4" w:space="0" w:color="auto"/>
              <w:bottom w:val="single" w:sz="4" w:space="0" w:color="auto"/>
              <w:right w:val="single" w:sz="4" w:space="0" w:color="auto"/>
            </w:tcBorders>
            <w:vAlign w:val="center"/>
          </w:tcPr>
          <w:p w14:paraId="01C5ABFF" w14:textId="72E9B23D" w:rsidR="00BF34A3" w:rsidRPr="002D2253" w:rsidRDefault="00BF34A3" w:rsidP="00BF34A3">
            <w:pPr>
              <w:spacing w:line="240" w:lineRule="auto"/>
              <w:jc w:val="right"/>
              <w:rPr>
                <w:rFonts w:cs="Arial"/>
                <w:sz w:val="18"/>
                <w:szCs w:val="18"/>
              </w:rPr>
            </w:pPr>
            <w:r>
              <w:rPr>
                <w:rFonts w:cs="Arial"/>
                <w:sz w:val="18"/>
                <w:szCs w:val="18"/>
              </w:rPr>
              <w:t>51</w:t>
            </w:r>
          </w:p>
        </w:tc>
        <w:tc>
          <w:tcPr>
            <w:tcW w:w="992" w:type="dxa"/>
            <w:tcBorders>
              <w:top w:val="single" w:sz="4" w:space="0" w:color="auto"/>
              <w:left w:val="single" w:sz="4" w:space="0" w:color="auto"/>
              <w:bottom w:val="single" w:sz="4" w:space="0" w:color="auto"/>
              <w:right w:val="single" w:sz="4" w:space="0" w:color="auto"/>
            </w:tcBorders>
            <w:vAlign w:val="center"/>
          </w:tcPr>
          <w:p w14:paraId="0FE4697E" w14:textId="2A6EFB30" w:rsidR="00BF34A3" w:rsidRPr="002D2253" w:rsidRDefault="00BF34A3" w:rsidP="00BF34A3">
            <w:pPr>
              <w:spacing w:line="240" w:lineRule="auto"/>
              <w:jc w:val="right"/>
              <w:rPr>
                <w:rFonts w:cs="Arial"/>
                <w:sz w:val="18"/>
                <w:szCs w:val="18"/>
              </w:rPr>
            </w:pPr>
            <w:r>
              <w:rPr>
                <w:rFonts w:cs="Arial"/>
                <w:sz w:val="18"/>
                <w:szCs w:val="18"/>
              </w:rPr>
              <w:t>52</w:t>
            </w:r>
          </w:p>
        </w:tc>
      </w:tr>
      <w:tr w:rsidR="00BF34A3" w:rsidRPr="00504360" w14:paraId="2EEF3859" w14:textId="75AF960C" w:rsidTr="008044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6CAAE493" w14:textId="19D8D91D" w:rsidR="00BF34A3" w:rsidRPr="00504360" w:rsidRDefault="00BF34A3" w:rsidP="00BF34A3">
            <w:pPr>
              <w:spacing w:line="240" w:lineRule="auto"/>
              <w:rPr>
                <w:rFonts w:cs="Arial"/>
                <w:sz w:val="18"/>
                <w:szCs w:val="18"/>
                <w:lang w:eastAsia="en-AU"/>
              </w:rPr>
            </w:pPr>
            <w:r w:rsidRPr="00504360">
              <w:rPr>
                <w:rFonts w:cs="Arial"/>
                <w:sz w:val="18"/>
                <w:szCs w:val="18"/>
              </w:rPr>
              <w:t>Orders made to attend community support services</w:t>
            </w:r>
          </w:p>
        </w:tc>
        <w:tc>
          <w:tcPr>
            <w:tcW w:w="992" w:type="dxa"/>
            <w:tcBorders>
              <w:top w:val="single" w:sz="4" w:space="0" w:color="auto"/>
              <w:left w:val="single" w:sz="4" w:space="0" w:color="auto"/>
              <w:bottom w:val="single" w:sz="4" w:space="0" w:color="auto"/>
              <w:right w:val="single" w:sz="4" w:space="0" w:color="auto"/>
            </w:tcBorders>
            <w:vAlign w:val="center"/>
          </w:tcPr>
          <w:p w14:paraId="717CA933" w14:textId="0A67C467" w:rsidR="00BF34A3" w:rsidRPr="002D2253" w:rsidRDefault="00BF34A3" w:rsidP="00BF34A3">
            <w:pPr>
              <w:spacing w:line="240" w:lineRule="auto"/>
              <w:jc w:val="right"/>
              <w:rPr>
                <w:rFonts w:cs="Arial"/>
                <w:sz w:val="18"/>
                <w:szCs w:val="18"/>
              </w:rPr>
            </w:pPr>
            <w:r>
              <w:rPr>
                <w:rFonts w:cs="Arial"/>
                <w:sz w:val="18"/>
                <w:szCs w:val="18"/>
              </w:rPr>
              <w:t>41</w:t>
            </w:r>
          </w:p>
        </w:tc>
        <w:tc>
          <w:tcPr>
            <w:tcW w:w="992" w:type="dxa"/>
            <w:tcBorders>
              <w:top w:val="single" w:sz="4" w:space="0" w:color="auto"/>
              <w:left w:val="single" w:sz="4" w:space="0" w:color="auto"/>
              <w:bottom w:val="single" w:sz="4" w:space="0" w:color="auto"/>
              <w:right w:val="single" w:sz="4" w:space="0" w:color="auto"/>
            </w:tcBorders>
            <w:vAlign w:val="center"/>
          </w:tcPr>
          <w:p w14:paraId="189FF9E4" w14:textId="7EA7334E" w:rsidR="00BF34A3" w:rsidRPr="002D2253" w:rsidRDefault="00BF34A3" w:rsidP="00BF34A3">
            <w:pPr>
              <w:spacing w:line="240" w:lineRule="auto"/>
              <w:jc w:val="right"/>
              <w:rPr>
                <w:rFonts w:cs="Arial"/>
                <w:sz w:val="18"/>
                <w:szCs w:val="18"/>
              </w:rPr>
            </w:pPr>
            <w:r>
              <w:rPr>
                <w:rFonts w:cs="Arial"/>
                <w:sz w:val="18"/>
                <w:szCs w:val="18"/>
              </w:rPr>
              <w:t>22</w:t>
            </w:r>
          </w:p>
        </w:tc>
      </w:tr>
      <w:tr w:rsidR="00BF34A3" w:rsidRPr="00504360" w14:paraId="6ABD7603" w14:textId="13965160" w:rsidTr="008044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A8B33" w14:textId="46622F3D" w:rsidR="00BF34A3" w:rsidRPr="00504360" w:rsidRDefault="00BF34A3" w:rsidP="00BF34A3">
            <w:pPr>
              <w:spacing w:line="240" w:lineRule="auto"/>
              <w:rPr>
                <w:rFonts w:cs="Arial"/>
                <w:sz w:val="18"/>
                <w:szCs w:val="18"/>
                <w:lang w:eastAsia="en-AU"/>
              </w:rPr>
            </w:pPr>
            <w:r>
              <w:rPr>
                <w:rFonts w:cs="Arial"/>
                <w:sz w:val="18"/>
                <w:szCs w:val="18"/>
                <w:lang w:eastAsia="en-AU"/>
              </w:rPr>
              <w:t>Referrals</w:t>
            </w:r>
            <w:r w:rsidRPr="00504360">
              <w:rPr>
                <w:rFonts w:cs="Arial"/>
                <w:sz w:val="18"/>
                <w:szCs w:val="18"/>
                <w:lang w:eastAsia="en-AU"/>
              </w:rPr>
              <w:t xml:space="preserve"> to service providers</w:t>
            </w:r>
            <w:r>
              <w:rPr>
                <w:rFonts w:cs="Arial"/>
                <w:sz w:val="18"/>
                <w:szCs w:val="18"/>
                <w:lang w:eastAsia="en-AU"/>
              </w:rPr>
              <w:t xml:space="preserve"> from Family Responsibilities Agreements and Family Responsibilities Orders</w:t>
            </w:r>
            <w:r w:rsidRPr="00504360">
              <w:rPr>
                <w:rStyle w:val="FootnoteReference"/>
                <w:sz w:val="18"/>
                <w:szCs w:val="18"/>
                <w:lang w:eastAsia="en-AU"/>
              </w:rPr>
              <w:footnoteReference w:id="4"/>
            </w:r>
          </w:p>
        </w:tc>
        <w:tc>
          <w:tcPr>
            <w:tcW w:w="992" w:type="dxa"/>
            <w:tcBorders>
              <w:top w:val="single" w:sz="4" w:space="0" w:color="auto"/>
              <w:left w:val="single" w:sz="4" w:space="0" w:color="auto"/>
              <w:bottom w:val="single" w:sz="4" w:space="0" w:color="auto"/>
              <w:right w:val="single" w:sz="4" w:space="0" w:color="auto"/>
            </w:tcBorders>
            <w:vAlign w:val="center"/>
          </w:tcPr>
          <w:p w14:paraId="3DAE90C8" w14:textId="49E648CF" w:rsidR="00BF34A3" w:rsidRPr="002D2253" w:rsidRDefault="00BF34A3" w:rsidP="00BF34A3">
            <w:pPr>
              <w:spacing w:line="240" w:lineRule="auto"/>
              <w:jc w:val="right"/>
              <w:rPr>
                <w:rFonts w:cs="Arial"/>
                <w:sz w:val="18"/>
                <w:szCs w:val="18"/>
              </w:rPr>
            </w:pPr>
            <w:r>
              <w:rPr>
                <w:rFonts w:cs="Arial"/>
                <w:sz w:val="18"/>
                <w:szCs w:val="18"/>
              </w:rPr>
              <w:t>113</w:t>
            </w:r>
          </w:p>
        </w:tc>
        <w:tc>
          <w:tcPr>
            <w:tcW w:w="992" w:type="dxa"/>
            <w:tcBorders>
              <w:top w:val="single" w:sz="4" w:space="0" w:color="auto"/>
              <w:left w:val="single" w:sz="4" w:space="0" w:color="auto"/>
              <w:bottom w:val="single" w:sz="4" w:space="0" w:color="auto"/>
              <w:right w:val="single" w:sz="4" w:space="0" w:color="auto"/>
            </w:tcBorders>
            <w:vAlign w:val="center"/>
          </w:tcPr>
          <w:p w14:paraId="28406079" w14:textId="6F68337D" w:rsidR="00BF34A3" w:rsidRPr="002D2253" w:rsidRDefault="00BF34A3" w:rsidP="00BF34A3">
            <w:pPr>
              <w:spacing w:line="240" w:lineRule="auto"/>
              <w:jc w:val="right"/>
              <w:rPr>
                <w:rFonts w:cs="Arial"/>
                <w:sz w:val="18"/>
                <w:szCs w:val="18"/>
              </w:rPr>
            </w:pPr>
            <w:r>
              <w:rPr>
                <w:rFonts w:cs="Arial"/>
                <w:sz w:val="18"/>
                <w:szCs w:val="18"/>
              </w:rPr>
              <w:t>92</w:t>
            </w:r>
          </w:p>
        </w:tc>
      </w:tr>
      <w:tr w:rsidR="00BF34A3" w:rsidRPr="00504360" w14:paraId="2709F335" w14:textId="427DEB93" w:rsidTr="008044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25C9370F" w14:textId="6A13D77F" w:rsidR="00BF34A3" w:rsidRDefault="00BF34A3" w:rsidP="00BF34A3">
            <w:pPr>
              <w:spacing w:line="240" w:lineRule="auto"/>
              <w:rPr>
                <w:rFonts w:cs="Arial"/>
                <w:sz w:val="18"/>
                <w:szCs w:val="18"/>
                <w:lang w:eastAsia="en-AU"/>
              </w:rPr>
            </w:pPr>
            <w:r w:rsidRPr="002D2253">
              <w:rPr>
                <w:rFonts w:cs="Arial"/>
                <w:sz w:val="18"/>
                <w:szCs w:val="18"/>
                <w:lang w:eastAsia="en-AU"/>
              </w:rPr>
              <w:t>Agreements for Conditional Income Management (CIM)</w:t>
            </w:r>
          </w:p>
        </w:tc>
        <w:tc>
          <w:tcPr>
            <w:tcW w:w="992" w:type="dxa"/>
            <w:tcBorders>
              <w:top w:val="single" w:sz="4" w:space="0" w:color="auto"/>
              <w:left w:val="single" w:sz="4" w:space="0" w:color="auto"/>
              <w:bottom w:val="single" w:sz="4" w:space="0" w:color="auto"/>
              <w:right w:val="single" w:sz="4" w:space="0" w:color="auto"/>
            </w:tcBorders>
            <w:vAlign w:val="center"/>
          </w:tcPr>
          <w:p w14:paraId="14DFC0CD" w14:textId="2283F92E" w:rsidR="00BF34A3" w:rsidRPr="002D2253" w:rsidRDefault="00BF34A3" w:rsidP="00BF34A3">
            <w:pPr>
              <w:spacing w:line="240" w:lineRule="auto"/>
              <w:jc w:val="right"/>
              <w:rPr>
                <w:rFonts w:cs="Arial"/>
                <w:sz w:val="18"/>
                <w:szCs w:val="18"/>
              </w:rPr>
            </w:pPr>
            <w:r>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694F6CB3" w14:textId="0B8C41DE" w:rsidR="00BF34A3" w:rsidRPr="002D2253" w:rsidRDefault="00BF34A3" w:rsidP="00BF34A3">
            <w:pPr>
              <w:spacing w:line="240" w:lineRule="auto"/>
              <w:jc w:val="right"/>
              <w:rPr>
                <w:rFonts w:cs="Arial"/>
                <w:sz w:val="18"/>
                <w:szCs w:val="18"/>
              </w:rPr>
            </w:pPr>
            <w:r>
              <w:rPr>
                <w:rFonts w:cs="Arial"/>
                <w:sz w:val="18"/>
                <w:szCs w:val="18"/>
              </w:rPr>
              <w:t>0</w:t>
            </w:r>
          </w:p>
        </w:tc>
      </w:tr>
      <w:tr w:rsidR="00BF34A3" w:rsidRPr="00504360" w14:paraId="72AB99E7" w14:textId="255912A1" w:rsidTr="008044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CFFF173" w14:textId="2C481091" w:rsidR="00BF34A3" w:rsidRPr="00504360" w:rsidRDefault="00BF34A3" w:rsidP="00BF34A3">
            <w:pPr>
              <w:spacing w:line="240" w:lineRule="auto"/>
              <w:rPr>
                <w:rFonts w:cs="Arial"/>
                <w:sz w:val="18"/>
                <w:szCs w:val="18"/>
                <w:lang w:eastAsia="en-AU"/>
              </w:rPr>
            </w:pPr>
            <w:r w:rsidRPr="00504360">
              <w:rPr>
                <w:rFonts w:cs="Arial"/>
                <w:sz w:val="18"/>
                <w:szCs w:val="18"/>
              </w:rPr>
              <w:t>Orders made for CIM</w:t>
            </w:r>
          </w:p>
        </w:tc>
        <w:tc>
          <w:tcPr>
            <w:tcW w:w="992" w:type="dxa"/>
            <w:tcBorders>
              <w:top w:val="single" w:sz="4" w:space="0" w:color="auto"/>
              <w:left w:val="single" w:sz="4" w:space="0" w:color="auto"/>
              <w:bottom w:val="single" w:sz="4" w:space="0" w:color="auto"/>
              <w:right w:val="single" w:sz="4" w:space="0" w:color="auto"/>
            </w:tcBorders>
            <w:vAlign w:val="center"/>
          </w:tcPr>
          <w:p w14:paraId="416C0DC2" w14:textId="3BFB143B" w:rsidR="00BF34A3" w:rsidRPr="002D2253" w:rsidRDefault="00BF34A3" w:rsidP="00BF34A3">
            <w:pPr>
              <w:spacing w:line="240" w:lineRule="auto"/>
              <w:jc w:val="right"/>
              <w:rPr>
                <w:rFonts w:cs="Arial"/>
                <w:sz w:val="18"/>
                <w:szCs w:val="18"/>
              </w:rPr>
            </w:pPr>
            <w:r>
              <w:rPr>
                <w:rFonts w:cs="Arial"/>
                <w:sz w:val="18"/>
                <w:szCs w:val="18"/>
              </w:rPr>
              <w:t>17</w:t>
            </w:r>
          </w:p>
        </w:tc>
        <w:tc>
          <w:tcPr>
            <w:tcW w:w="992" w:type="dxa"/>
            <w:tcBorders>
              <w:top w:val="single" w:sz="4" w:space="0" w:color="auto"/>
              <w:left w:val="single" w:sz="4" w:space="0" w:color="auto"/>
              <w:bottom w:val="single" w:sz="4" w:space="0" w:color="auto"/>
              <w:right w:val="single" w:sz="4" w:space="0" w:color="auto"/>
            </w:tcBorders>
            <w:vAlign w:val="center"/>
          </w:tcPr>
          <w:p w14:paraId="43519C0A" w14:textId="1EC79414" w:rsidR="00BF34A3" w:rsidRPr="002D2253" w:rsidRDefault="00BF34A3" w:rsidP="00BF34A3">
            <w:pPr>
              <w:spacing w:line="240" w:lineRule="auto"/>
              <w:jc w:val="right"/>
              <w:rPr>
                <w:rFonts w:cs="Arial"/>
                <w:sz w:val="18"/>
                <w:szCs w:val="18"/>
              </w:rPr>
            </w:pPr>
            <w:r>
              <w:rPr>
                <w:rFonts w:cs="Arial"/>
                <w:sz w:val="18"/>
                <w:szCs w:val="18"/>
              </w:rPr>
              <w:t>13</w:t>
            </w:r>
          </w:p>
        </w:tc>
      </w:tr>
    </w:tbl>
    <w:p w14:paraId="2FD0CBCB" w14:textId="5E5C658B" w:rsidR="000114A6" w:rsidRDefault="000114A6"/>
    <w:p w14:paraId="19B06170" w14:textId="77777777" w:rsidR="000114A6" w:rsidRDefault="000114A6">
      <w:pPr>
        <w:spacing w:line="240" w:lineRule="auto"/>
      </w:pPr>
      <w:r>
        <w:br w:type="page"/>
      </w:r>
    </w:p>
    <w:tbl>
      <w:tblPr>
        <w:tblW w:w="9389" w:type="dxa"/>
        <w:tblInd w:w="103" w:type="dxa"/>
        <w:tblLook w:val="04A0" w:firstRow="1" w:lastRow="0" w:firstColumn="1" w:lastColumn="0" w:noHBand="0" w:noVBand="1"/>
      </w:tblPr>
      <w:tblGrid>
        <w:gridCol w:w="7405"/>
        <w:gridCol w:w="992"/>
        <w:gridCol w:w="992"/>
      </w:tblGrid>
      <w:tr w:rsidR="0080444C" w:rsidRPr="00504360" w14:paraId="1D148075" w14:textId="68C32405" w:rsidTr="0080444C">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920CEF9" w14:textId="22CFF7FC" w:rsidR="0080444C" w:rsidRPr="0041058E" w:rsidRDefault="0080444C" w:rsidP="0080444C">
            <w:pPr>
              <w:spacing w:line="240" w:lineRule="auto"/>
              <w:rPr>
                <w:rFonts w:cs="Arial"/>
                <w:b/>
                <w:sz w:val="18"/>
                <w:szCs w:val="18"/>
                <w:lang w:eastAsia="en-AU"/>
              </w:rPr>
            </w:pPr>
            <w:r>
              <w:rPr>
                <w:rFonts w:cs="Arial"/>
                <w:b/>
                <w:sz w:val="18"/>
                <w:szCs w:val="18"/>
                <w:lang w:eastAsia="en-AU"/>
              </w:rPr>
              <w:lastRenderedPageBreak/>
              <w:t>Domestic Violence statistical information as a subset from the total number of conferences conducted, referrals made and CIMs put in place</w:t>
            </w:r>
          </w:p>
        </w:tc>
        <w:tc>
          <w:tcPr>
            <w:tcW w:w="992" w:type="dxa"/>
            <w:tcBorders>
              <w:top w:val="single" w:sz="4" w:space="0" w:color="auto"/>
              <w:left w:val="single" w:sz="4" w:space="0" w:color="auto"/>
              <w:bottom w:val="single" w:sz="4" w:space="0" w:color="auto"/>
              <w:right w:val="single" w:sz="4" w:space="0" w:color="auto"/>
            </w:tcBorders>
          </w:tcPr>
          <w:p w14:paraId="6B2A6D6D" w14:textId="3D6035DF" w:rsidR="0080444C" w:rsidRPr="00504360" w:rsidRDefault="0080444C" w:rsidP="0080444C">
            <w:pPr>
              <w:spacing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60</w:t>
            </w:r>
          </w:p>
        </w:tc>
        <w:tc>
          <w:tcPr>
            <w:tcW w:w="992" w:type="dxa"/>
            <w:tcBorders>
              <w:top w:val="single" w:sz="4" w:space="0" w:color="auto"/>
              <w:left w:val="single" w:sz="4" w:space="0" w:color="auto"/>
              <w:bottom w:val="single" w:sz="4" w:space="0" w:color="auto"/>
              <w:right w:val="single" w:sz="4" w:space="0" w:color="auto"/>
            </w:tcBorders>
          </w:tcPr>
          <w:p w14:paraId="6439EBB6" w14:textId="1970DA05" w:rsidR="0080444C" w:rsidRPr="00504360" w:rsidRDefault="00BF34A3" w:rsidP="0080444C">
            <w:pPr>
              <w:spacing w:line="240" w:lineRule="auto"/>
              <w:jc w:val="right"/>
              <w:rPr>
                <w:rFonts w:cs="Arial"/>
                <w:b/>
                <w:bCs/>
                <w:sz w:val="18"/>
                <w:szCs w:val="18"/>
                <w:lang w:eastAsia="en-AU"/>
              </w:rPr>
            </w:pPr>
            <w:r>
              <w:rPr>
                <w:rFonts w:cs="Arial"/>
                <w:b/>
                <w:bCs/>
                <w:sz w:val="18"/>
                <w:szCs w:val="18"/>
                <w:lang w:eastAsia="en-AU"/>
              </w:rPr>
              <w:t>Qtr 61</w:t>
            </w:r>
          </w:p>
        </w:tc>
      </w:tr>
      <w:tr w:rsidR="00BF34A3" w:rsidRPr="00504360" w14:paraId="4E8132BF" w14:textId="2688CA50" w:rsidTr="00E250E2">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3CB70D17" w14:textId="45EDC03D" w:rsidR="00BF34A3" w:rsidRPr="00561C6C" w:rsidRDefault="00BF34A3" w:rsidP="00BF34A3">
            <w:pPr>
              <w:spacing w:line="240" w:lineRule="auto"/>
              <w:rPr>
                <w:rFonts w:cs="Arial"/>
                <w:sz w:val="18"/>
                <w:szCs w:val="18"/>
              </w:rPr>
            </w:pPr>
            <w:r w:rsidRPr="00561C6C">
              <w:rPr>
                <w:rFonts w:cs="Arial"/>
                <w:sz w:val="18"/>
                <w:szCs w:val="18"/>
              </w:rPr>
              <w:t xml:space="preserve">Conferences for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m</w:t>
            </w:r>
            <w:r w:rsidRPr="00561C6C">
              <w:rPr>
                <w:rFonts w:cs="Arial"/>
                <w:sz w:val="18"/>
                <w:szCs w:val="18"/>
              </w:rPr>
              <w:t>atters</w:t>
            </w:r>
          </w:p>
        </w:tc>
        <w:tc>
          <w:tcPr>
            <w:tcW w:w="992" w:type="dxa"/>
            <w:tcBorders>
              <w:top w:val="single" w:sz="4" w:space="0" w:color="auto"/>
              <w:left w:val="single" w:sz="4" w:space="0" w:color="auto"/>
              <w:bottom w:val="single" w:sz="4" w:space="0" w:color="auto"/>
              <w:right w:val="single" w:sz="4" w:space="0" w:color="auto"/>
            </w:tcBorders>
            <w:vAlign w:val="center"/>
          </w:tcPr>
          <w:p w14:paraId="14C4D3A4" w14:textId="5068D1FC" w:rsidR="00BF34A3" w:rsidRPr="00561C6C" w:rsidRDefault="00BF34A3" w:rsidP="00BF34A3">
            <w:pPr>
              <w:spacing w:line="240" w:lineRule="auto"/>
              <w:jc w:val="right"/>
              <w:rPr>
                <w:rFonts w:cs="Arial"/>
                <w:sz w:val="18"/>
                <w:szCs w:val="18"/>
                <w:lang w:eastAsia="en-AU"/>
              </w:rPr>
            </w:pPr>
            <w:r>
              <w:rPr>
                <w:rFonts w:cs="Arial"/>
                <w:sz w:val="18"/>
                <w:szCs w:val="18"/>
              </w:rPr>
              <w:t>61</w:t>
            </w:r>
          </w:p>
        </w:tc>
        <w:tc>
          <w:tcPr>
            <w:tcW w:w="992" w:type="dxa"/>
            <w:tcBorders>
              <w:top w:val="single" w:sz="4" w:space="0" w:color="auto"/>
              <w:left w:val="single" w:sz="4" w:space="0" w:color="auto"/>
              <w:bottom w:val="single" w:sz="4" w:space="0" w:color="auto"/>
              <w:right w:val="single" w:sz="4" w:space="0" w:color="auto"/>
            </w:tcBorders>
            <w:vAlign w:val="center"/>
          </w:tcPr>
          <w:p w14:paraId="5C2D3CC5" w14:textId="6F677817" w:rsidR="00BF34A3" w:rsidRPr="00561C6C" w:rsidRDefault="00BF34A3" w:rsidP="00BF34A3">
            <w:pPr>
              <w:spacing w:line="240" w:lineRule="auto"/>
              <w:jc w:val="right"/>
              <w:rPr>
                <w:rFonts w:cs="Arial"/>
                <w:sz w:val="18"/>
                <w:szCs w:val="18"/>
                <w:lang w:eastAsia="en-AU"/>
              </w:rPr>
            </w:pPr>
            <w:r>
              <w:rPr>
                <w:rFonts w:cs="Arial"/>
                <w:sz w:val="18"/>
                <w:szCs w:val="18"/>
              </w:rPr>
              <w:t>59</w:t>
            </w:r>
          </w:p>
        </w:tc>
      </w:tr>
      <w:tr w:rsidR="00BF34A3" w:rsidRPr="00504360" w14:paraId="62188BF7" w14:textId="1362D70E" w:rsidTr="00E250E2">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2FACBC9B" w14:textId="66E2C5B0" w:rsidR="00BF34A3" w:rsidRPr="00561C6C" w:rsidRDefault="00BF34A3" w:rsidP="00BF34A3">
            <w:pPr>
              <w:spacing w:line="240" w:lineRule="auto"/>
              <w:rPr>
                <w:rFonts w:cs="Arial"/>
                <w:sz w:val="18"/>
                <w:szCs w:val="18"/>
              </w:rPr>
            </w:pPr>
            <w:r w:rsidRPr="00561C6C">
              <w:rPr>
                <w:rFonts w:cs="Arial"/>
                <w:sz w:val="18"/>
                <w:szCs w:val="18"/>
              </w:rPr>
              <w:t xml:space="preserve">Referrals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92" w:type="dxa"/>
            <w:tcBorders>
              <w:top w:val="single" w:sz="4" w:space="0" w:color="auto"/>
              <w:left w:val="single" w:sz="4" w:space="0" w:color="auto"/>
              <w:bottom w:val="single" w:sz="4" w:space="0" w:color="auto"/>
              <w:right w:val="single" w:sz="4" w:space="0" w:color="auto"/>
            </w:tcBorders>
            <w:vAlign w:val="center"/>
          </w:tcPr>
          <w:p w14:paraId="0B7180E4" w14:textId="604C9387" w:rsidR="00BF34A3" w:rsidRPr="00561C6C" w:rsidRDefault="00BF34A3" w:rsidP="00BF34A3">
            <w:pPr>
              <w:spacing w:line="240" w:lineRule="auto"/>
              <w:jc w:val="right"/>
              <w:rPr>
                <w:rFonts w:cs="Arial"/>
                <w:sz w:val="18"/>
                <w:szCs w:val="18"/>
                <w:lang w:eastAsia="en-AU"/>
              </w:rPr>
            </w:pPr>
            <w:r>
              <w:rPr>
                <w:rFonts w:cs="Arial"/>
                <w:sz w:val="18"/>
                <w:szCs w:val="18"/>
              </w:rPr>
              <w:t>30</w:t>
            </w:r>
          </w:p>
        </w:tc>
        <w:tc>
          <w:tcPr>
            <w:tcW w:w="992" w:type="dxa"/>
            <w:tcBorders>
              <w:top w:val="single" w:sz="4" w:space="0" w:color="auto"/>
              <w:left w:val="single" w:sz="4" w:space="0" w:color="auto"/>
              <w:bottom w:val="single" w:sz="4" w:space="0" w:color="auto"/>
              <w:right w:val="single" w:sz="4" w:space="0" w:color="auto"/>
            </w:tcBorders>
            <w:vAlign w:val="center"/>
          </w:tcPr>
          <w:p w14:paraId="08F9615B" w14:textId="6F76F0EE" w:rsidR="00BF34A3" w:rsidRPr="00561C6C" w:rsidRDefault="00BF34A3" w:rsidP="00BF34A3">
            <w:pPr>
              <w:spacing w:line="240" w:lineRule="auto"/>
              <w:jc w:val="right"/>
              <w:rPr>
                <w:rFonts w:cs="Arial"/>
                <w:sz w:val="18"/>
                <w:szCs w:val="18"/>
                <w:lang w:eastAsia="en-AU"/>
              </w:rPr>
            </w:pPr>
            <w:r>
              <w:rPr>
                <w:rFonts w:cs="Arial"/>
                <w:sz w:val="18"/>
                <w:szCs w:val="18"/>
              </w:rPr>
              <w:t>34</w:t>
            </w:r>
          </w:p>
        </w:tc>
      </w:tr>
      <w:tr w:rsidR="00BF34A3" w:rsidRPr="00504360" w14:paraId="4805DD92" w14:textId="3E7ED5B2" w:rsidTr="00E250E2">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07EAB58" w14:textId="47455EF2" w:rsidR="00BF34A3" w:rsidRPr="00561C6C" w:rsidRDefault="00BF34A3" w:rsidP="00BF34A3">
            <w:pPr>
              <w:spacing w:line="240" w:lineRule="auto"/>
              <w:rPr>
                <w:rFonts w:cs="Arial"/>
                <w:sz w:val="18"/>
                <w:szCs w:val="18"/>
              </w:rPr>
            </w:pPr>
            <w:r w:rsidRPr="00561C6C">
              <w:rPr>
                <w:rFonts w:cs="Arial"/>
                <w:sz w:val="18"/>
                <w:szCs w:val="18"/>
              </w:rPr>
              <w:t>CIM</w:t>
            </w:r>
            <w:r>
              <w:rPr>
                <w:rFonts w:cs="Arial"/>
                <w:sz w:val="18"/>
                <w:szCs w:val="18"/>
              </w:rPr>
              <w:t>’s</w:t>
            </w:r>
            <w:r w:rsidRPr="00561C6C">
              <w:rPr>
                <w:rFonts w:cs="Arial"/>
                <w:sz w:val="18"/>
                <w:szCs w:val="18"/>
              </w:rPr>
              <w:t xml:space="preserve">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92" w:type="dxa"/>
            <w:tcBorders>
              <w:top w:val="single" w:sz="4" w:space="0" w:color="auto"/>
              <w:left w:val="single" w:sz="4" w:space="0" w:color="auto"/>
              <w:bottom w:val="single" w:sz="4" w:space="0" w:color="auto"/>
              <w:right w:val="single" w:sz="4" w:space="0" w:color="auto"/>
            </w:tcBorders>
            <w:vAlign w:val="center"/>
          </w:tcPr>
          <w:p w14:paraId="383D81AC" w14:textId="74C479DB" w:rsidR="00BF34A3" w:rsidRPr="00561C6C" w:rsidRDefault="00BF34A3" w:rsidP="00BF34A3">
            <w:pPr>
              <w:spacing w:line="240" w:lineRule="auto"/>
              <w:jc w:val="right"/>
              <w:rPr>
                <w:rFonts w:cs="Arial"/>
                <w:sz w:val="18"/>
                <w:szCs w:val="18"/>
                <w:lang w:eastAsia="en-AU"/>
              </w:rPr>
            </w:pPr>
            <w:r>
              <w:rPr>
                <w:rFonts w:cs="Arial"/>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327B8764" w14:textId="4105CDED" w:rsidR="00BF34A3" w:rsidRPr="00561C6C" w:rsidRDefault="00BF34A3" w:rsidP="00BF34A3">
            <w:pPr>
              <w:spacing w:line="240" w:lineRule="auto"/>
              <w:jc w:val="right"/>
              <w:rPr>
                <w:rFonts w:cs="Arial"/>
                <w:sz w:val="18"/>
                <w:szCs w:val="18"/>
                <w:lang w:eastAsia="en-AU"/>
              </w:rPr>
            </w:pPr>
            <w:r>
              <w:rPr>
                <w:rFonts w:cs="Arial"/>
                <w:sz w:val="18"/>
                <w:szCs w:val="18"/>
              </w:rPr>
              <w:t>3</w:t>
            </w:r>
          </w:p>
        </w:tc>
      </w:tr>
      <w:tr w:rsidR="0080444C" w:rsidRPr="00504360" w14:paraId="7C69E8E6" w14:textId="78105C31" w:rsidTr="00E250E2">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46760947" w14:textId="77777777" w:rsidR="0080444C" w:rsidRPr="0041058E" w:rsidRDefault="0080444C" w:rsidP="0080444C">
            <w:pPr>
              <w:spacing w:line="240" w:lineRule="auto"/>
              <w:rPr>
                <w:rFonts w:cs="Arial"/>
                <w:b/>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1D35D10" w14:textId="01642AB9" w:rsidR="0080444C" w:rsidRPr="00504360" w:rsidRDefault="0080444C" w:rsidP="0080444C">
            <w:pPr>
              <w:spacing w:line="240" w:lineRule="auto"/>
              <w:jc w:val="right"/>
              <w:rPr>
                <w:rFonts w:cs="Arial"/>
                <w:b/>
                <w:bCs/>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F50DE39" w14:textId="2AA472C3" w:rsidR="0080444C" w:rsidRPr="00504360" w:rsidRDefault="0080444C" w:rsidP="0080444C">
            <w:pPr>
              <w:spacing w:line="240" w:lineRule="auto"/>
              <w:jc w:val="right"/>
              <w:rPr>
                <w:rFonts w:cs="Arial"/>
                <w:b/>
                <w:bCs/>
                <w:sz w:val="18"/>
                <w:szCs w:val="18"/>
                <w:lang w:eastAsia="en-AU"/>
              </w:rPr>
            </w:pPr>
          </w:p>
        </w:tc>
      </w:tr>
      <w:tr w:rsidR="0080444C" w:rsidRPr="00504360" w14:paraId="4B8C25F7" w14:textId="74C93AB9" w:rsidTr="00E250E2">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1A6A2591" w14:textId="2CA17AC3" w:rsidR="0080444C" w:rsidRPr="00504360" w:rsidRDefault="0080444C" w:rsidP="0080444C">
            <w:pPr>
              <w:spacing w:line="240" w:lineRule="auto"/>
              <w:rPr>
                <w:rFonts w:cs="Arial"/>
                <w:sz w:val="18"/>
                <w:szCs w:val="18"/>
              </w:rPr>
            </w:pPr>
            <w:r w:rsidRPr="0041058E">
              <w:rPr>
                <w:rFonts w:cs="Arial"/>
                <w:b/>
                <w:sz w:val="18"/>
                <w:szCs w:val="18"/>
                <w:lang w:eastAsia="en-AU"/>
              </w:rPr>
              <w:t xml:space="preserve">Amend/end </w:t>
            </w:r>
            <w:r>
              <w:rPr>
                <w:rFonts w:cs="Arial"/>
                <w:b/>
                <w:sz w:val="18"/>
                <w:szCs w:val="18"/>
                <w:lang w:eastAsia="en-AU"/>
              </w:rPr>
              <w:t>decisions</w:t>
            </w:r>
            <w:r w:rsidRPr="0041058E">
              <w:rPr>
                <w:rFonts w:cs="Arial"/>
                <w:b/>
                <w:sz w:val="18"/>
                <w:szCs w:val="18"/>
                <w:lang w:eastAsia="en-AU"/>
              </w:rPr>
              <w:t xml:space="preserve">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vAlign w:val="center"/>
          </w:tcPr>
          <w:p w14:paraId="0BAD59A3" w14:textId="7AC7BB6B" w:rsidR="0080444C" w:rsidRPr="00733DE0" w:rsidRDefault="0080444C" w:rsidP="0080444C">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A5F7805" w14:textId="24A5E776" w:rsidR="0080444C" w:rsidRPr="00733DE0" w:rsidRDefault="0080444C" w:rsidP="0080444C">
            <w:pPr>
              <w:spacing w:line="240" w:lineRule="auto"/>
              <w:jc w:val="right"/>
              <w:rPr>
                <w:rFonts w:cs="Arial"/>
                <w:sz w:val="18"/>
                <w:szCs w:val="18"/>
              </w:rPr>
            </w:pPr>
          </w:p>
        </w:tc>
      </w:tr>
      <w:tr w:rsidR="00BF34A3" w:rsidRPr="00504360" w14:paraId="74C95294" w14:textId="0B50F6EE" w:rsidTr="00E250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115F8D9F" w14:textId="1122760F" w:rsidR="00BF34A3" w:rsidRDefault="00BF34A3" w:rsidP="00BF34A3">
            <w:pPr>
              <w:spacing w:line="240" w:lineRule="auto"/>
              <w:rPr>
                <w:rFonts w:cs="Arial"/>
                <w:sz w:val="18"/>
                <w:szCs w:val="18"/>
              </w:rPr>
            </w:pPr>
            <w:r>
              <w:rPr>
                <w:rFonts w:cs="Arial"/>
                <w:sz w:val="18"/>
                <w:szCs w:val="18"/>
              </w:rPr>
              <w:t xml:space="preserve">Number of amend/end decisions for </w:t>
            </w:r>
            <w:r w:rsidRPr="00AC019C">
              <w:rPr>
                <w:rFonts w:cs="Arial"/>
                <w:bCs/>
                <w:sz w:val="18"/>
                <w:szCs w:val="18"/>
                <w:lang w:eastAsia="en-AU"/>
              </w:rPr>
              <w:t>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vAlign w:val="center"/>
          </w:tcPr>
          <w:p w14:paraId="08368D56" w14:textId="4BA9F6B8" w:rsidR="00BF34A3" w:rsidRDefault="00BF34A3" w:rsidP="00BF34A3">
            <w:pPr>
              <w:spacing w:line="240" w:lineRule="auto"/>
              <w:jc w:val="right"/>
              <w:rPr>
                <w:rFonts w:cs="Arial"/>
                <w:sz w:val="18"/>
                <w:szCs w:val="18"/>
              </w:rPr>
            </w:pPr>
            <w:r>
              <w:rPr>
                <w:rFonts w:cs="Arial"/>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45053B86" w14:textId="6DA6EEFD" w:rsidR="00BF34A3" w:rsidRDefault="00BF34A3" w:rsidP="00BF34A3">
            <w:pPr>
              <w:spacing w:line="240" w:lineRule="auto"/>
              <w:jc w:val="right"/>
              <w:rPr>
                <w:rFonts w:cs="Arial"/>
                <w:sz w:val="18"/>
                <w:szCs w:val="18"/>
              </w:rPr>
            </w:pPr>
            <w:r>
              <w:rPr>
                <w:rFonts w:cs="Arial"/>
                <w:sz w:val="18"/>
                <w:szCs w:val="18"/>
              </w:rPr>
              <w:t>1</w:t>
            </w:r>
          </w:p>
        </w:tc>
      </w:tr>
      <w:tr w:rsidR="00BF34A3" w:rsidRPr="00504360" w14:paraId="0F426218" w14:textId="5994F0D1" w:rsidTr="00E250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776A41F8" w14:textId="70D6C571" w:rsidR="00BF34A3" w:rsidRPr="00504360" w:rsidRDefault="00BF34A3" w:rsidP="00BF34A3">
            <w:pPr>
              <w:spacing w:line="240" w:lineRule="auto"/>
              <w:rPr>
                <w:rFonts w:cs="Arial"/>
                <w:sz w:val="18"/>
                <w:szCs w:val="18"/>
              </w:rPr>
            </w:pPr>
            <w:r>
              <w:rPr>
                <w:rFonts w:cs="Arial"/>
                <w:sz w:val="18"/>
                <w:szCs w:val="18"/>
              </w:rPr>
              <w:t>Accepted</w:t>
            </w:r>
          </w:p>
        </w:tc>
        <w:tc>
          <w:tcPr>
            <w:tcW w:w="992" w:type="dxa"/>
            <w:tcBorders>
              <w:top w:val="single" w:sz="4" w:space="0" w:color="auto"/>
              <w:left w:val="single" w:sz="4" w:space="0" w:color="auto"/>
              <w:bottom w:val="single" w:sz="4" w:space="0" w:color="auto"/>
              <w:right w:val="single" w:sz="4" w:space="0" w:color="auto"/>
            </w:tcBorders>
            <w:vAlign w:val="center"/>
          </w:tcPr>
          <w:p w14:paraId="2D7D024F" w14:textId="526AC703" w:rsidR="00BF34A3" w:rsidRPr="002D2253" w:rsidRDefault="00BF34A3" w:rsidP="00BF34A3">
            <w:pPr>
              <w:spacing w:line="240" w:lineRule="auto"/>
              <w:jc w:val="right"/>
              <w:rPr>
                <w:rFonts w:cs="Arial"/>
                <w:sz w:val="18"/>
                <w:szCs w:val="18"/>
              </w:rPr>
            </w:pPr>
            <w:r>
              <w:rPr>
                <w:rFonts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tcPr>
          <w:p w14:paraId="23870E75" w14:textId="382B454A" w:rsidR="00BF34A3" w:rsidRPr="002D2253" w:rsidRDefault="00BF34A3" w:rsidP="00BF34A3">
            <w:pPr>
              <w:spacing w:line="240" w:lineRule="auto"/>
              <w:jc w:val="right"/>
              <w:rPr>
                <w:rFonts w:cs="Arial"/>
                <w:sz w:val="18"/>
                <w:szCs w:val="18"/>
              </w:rPr>
            </w:pPr>
            <w:r>
              <w:rPr>
                <w:rFonts w:cs="Arial"/>
                <w:sz w:val="18"/>
                <w:szCs w:val="18"/>
              </w:rPr>
              <w:t>100%</w:t>
            </w:r>
          </w:p>
        </w:tc>
      </w:tr>
      <w:tr w:rsidR="00BF34A3" w:rsidRPr="00504360" w14:paraId="09FA7CF5" w14:textId="67DCF027" w:rsidTr="00E250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4A8C91F8" w14:textId="6F6CD011" w:rsidR="00BF34A3" w:rsidRPr="00504360" w:rsidRDefault="00BF34A3" w:rsidP="00BF34A3">
            <w:pPr>
              <w:spacing w:line="240" w:lineRule="auto"/>
              <w:rPr>
                <w:rFonts w:cs="Arial"/>
                <w:sz w:val="18"/>
                <w:szCs w:val="18"/>
              </w:rPr>
            </w:pPr>
            <w:r>
              <w:rPr>
                <w:rFonts w:cs="Arial"/>
                <w:sz w:val="18"/>
                <w:szCs w:val="18"/>
              </w:rPr>
              <w:t>Refused</w:t>
            </w:r>
          </w:p>
        </w:tc>
        <w:tc>
          <w:tcPr>
            <w:tcW w:w="992" w:type="dxa"/>
            <w:tcBorders>
              <w:top w:val="single" w:sz="4" w:space="0" w:color="auto"/>
              <w:left w:val="single" w:sz="4" w:space="0" w:color="auto"/>
              <w:bottom w:val="single" w:sz="4" w:space="0" w:color="auto"/>
              <w:right w:val="single" w:sz="4" w:space="0" w:color="auto"/>
            </w:tcBorders>
            <w:vAlign w:val="center"/>
          </w:tcPr>
          <w:p w14:paraId="193C6B73" w14:textId="65619395" w:rsidR="00BF34A3" w:rsidRPr="002D2253" w:rsidRDefault="00BF34A3" w:rsidP="00BF34A3">
            <w:pPr>
              <w:spacing w:line="240" w:lineRule="auto"/>
              <w:jc w:val="right"/>
              <w:rPr>
                <w:rFonts w:cs="Arial"/>
                <w:sz w:val="18"/>
                <w:szCs w:val="18"/>
              </w:rPr>
            </w:pPr>
            <w:r>
              <w:rPr>
                <w:rFonts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tcPr>
          <w:p w14:paraId="6883239F" w14:textId="6F0DF894" w:rsidR="00BF34A3" w:rsidRPr="002D2253" w:rsidRDefault="00BF34A3" w:rsidP="00BF34A3">
            <w:pPr>
              <w:spacing w:line="240" w:lineRule="auto"/>
              <w:jc w:val="right"/>
              <w:rPr>
                <w:rFonts w:cs="Arial"/>
                <w:sz w:val="18"/>
                <w:szCs w:val="18"/>
              </w:rPr>
            </w:pPr>
            <w:r>
              <w:rPr>
                <w:rFonts w:cs="Arial"/>
                <w:sz w:val="18"/>
                <w:szCs w:val="18"/>
              </w:rPr>
              <w:t>0%</w:t>
            </w:r>
          </w:p>
        </w:tc>
      </w:tr>
      <w:tr w:rsidR="0080444C" w:rsidRPr="00D157E2" w14:paraId="714A0FD4" w14:textId="72EEC13F" w:rsidTr="00E250E2">
        <w:trPr>
          <w:trHeight w:val="70"/>
        </w:trPr>
        <w:tc>
          <w:tcPr>
            <w:tcW w:w="7405" w:type="dxa"/>
            <w:tcBorders>
              <w:top w:val="nil"/>
              <w:left w:val="single" w:sz="4" w:space="0" w:color="auto"/>
              <w:bottom w:val="single" w:sz="4" w:space="0" w:color="auto"/>
              <w:right w:val="single" w:sz="4" w:space="0" w:color="auto"/>
            </w:tcBorders>
            <w:shd w:val="clear" w:color="auto" w:fill="auto"/>
            <w:vAlign w:val="center"/>
          </w:tcPr>
          <w:p w14:paraId="52645BC2" w14:textId="77777777" w:rsidR="0080444C" w:rsidRPr="00504360" w:rsidRDefault="0080444C" w:rsidP="0080444C">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A323F02" w14:textId="072D0C77" w:rsidR="0080444C" w:rsidRPr="002D2253" w:rsidRDefault="0080444C" w:rsidP="00BF34A3">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220A9BB" w14:textId="3DF2E46F" w:rsidR="0080444C" w:rsidRPr="002D2253" w:rsidRDefault="0080444C" w:rsidP="00BF34A3">
            <w:pPr>
              <w:spacing w:line="240" w:lineRule="auto"/>
              <w:jc w:val="right"/>
              <w:rPr>
                <w:rFonts w:cs="Arial"/>
                <w:sz w:val="18"/>
                <w:szCs w:val="18"/>
                <w:lang w:eastAsia="en-AU"/>
              </w:rPr>
            </w:pPr>
          </w:p>
        </w:tc>
      </w:tr>
      <w:tr w:rsidR="0080444C" w:rsidRPr="00504360" w14:paraId="148E7FF6" w14:textId="468E49EF" w:rsidTr="00E250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6401685D" w14:textId="77779C44" w:rsidR="0080444C" w:rsidRPr="0041058E" w:rsidRDefault="0080444C" w:rsidP="0080444C">
            <w:pPr>
              <w:spacing w:line="240" w:lineRule="auto"/>
              <w:rPr>
                <w:rFonts w:cs="Arial"/>
                <w:b/>
                <w:bCs/>
                <w:sz w:val="18"/>
                <w:szCs w:val="18"/>
                <w:lang w:eastAsia="en-AU"/>
              </w:rPr>
            </w:pPr>
            <w:r w:rsidRPr="0041058E">
              <w:rPr>
                <w:rFonts w:cs="Arial"/>
                <w:b/>
                <w:bCs/>
                <w:sz w:val="18"/>
                <w:szCs w:val="18"/>
                <w:lang w:eastAsia="en-AU"/>
              </w:rPr>
              <w:t xml:space="preserve">Voluntary </w:t>
            </w:r>
            <w:r>
              <w:rPr>
                <w:rFonts w:cs="Arial"/>
                <w:b/>
                <w:bCs/>
                <w:sz w:val="18"/>
                <w:szCs w:val="18"/>
                <w:lang w:eastAsia="en-AU"/>
              </w:rPr>
              <w:t>A</w:t>
            </w:r>
            <w:r w:rsidRPr="0041058E">
              <w:rPr>
                <w:rFonts w:cs="Arial"/>
                <w:b/>
                <w:bCs/>
                <w:sz w:val="18"/>
                <w:szCs w:val="18"/>
                <w:lang w:eastAsia="en-AU"/>
              </w:rPr>
              <w:t>greements</w:t>
            </w:r>
          </w:p>
        </w:tc>
        <w:tc>
          <w:tcPr>
            <w:tcW w:w="992" w:type="dxa"/>
            <w:tcBorders>
              <w:top w:val="single" w:sz="4" w:space="0" w:color="auto"/>
              <w:left w:val="single" w:sz="4" w:space="0" w:color="auto"/>
              <w:bottom w:val="single" w:sz="4" w:space="0" w:color="auto"/>
              <w:right w:val="single" w:sz="4" w:space="0" w:color="auto"/>
            </w:tcBorders>
            <w:vAlign w:val="center"/>
          </w:tcPr>
          <w:p w14:paraId="18DDC6E4" w14:textId="6643DE56" w:rsidR="0080444C" w:rsidRPr="002D2253" w:rsidRDefault="0080444C" w:rsidP="0080444C">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6CEBF53" w14:textId="64A7EA8B" w:rsidR="0080444C" w:rsidRPr="002D2253" w:rsidRDefault="0080444C" w:rsidP="0080444C">
            <w:pPr>
              <w:spacing w:line="240" w:lineRule="auto"/>
              <w:jc w:val="right"/>
              <w:rPr>
                <w:rFonts w:cs="Arial"/>
                <w:sz w:val="18"/>
                <w:szCs w:val="18"/>
              </w:rPr>
            </w:pPr>
          </w:p>
        </w:tc>
      </w:tr>
      <w:tr w:rsidR="00BF34A3" w:rsidRPr="00504360" w14:paraId="71FF2B6B" w14:textId="1ED4711D" w:rsidTr="00E250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3EE9FCD2" w14:textId="20DC563B" w:rsidR="00BF34A3" w:rsidRPr="00B50123" w:rsidRDefault="00BF34A3" w:rsidP="00BF34A3">
            <w:pPr>
              <w:spacing w:line="240" w:lineRule="auto"/>
              <w:rPr>
                <w:rFonts w:cs="Arial"/>
                <w:sz w:val="18"/>
                <w:szCs w:val="18"/>
                <w:lang w:eastAsia="en-AU"/>
              </w:rPr>
            </w:pPr>
            <w:bookmarkStart w:id="1" w:name="_Hlk104985503"/>
            <w:r w:rsidRPr="0003283F">
              <w:rPr>
                <w:rFonts w:cs="Arial"/>
                <w:sz w:val="18"/>
                <w:szCs w:val="18"/>
              </w:rPr>
              <w:t>Voluntary agreements for a voluntary case plan</w:t>
            </w:r>
            <w:r>
              <w:rPr>
                <w:rFonts w:cs="Arial"/>
                <w:sz w:val="18"/>
                <w:szCs w:val="18"/>
              </w:rPr>
              <w:t xml:space="preserve"> (VCP)</w:t>
            </w:r>
          </w:p>
        </w:tc>
        <w:tc>
          <w:tcPr>
            <w:tcW w:w="992" w:type="dxa"/>
            <w:tcBorders>
              <w:top w:val="single" w:sz="4" w:space="0" w:color="auto"/>
              <w:left w:val="single" w:sz="4" w:space="0" w:color="auto"/>
              <w:bottom w:val="single" w:sz="4" w:space="0" w:color="auto"/>
              <w:right w:val="single" w:sz="4" w:space="0" w:color="auto"/>
            </w:tcBorders>
            <w:vAlign w:val="center"/>
          </w:tcPr>
          <w:p w14:paraId="6E07FF7C" w14:textId="7C9D900B" w:rsidR="00BF34A3" w:rsidRPr="002D2253" w:rsidRDefault="00BF34A3" w:rsidP="00BF34A3">
            <w:pPr>
              <w:spacing w:line="240" w:lineRule="auto"/>
              <w:jc w:val="right"/>
              <w:rPr>
                <w:rFonts w:cs="Arial"/>
                <w:sz w:val="18"/>
                <w:szCs w:val="18"/>
              </w:rPr>
            </w:pPr>
            <w:r>
              <w:rPr>
                <w:rFonts w:cs="Arial"/>
                <w:sz w:val="18"/>
                <w:szCs w:val="18"/>
              </w:rPr>
              <w:t>15</w:t>
            </w:r>
          </w:p>
        </w:tc>
        <w:tc>
          <w:tcPr>
            <w:tcW w:w="992" w:type="dxa"/>
            <w:tcBorders>
              <w:top w:val="single" w:sz="4" w:space="0" w:color="auto"/>
              <w:left w:val="single" w:sz="4" w:space="0" w:color="auto"/>
              <w:bottom w:val="single" w:sz="4" w:space="0" w:color="auto"/>
              <w:right w:val="single" w:sz="4" w:space="0" w:color="auto"/>
            </w:tcBorders>
            <w:vAlign w:val="center"/>
          </w:tcPr>
          <w:p w14:paraId="357F5C28" w14:textId="0F1B4BEA" w:rsidR="00BF34A3" w:rsidRPr="002D2253" w:rsidRDefault="00BF34A3" w:rsidP="00BF34A3">
            <w:pPr>
              <w:spacing w:line="240" w:lineRule="auto"/>
              <w:jc w:val="right"/>
              <w:rPr>
                <w:rFonts w:cs="Arial"/>
                <w:sz w:val="18"/>
                <w:szCs w:val="18"/>
              </w:rPr>
            </w:pPr>
            <w:r>
              <w:rPr>
                <w:rFonts w:cs="Arial"/>
                <w:sz w:val="18"/>
                <w:szCs w:val="18"/>
              </w:rPr>
              <w:t>2</w:t>
            </w:r>
            <w:r w:rsidR="00480EC5">
              <w:rPr>
                <w:rFonts w:cs="Arial"/>
                <w:sz w:val="18"/>
                <w:szCs w:val="18"/>
              </w:rPr>
              <w:t>7</w:t>
            </w:r>
          </w:p>
        </w:tc>
      </w:tr>
      <w:bookmarkEnd w:id="1"/>
      <w:tr w:rsidR="00BF34A3" w:rsidRPr="00504360" w14:paraId="16DEBA40" w14:textId="52D03ECE" w:rsidTr="00E250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556783DE" w14:textId="553E3B1A" w:rsidR="00BF34A3" w:rsidRPr="00B50123" w:rsidRDefault="00BF34A3" w:rsidP="00BF34A3">
            <w:pPr>
              <w:spacing w:line="240" w:lineRule="auto"/>
              <w:rPr>
                <w:rFonts w:cs="Arial"/>
                <w:sz w:val="18"/>
                <w:szCs w:val="18"/>
                <w:lang w:eastAsia="en-AU"/>
              </w:rPr>
            </w:pPr>
            <w:r w:rsidRPr="0003283F">
              <w:rPr>
                <w:rFonts w:cs="Arial"/>
                <w:sz w:val="18"/>
                <w:szCs w:val="18"/>
              </w:rPr>
              <w:t>Voluntary referrals to service providers</w:t>
            </w:r>
          </w:p>
        </w:tc>
        <w:tc>
          <w:tcPr>
            <w:tcW w:w="992" w:type="dxa"/>
            <w:tcBorders>
              <w:top w:val="single" w:sz="4" w:space="0" w:color="auto"/>
              <w:left w:val="single" w:sz="4" w:space="0" w:color="auto"/>
              <w:bottom w:val="single" w:sz="4" w:space="0" w:color="auto"/>
              <w:right w:val="single" w:sz="4" w:space="0" w:color="auto"/>
            </w:tcBorders>
            <w:vAlign w:val="center"/>
          </w:tcPr>
          <w:p w14:paraId="3021190D" w14:textId="43ABE45E" w:rsidR="00BF34A3" w:rsidRPr="002D2253" w:rsidRDefault="00BF34A3" w:rsidP="00BF34A3">
            <w:pPr>
              <w:spacing w:line="240" w:lineRule="auto"/>
              <w:jc w:val="right"/>
              <w:rPr>
                <w:rFonts w:cs="Arial"/>
                <w:sz w:val="18"/>
                <w:szCs w:val="18"/>
              </w:rPr>
            </w:pPr>
            <w:r>
              <w:rPr>
                <w:rFonts w:cs="Arial"/>
                <w:sz w:val="18"/>
                <w:szCs w:val="18"/>
              </w:rPr>
              <w:t>17</w:t>
            </w:r>
          </w:p>
        </w:tc>
        <w:tc>
          <w:tcPr>
            <w:tcW w:w="992" w:type="dxa"/>
            <w:tcBorders>
              <w:top w:val="single" w:sz="4" w:space="0" w:color="auto"/>
              <w:left w:val="single" w:sz="4" w:space="0" w:color="auto"/>
              <w:bottom w:val="single" w:sz="4" w:space="0" w:color="auto"/>
              <w:right w:val="single" w:sz="4" w:space="0" w:color="auto"/>
            </w:tcBorders>
            <w:vAlign w:val="center"/>
          </w:tcPr>
          <w:p w14:paraId="0E1A0281" w14:textId="0CBD026F" w:rsidR="00BF34A3" w:rsidRPr="002D2253" w:rsidRDefault="00BF34A3" w:rsidP="00BF34A3">
            <w:pPr>
              <w:spacing w:line="240" w:lineRule="auto"/>
              <w:jc w:val="right"/>
              <w:rPr>
                <w:rFonts w:cs="Arial"/>
                <w:sz w:val="18"/>
                <w:szCs w:val="18"/>
              </w:rPr>
            </w:pPr>
            <w:r>
              <w:rPr>
                <w:rFonts w:cs="Arial"/>
                <w:sz w:val="18"/>
                <w:szCs w:val="18"/>
              </w:rPr>
              <w:t>2</w:t>
            </w:r>
            <w:r w:rsidR="00480EC5">
              <w:rPr>
                <w:rFonts w:cs="Arial"/>
                <w:sz w:val="18"/>
                <w:szCs w:val="18"/>
              </w:rPr>
              <w:t>7</w:t>
            </w:r>
          </w:p>
        </w:tc>
      </w:tr>
      <w:tr w:rsidR="00BF34A3" w:rsidRPr="00504360" w14:paraId="7EB54823" w14:textId="7DA4D8BF" w:rsidTr="00E250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02AF3396" w14:textId="1B7D3A96" w:rsidR="00BF34A3" w:rsidRPr="00B50123" w:rsidRDefault="00BF34A3" w:rsidP="00BF34A3">
            <w:pPr>
              <w:spacing w:line="240" w:lineRule="auto"/>
              <w:rPr>
                <w:rFonts w:cs="Arial"/>
                <w:sz w:val="18"/>
                <w:szCs w:val="18"/>
                <w:lang w:eastAsia="en-AU"/>
              </w:rPr>
            </w:pPr>
            <w:r w:rsidRPr="0003283F">
              <w:rPr>
                <w:rFonts w:cs="Arial"/>
                <w:sz w:val="18"/>
                <w:szCs w:val="18"/>
              </w:rPr>
              <w:t xml:space="preserve">Voluntary agreements for </w:t>
            </w:r>
            <w:r>
              <w:rPr>
                <w:rFonts w:cs="Arial"/>
                <w:sz w:val="18"/>
                <w:szCs w:val="18"/>
              </w:rPr>
              <w:t>Voluntary Income Management (</w:t>
            </w:r>
            <w:r w:rsidRPr="0003283F">
              <w:rPr>
                <w:rFonts w:cs="Arial"/>
                <w:sz w:val="18"/>
                <w:szCs w:val="18"/>
              </w:rPr>
              <w:t>VIM</w:t>
            </w:r>
            <w:r>
              <w:rPr>
                <w:rFonts w:cs="Arial"/>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03197908" w14:textId="3464B30E" w:rsidR="00BF34A3" w:rsidRPr="002D2253" w:rsidRDefault="00BF34A3" w:rsidP="00BF34A3">
            <w:pPr>
              <w:spacing w:line="240" w:lineRule="auto"/>
              <w:jc w:val="right"/>
              <w:rPr>
                <w:rFonts w:cs="Arial"/>
                <w:sz w:val="18"/>
                <w:szCs w:val="18"/>
              </w:rPr>
            </w:pPr>
            <w:r>
              <w:rPr>
                <w:rFonts w:cs="Arial"/>
                <w:sz w:val="18"/>
                <w:szCs w:val="18"/>
              </w:rPr>
              <w:t>24</w:t>
            </w:r>
          </w:p>
        </w:tc>
        <w:tc>
          <w:tcPr>
            <w:tcW w:w="992" w:type="dxa"/>
            <w:tcBorders>
              <w:top w:val="single" w:sz="4" w:space="0" w:color="auto"/>
              <w:left w:val="single" w:sz="4" w:space="0" w:color="auto"/>
              <w:bottom w:val="single" w:sz="4" w:space="0" w:color="auto"/>
              <w:right w:val="single" w:sz="4" w:space="0" w:color="auto"/>
            </w:tcBorders>
            <w:vAlign w:val="center"/>
          </w:tcPr>
          <w:p w14:paraId="301708B1" w14:textId="6EC85348" w:rsidR="00BF34A3" w:rsidRPr="002D2253" w:rsidRDefault="00BF34A3" w:rsidP="00BF34A3">
            <w:pPr>
              <w:spacing w:line="240" w:lineRule="auto"/>
              <w:jc w:val="right"/>
              <w:rPr>
                <w:rFonts w:cs="Arial"/>
                <w:sz w:val="18"/>
                <w:szCs w:val="18"/>
              </w:rPr>
            </w:pPr>
            <w:r>
              <w:rPr>
                <w:rFonts w:cs="Arial"/>
                <w:sz w:val="18"/>
                <w:szCs w:val="18"/>
              </w:rPr>
              <w:t>32</w:t>
            </w:r>
          </w:p>
        </w:tc>
      </w:tr>
      <w:tr w:rsidR="0080444C" w:rsidRPr="00504360" w14:paraId="52C3F0C4" w14:textId="29FB1F6F" w:rsidTr="00E250E2">
        <w:trPr>
          <w:trHeight w:val="70"/>
        </w:trPr>
        <w:tc>
          <w:tcPr>
            <w:tcW w:w="7405" w:type="dxa"/>
            <w:tcBorders>
              <w:top w:val="nil"/>
              <w:left w:val="single" w:sz="4" w:space="0" w:color="auto"/>
              <w:bottom w:val="single" w:sz="4" w:space="0" w:color="auto"/>
              <w:right w:val="single" w:sz="4" w:space="0" w:color="auto"/>
            </w:tcBorders>
            <w:shd w:val="clear" w:color="auto" w:fill="auto"/>
            <w:vAlign w:val="center"/>
          </w:tcPr>
          <w:p w14:paraId="34797DFD" w14:textId="77777777" w:rsidR="0080444C" w:rsidRPr="00504360" w:rsidRDefault="0080444C" w:rsidP="0080444C">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2004E87" w14:textId="1C6160CB" w:rsidR="0080444C" w:rsidRPr="002D2253" w:rsidRDefault="0080444C" w:rsidP="0080444C">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E2168F3" w14:textId="0344D086" w:rsidR="0080444C" w:rsidRPr="002D2253" w:rsidRDefault="0080444C" w:rsidP="0080444C">
            <w:pPr>
              <w:spacing w:line="240" w:lineRule="auto"/>
              <w:jc w:val="right"/>
              <w:rPr>
                <w:rFonts w:cs="Arial"/>
                <w:sz w:val="18"/>
                <w:szCs w:val="18"/>
              </w:rPr>
            </w:pPr>
          </w:p>
        </w:tc>
      </w:tr>
      <w:tr w:rsidR="0080444C" w:rsidRPr="00504360" w14:paraId="6E254E7A" w14:textId="4E1ACFA6" w:rsidTr="00E250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3597A5A4" w14:textId="49EF45A9" w:rsidR="0080444C" w:rsidRPr="00E10506" w:rsidRDefault="0080444C" w:rsidP="0080444C">
            <w:pPr>
              <w:spacing w:line="240" w:lineRule="auto"/>
              <w:rPr>
                <w:rFonts w:cs="Arial"/>
                <w:b/>
                <w:bCs/>
                <w:sz w:val="18"/>
                <w:szCs w:val="18"/>
                <w:lang w:eastAsia="en-AU"/>
              </w:rPr>
            </w:pPr>
            <w:r w:rsidRPr="00E10506">
              <w:rPr>
                <w:rFonts w:cs="Arial"/>
                <w:b/>
                <w:bCs/>
                <w:sz w:val="18"/>
                <w:szCs w:val="18"/>
                <w:lang w:eastAsia="en-AU"/>
              </w:rPr>
              <w:t xml:space="preserve">Amend/end </w:t>
            </w:r>
            <w:r>
              <w:rPr>
                <w:rFonts w:cs="Arial"/>
                <w:b/>
                <w:bCs/>
                <w:sz w:val="18"/>
                <w:szCs w:val="18"/>
                <w:lang w:eastAsia="en-AU"/>
              </w:rPr>
              <w:t>decisions</w:t>
            </w:r>
            <w:r w:rsidRPr="00E10506">
              <w:rPr>
                <w:rFonts w:cs="Arial"/>
                <w:b/>
                <w:bCs/>
                <w:sz w:val="18"/>
                <w:szCs w:val="18"/>
                <w:lang w:eastAsia="en-AU"/>
              </w:rPr>
              <w:t xml:space="preserve"> for Voluntary Agreements</w:t>
            </w:r>
          </w:p>
        </w:tc>
        <w:tc>
          <w:tcPr>
            <w:tcW w:w="992" w:type="dxa"/>
            <w:tcBorders>
              <w:top w:val="single" w:sz="4" w:space="0" w:color="auto"/>
              <w:left w:val="single" w:sz="4" w:space="0" w:color="auto"/>
              <w:bottom w:val="single" w:sz="4" w:space="0" w:color="auto"/>
              <w:right w:val="single" w:sz="4" w:space="0" w:color="auto"/>
            </w:tcBorders>
            <w:vAlign w:val="center"/>
          </w:tcPr>
          <w:p w14:paraId="593D0905" w14:textId="5ECB0571" w:rsidR="0080444C" w:rsidRPr="002D2253" w:rsidRDefault="0080444C" w:rsidP="0080444C">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94C45FA" w14:textId="60D151D3" w:rsidR="0080444C" w:rsidRPr="002D2253" w:rsidRDefault="0080444C" w:rsidP="0080444C">
            <w:pPr>
              <w:spacing w:line="240" w:lineRule="auto"/>
              <w:jc w:val="right"/>
              <w:rPr>
                <w:rFonts w:cs="Arial"/>
                <w:sz w:val="18"/>
                <w:szCs w:val="18"/>
              </w:rPr>
            </w:pPr>
          </w:p>
        </w:tc>
      </w:tr>
      <w:tr w:rsidR="00BF34A3" w:rsidRPr="00504360" w14:paraId="52E0458B" w14:textId="23DD2C9A" w:rsidTr="00E250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20BF5769" w14:textId="74731ED8" w:rsidR="00BF34A3" w:rsidRDefault="00BF34A3" w:rsidP="00BF34A3">
            <w:pPr>
              <w:spacing w:line="240" w:lineRule="auto"/>
              <w:rPr>
                <w:rFonts w:cs="Arial"/>
                <w:sz w:val="18"/>
                <w:szCs w:val="18"/>
                <w:lang w:eastAsia="en-AU"/>
              </w:rPr>
            </w:pPr>
            <w:r>
              <w:rPr>
                <w:rFonts w:cs="Arial"/>
                <w:sz w:val="18"/>
                <w:szCs w:val="18"/>
                <w:lang w:eastAsia="en-AU"/>
              </w:rPr>
              <w:t>Number of amend/end decisions for Voluntary Agreements</w:t>
            </w:r>
          </w:p>
        </w:tc>
        <w:tc>
          <w:tcPr>
            <w:tcW w:w="992" w:type="dxa"/>
            <w:tcBorders>
              <w:top w:val="single" w:sz="4" w:space="0" w:color="auto"/>
              <w:left w:val="single" w:sz="4" w:space="0" w:color="auto"/>
              <w:bottom w:val="single" w:sz="4" w:space="0" w:color="auto"/>
              <w:right w:val="single" w:sz="4" w:space="0" w:color="auto"/>
            </w:tcBorders>
            <w:vAlign w:val="center"/>
          </w:tcPr>
          <w:p w14:paraId="4AB12C76" w14:textId="2E7FF25A" w:rsidR="00BF34A3" w:rsidRDefault="00BF34A3" w:rsidP="00BF34A3">
            <w:pPr>
              <w:spacing w:line="240" w:lineRule="auto"/>
              <w:jc w:val="right"/>
              <w:rPr>
                <w:rFonts w:cs="Arial"/>
                <w:sz w:val="18"/>
                <w:szCs w:val="18"/>
              </w:rPr>
            </w:pPr>
            <w:r>
              <w:rPr>
                <w:rFonts w:cs="Arial"/>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14:paraId="0FBCA3B0" w14:textId="16A56293" w:rsidR="00BF34A3" w:rsidRDefault="00BF34A3" w:rsidP="00BF34A3">
            <w:pPr>
              <w:spacing w:line="240" w:lineRule="auto"/>
              <w:jc w:val="right"/>
              <w:rPr>
                <w:rFonts w:cs="Arial"/>
                <w:sz w:val="18"/>
                <w:szCs w:val="18"/>
              </w:rPr>
            </w:pPr>
            <w:r>
              <w:rPr>
                <w:rFonts w:cs="Arial"/>
                <w:sz w:val="18"/>
                <w:szCs w:val="18"/>
              </w:rPr>
              <w:t>5</w:t>
            </w:r>
          </w:p>
        </w:tc>
      </w:tr>
      <w:tr w:rsidR="00BF34A3" w:rsidRPr="00504360" w14:paraId="53E5D51F" w14:textId="0FB53649" w:rsidTr="00E250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62B9F354" w14:textId="63E728CC" w:rsidR="00BF34A3" w:rsidRPr="00504360" w:rsidRDefault="00BF34A3" w:rsidP="00BF34A3">
            <w:pPr>
              <w:spacing w:line="240" w:lineRule="auto"/>
              <w:rPr>
                <w:rFonts w:cs="Arial"/>
                <w:sz w:val="18"/>
                <w:szCs w:val="18"/>
                <w:lang w:eastAsia="en-AU"/>
              </w:rPr>
            </w:pPr>
            <w:r>
              <w:rPr>
                <w:rFonts w:cs="Arial"/>
                <w:sz w:val="18"/>
                <w:szCs w:val="18"/>
                <w:lang w:eastAsia="en-AU"/>
              </w:rPr>
              <w:t>Accepted</w:t>
            </w:r>
          </w:p>
        </w:tc>
        <w:tc>
          <w:tcPr>
            <w:tcW w:w="992" w:type="dxa"/>
            <w:tcBorders>
              <w:top w:val="single" w:sz="4" w:space="0" w:color="auto"/>
              <w:left w:val="single" w:sz="4" w:space="0" w:color="auto"/>
              <w:bottom w:val="single" w:sz="4" w:space="0" w:color="auto"/>
              <w:right w:val="single" w:sz="4" w:space="0" w:color="auto"/>
            </w:tcBorders>
            <w:vAlign w:val="center"/>
          </w:tcPr>
          <w:p w14:paraId="468508B7" w14:textId="7D81234F" w:rsidR="00BF34A3" w:rsidRPr="002D2253" w:rsidRDefault="00BF34A3" w:rsidP="00BF34A3">
            <w:pPr>
              <w:spacing w:line="240" w:lineRule="auto"/>
              <w:jc w:val="right"/>
              <w:rPr>
                <w:rFonts w:cs="Arial"/>
                <w:sz w:val="18"/>
                <w:szCs w:val="18"/>
              </w:rPr>
            </w:pPr>
            <w:r>
              <w:rPr>
                <w:rFonts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86C7588" w14:textId="61C36835" w:rsidR="00BF34A3" w:rsidRPr="002D2253" w:rsidRDefault="00BF34A3" w:rsidP="00BF34A3">
            <w:pPr>
              <w:spacing w:line="240" w:lineRule="auto"/>
              <w:jc w:val="right"/>
              <w:rPr>
                <w:rFonts w:cs="Arial"/>
                <w:sz w:val="18"/>
                <w:szCs w:val="18"/>
              </w:rPr>
            </w:pPr>
            <w:r>
              <w:rPr>
                <w:rFonts w:cs="Arial"/>
                <w:sz w:val="18"/>
                <w:szCs w:val="18"/>
              </w:rPr>
              <w:t>100%</w:t>
            </w:r>
          </w:p>
        </w:tc>
      </w:tr>
      <w:tr w:rsidR="00BF34A3" w:rsidRPr="00504360" w14:paraId="4859A3E0" w14:textId="5D7CA12B" w:rsidTr="00E250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8DFF31E" w14:textId="2609E01B" w:rsidR="00BF34A3" w:rsidRDefault="00BF34A3" w:rsidP="00BF34A3">
            <w:pPr>
              <w:spacing w:line="240" w:lineRule="auto"/>
              <w:rPr>
                <w:rFonts w:cs="Arial"/>
                <w:sz w:val="18"/>
                <w:szCs w:val="18"/>
                <w:lang w:eastAsia="en-AU"/>
              </w:rPr>
            </w:pPr>
            <w:r>
              <w:rPr>
                <w:rFonts w:cs="Arial"/>
                <w:sz w:val="18"/>
                <w:szCs w:val="18"/>
                <w:lang w:eastAsia="en-AU"/>
              </w:rPr>
              <w:t>Refused</w:t>
            </w:r>
          </w:p>
        </w:tc>
        <w:tc>
          <w:tcPr>
            <w:tcW w:w="992" w:type="dxa"/>
            <w:tcBorders>
              <w:top w:val="single" w:sz="4" w:space="0" w:color="auto"/>
              <w:left w:val="single" w:sz="4" w:space="0" w:color="auto"/>
              <w:bottom w:val="single" w:sz="4" w:space="0" w:color="auto"/>
              <w:right w:val="single" w:sz="4" w:space="0" w:color="auto"/>
            </w:tcBorders>
            <w:vAlign w:val="center"/>
          </w:tcPr>
          <w:p w14:paraId="0148C827" w14:textId="5E348BE0" w:rsidR="00BF34A3" w:rsidRPr="002D2253" w:rsidRDefault="00BF34A3" w:rsidP="00BF34A3">
            <w:pPr>
              <w:spacing w:line="240" w:lineRule="auto"/>
              <w:jc w:val="right"/>
              <w:rPr>
                <w:rFonts w:cs="Arial"/>
                <w:sz w:val="18"/>
                <w:szCs w:val="18"/>
              </w:rPr>
            </w:pPr>
            <w:r>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10B9F0DA" w14:textId="2081AC0C" w:rsidR="00BF34A3" w:rsidRPr="002D2253" w:rsidRDefault="00BF34A3" w:rsidP="00BF34A3">
            <w:pPr>
              <w:spacing w:line="240" w:lineRule="auto"/>
              <w:jc w:val="right"/>
              <w:rPr>
                <w:rFonts w:cs="Arial"/>
                <w:sz w:val="18"/>
                <w:szCs w:val="18"/>
              </w:rPr>
            </w:pPr>
            <w:r>
              <w:rPr>
                <w:rFonts w:cs="Arial"/>
                <w:sz w:val="18"/>
                <w:szCs w:val="18"/>
              </w:rPr>
              <w:t>0%</w:t>
            </w:r>
          </w:p>
        </w:tc>
      </w:tr>
      <w:tr w:rsidR="00E250E2" w:rsidRPr="00D157E2" w14:paraId="3E643B6D" w14:textId="77777777" w:rsidTr="00E250E2">
        <w:trPr>
          <w:trHeight w:val="70"/>
        </w:trPr>
        <w:tc>
          <w:tcPr>
            <w:tcW w:w="7405" w:type="dxa"/>
            <w:tcBorders>
              <w:top w:val="nil"/>
              <w:left w:val="single" w:sz="4" w:space="0" w:color="auto"/>
              <w:bottom w:val="single" w:sz="4" w:space="0" w:color="auto"/>
              <w:right w:val="single" w:sz="4" w:space="0" w:color="auto"/>
            </w:tcBorders>
            <w:shd w:val="clear" w:color="auto" w:fill="auto"/>
            <w:vAlign w:val="center"/>
          </w:tcPr>
          <w:p w14:paraId="3CEB0120" w14:textId="77777777" w:rsidR="00E250E2" w:rsidRPr="00504360" w:rsidRDefault="00E250E2" w:rsidP="00F1690E">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E96F4AE" w14:textId="77777777" w:rsidR="00E250E2" w:rsidRPr="002D2253" w:rsidRDefault="00E250E2" w:rsidP="00F1690E">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03578B3" w14:textId="77777777" w:rsidR="00E250E2" w:rsidRPr="002D2253" w:rsidRDefault="00E250E2" w:rsidP="00F1690E">
            <w:pPr>
              <w:spacing w:line="240" w:lineRule="auto"/>
              <w:jc w:val="right"/>
              <w:rPr>
                <w:rFonts w:cs="Arial"/>
                <w:sz w:val="18"/>
                <w:szCs w:val="18"/>
                <w:lang w:eastAsia="en-AU"/>
              </w:rPr>
            </w:pPr>
          </w:p>
        </w:tc>
      </w:tr>
      <w:tr w:rsidR="00E250E2" w:rsidRPr="00504360" w14:paraId="631A24C1" w14:textId="77777777" w:rsidTr="00E250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206E5BB6" w14:textId="649C63F5" w:rsidR="00E250E2" w:rsidRPr="00E10506" w:rsidRDefault="00E250E2" w:rsidP="00F1690E">
            <w:pPr>
              <w:spacing w:line="240" w:lineRule="auto"/>
              <w:rPr>
                <w:rFonts w:cs="Arial"/>
                <w:b/>
                <w:bCs/>
                <w:sz w:val="18"/>
                <w:szCs w:val="18"/>
                <w:lang w:eastAsia="en-AU"/>
              </w:rPr>
            </w:pPr>
            <w:r>
              <w:rPr>
                <w:rFonts w:cs="Arial"/>
                <w:b/>
                <w:bCs/>
                <w:sz w:val="18"/>
                <w:szCs w:val="18"/>
                <w:lang w:eastAsia="en-AU"/>
              </w:rPr>
              <w:t>Other activity</w:t>
            </w:r>
          </w:p>
        </w:tc>
        <w:tc>
          <w:tcPr>
            <w:tcW w:w="992" w:type="dxa"/>
            <w:tcBorders>
              <w:top w:val="single" w:sz="4" w:space="0" w:color="auto"/>
              <w:left w:val="single" w:sz="4" w:space="0" w:color="auto"/>
              <w:bottom w:val="single" w:sz="4" w:space="0" w:color="auto"/>
              <w:right w:val="single" w:sz="4" w:space="0" w:color="auto"/>
            </w:tcBorders>
            <w:vAlign w:val="center"/>
          </w:tcPr>
          <w:p w14:paraId="44C115EE" w14:textId="77777777" w:rsidR="00E250E2" w:rsidRPr="002D2253" w:rsidRDefault="00E250E2" w:rsidP="00F1690E">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E7329DF" w14:textId="77777777" w:rsidR="00E250E2" w:rsidRPr="002D2253" w:rsidRDefault="00E250E2" w:rsidP="00F1690E">
            <w:pPr>
              <w:spacing w:line="240" w:lineRule="auto"/>
              <w:jc w:val="right"/>
              <w:rPr>
                <w:rFonts w:cs="Arial"/>
                <w:sz w:val="18"/>
                <w:szCs w:val="18"/>
              </w:rPr>
            </w:pPr>
          </w:p>
        </w:tc>
      </w:tr>
      <w:tr w:rsidR="0080444C" w:rsidRPr="00504360" w14:paraId="09CC1571" w14:textId="434C8567" w:rsidTr="00E250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4896858" w14:textId="4F51FBFA" w:rsidR="00E250E2" w:rsidRDefault="00E250E2" w:rsidP="0080444C">
            <w:pPr>
              <w:spacing w:line="240" w:lineRule="auto"/>
              <w:rPr>
                <w:rFonts w:cs="Arial"/>
                <w:sz w:val="18"/>
                <w:szCs w:val="18"/>
                <w:lang w:eastAsia="en-AU"/>
              </w:rPr>
            </w:pPr>
            <w:r>
              <w:rPr>
                <w:rFonts w:cs="Arial"/>
                <w:sz w:val="18"/>
                <w:szCs w:val="18"/>
                <w:lang w:eastAsia="en-AU"/>
              </w:rPr>
              <w:t>Applications to Amend or End received</w:t>
            </w:r>
          </w:p>
        </w:tc>
        <w:tc>
          <w:tcPr>
            <w:tcW w:w="992" w:type="dxa"/>
            <w:tcBorders>
              <w:top w:val="single" w:sz="4" w:space="0" w:color="auto"/>
              <w:left w:val="single" w:sz="4" w:space="0" w:color="auto"/>
              <w:bottom w:val="single" w:sz="4" w:space="0" w:color="auto"/>
              <w:right w:val="single" w:sz="4" w:space="0" w:color="auto"/>
            </w:tcBorders>
            <w:vAlign w:val="center"/>
          </w:tcPr>
          <w:p w14:paraId="43C67B7A" w14:textId="173C82CF" w:rsidR="0080444C" w:rsidRPr="002D2253" w:rsidRDefault="00E250E2" w:rsidP="0080444C">
            <w:pPr>
              <w:spacing w:line="240" w:lineRule="auto"/>
              <w:jc w:val="right"/>
              <w:rPr>
                <w:rFonts w:cs="Arial"/>
                <w:sz w:val="18"/>
                <w:szCs w:val="18"/>
              </w:rPr>
            </w:pPr>
            <w:r>
              <w:rPr>
                <w:rFonts w:cs="Arial"/>
                <w:sz w:val="18"/>
                <w:szCs w:val="18"/>
              </w:rPr>
              <w:t>7</w:t>
            </w:r>
          </w:p>
        </w:tc>
        <w:tc>
          <w:tcPr>
            <w:tcW w:w="992" w:type="dxa"/>
            <w:tcBorders>
              <w:top w:val="single" w:sz="4" w:space="0" w:color="auto"/>
              <w:left w:val="single" w:sz="4" w:space="0" w:color="auto"/>
              <w:bottom w:val="single" w:sz="4" w:space="0" w:color="auto"/>
              <w:right w:val="single" w:sz="4" w:space="0" w:color="auto"/>
            </w:tcBorders>
            <w:vAlign w:val="center"/>
          </w:tcPr>
          <w:p w14:paraId="61335837" w14:textId="5533A6EF" w:rsidR="0080444C" w:rsidRPr="002D2253" w:rsidRDefault="00E250E2" w:rsidP="0080444C">
            <w:pPr>
              <w:spacing w:line="240" w:lineRule="auto"/>
              <w:jc w:val="right"/>
              <w:rPr>
                <w:rFonts w:cs="Arial"/>
                <w:sz w:val="18"/>
                <w:szCs w:val="18"/>
              </w:rPr>
            </w:pPr>
            <w:r>
              <w:rPr>
                <w:rFonts w:cs="Arial"/>
                <w:sz w:val="18"/>
                <w:szCs w:val="18"/>
              </w:rPr>
              <w:t>6</w:t>
            </w:r>
          </w:p>
        </w:tc>
      </w:tr>
      <w:tr w:rsidR="00E250E2" w:rsidRPr="00504360" w14:paraId="51F55746" w14:textId="77777777" w:rsidTr="00E250E2">
        <w:trPr>
          <w:trHeight w:val="7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39B09AA6" w14:textId="77777777" w:rsidR="00E250E2" w:rsidRDefault="00E250E2" w:rsidP="0080444C">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7299A16" w14:textId="77777777" w:rsidR="00E250E2" w:rsidRPr="002D2253" w:rsidRDefault="00E250E2" w:rsidP="0080444C">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2091848" w14:textId="77777777" w:rsidR="00E250E2" w:rsidRPr="002D2253" w:rsidRDefault="00E250E2" w:rsidP="0080444C">
            <w:pPr>
              <w:spacing w:line="240" w:lineRule="auto"/>
              <w:jc w:val="right"/>
              <w:rPr>
                <w:rFonts w:cs="Arial"/>
                <w:sz w:val="18"/>
                <w:szCs w:val="18"/>
              </w:rPr>
            </w:pPr>
          </w:p>
        </w:tc>
      </w:tr>
      <w:tr w:rsidR="0080444C" w:rsidRPr="00504360" w14:paraId="716838D1" w14:textId="3500441A" w:rsidTr="00E250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594E536F" w14:textId="13298118" w:rsidR="0080444C" w:rsidRDefault="0080444C" w:rsidP="0080444C">
            <w:pPr>
              <w:spacing w:line="240" w:lineRule="auto"/>
              <w:rPr>
                <w:rFonts w:cs="Arial"/>
                <w:sz w:val="18"/>
                <w:szCs w:val="18"/>
                <w:lang w:eastAsia="en-AU"/>
              </w:rPr>
            </w:pPr>
            <w:r w:rsidRPr="00504360">
              <w:rPr>
                <w:rFonts w:cs="Arial"/>
                <w:b/>
                <w:sz w:val="18"/>
                <w:szCs w:val="18"/>
                <w:lang w:eastAsia="en-AU"/>
              </w:rPr>
              <w:t>Information as at the last day of the quarter</w:t>
            </w:r>
          </w:p>
        </w:tc>
        <w:tc>
          <w:tcPr>
            <w:tcW w:w="992" w:type="dxa"/>
            <w:tcBorders>
              <w:top w:val="single" w:sz="4" w:space="0" w:color="auto"/>
              <w:left w:val="single" w:sz="4" w:space="0" w:color="auto"/>
              <w:bottom w:val="single" w:sz="4" w:space="0" w:color="auto"/>
              <w:right w:val="single" w:sz="4" w:space="0" w:color="auto"/>
            </w:tcBorders>
            <w:vAlign w:val="center"/>
          </w:tcPr>
          <w:p w14:paraId="18534C3C" w14:textId="77777777" w:rsidR="0080444C" w:rsidRPr="002D2253" w:rsidRDefault="0080444C" w:rsidP="0080444C">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3C39642" w14:textId="307BCC24" w:rsidR="0080444C" w:rsidRPr="002D2253" w:rsidRDefault="0080444C" w:rsidP="0080444C">
            <w:pPr>
              <w:spacing w:line="240" w:lineRule="auto"/>
              <w:jc w:val="right"/>
              <w:rPr>
                <w:rFonts w:cs="Arial"/>
                <w:sz w:val="18"/>
                <w:szCs w:val="18"/>
              </w:rPr>
            </w:pPr>
          </w:p>
        </w:tc>
      </w:tr>
      <w:tr w:rsidR="00BF34A3" w:rsidRPr="00504360" w14:paraId="1562F8F8" w14:textId="75C2E247" w:rsidTr="00E250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DB4C6D7" w14:textId="3A4A38DB" w:rsidR="00BF34A3" w:rsidRDefault="00BF34A3" w:rsidP="00BF34A3">
            <w:pPr>
              <w:spacing w:line="240" w:lineRule="auto"/>
              <w:rPr>
                <w:rFonts w:cs="Arial"/>
                <w:sz w:val="18"/>
                <w:szCs w:val="18"/>
                <w:lang w:eastAsia="en-AU"/>
              </w:rPr>
            </w:pPr>
            <w:r w:rsidRPr="00504360">
              <w:rPr>
                <w:rFonts w:cs="Arial"/>
                <w:sz w:val="18"/>
                <w:szCs w:val="18"/>
                <w:lang w:eastAsia="en-AU"/>
              </w:rPr>
              <w:t>Number of clients case-managed through</w:t>
            </w:r>
            <w:r>
              <w:rPr>
                <w:rFonts w:cs="Arial"/>
                <w:sz w:val="18"/>
                <w:szCs w:val="18"/>
                <w:lang w:eastAsia="en-AU"/>
              </w:rPr>
              <w:t xml:space="preserve"> current non-voluntary </w:t>
            </w:r>
            <w:r w:rsidRPr="00504360">
              <w:rPr>
                <w:rFonts w:cs="Arial"/>
                <w:sz w:val="18"/>
                <w:szCs w:val="18"/>
                <w:lang w:eastAsia="en-AU"/>
              </w:rPr>
              <w:t>case plan</w:t>
            </w:r>
          </w:p>
        </w:tc>
        <w:tc>
          <w:tcPr>
            <w:tcW w:w="992" w:type="dxa"/>
            <w:tcBorders>
              <w:top w:val="single" w:sz="4" w:space="0" w:color="auto"/>
              <w:left w:val="single" w:sz="4" w:space="0" w:color="auto"/>
              <w:bottom w:val="single" w:sz="4" w:space="0" w:color="auto"/>
              <w:right w:val="single" w:sz="4" w:space="0" w:color="auto"/>
            </w:tcBorders>
            <w:vAlign w:val="center"/>
          </w:tcPr>
          <w:p w14:paraId="77D25BD0" w14:textId="166338D4" w:rsidR="00BF34A3" w:rsidRPr="002D2253" w:rsidRDefault="00BF34A3" w:rsidP="00BF34A3">
            <w:pPr>
              <w:spacing w:line="240" w:lineRule="auto"/>
              <w:jc w:val="right"/>
              <w:rPr>
                <w:rFonts w:cs="Arial"/>
                <w:sz w:val="18"/>
                <w:szCs w:val="18"/>
              </w:rPr>
            </w:pPr>
            <w:r>
              <w:rPr>
                <w:rFonts w:cs="Arial"/>
                <w:sz w:val="18"/>
                <w:szCs w:val="18"/>
              </w:rPr>
              <w:t>214</w:t>
            </w:r>
          </w:p>
        </w:tc>
        <w:tc>
          <w:tcPr>
            <w:tcW w:w="992" w:type="dxa"/>
            <w:tcBorders>
              <w:top w:val="single" w:sz="4" w:space="0" w:color="auto"/>
              <w:left w:val="single" w:sz="4" w:space="0" w:color="auto"/>
              <w:bottom w:val="single" w:sz="4" w:space="0" w:color="auto"/>
              <w:right w:val="single" w:sz="4" w:space="0" w:color="auto"/>
            </w:tcBorders>
            <w:vAlign w:val="center"/>
          </w:tcPr>
          <w:p w14:paraId="15E1E034" w14:textId="1A0D3276" w:rsidR="00BF34A3" w:rsidRPr="002D2253" w:rsidRDefault="00BF34A3" w:rsidP="00BF34A3">
            <w:pPr>
              <w:spacing w:line="240" w:lineRule="auto"/>
              <w:jc w:val="right"/>
              <w:rPr>
                <w:rFonts w:cs="Arial"/>
                <w:sz w:val="18"/>
                <w:szCs w:val="18"/>
              </w:rPr>
            </w:pPr>
            <w:r>
              <w:rPr>
                <w:rFonts w:cs="Arial"/>
                <w:sz w:val="18"/>
                <w:szCs w:val="18"/>
              </w:rPr>
              <w:t>162</w:t>
            </w:r>
          </w:p>
        </w:tc>
      </w:tr>
      <w:tr w:rsidR="00BF34A3" w:rsidRPr="00504360" w14:paraId="559E0289" w14:textId="68DBBCC3" w:rsidTr="00E250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2D7EF42B" w14:textId="675293F4" w:rsidR="00BF34A3" w:rsidRDefault="00BF34A3" w:rsidP="00BF34A3">
            <w:pPr>
              <w:spacing w:line="240" w:lineRule="auto"/>
              <w:rPr>
                <w:rFonts w:cs="Arial"/>
                <w:sz w:val="18"/>
                <w:szCs w:val="18"/>
                <w:lang w:eastAsia="en-AU"/>
              </w:rPr>
            </w:pPr>
            <w:r w:rsidRPr="00504360">
              <w:rPr>
                <w:rFonts w:cs="Arial"/>
                <w:sz w:val="18"/>
                <w:szCs w:val="18"/>
                <w:lang w:eastAsia="en-AU"/>
              </w:rPr>
              <w:t>Number of clients subject to a current CIM</w:t>
            </w:r>
          </w:p>
        </w:tc>
        <w:tc>
          <w:tcPr>
            <w:tcW w:w="992" w:type="dxa"/>
            <w:tcBorders>
              <w:top w:val="single" w:sz="4" w:space="0" w:color="auto"/>
              <w:left w:val="single" w:sz="4" w:space="0" w:color="auto"/>
              <w:bottom w:val="single" w:sz="4" w:space="0" w:color="auto"/>
              <w:right w:val="single" w:sz="4" w:space="0" w:color="auto"/>
            </w:tcBorders>
            <w:vAlign w:val="center"/>
          </w:tcPr>
          <w:p w14:paraId="4DB1313B" w14:textId="7787DB0E" w:rsidR="00BF34A3" w:rsidRPr="002D2253" w:rsidRDefault="00BF34A3" w:rsidP="00BF34A3">
            <w:pPr>
              <w:spacing w:line="240" w:lineRule="auto"/>
              <w:jc w:val="right"/>
              <w:rPr>
                <w:rFonts w:cs="Arial"/>
                <w:sz w:val="18"/>
                <w:szCs w:val="18"/>
              </w:rPr>
            </w:pPr>
            <w:r>
              <w:rPr>
                <w:rFonts w:cs="Arial"/>
                <w:sz w:val="18"/>
                <w:szCs w:val="18"/>
              </w:rPr>
              <w:t>28</w:t>
            </w:r>
          </w:p>
        </w:tc>
        <w:tc>
          <w:tcPr>
            <w:tcW w:w="992" w:type="dxa"/>
            <w:tcBorders>
              <w:top w:val="single" w:sz="4" w:space="0" w:color="auto"/>
              <w:left w:val="single" w:sz="4" w:space="0" w:color="auto"/>
              <w:bottom w:val="single" w:sz="4" w:space="0" w:color="auto"/>
              <w:right w:val="single" w:sz="4" w:space="0" w:color="auto"/>
            </w:tcBorders>
            <w:vAlign w:val="center"/>
          </w:tcPr>
          <w:p w14:paraId="49657DF5" w14:textId="07559C0B" w:rsidR="00BF34A3" w:rsidRPr="002D2253" w:rsidRDefault="00BF34A3" w:rsidP="00BF34A3">
            <w:pPr>
              <w:spacing w:line="240" w:lineRule="auto"/>
              <w:jc w:val="right"/>
              <w:rPr>
                <w:rFonts w:cs="Arial"/>
                <w:sz w:val="18"/>
                <w:szCs w:val="18"/>
              </w:rPr>
            </w:pPr>
            <w:r>
              <w:rPr>
                <w:rFonts w:cs="Arial"/>
                <w:sz w:val="18"/>
                <w:szCs w:val="18"/>
              </w:rPr>
              <w:t>32</w:t>
            </w:r>
          </w:p>
        </w:tc>
      </w:tr>
      <w:tr w:rsidR="00BF34A3" w:rsidRPr="00504360" w14:paraId="3D917EA4" w14:textId="0E0301A2" w:rsidTr="00E250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CE3CBA6" w14:textId="05816300" w:rsidR="00BF34A3" w:rsidRPr="00504360" w:rsidRDefault="00BF34A3" w:rsidP="00BF34A3">
            <w:pPr>
              <w:spacing w:line="240" w:lineRule="auto"/>
              <w:rPr>
                <w:rFonts w:cs="Arial"/>
                <w:sz w:val="18"/>
                <w:szCs w:val="18"/>
                <w:lang w:eastAsia="en-AU"/>
              </w:rPr>
            </w:pPr>
            <w:r w:rsidRPr="00504360">
              <w:rPr>
                <w:rFonts w:cs="Arial"/>
                <w:sz w:val="18"/>
                <w:szCs w:val="18"/>
                <w:lang w:eastAsia="en-AU"/>
              </w:rPr>
              <w:t xml:space="preserve">Number of clients </w:t>
            </w:r>
            <w:r>
              <w:rPr>
                <w:rFonts w:cs="Arial"/>
                <w:sz w:val="18"/>
                <w:szCs w:val="18"/>
                <w:lang w:eastAsia="en-AU"/>
              </w:rPr>
              <w:t>on</w:t>
            </w:r>
            <w:r w:rsidRPr="00504360">
              <w:rPr>
                <w:rFonts w:cs="Arial"/>
                <w:sz w:val="18"/>
                <w:szCs w:val="18"/>
                <w:lang w:eastAsia="en-AU"/>
              </w:rPr>
              <w:t xml:space="preserve"> a current </w:t>
            </w:r>
            <w:r>
              <w:rPr>
                <w:rFonts w:cs="Arial"/>
                <w:sz w:val="18"/>
                <w:szCs w:val="18"/>
                <w:lang w:eastAsia="en-AU"/>
              </w:rPr>
              <w:t>V</w:t>
            </w:r>
            <w:r w:rsidRPr="00504360">
              <w:rPr>
                <w:rFonts w:cs="Arial"/>
                <w:sz w:val="18"/>
                <w:szCs w:val="18"/>
                <w:lang w:eastAsia="en-AU"/>
              </w:rPr>
              <w:t>IM</w:t>
            </w:r>
          </w:p>
        </w:tc>
        <w:tc>
          <w:tcPr>
            <w:tcW w:w="992" w:type="dxa"/>
            <w:tcBorders>
              <w:top w:val="single" w:sz="4" w:space="0" w:color="auto"/>
              <w:left w:val="single" w:sz="4" w:space="0" w:color="auto"/>
              <w:bottom w:val="single" w:sz="4" w:space="0" w:color="auto"/>
              <w:right w:val="single" w:sz="4" w:space="0" w:color="auto"/>
            </w:tcBorders>
            <w:vAlign w:val="center"/>
          </w:tcPr>
          <w:p w14:paraId="0A09BAED" w14:textId="31EB9136" w:rsidR="00BF34A3" w:rsidRDefault="00BF34A3" w:rsidP="00BF34A3">
            <w:pPr>
              <w:spacing w:line="240" w:lineRule="auto"/>
              <w:jc w:val="right"/>
              <w:rPr>
                <w:rFonts w:cs="Arial"/>
                <w:sz w:val="18"/>
                <w:szCs w:val="18"/>
              </w:rPr>
            </w:pPr>
            <w:r>
              <w:rPr>
                <w:rFonts w:cs="Arial"/>
                <w:sz w:val="18"/>
                <w:szCs w:val="18"/>
              </w:rPr>
              <w:t>66</w:t>
            </w:r>
          </w:p>
        </w:tc>
        <w:tc>
          <w:tcPr>
            <w:tcW w:w="992" w:type="dxa"/>
            <w:tcBorders>
              <w:top w:val="single" w:sz="4" w:space="0" w:color="auto"/>
              <w:left w:val="single" w:sz="4" w:space="0" w:color="auto"/>
              <w:bottom w:val="single" w:sz="4" w:space="0" w:color="auto"/>
              <w:right w:val="single" w:sz="4" w:space="0" w:color="auto"/>
            </w:tcBorders>
            <w:vAlign w:val="center"/>
          </w:tcPr>
          <w:p w14:paraId="386609C4" w14:textId="7A50128B" w:rsidR="00BF34A3" w:rsidRDefault="00BF34A3" w:rsidP="00BF34A3">
            <w:pPr>
              <w:spacing w:line="240" w:lineRule="auto"/>
              <w:jc w:val="right"/>
              <w:rPr>
                <w:rFonts w:cs="Arial"/>
                <w:sz w:val="18"/>
                <w:szCs w:val="18"/>
              </w:rPr>
            </w:pPr>
            <w:r>
              <w:rPr>
                <w:rFonts w:cs="Arial"/>
                <w:sz w:val="18"/>
                <w:szCs w:val="18"/>
              </w:rPr>
              <w:t>62</w:t>
            </w:r>
          </w:p>
        </w:tc>
      </w:tr>
      <w:bookmarkEnd w:id="0"/>
    </w:tbl>
    <w:p w14:paraId="350C67ED" w14:textId="77777777" w:rsidR="004B60C0" w:rsidRDefault="004B60C0" w:rsidP="00C92D4E">
      <w:pPr>
        <w:ind w:left="-142" w:right="-425"/>
        <w:jc w:val="both"/>
        <w:rPr>
          <w:rFonts w:cs="Arial"/>
        </w:rPr>
      </w:pPr>
    </w:p>
    <w:p w14:paraId="46E11053" w14:textId="15A4D3F7" w:rsidR="00434C44" w:rsidRPr="00B61ECB" w:rsidRDefault="00434C44" w:rsidP="00A06016">
      <w:pPr>
        <w:ind w:left="-142" w:right="-425"/>
        <w:jc w:val="both"/>
        <w:rPr>
          <w:rFonts w:cs="Arial"/>
          <w:b/>
          <w:bCs/>
          <w:sz w:val="22"/>
          <w:szCs w:val="22"/>
        </w:rPr>
      </w:pPr>
      <w:bookmarkStart w:id="2" w:name="_Hlk143596740"/>
      <w:r w:rsidRPr="00B61ECB">
        <w:rPr>
          <w:rFonts w:cs="Arial"/>
          <w:b/>
          <w:bCs/>
          <w:sz w:val="22"/>
          <w:szCs w:val="22"/>
        </w:rPr>
        <w:t xml:space="preserve">Quarterly </w:t>
      </w:r>
      <w:r w:rsidR="003B2EC9">
        <w:rPr>
          <w:rFonts w:cs="Arial"/>
          <w:b/>
          <w:bCs/>
          <w:sz w:val="22"/>
          <w:szCs w:val="22"/>
        </w:rPr>
        <w:t>t</w:t>
      </w:r>
      <w:r w:rsidRPr="00B61ECB">
        <w:rPr>
          <w:rFonts w:cs="Arial"/>
          <w:b/>
          <w:bCs/>
          <w:sz w:val="22"/>
          <w:szCs w:val="22"/>
        </w:rPr>
        <w:t>rends</w:t>
      </w:r>
    </w:p>
    <w:bookmarkEnd w:id="2"/>
    <w:p w14:paraId="002538EA" w14:textId="62691E9B" w:rsidR="004E1EDE" w:rsidRDefault="00244B5A" w:rsidP="006E36C6">
      <w:pPr>
        <w:ind w:left="-142" w:right="-425"/>
        <w:jc w:val="both"/>
        <w:rPr>
          <w:rFonts w:cs="Arial"/>
        </w:rPr>
      </w:pPr>
      <w:r>
        <w:rPr>
          <w:rFonts w:cs="Arial"/>
        </w:rPr>
        <w:t xml:space="preserve">This </w:t>
      </w:r>
      <w:r w:rsidR="00974A1B">
        <w:rPr>
          <w:rFonts w:cs="Arial"/>
        </w:rPr>
        <w:t xml:space="preserve">quarter </w:t>
      </w:r>
      <w:r>
        <w:rPr>
          <w:rFonts w:cs="Arial"/>
        </w:rPr>
        <w:t xml:space="preserve">saw the number of conferences reduce </w:t>
      </w:r>
      <w:r w:rsidR="00974A1B">
        <w:rPr>
          <w:rFonts w:cs="Arial"/>
        </w:rPr>
        <w:t>from 250 in quarter 60 to 228 in quarter 61 with a subsequent corresponding reduction in the number of clients served to attend conference</w:t>
      </w:r>
      <w:r w:rsidR="00105F8E">
        <w:rPr>
          <w:rFonts w:cs="Arial"/>
        </w:rPr>
        <w:t xml:space="preserve">. During the period </w:t>
      </w:r>
      <w:r w:rsidR="00974A1B">
        <w:rPr>
          <w:rFonts w:cs="Arial"/>
        </w:rPr>
        <w:t>the Commission targeted more days in community for its Intensive Case Management framework which works outside the more formal conference setting. The reduction in conferencing is also reflected in the reduced number of orders to attend support services, referrals from conference and orders for conditional income management.</w:t>
      </w:r>
      <w:r w:rsidR="006E36C6">
        <w:rPr>
          <w:rFonts w:cs="Arial"/>
        </w:rPr>
        <w:t xml:space="preserve"> As a result of utilising the Intensive Case Management approach with clients the Commission has seen an 8</w:t>
      </w:r>
      <w:r w:rsidR="00480EC5">
        <w:rPr>
          <w:rFonts w:cs="Arial"/>
        </w:rPr>
        <w:t>0</w:t>
      </w:r>
      <w:r w:rsidR="00DD36DF">
        <w:rPr>
          <w:rFonts w:cs="Arial"/>
        </w:rPr>
        <w:t>%</w:t>
      </w:r>
      <w:r w:rsidR="006E36C6">
        <w:rPr>
          <w:rFonts w:cs="Arial"/>
        </w:rPr>
        <w:t xml:space="preserve"> increase in the number of voluntary case plans and an increase of 33</w:t>
      </w:r>
      <w:r w:rsidR="00DD36DF">
        <w:rPr>
          <w:rFonts w:cs="Arial"/>
        </w:rPr>
        <w:t>%</w:t>
      </w:r>
      <w:r w:rsidR="006E36C6">
        <w:rPr>
          <w:rFonts w:cs="Arial"/>
        </w:rPr>
        <w:t xml:space="preserve"> in the number of voluntary income management agreements from quarter 60.</w:t>
      </w:r>
    </w:p>
    <w:p w14:paraId="6F42B3D3" w14:textId="77777777" w:rsidR="004E1EDE" w:rsidRPr="0080444C" w:rsidRDefault="004E1EDE" w:rsidP="0080444C">
      <w:pPr>
        <w:ind w:left="-142" w:right="-425"/>
        <w:jc w:val="both"/>
        <w:rPr>
          <w:rFonts w:cs="Arial"/>
        </w:rPr>
      </w:pPr>
    </w:p>
    <w:p w14:paraId="343F6375" w14:textId="47B0865C" w:rsidR="00586ED4" w:rsidRPr="00586ED4" w:rsidRDefault="00586ED4" w:rsidP="00586ED4">
      <w:pPr>
        <w:ind w:left="-142" w:right="-425"/>
        <w:jc w:val="both"/>
        <w:rPr>
          <w:rFonts w:cs="Arial"/>
          <w:b/>
          <w:bCs/>
          <w:sz w:val="22"/>
          <w:szCs w:val="22"/>
        </w:rPr>
      </w:pPr>
      <w:bookmarkStart w:id="3" w:name="_Hlk152764679"/>
      <w:r w:rsidRPr="00586ED4">
        <w:rPr>
          <w:rFonts w:cs="Arial"/>
          <w:b/>
          <w:bCs/>
          <w:sz w:val="22"/>
          <w:szCs w:val="22"/>
        </w:rPr>
        <w:t>Memorandum of Understanding</w:t>
      </w:r>
      <w:r w:rsidR="009775AB">
        <w:rPr>
          <w:rFonts w:cs="Arial"/>
          <w:b/>
          <w:bCs/>
          <w:sz w:val="22"/>
          <w:szCs w:val="22"/>
        </w:rPr>
        <w:t xml:space="preserve"> (MoU)</w:t>
      </w:r>
    </w:p>
    <w:p w14:paraId="5E08FC24" w14:textId="6339E5AC" w:rsidR="002326E6" w:rsidRDefault="00E86606" w:rsidP="00BD1718">
      <w:pPr>
        <w:ind w:left="-142" w:right="-425"/>
        <w:jc w:val="both"/>
        <w:rPr>
          <w:rFonts w:cs="Arial"/>
        </w:rPr>
      </w:pPr>
      <w:r w:rsidRPr="00FD7E17">
        <w:rPr>
          <w:rFonts w:cs="Arial"/>
        </w:rPr>
        <w:t>On 9 August 2023 an MoU was entered into between the Australian and Queensland Governments to ensure the Commission continued to service its operations at full capacity for a fixed period of three years from 1 July 2023 to 30 June 202</w:t>
      </w:r>
      <w:r w:rsidR="00302EB5">
        <w:rPr>
          <w:rFonts w:cs="Arial"/>
        </w:rPr>
        <w:t>6</w:t>
      </w:r>
      <w:r w:rsidRPr="00FD7E17">
        <w:rPr>
          <w:rFonts w:cs="Arial"/>
        </w:rPr>
        <w:t>.</w:t>
      </w:r>
      <w:r w:rsidR="00302EB5">
        <w:rPr>
          <w:rFonts w:cs="Arial"/>
        </w:rPr>
        <w:t xml:space="preserve"> The Commission was pleased with the collegiate approach to the negotiations between the tri-partite partners and is grateful for the outcome of a three year period to be able to provide</w:t>
      </w:r>
      <w:r w:rsidR="002326E6">
        <w:rPr>
          <w:rFonts w:cs="Arial"/>
        </w:rPr>
        <w:t xml:space="preserve"> </w:t>
      </w:r>
      <w:r w:rsidR="00302EB5">
        <w:rPr>
          <w:rFonts w:cs="Arial"/>
        </w:rPr>
        <w:t>relative stability to Local Commissioners, clients and staff.</w:t>
      </w:r>
      <w:r w:rsidR="002326E6">
        <w:rPr>
          <w:rFonts w:cs="Arial"/>
        </w:rPr>
        <w:t xml:space="preserve"> </w:t>
      </w:r>
      <w:r w:rsidR="00FD7E17" w:rsidRPr="00FD7E17">
        <w:rPr>
          <w:rFonts w:cs="Arial"/>
        </w:rPr>
        <w:t>The Commission has received in full the first year</w:t>
      </w:r>
      <w:r w:rsidR="00FD7E17">
        <w:rPr>
          <w:rFonts w:cs="Arial"/>
        </w:rPr>
        <w:t xml:space="preserve"> of</w:t>
      </w:r>
      <w:r w:rsidR="00FD7E17" w:rsidRPr="00FD7E17">
        <w:rPr>
          <w:rFonts w:cs="Arial"/>
        </w:rPr>
        <w:t xml:space="preserve"> funding (i.e. 1 July 23 to 30 June 24) during </w:t>
      </w:r>
      <w:r w:rsidR="00F236C9">
        <w:rPr>
          <w:rFonts w:cs="Arial"/>
        </w:rPr>
        <w:t>quarter 61</w:t>
      </w:r>
      <w:r w:rsidR="00302EB5">
        <w:rPr>
          <w:rFonts w:cs="Arial"/>
        </w:rPr>
        <w:t>.</w:t>
      </w:r>
      <w:bookmarkEnd w:id="3"/>
    </w:p>
    <w:p w14:paraId="25403B74" w14:textId="2C359627" w:rsidR="002326E6" w:rsidRDefault="002326E6">
      <w:pPr>
        <w:spacing w:line="240" w:lineRule="auto"/>
        <w:rPr>
          <w:rFonts w:cs="Arial"/>
        </w:rPr>
      </w:pPr>
      <w:r>
        <w:rPr>
          <w:rFonts w:cs="Arial"/>
        </w:rPr>
        <w:br w:type="page"/>
      </w:r>
    </w:p>
    <w:p w14:paraId="62B293EC" w14:textId="19BDE67E" w:rsidR="00BD1718" w:rsidRPr="00BA2FA3" w:rsidRDefault="00BD1718" w:rsidP="00BD1718">
      <w:pPr>
        <w:ind w:left="-142" w:right="-425"/>
        <w:jc w:val="both"/>
        <w:rPr>
          <w:rFonts w:cs="Arial"/>
          <w:b/>
          <w:bCs/>
          <w:sz w:val="22"/>
          <w:szCs w:val="22"/>
        </w:rPr>
      </w:pPr>
      <w:r w:rsidRPr="00BA2FA3">
        <w:rPr>
          <w:rFonts w:cs="Arial"/>
          <w:b/>
          <w:bCs/>
          <w:sz w:val="22"/>
          <w:szCs w:val="22"/>
        </w:rPr>
        <w:lastRenderedPageBreak/>
        <w:t>Local Commissioner Development Week</w:t>
      </w:r>
    </w:p>
    <w:p w14:paraId="77E1A550" w14:textId="4F5D9138" w:rsidR="00BD1718" w:rsidRPr="00E773E7" w:rsidRDefault="00BD1718" w:rsidP="00BD1718">
      <w:pPr>
        <w:ind w:left="-142" w:right="-425"/>
        <w:jc w:val="both"/>
        <w:rPr>
          <w:rFonts w:cs="Arial"/>
          <w:lang w:val="en-GB"/>
        </w:rPr>
      </w:pPr>
      <w:r w:rsidRPr="00096869">
        <w:rPr>
          <w:rFonts w:cs="Arial"/>
        </w:rPr>
        <w:t xml:space="preserve">A Local Commissioner Development Week was conducted during the week commencing </w:t>
      </w:r>
      <w:r w:rsidR="000B492D">
        <w:rPr>
          <w:rFonts w:cs="Arial"/>
        </w:rPr>
        <w:t>4</w:t>
      </w:r>
      <w:r w:rsidRPr="00E773E7">
        <w:rPr>
          <w:rFonts w:cs="Arial"/>
        </w:rPr>
        <w:t xml:space="preserve"> </w:t>
      </w:r>
      <w:r w:rsidR="000B492D">
        <w:rPr>
          <w:rFonts w:cs="Arial"/>
        </w:rPr>
        <w:t>September</w:t>
      </w:r>
      <w:r w:rsidRPr="00096869">
        <w:rPr>
          <w:rFonts w:cs="Arial"/>
        </w:rPr>
        <w:t xml:space="preserve"> 202</w:t>
      </w:r>
      <w:r w:rsidR="000B492D">
        <w:rPr>
          <w:rFonts w:cs="Arial"/>
        </w:rPr>
        <w:t>3</w:t>
      </w:r>
      <w:r w:rsidRPr="00096869">
        <w:rPr>
          <w:rFonts w:cs="Arial"/>
        </w:rPr>
        <w:t xml:space="preserve">. Local Commissioners from each community travelled to Cairns </w:t>
      </w:r>
      <w:r>
        <w:rPr>
          <w:rFonts w:cs="Arial"/>
        </w:rPr>
        <w:t>to</w:t>
      </w:r>
      <w:r w:rsidRPr="00096869">
        <w:rPr>
          <w:rFonts w:cs="Arial"/>
        </w:rPr>
        <w:t xml:space="preserve"> participate in</w:t>
      </w:r>
      <w:r w:rsidRPr="00E773E7">
        <w:rPr>
          <w:rFonts w:cs="Arial"/>
        </w:rPr>
        <w:t xml:space="preserve"> </w:t>
      </w:r>
      <w:r w:rsidR="002A028D">
        <w:rPr>
          <w:rFonts w:cs="Arial"/>
          <w:lang w:val="en-GB"/>
        </w:rPr>
        <w:t>the following activities:</w:t>
      </w:r>
    </w:p>
    <w:p w14:paraId="2C68DC94" w14:textId="1798C136" w:rsidR="00D5765C" w:rsidRPr="002A028D" w:rsidRDefault="005E280A" w:rsidP="009E454F">
      <w:pPr>
        <w:pStyle w:val="ListParagraph"/>
        <w:numPr>
          <w:ilvl w:val="0"/>
          <w:numId w:val="21"/>
        </w:numPr>
        <w:spacing w:before="60" w:after="60" w:line="288" w:lineRule="auto"/>
        <w:ind w:left="572" w:right="-425" w:hanging="357"/>
        <w:jc w:val="both"/>
        <w:rPr>
          <w:rFonts w:ascii="Verdana" w:hAnsi="Verdana" w:cs="Arial"/>
          <w:sz w:val="20"/>
          <w:szCs w:val="20"/>
          <w:lang w:val="en-GB"/>
        </w:rPr>
      </w:pPr>
      <w:r>
        <w:rPr>
          <w:rFonts w:ascii="Verdana" w:hAnsi="Verdana" w:cs="Arial"/>
          <w:sz w:val="20"/>
          <w:szCs w:val="20"/>
          <w:lang w:val="en-GB"/>
        </w:rPr>
        <w:t>u</w:t>
      </w:r>
      <w:r w:rsidR="00D5765C" w:rsidRPr="002A028D">
        <w:rPr>
          <w:rFonts w:ascii="Verdana" w:hAnsi="Verdana" w:cs="Arial"/>
          <w:sz w:val="20"/>
          <w:szCs w:val="20"/>
          <w:lang w:val="en-GB"/>
        </w:rPr>
        <w:t>pdate on the new Strategic Plan 2023-2027</w:t>
      </w:r>
      <w:r w:rsidR="0076299B" w:rsidRPr="002A028D">
        <w:rPr>
          <w:rFonts w:ascii="Verdana" w:hAnsi="Verdana" w:cs="Arial"/>
          <w:sz w:val="20"/>
          <w:szCs w:val="20"/>
          <w:lang w:val="en-GB"/>
        </w:rPr>
        <w:t xml:space="preserve"> from Camille Banks</w:t>
      </w:r>
    </w:p>
    <w:p w14:paraId="49AA34B2" w14:textId="5C76F908" w:rsidR="00D5765C" w:rsidRPr="002A028D" w:rsidRDefault="005E280A" w:rsidP="009E454F">
      <w:pPr>
        <w:pStyle w:val="ListParagraph"/>
        <w:numPr>
          <w:ilvl w:val="0"/>
          <w:numId w:val="21"/>
        </w:numPr>
        <w:spacing w:before="60" w:after="60" w:line="288" w:lineRule="auto"/>
        <w:ind w:left="572" w:right="-425" w:hanging="357"/>
        <w:jc w:val="both"/>
        <w:rPr>
          <w:rFonts w:ascii="Verdana" w:hAnsi="Verdana" w:cs="Arial"/>
          <w:sz w:val="20"/>
          <w:szCs w:val="20"/>
          <w:lang w:val="en-GB"/>
        </w:rPr>
      </w:pPr>
      <w:r>
        <w:rPr>
          <w:rFonts w:ascii="Verdana" w:hAnsi="Verdana" w:cs="Arial"/>
          <w:sz w:val="20"/>
          <w:szCs w:val="20"/>
          <w:lang w:val="en-GB"/>
        </w:rPr>
        <w:t>s</w:t>
      </w:r>
      <w:r w:rsidR="00D5765C" w:rsidRPr="002A028D">
        <w:rPr>
          <w:rFonts w:ascii="Verdana" w:hAnsi="Verdana" w:cs="Arial"/>
          <w:sz w:val="20"/>
          <w:szCs w:val="20"/>
          <w:lang w:val="en-GB"/>
        </w:rPr>
        <w:t>ite visit to Djarragun</w:t>
      </w:r>
      <w:r w:rsidR="00302EB5">
        <w:rPr>
          <w:rFonts w:ascii="Verdana" w:hAnsi="Verdana" w:cs="Arial"/>
          <w:sz w:val="20"/>
          <w:szCs w:val="20"/>
          <w:lang w:val="en-GB"/>
        </w:rPr>
        <w:t xml:space="preserve"> College, and the Ngak Min Health Service</w:t>
      </w:r>
    </w:p>
    <w:p w14:paraId="17914805" w14:textId="76A57349" w:rsidR="00D5765C" w:rsidRPr="002A028D" w:rsidRDefault="005E280A" w:rsidP="009E454F">
      <w:pPr>
        <w:pStyle w:val="ListParagraph"/>
        <w:numPr>
          <w:ilvl w:val="0"/>
          <w:numId w:val="21"/>
        </w:numPr>
        <w:spacing w:before="60" w:after="60" w:line="288" w:lineRule="auto"/>
        <w:ind w:left="572" w:right="-425" w:hanging="357"/>
        <w:jc w:val="both"/>
        <w:rPr>
          <w:rFonts w:ascii="Verdana" w:hAnsi="Verdana" w:cs="Arial"/>
          <w:sz w:val="20"/>
          <w:szCs w:val="20"/>
          <w:lang w:val="en-GB"/>
        </w:rPr>
      </w:pPr>
      <w:r>
        <w:rPr>
          <w:rFonts w:ascii="Verdana" w:hAnsi="Verdana" w:cs="Arial"/>
          <w:sz w:val="20"/>
          <w:szCs w:val="20"/>
          <w:lang w:val="en-GB"/>
        </w:rPr>
        <w:t>o</w:t>
      </w:r>
      <w:r w:rsidR="00D5765C" w:rsidRPr="002A028D">
        <w:rPr>
          <w:rFonts w:ascii="Verdana" w:hAnsi="Verdana" w:cs="Arial"/>
          <w:sz w:val="20"/>
          <w:szCs w:val="20"/>
          <w:lang w:val="en-GB"/>
        </w:rPr>
        <w:t>ccupational violence and aggression de-escalation training</w:t>
      </w:r>
    </w:p>
    <w:p w14:paraId="2BA07EBD" w14:textId="6A042736" w:rsidR="00D5765C" w:rsidRPr="002A028D" w:rsidRDefault="005E280A" w:rsidP="009E454F">
      <w:pPr>
        <w:pStyle w:val="ListParagraph"/>
        <w:numPr>
          <w:ilvl w:val="0"/>
          <w:numId w:val="21"/>
        </w:numPr>
        <w:spacing w:before="60" w:after="60" w:line="288" w:lineRule="auto"/>
        <w:ind w:left="572" w:right="-425" w:hanging="357"/>
        <w:jc w:val="both"/>
        <w:rPr>
          <w:rFonts w:ascii="Verdana" w:hAnsi="Verdana" w:cs="Arial"/>
          <w:sz w:val="20"/>
          <w:szCs w:val="20"/>
          <w:lang w:val="en-GB"/>
        </w:rPr>
      </w:pPr>
      <w:r>
        <w:rPr>
          <w:rFonts w:ascii="Verdana" w:hAnsi="Verdana" w:cs="Arial"/>
          <w:sz w:val="20"/>
          <w:szCs w:val="20"/>
          <w:lang w:val="en-GB"/>
        </w:rPr>
        <w:t>d</w:t>
      </w:r>
      <w:r w:rsidR="00D5765C" w:rsidRPr="002A028D">
        <w:rPr>
          <w:rFonts w:ascii="Verdana" w:hAnsi="Verdana" w:cs="Arial"/>
          <w:sz w:val="20"/>
          <w:szCs w:val="20"/>
          <w:lang w:val="en-GB"/>
        </w:rPr>
        <w:t>omestic and family violence training workshop</w:t>
      </w:r>
      <w:r w:rsidR="004B244C" w:rsidRPr="002A028D">
        <w:rPr>
          <w:rFonts w:ascii="Verdana" w:hAnsi="Verdana" w:cs="Arial"/>
          <w:sz w:val="20"/>
          <w:szCs w:val="20"/>
          <w:lang w:val="en-GB"/>
        </w:rPr>
        <w:t xml:space="preserve"> presented by Deputy Commissioner Rod Curtin and Simon B</w:t>
      </w:r>
      <w:r w:rsidR="0076299B" w:rsidRPr="002A028D">
        <w:rPr>
          <w:rFonts w:ascii="Verdana" w:hAnsi="Verdana" w:cs="Arial"/>
          <w:sz w:val="20"/>
          <w:szCs w:val="20"/>
          <w:lang w:val="en-GB"/>
        </w:rPr>
        <w:t>ri</w:t>
      </w:r>
      <w:r w:rsidR="004B244C" w:rsidRPr="002A028D">
        <w:rPr>
          <w:rFonts w:ascii="Verdana" w:hAnsi="Verdana" w:cs="Arial"/>
          <w:sz w:val="20"/>
          <w:szCs w:val="20"/>
          <w:lang w:val="en-GB"/>
        </w:rPr>
        <w:t xml:space="preserve">ght from </w:t>
      </w:r>
      <w:r w:rsidR="002A028D">
        <w:rPr>
          <w:rFonts w:ascii="Verdana" w:hAnsi="Verdana" w:cs="Arial"/>
          <w:sz w:val="20"/>
          <w:szCs w:val="20"/>
          <w:lang w:val="en-GB"/>
        </w:rPr>
        <w:t xml:space="preserve">the </w:t>
      </w:r>
      <w:r w:rsidR="004B244C" w:rsidRPr="002A028D">
        <w:rPr>
          <w:rFonts w:ascii="Verdana" w:hAnsi="Verdana" w:cs="Arial"/>
          <w:sz w:val="20"/>
          <w:szCs w:val="20"/>
          <w:lang w:val="en-GB"/>
        </w:rPr>
        <w:t>Aboriginal and Torres Strait Islander Legal Service (ATSILS)</w:t>
      </w:r>
    </w:p>
    <w:p w14:paraId="1722BCBD" w14:textId="3AD3F33D" w:rsidR="00D5765C" w:rsidRPr="002A028D" w:rsidRDefault="005E280A" w:rsidP="009E454F">
      <w:pPr>
        <w:pStyle w:val="ListParagraph"/>
        <w:numPr>
          <w:ilvl w:val="0"/>
          <w:numId w:val="21"/>
        </w:numPr>
        <w:spacing w:before="60" w:after="60" w:line="288" w:lineRule="auto"/>
        <w:ind w:left="572" w:right="-425" w:hanging="357"/>
        <w:jc w:val="both"/>
        <w:rPr>
          <w:rFonts w:ascii="Verdana" w:hAnsi="Verdana" w:cs="Arial"/>
          <w:sz w:val="20"/>
          <w:szCs w:val="20"/>
          <w:lang w:val="en-GB"/>
        </w:rPr>
      </w:pPr>
      <w:r>
        <w:rPr>
          <w:rFonts w:ascii="Verdana" w:hAnsi="Verdana" w:cs="Arial"/>
          <w:sz w:val="20"/>
          <w:szCs w:val="20"/>
          <w:lang w:val="en-GB"/>
        </w:rPr>
        <w:t>u</w:t>
      </w:r>
      <w:r w:rsidR="00D5765C" w:rsidRPr="002A028D">
        <w:rPr>
          <w:rFonts w:ascii="Verdana" w:hAnsi="Verdana" w:cs="Arial"/>
          <w:sz w:val="20"/>
          <w:szCs w:val="20"/>
          <w:lang w:val="en-GB"/>
        </w:rPr>
        <w:t xml:space="preserve">nderstanding trauma informed approaches </w:t>
      </w:r>
      <w:r w:rsidR="00C36E2C">
        <w:rPr>
          <w:rFonts w:ascii="Verdana" w:hAnsi="Verdana" w:cs="Arial"/>
          <w:sz w:val="20"/>
          <w:szCs w:val="20"/>
          <w:lang w:val="en-GB"/>
        </w:rPr>
        <w:t xml:space="preserve">workshop </w:t>
      </w:r>
      <w:r w:rsidR="00D5765C" w:rsidRPr="002A028D">
        <w:rPr>
          <w:rFonts w:ascii="Verdana" w:hAnsi="Verdana" w:cs="Arial"/>
          <w:sz w:val="20"/>
          <w:szCs w:val="20"/>
          <w:lang w:val="en-GB"/>
        </w:rPr>
        <w:t>by Professor Judy Atkinson</w:t>
      </w:r>
    </w:p>
    <w:p w14:paraId="346E1D95" w14:textId="0B18B737" w:rsidR="00D5765C" w:rsidRPr="002A028D" w:rsidRDefault="005E280A" w:rsidP="009E454F">
      <w:pPr>
        <w:pStyle w:val="ListParagraph"/>
        <w:numPr>
          <w:ilvl w:val="0"/>
          <w:numId w:val="21"/>
        </w:numPr>
        <w:spacing w:before="60" w:after="60" w:line="288" w:lineRule="auto"/>
        <w:ind w:left="572" w:right="-425" w:hanging="357"/>
        <w:jc w:val="both"/>
        <w:rPr>
          <w:rFonts w:ascii="Verdana" w:hAnsi="Verdana" w:cs="Arial"/>
          <w:sz w:val="20"/>
          <w:szCs w:val="20"/>
          <w:lang w:val="en-GB"/>
        </w:rPr>
      </w:pPr>
      <w:r>
        <w:rPr>
          <w:rFonts w:ascii="Verdana" w:hAnsi="Verdana" w:cs="Arial"/>
          <w:sz w:val="20"/>
          <w:szCs w:val="20"/>
          <w:lang w:val="en-GB"/>
        </w:rPr>
        <w:t>s</w:t>
      </w:r>
      <w:r w:rsidR="00D5765C" w:rsidRPr="002A028D">
        <w:rPr>
          <w:rFonts w:ascii="Verdana" w:hAnsi="Verdana" w:cs="Arial"/>
          <w:sz w:val="20"/>
          <w:szCs w:val="20"/>
          <w:lang w:val="en-GB"/>
        </w:rPr>
        <w:t>trategic direction round table</w:t>
      </w:r>
      <w:r w:rsidR="0076299B" w:rsidRPr="002A028D">
        <w:rPr>
          <w:rFonts w:ascii="Verdana" w:hAnsi="Verdana" w:cs="Arial"/>
          <w:sz w:val="20"/>
          <w:szCs w:val="20"/>
          <w:lang w:val="en-GB"/>
        </w:rPr>
        <w:t xml:space="preserve"> facilitated by Commissioner Tammy Williams</w:t>
      </w:r>
      <w:r w:rsidR="004B2022">
        <w:rPr>
          <w:rFonts w:ascii="Verdana" w:hAnsi="Verdana" w:cs="Arial"/>
          <w:sz w:val="20"/>
          <w:szCs w:val="20"/>
          <w:lang w:val="en-GB"/>
        </w:rPr>
        <w:t xml:space="preserve"> and</w:t>
      </w:r>
      <w:r w:rsidR="0076299B" w:rsidRPr="002A028D">
        <w:rPr>
          <w:rFonts w:ascii="Verdana" w:hAnsi="Verdana" w:cs="Arial"/>
          <w:sz w:val="20"/>
          <w:szCs w:val="20"/>
          <w:lang w:val="en-GB"/>
        </w:rPr>
        <w:t xml:space="preserve"> Deputy Commissioner Rod Curtin</w:t>
      </w:r>
    </w:p>
    <w:p w14:paraId="11F61C3B" w14:textId="7C9169D2" w:rsidR="00D5765C" w:rsidRPr="002A028D" w:rsidRDefault="00D5765C" w:rsidP="009E454F">
      <w:pPr>
        <w:pStyle w:val="ListParagraph"/>
        <w:numPr>
          <w:ilvl w:val="0"/>
          <w:numId w:val="21"/>
        </w:numPr>
        <w:spacing w:before="60" w:after="60" w:line="288" w:lineRule="auto"/>
        <w:ind w:left="572" w:right="-425" w:hanging="357"/>
        <w:jc w:val="both"/>
        <w:rPr>
          <w:rFonts w:ascii="Verdana" w:hAnsi="Verdana" w:cs="Arial"/>
          <w:sz w:val="20"/>
          <w:szCs w:val="20"/>
          <w:lang w:val="en-GB"/>
        </w:rPr>
      </w:pPr>
      <w:r w:rsidRPr="002A028D">
        <w:rPr>
          <w:rFonts w:ascii="Verdana" w:hAnsi="Verdana" w:cs="Arial"/>
          <w:sz w:val="20"/>
          <w:szCs w:val="20"/>
          <w:lang w:val="en-GB"/>
        </w:rPr>
        <w:t>15th birthday anniversary celebration dinner</w:t>
      </w:r>
      <w:r w:rsidR="002A028D">
        <w:rPr>
          <w:rFonts w:ascii="Verdana" w:hAnsi="Verdana" w:cs="Arial"/>
          <w:sz w:val="20"/>
          <w:szCs w:val="20"/>
          <w:lang w:val="en-GB"/>
        </w:rPr>
        <w:t>.</w:t>
      </w:r>
    </w:p>
    <w:p w14:paraId="07D72B90" w14:textId="77777777" w:rsidR="00BD1718" w:rsidRDefault="00BD1718" w:rsidP="00BD1718">
      <w:pPr>
        <w:ind w:left="-142" w:right="-425"/>
        <w:jc w:val="both"/>
        <w:rPr>
          <w:rFonts w:cs="Arial"/>
        </w:rPr>
      </w:pPr>
    </w:p>
    <w:p w14:paraId="2B0A278F" w14:textId="77777777" w:rsidR="00962E47" w:rsidRDefault="00962E47" w:rsidP="00962E47">
      <w:pPr>
        <w:ind w:left="-142" w:right="-425"/>
        <w:jc w:val="both"/>
        <w:rPr>
          <w:rFonts w:cs="Arial"/>
          <w:b/>
          <w:bCs/>
        </w:rPr>
      </w:pPr>
      <w:r>
        <w:rPr>
          <w:rFonts w:cs="Arial"/>
          <w:b/>
          <w:bCs/>
        </w:rPr>
        <w:t>Annual Report</w:t>
      </w:r>
    </w:p>
    <w:p w14:paraId="64DFD106" w14:textId="4ADA3F9F" w:rsidR="00BA6AF1" w:rsidRPr="00D05326" w:rsidRDefault="00BA6AF1" w:rsidP="00BA6AF1">
      <w:pPr>
        <w:tabs>
          <w:tab w:val="left" w:pos="1134"/>
        </w:tabs>
        <w:ind w:left="-142" w:right="-425"/>
        <w:jc w:val="both"/>
      </w:pPr>
      <w:r w:rsidRPr="00D05326">
        <w:t xml:space="preserve">During quarter </w:t>
      </w:r>
      <w:r>
        <w:t>61</w:t>
      </w:r>
      <w:r w:rsidRPr="00D05326">
        <w:t>, much work occurred in the drafting and publishing the Commission’s Annual Report 202</w:t>
      </w:r>
      <w:r>
        <w:t>2</w:t>
      </w:r>
      <w:r w:rsidRPr="00D05326">
        <w:t>-2</w:t>
      </w:r>
      <w:r>
        <w:t>3</w:t>
      </w:r>
      <w:r w:rsidRPr="00D05326">
        <w:t xml:space="preserve"> which is required to be provided to the Minister for </w:t>
      </w:r>
      <w:r>
        <w:t>Treaty,</w:t>
      </w:r>
      <w:r w:rsidRPr="00D05326">
        <w:t xml:space="preserve"> Minister for Aboriginal and Torres Strait Islander Partnerships</w:t>
      </w:r>
      <w:r w:rsidR="003B55DA">
        <w:t>, Minister for Communities and Minister for the Arts</w:t>
      </w:r>
      <w:r w:rsidRPr="00D05326">
        <w:t xml:space="preserve"> by 31 October 202</w:t>
      </w:r>
      <w:r>
        <w:t>3</w:t>
      </w:r>
      <w:r w:rsidRPr="00D05326">
        <w:t>.</w:t>
      </w:r>
    </w:p>
    <w:p w14:paraId="0693F541" w14:textId="77777777" w:rsidR="00AA4417" w:rsidRDefault="00AA4417" w:rsidP="00962E47">
      <w:pPr>
        <w:ind w:left="-142" w:right="-425"/>
        <w:jc w:val="both"/>
        <w:rPr>
          <w:rFonts w:cs="Arial"/>
        </w:rPr>
      </w:pPr>
    </w:p>
    <w:p w14:paraId="277C4B24" w14:textId="77777777" w:rsidR="00AA4417" w:rsidRPr="00E250E2" w:rsidRDefault="00AA4417" w:rsidP="00AA4417">
      <w:pPr>
        <w:ind w:left="-142" w:right="-425"/>
        <w:jc w:val="both"/>
        <w:rPr>
          <w:rFonts w:cs="Arial"/>
          <w:b/>
          <w:bCs/>
        </w:rPr>
      </w:pPr>
      <w:r w:rsidRPr="00E250E2">
        <w:rPr>
          <w:rFonts w:cs="Arial"/>
          <w:b/>
          <w:bCs/>
        </w:rPr>
        <w:t>ICT Upgrade</w:t>
      </w:r>
    </w:p>
    <w:p w14:paraId="720DE84B" w14:textId="64C2F88E" w:rsidR="00E250E2" w:rsidRPr="00E250E2" w:rsidRDefault="00E250E2" w:rsidP="00E250E2">
      <w:pPr>
        <w:tabs>
          <w:tab w:val="left" w:pos="1134"/>
        </w:tabs>
        <w:ind w:left="-142" w:right="-425"/>
        <w:jc w:val="both"/>
      </w:pPr>
      <w:r>
        <w:t xml:space="preserve">The systems hosting the FRC </w:t>
      </w:r>
      <w:r w:rsidR="00F64491">
        <w:t>Customer Relationship Management (</w:t>
      </w:r>
      <w:r>
        <w:t>CRM</w:t>
      </w:r>
      <w:r w:rsidR="00F64491">
        <w:t>)</w:t>
      </w:r>
      <w:r w:rsidR="00C36E2C">
        <w:t xml:space="preserve"> database</w:t>
      </w:r>
      <w:r w:rsidR="00454301">
        <w:t>,</w:t>
      </w:r>
      <w:r>
        <w:t xml:space="preserve"> architecture and file system on Windows Server were </w:t>
      </w:r>
      <w:r w:rsidR="00454301">
        <w:t xml:space="preserve">rapidly approaching </w:t>
      </w:r>
      <w:r>
        <w:t xml:space="preserve">their </w:t>
      </w:r>
      <w:r w:rsidR="00454301">
        <w:t>‘</w:t>
      </w:r>
      <w:r>
        <w:t>end-of-life</w:t>
      </w:r>
      <w:r w:rsidR="00454301">
        <w:t>’ during the quarter</w:t>
      </w:r>
      <w:r>
        <w:t xml:space="preserve">. In response to this, the service provider alerted the FRC about the impending decommissioning of these servers by the end of September 2023. </w:t>
      </w:r>
      <w:r w:rsidR="00864773">
        <w:t>In order to a</w:t>
      </w:r>
      <w:r>
        <w:t>ddress the situation, the ICT team, under the leadership of the ICT Administrator and with the support of the ICT Support Officer, undertook a vital project to migrate the FRC's files and CRM to the latest Windows Server Operating System, Windows Server 2022, and Microsoft Server SQL 2022. Initiated in the early weeks of August, this project encompassed the procurement and setup of the necessary ICT hardware and software, coupled with extensive testing in conjunction with the FRC's key operations staff. The diligent efforts of the ICT team led to the successful migration of the systems on</w:t>
      </w:r>
      <w:r w:rsidR="00454301">
        <w:t xml:space="preserve"> </w:t>
      </w:r>
      <w:r w:rsidR="00105F8E">
        <w:t xml:space="preserve">25 September </w:t>
      </w:r>
      <w:r>
        <w:t>2023, ensuring that the FRC's CRM systems are now operating on a secure and compliant platform.</w:t>
      </w:r>
    </w:p>
    <w:p w14:paraId="1A9587EC" w14:textId="77777777" w:rsidR="00E250E2" w:rsidRDefault="00E250E2" w:rsidP="00E250E2">
      <w:pPr>
        <w:tabs>
          <w:tab w:val="left" w:pos="1134"/>
        </w:tabs>
        <w:ind w:left="-142" w:right="-425"/>
        <w:jc w:val="both"/>
      </w:pPr>
    </w:p>
    <w:p w14:paraId="758C3A2E" w14:textId="520A3DE2" w:rsidR="00E250E2" w:rsidRDefault="00E250E2" w:rsidP="00E250E2">
      <w:pPr>
        <w:tabs>
          <w:tab w:val="left" w:pos="1134"/>
        </w:tabs>
        <w:ind w:left="-142" w:right="-425"/>
        <w:jc w:val="both"/>
      </w:pPr>
      <w:r>
        <w:t xml:space="preserve">The </w:t>
      </w:r>
      <w:r w:rsidR="00454301">
        <w:t xml:space="preserve">FRC’s </w:t>
      </w:r>
      <w:r>
        <w:t xml:space="preserve">network and internet infrastructure </w:t>
      </w:r>
      <w:r w:rsidR="00454301">
        <w:t>also</w:t>
      </w:r>
      <w:r>
        <w:t xml:space="preserve"> received a substantial upgrade to enhance its performance and reliability</w:t>
      </w:r>
      <w:r w:rsidR="00454301">
        <w:t xml:space="preserve"> during quarter 61</w:t>
      </w:r>
      <w:r>
        <w:t>. Confronted with limited network speeds of 10Mbps up and down and outdated networking hardware, a significant change was imperative. The ICT team addressed these challenges by securing a new internet service that offers 250Mbps download and 100Mbps upload speeds. In addition, modern networking equipment</w:t>
      </w:r>
      <w:r w:rsidR="00454301">
        <w:t xml:space="preserve"> </w:t>
      </w:r>
      <w:r w:rsidR="00864773">
        <w:t>has been</w:t>
      </w:r>
      <w:r w:rsidR="00454301">
        <w:t xml:space="preserve"> introduced</w:t>
      </w:r>
      <w:r>
        <w:t xml:space="preserve">, enabling a thorough redesign and restructure of the network and firewall systems. To ensure continuous connectivity, a 4G backup for the internet </w:t>
      </w:r>
      <w:r w:rsidR="00454301">
        <w:t>has</w:t>
      </w:r>
      <w:r>
        <w:t xml:space="preserve"> also</w:t>
      </w:r>
      <w:r w:rsidR="00454301">
        <w:t xml:space="preserve"> been</w:t>
      </w:r>
      <w:r>
        <w:t xml:space="preserve"> implemented. These upgrades </w:t>
      </w:r>
      <w:r w:rsidR="00105F8E">
        <w:t xml:space="preserve">have </w:t>
      </w:r>
      <w:r>
        <w:t xml:space="preserve">collectively transformed the FRC's network, significantly boosting its speed, efficiency, and overall reliability, </w:t>
      </w:r>
      <w:r w:rsidR="00105F8E">
        <w:t xml:space="preserve">to </w:t>
      </w:r>
      <w:r>
        <w:t>better support the organisation's operations.</w:t>
      </w:r>
    </w:p>
    <w:p w14:paraId="540A9DE1" w14:textId="77777777" w:rsidR="00AA4417" w:rsidRPr="002A028D" w:rsidRDefault="00AA4417" w:rsidP="00962E47">
      <w:pPr>
        <w:ind w:left="-142" w:right="-425"/>
        <w:jc w:val="both"/>
        <w:rPr>
          <w:rFonts w:cs="Arial"/>
        </w:rPr>
      </w:pPr>
    </w:p>
    <w:p w14:paraId="7E33D934" w14:textId="77777777" w:rsidR="00962E47" w:rsidRDefault="00962E47" w:rsidP="00BD1718">
      <w:pPr>
        <w:ind w:left="-142" w:right="-425"/>
        <w:jc w:val="both"/>
        <w:rPr>
          <w:rFonts w:cs="Arial"/>
        </w:rPr>
      </w:pPr>
    </w:p>
    <w:p w14:paraId="2B25449E" w14:textId="2B6F36AA" w:rsidR="005F7DB7" w:rsidRPr="0080444C" w:rsidRDefault="005F7DB7" w:rsidP="0080444C">
      <w:pPr>
        <w:ind w:left="-142" w:right="-425"/>
        <w:jc w:val="both"/>
        <w:rPr>
          <w:rFonts w:cs="Arial"/>
        </w:rPr>
      </w:pPr>
      <w:r w:rsidRPr="0080444C">
        <w:rPr>
          <w:rFonts w:cs="Arial"/>
        </w:rPr>
        <w:br w:type="page"/>
      </w:r>
    </w:p>
    <w:p w14:paraId="00DC2296"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7EB0DA6F" w:rsidR="00F058BE" w:rsidRDefault="000541CA" w:rsidP="00256B52">
      <w:pPr>
        <w:pStyle w:val="TOC1"/>
        <w:rPr>
          <w:rFonts w:asciiTheme="minorHAnsi" w:eastAsiaTheme="minorEastAsia" w:hAnsiTheme="minorHAnsi" w:cstheme="minorBidi"/>
          <w:noProof/>
          <w:spacing w:val="0"/>
          <w:u w:val="none"/>
          <w:lang w:eastAsia="en-AU"/>
        </w:rPr>
      </w:pPr>
      <w:r w:rsidRPr="007C4066">
        <w:rPr>
          <w:spacing w:val="0"/>
          <w:sz w:val="18"/>
          <w:szCs w:val="18"/>
          <w:u w:val="none"/>
        </w:rPr>
        <w:fldChar w:fldCharType="begin"/>
      </w:r>
      <w:r w:rsidRPr="007C4066">
        <w:rPr>
          <w:spacing w:val="0"/>
          <w:sz w:val="18"/>
          <w:szCs w:val="18"/>
          <w:u w:val="none"/>
        </w:rPr>
        <w:instrText xml:space="preserve"> TOC \o "1-1" \u </w:instrText>
      </w:r>
      <w:r w:rsidRPr="007C4066">
        <w:rPr>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8E44A0">
        <w:rPr>
          <w:noProof/>
        </w:rPr>
        <w:t>6</w:t>
      </w:r>
      <w:r w:rsidR="00F058BE">
        <w:rPr>
          <w:noProof/>
        </w:rPr>
        <w:fldChar w:fldCharType="end"/>
      </w:r>
    </w:p>
    <w:p w14:paraId="62DF3D4A" w14:textId="09B59CB1" w:rsidR="00F058BE" w:rsidRDefault="00F058BE" w:rsidP="00256B52">
      <w:pPr>
        <w:pStyle w:val="TOC1"/>
        <w:rPr>
          <w:rFonts w:asciiTheme="minorHAnsi" w:eastAsiaTheme="minorEastAsia" w:hAnsiTheme="minorHAnsi" w:cstheme="minorBidi"/>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8E44A0">
        <w:rPr>
          <w:noProof/>
        </w:rPr>
        <w:t>19</w:t>
      </w:r>
      <w:r>
        <w:rPr>
          <w:noProof/>
        </w:rPr>
        <w:fldChar w:fldCharType="end"/>
      </w:r>
    </w:p>
    <w:p w14:paraId="293F38D2" w14:textId="62F17179" w:rsidR="00F058BE" w:rsidRDefault="00F058BE" w:rsidP="00256B52">
      <w:pPr>
        <w:pStyle w:val="TOC1"/>
        <w:rPr>
          <w:rFonts w:asciiTheme="minorHAnsi" w:eastAsiaTheme="minorEastAsia" w:hAnsiTheme="minorHAnsi" w:cstheme="minorBidi"/>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8E44A0">
        <w:rPr>
          <w:noProof/>
        </w:rPr>
        <w:t>23</w:t>
      </w:r>
      <w:r>
        <w:rPr>
          <w:noProof/>
        </w:rPr>
        <w:fldChar w:fldCharType="end"/>
      </w:r>
    </w:p>
    <w:p w14:paraId="79738A35" w14:textId="4E2EA5F6" w:rsidR="00F058BE" w:rsidRDefault="00F058BE" w:rsidP="00256B52">
      <w:pPr>
        <w:pStyle w:val="TOC1"/>
        <w:rPr>
          <w:rFonts w:asciiTheme="minorHAnsi" w:eastAsiaTheme="minorEastAsia" w:hAnsiTheme="minorHAnsi" w:cstheme="minorBidi"/>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8E44A0">
        <w:rPr>
          <w:noProof/>
        </w:rPr>
        <w:t>24</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26CC96AD">
                <wp:simplePos x="0" y="0"/>
                <wp:positionH relativeFrom="column">
                  <wp:posOffset>-120015</wp:posOffset>
                </wp:positionH>
                <wp:positionV relativeFrom="paragraph">
                  <wp:posOffset>60960</wp:posOffset>
                </wp:positionV>
                <wp:extent cx="6412230" cy="5162550"/>
                <wp:effectExtent l="0" t="0" r="26670" b="1905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162550"/>
                        </a:xfrm>
                        <a:prstGeom prst="rect">
                          <a:avLst/>
                        </a:prstGeom>
                        <a:solidFill>
                          <a:srgbClr val="FFFFFF"/>
                        </a:solidFill>
                        <a:ln w="9525">
                          <a:solidFill>
                            <a:srgbClr val="000000"/>
                          </a:solidFill>
                          <a:miter lim="800000"/>
                          <a:headEnd/>
                          <a:tailEnd/>
                        </a:ln>
                      </wps:spPr>
                      <wps:txb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45pt;margin-top:4.8pt;width:504.9pt;height:4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">
                <v:textbo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 xml:space="preserve">District Court </w:t>
                      </w:r>
                      <w:proofErr w:type="gramStart"/>
                      <w:r>
                        <w:rPr>
                          <w:sz w:val="18"/>
                          <w:szCs w:val="18"/>
                        </w:rPr>
                        <w:t>notice</w:t>
                      </w:r>
                      <w:proofErr w:type="gramEnd"/>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75B0A438" w:rsidR="005A5B78" w:rsidRPr="00B04486" w:rsidRDefault="005A5B78" w:rsidP="005A5B78">
      <w:pPr>
        <w:spacing w:after="240" w:line="240" w:lineRule="auto"/>
        <w:ind w:left="-142"/>
        <w:rPr>
          <w:i/>
          <w:sz w:val="24"/>
          <w:szCs w:val="24"/>
        </w:rPr>
      </w:pPr>
      <w:r w:rsidRPr="00B04486">
        <w:rPr>
          <w:i/>
          <w:sz w:val="24"/>
          <w:szCs w:val="24"/>
        </w:rPr>
        <w:t xml:space="preserve">Report to </w:t>
      </w:r>
      <w:r w:rsidR="00DA70CA">
        <w:rPr>
          <w:i/>
          <w:sz w:val="24"/>
          <w:szCs w:val="24"/>
        </w:rPr>
        <w:t>3</w:t>
      </w:r>
      <w:r w:rsidR="00CE7CB6">
        <w:rPr>
          <w:i/>
          <w:sz w:val="24"/>
          <w:szCs w:val="24"/>
        </w:rPr>
        <w:t xml:space="preserve">0 </w:t>
      </w:r>
      <w:r w:rsidR="0080444C">
        <w:rPr>
          <w:i/>
          <w:sz w:val="24"/>
          <w:szCs w:val="24"/>
        </w:rPr>
        <w:t xml:space="preserve">September </w:t>
      </w:r>
      <w:r w:rsidR="00984BBB">
        <w:rPr>
          <w:i/>
          <w:sz w:val="24"/>
          <w:szCs w:val="24"/>
        </w:rPr>
        <w:t>2023</w:t>
      </w:r>
      <w:r w:rsidRPr="00B04486">
        <w:rPr>
          <w:i/>
          <w:sz w:val="24"/>
          <w:szCs w:val="24"/>
        </w:rPr>
        <w:t>.</w:t>
      </w:r>
    </w:p>
    <w:p w14:paraId="3B63D598" w14:textId="77777777" w:rsidR="005A5B78" w:rsidRPr="00942B2C" w:rsidRDefault="005A5B78" w:rsidP="005A5B78">
      <w:pPr>
        <w:pStyle w:val="Heading1"/>
        <w:ind w:left="-142" w:right="-426"/>
      </w:pPr>
      <w:bookmarkStart w:id="4" w:name="_Toc222226581"/>
      <w:bookmarkStart w:id="5" w:name="_Toc304386230"/>
      <w:bookmarkStart w:id="6" w:name="_Toc304386307"/>
      <w:bookmarkStart w:id="7" w:name="_Toc306011180"/>
      <w:bookmarkStart w:id="8" w:name="_Toc39657991"/>
      <w:r>
        <w:t>1.  Activities and</w:t>
      </w:r>
      <w:r w:rsidRPr="00942B2C">
        <w:t xml:space="preserve"> </w:t>
      </w:r>
      <w:bookmarkEnd w:id="4"/>
      <w:bookmarkEnd w:id="5"/>
      <w:bookmarkEnd w:id="6"/>
      <w:bookmarkEnd w:id="7"/>
      <w:r>
        <w:t>Trends</w:t>
      </w:r>
      <w:bookmarkEnd w:id="8"/>
    </w:p>
    <w:p w14:paraId="2BAF545E" w14:textId="77E156F5" w:rsidR="009B2EF1" w:rsidRPr="00E6690B" w:rsidRDefault="009B2EF1" w:rsidP="00E6690B">
      <w:pPr>
        <w:tabs>
          <w:tab w:val="left" w:pos="1134"/>
        </w:tabs>
        <w:ind w:left="-142" w:right="-425"/>
        <w:jc w:val="both"/>
      </w:pPr>
      <w:bookmarkStart w:id="9" w:name="_Hlk149639732"/>
    </w:p>
    <w:bookmarkEnd w:id="9"/>
    <w:p w14:paraId="3D98B899" w14:textId="7F0B88B2" w:rsidR="00237AB1" w:rsidRPr="003E2C8D" w:rsidRDefault="00237AB1" w:rsidP="00F034B6">
      <w:pPr>
        <w:pStyle w:val="Heading2"/>
      </w:pPr>
      <w:r w:rsidRPr="003E2C8D">
        <w:t>Client</w:t>
      </w:r>
      <w:r w:rsidR="00973468">
        <w:t xml:space="preserve"> issues and</w:t>
      </w:r>
      <w:r w:rsidRPr="003E2C8D">
        <w:t xml:space="preserve"> interactions during the quarter</w:t>
      </w:r>
    </w:p>
    <w:p w14:paraId="15BC7CE0" w14:textId="4A87886D" w:rsidR="00726956" w:rsidRDefault="004E6AD0" w:rsidP="00106EA8">
      <w:pPr>
        <w:tabs>
          <w:tab w:val="left" w:pos="1134"/>
        </w:tabs>
        <w:ind w:left="-142" w:right="-425"/>
        <w:jc w:val="both"/>
      </w:pPr>
      <w:r>
        <w:t>The Commission delivers services to communities which are culturally unique and geographically remote. Each community is different, however</w:t>
      </w:r>
      <w:r w:rsidR="002A42B2">
        <w:t>,</w:t>
      </w:r>
      <w:r>
        <w:t xml:space="preserve"> each can be characterised by the entrenched disadvantage of Indigenous community members. Over-crowded housing, high rates of welfare dependency and multi-generational poverty ha</w:t>
      </w:r>
      <w:r w:rsidR="006648A1">
        <w:t>ve</w:t>
      </w:r>
      <w:r>
        <w:t xml:space="preserve"> resulted in communities with high numbers of individuals and families with complex needs.</w:t>
      </w:r>
    </w:p>
    <w:p w14:paraId="267B380E" w14:textId="77777777" w:rsidR="008F63D1" w:rsidRPr="009F0B93" w:rsidRDefault="008F63D1" w:rsidP="0024013F">
      <w:pPr>
        <w:tabs>
          <w:tab w:val="left" w:pos="1134"/>
        </w:tabs>
        <w:ind w:left="-142" w:right="-425"/>
        <w:jc w:val="both"/>
      </w:pPr>
    </w:p>
    <w:p w14:paraId="1D70857B" w14:textId="4C899C02" w:rsidR="008F63D1" w:rsidRDefault="00B4578E" w:rsidP="0024013F">
      <w:pPr>
        <w:tabs>
          <w:tab w:val="left" w:pos="1134"/>
        </w:tabs>
        <w:ind w:left="-142" w:right="-425"/>
        <w:jc w:val="both"/>
      </w:pPr>
      <w:r w:rsidRPr="008F63D1">
        <w:rPr>
          <w:b/>
          <w:bCs/>
        </w:rPr>
        <w:t>Many clients experience a complexity of issues</w:t>
      </w:r>
      <w:r>
        <w:t>.</w:t>
      </w:r>
    </w:p>
    <w:p w14:paraId="21A1CC5F" w14:textId="5BEE19FE" w:rsidR="00B740E7" w:rsidRDefault="0052024E" w:rsidP="0024013F">
      <w:pPr>
        <w:tabs>
          <w:tab w:val="left" w:pos="1134"/>
        </w:tabs>
        <w:ind w:left="-142" w:right="-425"/>
        <w:jc w:val="both"/>
      </w:pPr>
      <w:r>
        <w:t>Data collected by the FRC provides insight into the complexity of the issues faced by many clients.</w:t>
      </w:r>
      <w:r w:rsidR="008F63D1">
        <w:t xml:space="preserve"> </w:t>
      </w:r>
      <w:r w:rsidR="002522F2">
        <w:t>Table 2</w:t>
      </w:r>
      <w:r w:rsidR="00AA0D00">
        <w:t xml:space="preserve"> </w:t>
      </w:r>
      <w:r w:rsidR="00770C5A">
        <w:t>sets ou</w:t>
      </w:r>
      <w:r w:rsidR="00637C67">
        <w:t>t the different types of agenc</w:t>
      </w:r>
      <w:r w:rsidR="005A6FC1">
        <w:t>y</w:t>
      </w:r>
      <w:r w:rsidR="00637C67">
        <w:t xml:space="preserve"> notices received by </w:t>
      </w:r>
      <w:r w:rsidR="00FC4C4F">
        <w:t>individual clients</w:t>
      </w:r>
      <w:r w:rsidR="00637C67">
        <w:t xml:space="preserve"> during the </w:t>
      </w:r>
      <w:r w:rsidR="005461D1">
        <w:t xml:space="preserve">reporting period. </w:t>
      </w:r>
      <w:r w:rsidR="007B68DE">
        <w:t xml:space="preserve">During quarter </w:t>
      </w:r>
      <w:r w:rsidR="00CE7CB6">
        <w:t>6</w:t>
      </w:r>
      <w:r w:rsidR="00D600F7">
        <w:t>1</w:t>
      </w:r>
      <w:r w:rsidR="005728FA">
        <w:t>,</w:t>
      </w:r>
      <w:r w:rsidR="007B68DE">
        <w:t xml:space="preserve"> </w:t>
      </w:r>
      <w:r w:rsidR="009F0B93">
        <w:t>60</w:t>
      </w:r>
      <w:r w:rsidR="00D600F7">
        <w:t>7</w:t>
      </w:r>
      <w:r w:rsidR="009F0B93">
        <w:t xml:space="preserve"> </w:t>
      </w:r>
      <w:r w:rsidR="006648A1">
        <w:t xml:space="preserve">clients </w:t>
      </w:r>
      <w:r w:rsidR="00FE5409">
        <w:t>(</w:t>
      </w:r>
      <w:r w:rsidR="00D356CC">
        <w:t>8</w:t>
      </w:r>
      <w:r w:rsidR="000B2FD5">
        <w:t>4</w:t>
      </w:r>
      <w:r w:rsidR="00DD36DF">
        <w:t>%</w:t>
      </w:r>
      <w:r w:rsidR="006648A1">
        <w:t>)</w:t>
      </w:r>
      <w:r w:rsidR="00FE5409">
        <w:t xml:space="preserve"> were notified to the Commission with only one type of trigger notice</w:t>
      </w:r>
      <w:r w:rsidR="003A48E8">
        <w:t>. T</w:t>
      </w:r>
      <w:r w:rsidR="00FE5409">
        <w:t xml:space="preserve">he remaining </w:t>
      </w:r>
      <w:r w:rsidR="00311F92">
        <w:t>1</w:t>
      </w:r>
      <w:r w:rsidR="000B2FD5">
        <w:t>1</w:t>
      </w:r>
      <w:r w:rsidR="00D600F7">
        <w:t>4</w:t>
      </w:r>
      <w:r w:rsidR="00311F92">
        <w:t xml:space="preserve"> </w:t>
      </w:r>
      <w:r w:rsidR="006648A1">
        <w:t xml:space="preserve">clients </w:t>
      </w:r>
      <w:r w:rsidR="00FE5409">
        <w:t>(</w:t>
      </w:r>
      <w:r w:rsidR="00D356CC">
        <w:t>1</w:t>
      </w:r>
      <w:r w:rsidR="000B2FD5">
        <w:t>6</w:t>
      </w:r>
      <w:r w:rsidR="00DD36DF">
        <w:t>%</w:t>
      </w:r>
      <w:r w:rsidR="00FE5409">
        <w:t>) received more than one type of trigger notice.</w:t>
      </w:r>
    </w:p>
    <w:p w14:paraId="3B2D50C8" w14:textId="77777777" w:rsidR="00DD432B" w:rsidRDefault="00DD432B" w:rsidP="0024013F">
      <w:pPr>
        <w:tabs>
          <w:tab w:val="left" w:pos="1134"/>
        </w:tabs>
        <w:ind w:left="-142" w:right="-425"/>
        <w:jc w:val="both"/>
      </w:pPr>
    </w:p>
    <w:p w14:paraId="186B821C" w14:textId="4BFC0BE8" w:rsidR="00DD432B" w:rsidRPr="00DD432B" w:rsidRDefault="00DD432B" w:rsidP="00DD432B">
      <w:pPr>
        <w:spacing w:after="120" w:line="240" w:lineRule="auto"/>
        <w:ind w:left="794" w:hanging="794"/>
        <w:rPr>
          <w:b/>
          <w:sz w:val="16"/>
          <w:szCs w:val="16"/>
        </w:rPr>
      </w:pPr>
      <w:r w:rsidRPr="00DD432B">
        <w:rPr>
          <w:b/>
          <w:sz w:val="16"/>
          <w:szCs w:val="16"/>
        </w:rPr>
        <w:t xml:space="preserve">Table 2: </w:t>
      </w:r>
      <w:r w:rsidRPr="00DD432B">
        <w:rPr>
          <w:bCs/>
          <w:sz w:val="16"/>
          <w:szCs w:val="16"/>
        </w:rPr>
        <w:t xml:space="preserve">Number of clients by number of different types of agency notices received 1 </w:t>
      </w:r>
      <w:r w:rsidR="0080444C">
        <w:rPr>
          <w:bCs/>
          <w:sz w:val="16"/>
          <w:szCs w:val="16"/>
        </w:rPr>
        <w:t xml:space="preserve">July </w:t>
      </w:r>
      <w:r w:rsidR="00413FAC">
        <w:rPr>
          <w:bCs/>
          <w:sz w:val="16"/>
          <w:szCs w:val="16"/>
        </w:rPr>
        <w:t>2023</w:t>
      </w:r>
      <w:r w:rsidRPr="00DD432B">
        <w:rPr>
          <w:bCs/>
          <w:sz w:val="16"/>
          <w:szCs w:val="16"/>
        </w:rPr>
        <w:t xml:space="preserve"> to 3</w:t>
      </w:r>
      <w:r w:rsidR="00CE7CB6">
        <w:rPr>
          <w:bCs/>
          <w:sz w:val="16"/>
          <w:szCs w:val="16"/>
        </w:rPr>
        <w:t xml:space="preserve">0 </w:t>
      </w:r>
      <w:r w:rsidR="0080444C">
        <w:rPr>
          <w:bCs/>
          <w:sz w:val="16"/>
          <w:szCs w:val="16"/>
        </w:rPr>
        <w:t xml:space="preserve">September </w:t>
      </w:r>
      <w:r w:rsidR="00984BBB">
        <w:rPr>
          <w:bCs/>
          <w:sz w:val="16"/>
          <w:szCs w:val="16"/>
        </w:rPr>
        <w:t>2023</w:t>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DD432B" w:rsidRPr="00FE5409" w14:paraId="785D7E62" w14:textId="77777777" w:rsidTr="0088566E">
        <w:trPr>
          <w:trHeight w:val="765"/>
        </w:trPr>
        <w:tc>
          <w:tcPr>
            <w:tcW w:w="2200" w:type="dxa"/>
            <w:shd w:val="clear" w:color="auto" w:fill="auto"/>
            <w:noWrap/>
            <w:vAlign w:val="bottom"/>
            <w:hideMark/>
          </w:tcPr>
          <w:p w14:paraId="621041A2" w14:textId="2B6A9E9B" w:rsidR="00DD432B" w:rsidRPr="00FE5409" w:rsidRDefault="00DD432B" w:rsidP="002522F2">
            <w:pPr>
              <w:spacing w:line="240" w:lineRule="auto"/>
              <w:jc w:val="center"/>
              <w:rPr>
                <w:rFonts w:ascii="Calibri" w:hAnsi="Calibri" w:cs="Calibri"/>
                <w:b/>
                <w:bCs/>
                <w:sz w:val="22"/>
                <w:szCs w:val="22"/>
                <w:lang w:eastAsia="en-AU"/>
              </w:rPr>
            </w:pPr>
            <w:r>
              <w:rPr>
                <w:rFonts w:ascii="Calibri" w:hAnsi="Calibri" w:cs="Calibri"/>
                <w:b/>
                <w:bCs/>
                <w:sz w:val="22"/>
                <w:szCs w:val="22"/>
                <w:lang w:eastAsia="en-AU"/>
              </w:rPr>
              <w:t>Type of Different Types of Agency Notices Received</w:t>
            </w:r>
          </w:p>
        </w:tc>
        <w:tc>
          <w:tcPr>
            <w:tcW w:w="1197" w:type="dxa"/>
            <w:shd w:val="clear" w:color="auto" w:fill="auto"/>
            <w:vAlign w:val="bottom"/>
            <w:hideMark/>
          </w:tcPr>
          <w:p w14:paraId="24B2BF31" w14:textId="77777777" w:rsidR="00DD432B" w:rsidRPr="00FE5409" w:rsidRDefault="00DD432B" w:rsidP="0088566E">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9F0B93" w:rsidRPr="00FE5409" w14:paraId="2BC71674" w14:textId="77777777" w:rsidTr="0088566E">
        <w:trPr>
          <w:trHeight w:val="300"/>
        </w:trPr>
        <w:tc>
          <w:tcPr>
            <w:tcW w:w="2200" w:type="dxa"/>
            <w:shd w:val="clear" w:color="auto" w:fill="auto"/>
          </w:tcPr>
          <w:p w14:paraId="35C66FA9" w14:textId="6C9CB49D" w:rsidR="009F0B93" w:rsidRDefault="009F0B93" w:rsidP="009F0B93">
            <w:pPr>
              <w:spacing w:line="240" w:lineRule="auto"/>
              <w:jc w:val="center"/>
              <w:rPr>
                <w:rFonts w:cs="Arial"/>
                <w:color w:val="000000"/>
              </w:rPr>
            </w:pPr>
            <w:r>
              <w:rPr>
                <w:rFonts w:cs="Arial"/>
                <w:color w:val="000000"/>
              </w:rPr>
              <w:t>1</w:t>
            </w:r>
          </w:p>
        </w:tc>
        <w:tc>
          <w:tcPr>
            <w:tcW w:w="1197" w:type="dxa"/>
            <w:shd w:val="clear" w:color="auto" w:fill="auto"/>
          </w:tcPr>
          <w:p w14:paraId="18B67C31" w14:textId="78EAD192" w:rsidR="009F0B93" w:rsidRDefault="00D600F7" w:rsidP="009F0B93">
            <w:pPr>
              <w:spacing w:line="240" w:lineRule="auto"/>
              <w:jc w:val="right"/>
              <w:rPr>
                <w:rFonts w:cs="Arial"/>
                <w:color w:val="000000"/>
              </w:rPr>
            </w:pPr>
            <w:r>
              <w:rPr>
                <w:rFonts w:cs="Arial"/>
                <w:color w:val="000000"/>
              </w:rPr>
              <w:t>607</w:t>
            </w:r>
          </w:p>
        </w:tc>
      </w:tr>
      <w:tr w:rsidR="009F0B93" w:rsidRPr="00FE5409" w14:paraId="1A7DB5C2" w14:textId="77777777" w:rsidTr="0088566E">
        <w:trPr>
          <w:trHeight w:val="300"/>
        </w:trPr>
        <w:tc>
          <w:tcPr>
            <w:tcW w:w="2200" w:type="dxa"/>
            <w:shd w:val="clear" w:color="auto" w:fill="auto"/>
          </w:tcPr>
          <w:p w14:paraId="0FB531E4" w14:textId="04C6BBCA" w:rsidR="009F0B93" w:rsidRDefault="009F0B93" w:rsidP="009F0B93">
            <w:pPr>
              <w:spacing w:line="240" w:lineRule="auto"/>
              <w:jc w:val="center"/>
              <w:rPr>
                <w:rFonts w:cs="Arial"/>
                <w:color w:val="000000"/>
              </w:rPr>
            </w:pPr>
            <w:r>
              <w:rPr>
                <w:rFonts w:cs="Arial"/>
                <w:color w:val="000000"/>
              </w:rPr>
              <w:t>2</w:t>
            </w:r>
          </w:p>
        </w:tc>
        <w:tc>
          <w:tcPr>
            <w:tcW w:w="1197" w:type="dxa"/>
            <w:shd w:val="clear" w:color="auto" w:fill="auto"/>
          </w:tcPr>
          <w:p w14:paraId="3547B1D3" w14:textId="495C9290" w:rsidR="009F0B93" w:rsidRPr="00FE5409" w:rsidRDefault="00D600F7" w:rsidP="009F0B93">
            <w:pPr>
              <w:spacing w:line="240" w:lineRule="auto"/>
              <w:jc w:val="right"/>
              <w:rPr>
                <w:rFonts w:cs="Calibri"/>
                <w:color w:val="000000"/>
                <w:lang w:eastAsia="en-AU"/>
              </w:rPr>
            </w:pPr>
            <w:r>
              <w:rPr>
                <w:rFonts w:cs="Calibri"/>
                <w:color w:val="000000"/>
                <w:lang w:eastAsia="en-AU"/>
              </w:rPr>
              <w:t>102</w:t>
            </w:r>
          </w:p>
        </w:tc>
      </w:tr>
      <w:tr w:rsidR="009F0B93" w:rsidRPr="00FE5409" w14:paraId="172CBC7C" w14:textId="77777777" w:rsidTr="0088566E">
        <w:trPr>
          <w:trHeight w:val="300"/>
        </w:trPr>
        <w:tc>
          <w:tcPr>
            <w:tcW w:w="2200" w:type="dxa"/>
            <w:shd w:val="clear" w:color="auto" w:fill="auto"/>
          </w:tcPr>
          <w:p w14:paraId="63B29F9A" w14:textId="295E5F8B" w:rsidR="009F0B93" w:rsidRDefault="009F0B93" w:rsidP="009F0B93">
            <w:pPr>
              <w:spacing w:line="240" w:lineRule="auto"/>
              <w:jc w:val="center"/>
              <w:rPr>
                <w:rFonts w:cs="Arial"/>
                <w:color w:val="000000"/>
              </w:rPr>
            </w:pPr>
            <w:r>
              <w:rPr>
                <w:rFonts w:cs="Arial"/>
                <w:color w:val="000000"/>
              </w:rPr>
              <w:t>3</w:t>
            </w:r>
          </w:p>
        </w:tc>
        <w:tc>
          <w:tcPr>
            <w:tcW w:w="1197" w:type="dxa"/>
            <w:shd w:val="clear" w:color="auto" w:fill="auto"/>
          </w:tcPr>
          <w:p w14:paraId="56A1C5C3" w14:textId="083E128A" w:rsidR="009F0B93" w:rsidRPr="00FE5409" w:rsidRDefault="00D600F7" w:rsidP="009F0B93">
            <w:pPr>
              <w:spacing w:line="240" w:lineRule="auto"/>
              <w:jc w:val="right"/>
              <w:rPr>
                <w:rFonts w:cs="Calibri"/>
                <w:color w:val="000000"/>
                <w:lang w:eastAsia="en-AU"/>
              </w:rPr>
            </w:pPr>
            <w:r>
              <w:rPr>
                <w:rFonts w:cs="Calibri"/>
                <w:color w:val="000000"/>
                <w:lang w:eastAsia="en-AU"/>
              </w:rPr>
              <w:t>10</w:t>
            </w:r>
          </w:p>
        </w:tc>
      </w:tr>
      <w:tr w:rsidR="009F0B93" w:rsidRPr="00FE5409" w14:paraId="5A2EB27F" w14:textId="77777777" w:rsidTr="0088566E">
        <w:trPr>
          <w:trHeight w:val="300"/>
        </w:trPr>
        <w:tc>
          <w:tcPr>
            <w:tcW w:w="2200" w:type="dxa"/>
            <w:shd w:val="clear" w:color="auto" w:fill="auto"/>
          </w:tcPr>
          <w:p w14:paraId="1CA873EF" w14:textId="2882A1C2" w:rsidR="009F0B93" w:rsidRDefault="009F0B93" w:rsidP="009F0B93">
            <w:pPr>
              <w:spacing w:line="240" w:lineRule="auto"/>
              <w:jc w:val="center"/>
              <w:rPr>
                <w:rFonts w:cs="Arial"/>
                <w:color w:val="000000"/>
              </w:rPr>
            </w:pPr>
            <w:r>
              <w:rPr>
                <w:rFonts w:cs="Arial"/>
                <w:color w:val="000000"/>
              </w:rPr>
              <w:t>4</w:t>
            </w:r>
          </w:p>
        </w:tc>
        <w:tc>
          <w:tcPr>
            <w:tcW w:w="1197" w:type="dxa"/>
            <w:shd w:val="clear" w:color="auto" w:fill="auto"/>
          </w:tcPr>
          <w:p w14:paraId="05745006" w14:textId="7972523B" w:rsidR="009F0B93" w:rsidRPr="00FE5409" w:rsidRDefault="00D600F7" w:rsidP="009F0B93">
            <w:pPr>
              <w:spacing w:line="240" w:lineRule="auto"/>
              <w:jc w:val="right"/>
              <w:rPr>
                <w:rFonts w:cs="Calibri"/>
                <w:color w:val="000000"/>
                <w:lang w:eastAsia="en-AU"/>
              </w:rPr>
            </w:pPr>
            <w:r>
              <w:rPr>
                <w:rFonts w:cs="Calibri"/>
                <w:color w:val="000000"/>
                <w:lang w:eastAsia="en-AU"/>
              </w:rPr>
              <w:t>2</w:t>
            </w:r>
          </w:p>
        </w:tc>
      </w:tr>
      <w:tr w:rsidR="009F0B93" w:rsidRPr="00FE5409" w14:paraId="3D8BDCCA" w14:textId="77777777" w:rsidTr="0088566E">
        <w:trPr>
          <w:trHeight w:val="300"/>
        </w:trPr>
        <w:tc>
          <w:tcPr>
            <w:tcW w:w="2200" w:type="dxa"/>
            <w:shd w:val="clear" w:color="auto" w:fill="auto"/>
            <w:hideMark/>
          </w:tcPr>
          <w:p w14:paraId="44CD1767" w14:textId="77777777" w:rsidR="009F0B93" w:rsidRPr="00FE5409" w:rsidRDefault="009F0B93" w:rsidP="009F0B93">
            <w:pPr>
              <w:spacing w:line="240" w:lineRule="auto"/>
              <w:rPr>
                <w:rFonts w:cs="Calibri"/>
                <w:b/>
                <w:bCs/>
                <w:color w:val="000000"/>
                <w:lang w:eastAsia="en-AU"/>
              </w:rPr>
            </w:pPr>
            <w:r w:rsidRPr="00FE5409">
              <w:rPr>
                <w:rFonts w:cs="Calibri"/>
                <w:b/>
                <w:bCs/>
                <w:color w:val="000000"/>
                <w:lang w:eastAsia="en-AU"/>
              </w:rPr>
              <w:t>Total</w:t>
            </w:r>
          </w:p>
        </w:tc>
        <w:tc>
          <w:tcPr>
            <w:tcW w:w="1197" w:type="dxa"/>
            <w:shd w:val="clear" w:color="auto" w:fill="auto"/>
          </w:tcPr>
          <w:p w14:paraId="0B07992C" w14:textId="73552B5A" w:rsidR="009F0B93" w:rsidRPr="00FE5409" w:rsidRDefault="00D600F7" w:rsidP="009F0B93">
            <w:pPr>
              <w:spacing w:line="240" w:lineRule="auto"/>
              <w:jc w:val="right"/>
              <w:rPr>
                <w:rFonts w:cs="Calibri"/>
                <w:b/>
                <w:bCs/>
                <w:color w:val="000000"/>
                <w:lang w:eastAsia="en-AU"/>
              </w:rPr>
            </w:pPr>
            <w:r>
              <w:rPr>
                <w:rFonts w:cs="Calibri"/>
                <w:b/>
                <w:bCs/>
                <w:color w:val="000000"/>
                <w:lang w:eastAsia="en-AU"/>
              </w:rPr>
              <w:t>721</w:t>
            </w:r>
          </w:p>
        </w:tc>
      </w:tr>
    </w:tbl>
    <w:p w14:paraId="2969FCB4" w14:textId="77777777" w:rsidR="00DD432B" w:rsidRDefault="00DD432B" w:rsidP="0024013F">
      <w:pPr>
        <w:tabs>
          <w:tab w:val="left" w:pos="1134"/>
        </w:tabs>
        <w:ind w:left="-142" w:right="-425"/>
        <w:jc w:val="both"/>
      </w:pPr>
    </w:p>
    <w:p w14:paraId="27EFE698" w14:textId="5FD6E72D" w:rsidR="0019319F" w:rsidRDefault="0019319F" w:rsidP="00106EA8">
      <w:pPr>
        <w:tabs>
          <w:tab w:val="left" w:pos="1134"/>
        </w:tabs>
        <w:ind w:left="-142" w:right="-425"/>
        <w:jc w:val="both"/>
      </w:pPr>
      <w:r>
        <w:t>I</w:t>
      </w:r>
      <w:r w:rsidR="00492241">
        <w:t xml:space="preserve">nvestigations reveal </w:t>
      </w:r>
      <w:r w:rsidR="00A429F9">
        <w:t>th</w:t>
      </w:r>
      <w:r>
        <w:t>e following information regard</w:t>
      </w:r>
      <w:r w:rsidR="003317A8">
        <w:t>ing</w:t>
      </w:r>
      <w:r>
        <w:t xml:space="preserve"> the </w:t>
      </w:r>
      <w:r w:rsidR="003317A8">
        <w:t xml:space="preserve">types of </w:t>
      </w:r>
      <w:r w:rsidR="003E4DE0">
        <w:t xml:space="preserve">sole </w:t>
      </w:r>
      <w:r w:rsidR="003317A8">
        <w:t xml:space="preserve">trigger </w:t>
      </w:r>
      <w:r>
        <w:t xml:space="preserve">notices received by </w:t>
      </w:r>
      <w:r w:rsidR="003317A8">
        <w:t xml:space="preserve">Commission </w:t>
      </w:r>
      <w:r w:rsidR="001B6C3A">
        <w:t xml:space="preserve">clients </w:t>
      </w:r>
      <w:r w:rsidR="003317A8">
        <w:t>during the quarter</w:t>
      </w:r>
      <w:r>
        <w:t>:</w:t>
      </w:r>
    </w:p>
    <w:p w14:paraId="6C36ABA8" w14:textId="2C62E73A" w:rsidR="003317A8" w:rsidRPr="002B14E8" w:rsidRDefault="00FB4106" w:rsidP="005C0A9F">
      <w:pPr>
        <w:tabs>
          <w:tab w:val="decimal" w:pos="720"/>
        </w:tabs>
        <w:ind w:left="-142" w:right="-425"/>
        <w:jc w:val="both"/>
      </w:pPr>
      <w:r>
        <w:tab/>
      </w:r>
      <w:r w:rsidR="00166933">
        <w:t>5</w:t>
      </w:r>
      <w:r w:rsidR="00D600F7">
        <w:t>5</w:t>
      </w:r>
      <w:r w:rsidR="00DD36DF">
        <w:t>%</w:t>
      </w:r>
      <w:r w:rsidR="003317A8" w:rsidRPr="002B14E8">
        <w:t xml:space="preserve"> received a school attendance </w:t>
      </w:r>
      <w:r w:rsidR="00546F72" w:rsidRPr="002B14E8">
        <w:t xml:space="preserve">(EQ) </w:t>
      </w:r>
      <w:r w:rsidR="003317A8" w:rsidRPr="002B14E8">
        <w:t>notice</w:t>
      </w:r>
    </w:p>
    <w:p w14:paraId="148CD9E5" w14:textId="3BA591BF" w:rsidR="003317A8" w:rsidRDefault="00FB4106" w:rsidP="005C0A9F">
      <w:pPr>
        <w:tabs>
          <w:tab w:val="decimal" w:pos="720"/>
        </w:tabs>
        <w:ind w:left="-142" w:right="-425"/>
        <w:jc w:val="both"/>
      </w:pPr>
      <w:r w:rsidRPr="002B14E8">
        <w:tab/>
      </w:r>
      <w:r w:rsidR="00166933">
        <w:t>1</w:t>
      </w:r>
      <w:r w:rsidR="00D600F7">
        <w:t>5</w:t>
      </w:r>
      <w:r w:rsidR="00DD36DF">
        <w:t>%</w:t>
      </w:r>
      <w:r w:rsidR="00FC7C1D" w:rsidRPr="002B14E8">
        <w:t xml:space="preserve"> </w:t>
      </w:r>
      <w:r w:rsidR="00492241" w:rsidRPr="002B14E8">
        <w:t>received a Magistrate Co</w:t>
      </w:r>
      <w:r w:rsidR="00E364B4" w:rsidRPr="002B14E8">
        <w:t>u</w:t>
      </w:r>
      <w:r w:rsidR="00492241" w:rsidRPr="002B14E8">
        <w:t xml:space="preserve">rt </w:t>
      </w:r>
      <w:r w:rsidR="00546F72" w:rsidRPr="002B14E8">
        <w:t xml:space="preserve">(MAG) </w:t>
      </w:r>
      <w:r w:rsidR="00492241" w:rsidRPr="002B14E8">
        <w:t>notice</w:t>
      </w:r>
    </w:p>
    <w:p w14:paraId="51C38AAB" w14:textId="141E69AC" w:rsidR="00D600F7" w:rsidRDefault="000B2FD5" w:rsidP="005D2783">
      <w:pPr>
        <w:tabs>
          <w:tab w:val="decimal" w:pos="720"/>
        </w:tabs>
        <w:ind w:left="-142" w:right="-425"/>
        <w:jc w:val="both"/>
      </w:pPr>
      <w:r w:rsidRPr="002B14E8">
        <w:tab/>
      </w:r>
      <w:r w:rsidR="00D600F7">
        <w:t>8</w:t>
      </w:r>
      <w:r w:rsidR="00DD36DF">
        <w:t>%</w:t>
      </w:r>
      <w:r w:rsidRPr="002B14E8">
        <w:t xml:space="preserve"> received a child safety and welfare (CS) notice</w:t>
      </w:r>
    </w:p>
    <w:p w14:paraId="4CC669BB" w14:textId="63994CBD" w:rsidR="005D2783" w:rsidRPr="002B14E8" w:rsidRDefault="005D2783" w:rsidP="005D2783">
      <w:pPr>
        <w:tabs>
          <w:tab w:val="decimal" w:pos="720"/>
        </w:tabs>
        <w:ind w:left="-142" w:right="-425"/>
        <w:jc w:val="both"/>
      </w:pPr>
      <w:r w:rsidRPr="002B14E8">
        <w:tab/>
      </w:r>
      <w:r w:rsidR="00D600F7">
        <w:t>4</w:t>
      </w:r>
      <w:r w:rsidR="00DD36DF">
        <w:t>%</w:t>
      </w:r>
      <w:r w:rsidRPr="002B14E8">
        <w:t xml:space="preserve"> received a domestic violence order (DVO) notice</w:t>
      </w:r>
    </w:p>
    <w:p w14:paraId="35B9421A" w14:textId="7D4E233E" w:rsidR="00384FFE" w:rsidRPr="002B14E8" w:rsidRDefault="00166933" w:rsidP="00384FFE">
      <w:pPr>
        <w:tabs>
          <w:tab w:val="decimal" w:pos="720"/>
        </w:tabs>
        <w:ind w:left="-142" w:right="-425"/>
        <w:jc w:val="both"/>
      </w:pPr>
      <w:r>
        <w:tab/>
      </w:r>
      <w:r w:rsidR="00D600F7">
        <w:t>1</w:t>
      </w:r>
      <w:r w:rsidR="00DD36DF">
        <w:t>%</w:t>
      </w:r>
      <w:r>
        <w:t xml:space="preserve"> received a domestic violence breach (DVB) notice</w:t>
      </w:r>
      <w:r w:rsidR="005D2783">
        <w:t>.</w:t>
      </w:r>
    </w:p>
    <w:p w14:paraId="7E950EE4" w14:textId="77777777" w:rsidR="003C0A9A" w:rsidRDefault="003C0A9A" w:rsidP="005C0A9F">
      <w:pPr>
        <w:tabs>
          <w:tab w:val="decimal" w:pos="720"/>
        </w:tabs>
        <w:ind w:left="-142" w:right="-425"/>
        <w:jc w:val="both"/>
      </w:pPr>
    </w:p>
    <w:p w14:paraId="74CFEB98" w14:textId="6AD9F745" w:rsidR="002B14E8" w:rsidRDefault="002B14E8" w:rsidP="001E5F23">
      <w:pPr>
        <w:tabs>
          <w:tab w:val="left" w:pos="1134"/>
        </w:tabs>
        <w:ind w:left="-142" w:right="-425"/>
        <w:jc w:val="both"/>
      </w:pPr>
      <w:r>
        <w:t>The remaining sole trigger notices received for Commission client</w:t>
      </w:r>
      <w:r w:rsidR="00804B99">
        <w:t>s</w:t>
      </w:r>
      <w:r>
        <w:t xml:space="preserve"> during the quarter w</w:t>
      </w:r>
      <w:r w:rsidR="00804B99">
        <w:t>ere</w:t>
      </w:r>
      <w:r>
        <w:t xml:space="preserve"> </w:t>
      </w:r>
      <w:r w:rsidR="000B2FD5">
        <w:t>2</w:t>
      </w:r>
      <w:r w:rsidR="003C0A9A">
        <w:t xml:space="preserve"> client</w:t>
      </w:r>
      <w:r w:rsidR="000B2FD5">
        <w:t>s</w:t>
      </w:r>
      <w:r w:rsidR="003C0A9A">
        <w:t xml:space="preserve"> with a District court notice (DIS)</w:t>
      </w:r>
      <w:r w:rsidR="000B2FD5">
        <w:t xml:space="preserve">, </w:t>
      </w:r>
      <w:r w:rsidR="00D600F7">
        <w:t>3</w:t>
      </w:r>
      <w:r w:rsidR="000B2FD5">
        <w:t xml:space="preserve"> client</w:t>
      </w:r>
      <w:r w:rsidR="00D600F7">
        <w:t>s</w:t>
      </w:r>
      <w:r w:rsidR="000B2FD5">
        <w:t xml:space="preserve"> with a Housing Tenancy Breach notice (HT)</w:t>
      </w:r>
      <w:r w:rsidR="00166933">
        <w:t xml:space="preserve"> </w:t>
      </w:r>
      <w:r w:rsidR="005E1684">
        <w:t xml:space="preserve">and </w:t>
      </w:r>
      <w:r w:rsidR="00D600F7">
        <w:t>1</w:t>
      </w:r>
      <w:r w:rsidR="005E1684">
        <w:t xml:space="preserve"> client with a </w:t>
      </w:r>
      <w:r w:rsidR="003C0A9A">
        <w:t>school enrolment</w:t>
      </w:r>
      <w:r w:rsidR="005E1684">
        <w:t xml:space="preserve"> notice (</w:t>
      </w:r>
      <w:r w:rsidR="003C0A9A">
        <w:t>SEN</w:t>
      </w:r>
      <w:r w:rsidR="005E1684">
        <w:t>)</w:t>
      </w:r>
      <w:r>
        <w:t>.</w:t>
      </w:r>
    </w:p>
    <w:p w14:paraId="45C18E5D" w14:textId="77777777" w:rsidR="00085687" w:rsidRDefault="00085687" w:rsidP="004E36FE">
      <w:pPr>
        <w:tabs>
          <w:tab w:val="left" w:pos="1134"/>
        </w:tabs>
        <w:ind w:left="-142" w:right="-425"/>
        <w:jc w:val="both"/>
      </w:pPr>
    </w:p>
    <w:p w14:paraId="78ABBEEE" w14:textId="1C646EF4" w:rsidR="004E36FE" w:rsidRDefault="00702AE8" w:rsidP="004E36FE">
      <w:pPr>
        <w:tabs>
          <w:tab w:val="left" w:pos="1134"/>
        </w:tabs>
        <w:ind w:left="-142" w:right="-425"/>
        <w:jc w:val="both"/>
      </w:pPr>
      <w:r>
        <w:t xml:space="preserve">Table </w:t>
      </w:r>
      <w:r w:rsidR="002522F2">
        <w:t>3</w:t>
      </w:r>
      <w:r>
        <w:t xml:space="preserve"> shows t</w:t>
      </w:r>
      <w:r w:rsidR="00D87B74">
        <w:t xml:space="preserve">he </w:t>
      </w:r>
      <w:r w:rsidR="00D87B74" w:rsidRPr="00ED2A82">
        <w:t xml:space="preserve">combination of trigger notices received for </w:t>
      </w:r>
      <w:r w:rsidR="00A430B9">
        <w:t xml:space="preserve">the </w:t>
      </w:r>
      <w:r w:rsidR="00166933">
        <w:t>1</w:t>
      </w:r>
      <w:r w:rsidR="000B2FD5">
        <w:t>1</w:t>
      </w:r>
      <w:r w:rsidR="005721E7">
        <w:t>4</w:t>
      </w:r>
      <w:r w:rsidR="00166933" w:rsidRPr="00ED2A82">
        <w:t xml:space="preserve"> </w:t>
      </w:r>
      <w:r w:rsidR="00DB02B5" w:rsidRPr="00ED2A82">
        <w:t xml:space="preserve">clients </w:t>
      </w:r>
      <w:r w:rsidR="006E1ADD" w:rsidRPr="00ED2A82">
        <w:t>w</w:t>
      </w:r>
      <w:r w:rsidR="00266BB4" w:rsidRPr="00ED2A82">
        <w:t xml:space="preserve">ith </w:t>
      </w:r>
      <w:r w:rsidR="00DB02B5" w:rsidRPr="00ED2A82">
        <w:t xml:space="preserve">more than one </w:t>
      </w:r>
      <w:r w:rsidR="00D87B74" w:rsidRPr="00ED2A82">
        <w:t xml:space="preserve">type of </w:t>
      </w:r>
      <w:r w:rsidR="00DB02B5" w:rsidRPr="00ED2A82">
        <w:t xml:space="preserve">trigger </w:t>
      </w:r>
      <w:r w:rsidR="00D87B74" w:rsidRPr="00ED2A82">
        <w:t xml:space="preserve">notice. </w:t>
      </w:r>
      <w:r w:rsidR="00D87B74" w:rsidRPr="004D45AD">
        <w:t xml:space="preserve">One can see that predominantly </w:t>
      </w:r>
      <w:r w:rsidR="00E451BA" w:rsidRPr="004D45AD">
        <w:t>there is a nexus between</w:t>
      </w:r>
      <w:r w:rsidR="00266BB4" w:rsidRPr="004D45AD">
        <w:t xml:space="preserve"> </w:t>
      </w:r>
      <w:r w:rsidR="00D87B74" w:rsidRPr="004D45AD">
        <w:t xml:space="preserve">Court convictions </w:t>
      </w:r>
      <w:r w:rsidR="00266BB4" w:rsidRPr="004D45AD">
        <w:t xml:space="preserve">and domestic violence orders/breaches </w:t>
      </w:r>
      <w:r w:rsidR="00E451BA" w:rsidRPr="004D45AD">
        <w:t>with</w:t>
      </w:r>
      <w:r w:rsidR="00D87B74" w:rsidRPr="004D45AD">
        <w:t xml:space="preserve"> education </w:t>
      </w:r>
      <w:r w:rsidR="00E451BA" w:rsidRPr="004D45AD">
        <w:t xml:space="preserve">notices </w:t>
      </w:r>
      <w:r w:rsidR="00D87B74" w:rsidRPr="004D45AD">
        <w:t>and child safety issues</w:t>
      </w:r>
      <w:r w:rsidR="00A903B1" w:rsidRPr="004D45AD">
        <w:t xml:space="preserve">, and </w:t>
      </w:r>
      <w:r w:rsidR="00E451BA" w:rsidRPr="004D45AD">
        <w:t xml:space="preserve">also </w:t>
      </w:r>
      <w:r w:rsidR="00A903B1" w:rsidRPr="004D45AD">
        <w:t>a strong nexus between child safety issues and education notices</w:t>
      </w:r>
      <w:r w:rsidR="00266BB4" w:rsidRPr="004D45AD">
        <w:t>.</w:t>
      </w:r>
    </w:p>
    <w:p w14:paraId="4DF56508" w14:textId="6FC8AD83" w:rsidR="0030587D" w:rsidRDefault="0030587D" w:rsidP="00106EA8">
      <w:pPr>
        <w:tabs>
          <w:tab w:val="left" w:pos="1134"/>
        </w:tabs>
        <w:ind w:left="-142" w:right="-425"/>
        <w:jc w:val="both"/>
      </w:pPr>
    </w:p>
    <w:p w14:paraId="1F2400EB" w14:textId="77777777" w:rsidR="002522F2" w:rsidRDefault="002522F2">
      <w:pPr>
        <w:spacing w:line="240" w:lineRule="auto"/>
        <w:rPr>
          <w:b/>
          <w:sz w:val="16"/>
          <w:szCs w:val="16"/>
        </w:rPr>
      </w:pPr>
      <w:r>
        <w:rPr>
          <w:b/>
          <w:sz w:val="16"/>
          <w:szCs w:val="16"/>
        </w:rPr>
        <w:br w:type="page"/>
      </w:r>
    </w:p>
    <w:p w14:paraId="545211AE" w14:textId="049E5EE8" w:rsidR="0030587D" w:rsidRPr="00352CA2" w:rsidRDefault="0030587D" w:rsidP="00352CA2">
      <w:pPr>
        <w:spacing w:after="120" w:line="240" w:lineRule="auto"/>
        <w:ind w:left="794" w:hanging="794"/>
        <w:rPr>
          <w:b/>
          <w:sz w:val="16"/>
          <w:szCs w:val="16"/>
        </w:rPr>
      </w:pPr>
      <w:r w:rsidRPr="00352CA2">
        <w:rPr>
          <w:b/>
          <w:sz w:val="16"/>
          <w:szCs w:val="16"/>
        </w:rPr>
        <w:lastRenderedPageBreak/>
        <w:t xml:space="preserve">Table </w:t>
      </w:r>
      <w:r w:rsidR="002522F2">
        <w:rPr>
          <w:b/>
          <w:sz w:val="16"/>
          <w:szCs w:val="16"/>
        </w:rPr>
        <w:t>3</w:t>
      </w:r>
      <w:r w:rsidRPr="00352CA2">
        <w:rPr>
          <w:b/>
          <w:sz w:val="16"/>
          <w:szCs w:val="16"/>
        </w:rPr>
        <w:t xml:space="preserve">: </w:t>
      </w:r>
      <w:r w:rsidR="00352CA2" w:rsidRPr="00352CA2">
        <w:rPr>
          <w:bCs/>
          <w:sz w:val="16"/>
          <w:szCs w:val="16"/>
        </w:rPr>
        <w:t xml:space="preserve">Number of clients </w:t>
      </w:r>
      <w:r w:rsidR="00266BB4">
        <w:rPr>
          <w:bCs/>
          <w:sz w:val="16"/>
          <w:szCs w:val="16"/>
        </w:rPr>
        <w:t>with</w:t>
      </w:r>
      <w:r w:rsidR="00702AE8">
        <w:rPr>
          <w:bCs/>
          <w:sz w:val="16"/>
          <w:szCs w:val="16"/>
        </w:rPr>
        <w:t xml:space="preserve"> </w:t>
      </w:r>
      <w:r w:rsidR="00324D3F">
        <w:rPr>
          <w:bCs/>
          <w:sz w:val="16"/>
          <w:szCs w:val="16"/>
        </w:rPr>
        <w:t xml:space="preserve">a combination of different types of </w:t>
      </w:r>
      <w:r w:rsidR="00352CA2" w:rsidRPr="00352CA2">
        <w:rPr>
          <w:bCs/>
          <w:sz w:val="16"/>
          <w:szCs w:val="16"/>
        </w:rPr>
        <w:t>agency notices</w:t>
      </w:r>
      <w:r w:rsidR="007E7F5E">
        <w:rPr>
          <w:bCs/>
          <w:sz w:val="16"/>
          <w:szCs w:val="16"/>
        </w:rPr>
        <w:t xml:space="preserve"> (i.e. Child Safety </w:t>
      </w:r>
      <w:r w:rsidR="00546F72">
        <w:rPr>
          <w:bCs/>
          <w:sz w:val="16"/>
          <w:szCs w:val="16"/>
        </w:rPr>
        <w:t xml:space="preserve">and Welfare </w:t>
      </w:r>
      <w:r w:rsidR="007E7F5E">
        <w:rPr>
          <w:bCs/>
          <w:sz w:val="16"/>
          <w:szCs w:val="16"/>
        </w:rPr>
        <w:t xml:space="preserve">(CS), Domestic Violence Order (DVO), Domestic Violence Breach (DVB), Magistrates Court (MAG), District Court (DIS), Education Queensland </w:t>
      </w:r>
      <w:r w:rsidR="00546F72">
        <w:rPr>
          <w:bCs/>
          <w:sz w:val="16"/>
          <w:szCs w:val="16"/>
        </w:rPr>
        <w:t xml:space="preserve">for school attendance </w:t>
      </w:r>
      <w:r w:rsidR="007E7F5E">
        <w:rPr>
          <w:bCs/>
          <w:sz w:val="16"/>
          <w:szCs w:val="16"/>
        </w:rPr>
        <w:t>(EQ), Housing Tenancy</w:t>
      </w:r>
      <w:r w:rsidR="00546F72">
        <w:rPr>
          <w:bCs/>
          <w:sz w:val="16"/>
          <w:szCs w:val="16"/>
        </w:rPr>
        <w:t xml:space="preserve"> Breach</w:t>
      </w:r>
      <w:r w:rsidR="007E7F5E">
        <w:rPr>
          <w:bCs/>
          <w:sz w:val="16"/>
          <w:szCs w:val="16"/>
        </w:rPr>
        <w:t xml:space="preserve"> (HT) and </w:t>
      </w:r>
      <w:r w:rsidR="00546F72">
        <w:rPr>
          <w:bCs/>
          <w:sz w:val="16"/>
          <w:szCs w:val="16"/>
        </w:rPr>
        <w:t>School Enrolment</w:t>
      </w:r>
      <w:r w:rsidR="007E7F5E">
        <w:rPr>
          <w:bCs/>
          <w:sz w:val="16"/>
          <w:szCs w:val="16"/>
        </w:rPr>
        <w:t xml:space="preserve"> (SEN)</w:t>
      </w:r>
      <w:r w:rsidR="00352CA2" w:rsidRPr="00352CA2">
        <w:rPr>
          <w:bCs/>
          <w:sz w:val="16"/>
          <w:szCs w:val="16"/>
        </w:rPr>
        <w:t xml:space="preserve"> from </w:t>
      </w:r>
      <w:r w:rsidR="007B7E78">
        <w:rPr>
          <w:bCs/>
          <w:sz w:val="16"/>
          <w:szCs w:val="16"/>
        </w:rPr>
        <w:t xml:space="preserve">1 </w:t>
      </w:r>
      <w:r w:rsidR="0080444C">
        <w:rPr>
          <w:bCs/>
          <w:sz w:val="16"/>
          <w:szCs w:val="16"/>
        </w:rPr>
        <w:t xml:space="preserve">July </w:t>
      </w:r>
      <w:r w:rsidR="00413FAC">
        <w:rPr>
          <w:bCs/>
          <w:sz w:val="16"/>
          <w:szCs w:val="16"/>
        </w:rPr>
        <w:t>2023</w:t>
      </w:r>
      <w:r w:rsidR="00352CA2" w:rsidRPr="00352CA2">
        <w:rPr>
          <w:bCs/>
          <w:sz w:val="16"/>
          <w:szCs w:val="16"/>
        </w:rPr>
        <w:t xml:space="preserve"> to </w:t>
      </w:r>
      <w:r w:rsidR="007B7E78">
        <w:rPr>
          <w:bCs/>
          <w:sz w:val="16"/>
          <w:szCs w:val="16"/>
        </w:rPr>
        <w:t>3</w:t>
      </w:r>
      <w:r w:rsidR="00CE7CB6">
        <w:rPr>
          <w:bCs/>
          <w:sz w:val="16"/>
          <w:szCs w:val="16"/>
        </w:rPr>
        <w:t xml:space="preserve">0 </w:t>
      </w:r>
      <w:r w:rsidR="0080444C">
        <w:rPr>
          <w:bCs/>
          <w:sz w:val="16"/>
          <w:szCs w:val="16"/>
        </w:rPr>
        <w:t xml:space="preserve">September </w:t>
      </w:r>
      <w:r w:rsidR="00984BBB">
        <w:rPr>
          <w:bCs/>
          <w:sz w:val="16"/>
          <w:szCs w:val="16"/>
        </w:rPr>
        <w:t>2023</w:t>
      </w:r>
      <w:r w:rsidR="00993F41" w:rsidRPr="008F6888">
        <w:rPr>
          <w:rStyle w:val="FootnoteReference"/>
          <w:bCs/>
          <w:sz w:val="16"/>
          <w:szCs w:val="16"/>
        </w:rPr>
        <w:footnoteReference w:id="5"/>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FE5409" w:rsidRPr="00FE5409" w14:paraId="578AE4B1" w14:textId="77777777" w:rsidTr="00352CA2">
        <w:trPr>
          <w:trHeight w:val="765"/>
        </w:trPr>
        <w:tc>
          <w:tcPr>
            <w:tcW w:w="2200" w:type="dxa"/>
            <w:shd w:val="clear" w:color="auto" w:fill="auto"/>
            <w:noWrap/>
            <w:vAlign w:val="bottom"/>
            <w:hideMark/>
          </w:tcPr>
          <w:p w14:paraId="5A4E8D3E" w14:textId="36740BC5" w:rsidR="00FE5409" w:rsidRPr="00FE5409" w:rsidRDefault="0014335A" w:rsidP="00FE5409">
            <w:pPr>
              <w:spacing w:line="240" w:lineRule="auto"/>
              <w:rPr>
                <w:rFonts w:ascii="Calibri" w:hAnsi="Calibri" w:cs="Calibri"/>
                <w:b/>
                <w:bCs/>
                <w:sz w:val="22"/>
                <w:szCs w:val="22"/>
                <w:lang w:eastAsia="en-AU"/>
              </w:rPr>
            </w:pPr>
            <w:r>
              <w:rPr>
                <w:rFonts w:ascii="Calibri" w:hAnsi="Calibri" w:cs="Calibri"/>
                <w:b/>
                <w:bCs/>
                <w:sz w:val="22"/>
                <w:szCs w:val="22"/>
                <w:lang w:eastAsia="en-AU"/>
              </w:rPr>
              <w:t>Type of Agency Notice/s</w:t>
            </w:r>
          </w:p>
        </w:tc>
        <w:tc>
          <w:tcPr>
            <w:tcW w:w="1197" w:type="dxa"/>
            <w:shd w:val="clear" w:color="auto" w:fill="auto"/>
            <w:vAlign w:val="bottom"/>
            <w:hideMark/>
          </w:tcPr>
          <w:p w14:paraId="128D733F" w14:textId="77777777" w:rsidR="00FE5409" w:rsidRPr="00FE5409" w:rsidRDefault="00FE5409" w:rsidP="00FE5409">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5721E7" w:rsidRPr="00FE5409" w14:paraId="43A6684F" w14:textId="77777777" w:rsidTr="000B2FD5">
        <w:trPr>
          <w:trHeight w:val="300"/>
        </w:trPr>
        <w:tc>
          <w:tcPr>
            <w:tcW w:w="2200" w:type="dxa"/>
            <w:shd w:val="clear" w:color="auto" w:fill="auto"/>
            <w:vAlign w:val="bottom"/>
          </w:tcPr>
          <w:p w14:paraId="2207F67D" w14:textId="14DE0CB5" w:rsidR="005721E7" w:rsidRDefault="005721E7" w:rsidP="005721E7">
            <w:pPr>
              <w:spacing w:line="240" w:lineRule="auto"/>
              <w:rPr>
                <w:rFonts w:cs="Arial"/>
                <w:color w:val="000000"/>
              </w:rPr>
            </w:pPr>
            <w:r>
              <w:rPr>
                <w:rFonts w:ascii="Arial" w:hAnsi="Arial" w:cs="Arial"/>
              </w:rPr>
              <w:t>CS,DVB,DVO</w:t>
            </w:r>
          </w:p>
        </w:tc>
        <w:tc>
          <w:tcPr>
            <w:tcW w:w="1197" w:type="dxa"/>
            <w:shd w:val="clear" w:color="auto" w:fill="auto"/>
            <w:vAlign w:val="bottom"/>
          </w:tcPr>
          <w:p w14:paraId="2687D295" w14:textId="259A3BAB" w:rsidR="005721E7" w:rsidRDefault="005721E7" w:rsidP="005721E7">
            <w:pPr>
              <w:spacing w:line="240" w:lineRule="auto"/>
              <w:jc w:val="right"/>
              <w:rPr>
                <w:rFonts w:cs="Arial"/>
                <w:color w:val="000000"/>
              </w:rPr>
            </w:pPr>
            <w:r>
              <w:rPr>
                <w:rFonts w:ascii="Arial" w:hAnsi="Arial" w:cs="Arial"/>
              </w:rPr>
              <w:t>1</w:t>
            </w:r>
          </w:p>
        </w:tc>
      </w:tr>
      <w:tr w:rsidR="005721E7" w:rsidRPr="00FE5409" w14:paraId="4CC5A88B" w14:textId="77777777" w:rsidTr="000B2FD5">
        <w:trPr>
          <w:trHeight w:val="300"/>
        </w:trPr>
        <w:tc>
          <w:tcPr>
            <w:tcW w:w="2200" w:type="dxa"/>
            <w:shd w:val="clear" w:color="auto" w:fill="auto"/>
            <w:vAlign w:val="bottom"/>
          </w:tcPr>
          <w:p w14:paraId="61A9D4A5" w14:textId="28EFE6A4" w:rsidR="005721E7" w:rsidRDefault="005721E7" w:rsidP="005721E7">
            <w:pPr>
              <w:spacing w:line="240" w:lineRule="auto"/>
              <w:rPr>
                <w:rFonts w:cs="Arial"/>
                <w:color w:val="000000"/>
              </w:rPr>
            </w:pPr>
            <w:r>
              <w:rPr>
                <w:rFonts w:ascii="Arial" w:hAnsi="Arial" w:cs="Arial"/>
              </w:rPr>
              <w:t>CS,DVB,DVO,MAG</w:t>
            </w:r>
          </w:p>
        </w:tc>
        <w:tc>
          <w:tcPr>
            <w:tcW w:w="1197" w:type="dxa"/>
            <w:shd w:val="clear" w:color="auto" w:fill="auto"/>
            <w:vAlign w:val="bottom"/>
          </w:tcPr>
          <w:p w14:paraId="4B4FBAFF" w14:textId="166FDB0D" w:rsidR="005721E7" w:rsidRPr="00FE5409" w:rsidRDefault="005721E7" w:rsidP="005721E7">
            <w:pPr>
              <w:spacing w:line="240" w:lineRule="auto"/>
              <w:jc w:val="right"/>
              <w:rPr>
                <w:rFonts w:cs="Calibri"/>
                <w:color w:val="000000"/>
                <w:lang w:eastAsia="en-AU"/>
              </w:rPr>
            </w:pPr>
            <w:r>
              <w:rPr>
                <w:rFonts w:ascii="Arial" w:hAnsi="Arial" w:cs="Arial"/>
              </w:rPr>
              <w:t>1</w:t>
            </w:r>
          </w:p>
        </w:tc>
      </w:tr>
      <w:tr w:rsidR="005721E7" w:rsidRPr="00FE5409" w14:paraId="37C0D2CE" w14:textId="77777777" w:rsidTr="000B2FD5">
        <w:trPr>
          <w:trHeight w:val="300"/>
        </w:trPr>
        <w:tc>
          <w:tcPr>
            <w:tcW w:w="2200" w:type="dxa"/>
            <w:shd w:val="clear" w:color="auto" w:fill="auto"/>
            <w:vAlign w:val="bottom"/>
          </w:tcPr>
          <w:p w14:paraId="0B6C9CC2" w14:textId="5C334169" w:rsidR="005721E7" w:rsidRDefault="005721E7" w:rsidP="005721E7">
            <w:pPr>
              <w:spacing w:line="240" w:lineRule="auto"/>
              <w:rPr>
                <w:rFonts w:cs="Arial"/>
                <w:color w:val="000000"/>
              </w:rPr>
            </w:pPr>
            <w:r>
              <w:rPr>
                <w:rFonts w:ascii="Arial" w:hAnsi="Arial" w:cs="Arial"/>
              </w:rPr>
              <w:t>CS,DVB,MAG</w:t>
            </w:r>
          </w:p>
        </w:tc>
        <w:tc>
          <w:tcPr>
            <w:tcW w:w="1197" w:type="dxa"/>
            <w:shd w:val="clear" w:color="auto" w:fill="auto"/>
            <w:vAlign w:val="bottom"/>
          </w:tcPr>
          <w:p w14:paraId="60C66FED" w14:textId="3561421F" w:rsidR="005721E7" w:rsidRPr="00FE5409" w:rsidRDefault="005721E7" w:rsidP="005721E7">
            <w:pPr>
              <w:spacing w:line="240" w:lineRule="auto"/>
              <w:jc w:val="right"/>
              <w:rPr>
                <w:rFonts w:cs="Calibri"/>
                <w:color w:val="000000"/>
                <w:lang w:eastAsia="en-AU"/>
              </w:rPr>
            </w:pPr>
            <w:r>
              <w:rPr>
                <w:rFonts w:ascii="Arial" w:hAnsi="Arial" w:cs="Arial"/>
              </w:rPr>
              <w:t>1</w:t>
            </w:r>
          </w:p>
        </w:tc>
      </w:tr>
      <w:tr w:rsidR="005721E7" w:rsidRPr="00FE5409" w14:paraId="492A9CC8" w14:textId="77777777" w:rsidTr="000B2FD5">
        <w:trPr>
          <w:trHeight w:val="300"/>
        </w:trPr>
        <w:tc>
          <w:tcPr>
            <w:tcW w:w="2200" w:type="dxa"/>
            <w:shd w:val="clear" w:color="auto" w:fill="auto"/>
            <w:vAlign w:val="bottom"/>
          </w:tcPr>
          <w:p w14:paraId="13AE3B26" w14:textId="6F326518" w:rsidR="005721E7" w:rsidRPr="00FE5409" w:rsidRDefault="005721E7" w:rsidP="005721E7">
            <w:pPr>
              <w:spacing w:line="240" w:lineRule="auto"/>
              <w:rPr>
                <w:rFonts w:cs="Calibri"/>
                <w:color w:val="000000"/>
                <w:lang w:eastAsia="en-AU"/>
              </w:rPr>
            </w:pPr>
            <w:r>
              <w:rPr>
                <w:rFonts w:ascii="Arial" w:hAnsi="Arial" w:cs="Arial"/>
              </w:rPr>
              <w:t>CS,DVO</w:t>
            </w:r>
          </w:p>
        </w:tc>
        <w:tc>
          <w:tcPr>
            <w:tcW w:w="1197" w:type="dxa"/>
            <w:shd w:val="clear" w:color="auto" w:fill="auto"/>
            <w:vAlign w:val="bottom"/>
          </w:tcPr>
          <w:p w14:paraId="1E1FE897" w14:textId="7B5D2EA5" w:rsidR="005721E7" w:rsidRPr="00FE5409" w:rsidRDefault="005721E7" w:rsidP="005721E7">
            <w:pPr>
              <w:spacing w:line="240" w:lineRule="auto"/>
              <w:jc w:val="right"/>
              <w:rPr>
                <w:rFonts w:cs="Calibri"/>
                <w:color w:val="000000"/>
                <w:lang w:eastAsia="en-AU"/>
              </w:rPr>
            </w:pPr>
            <w:r>
              <w:rPr>
                <w:rFonts w:ascii="Arial" w:hAnsi="Arial" w:cs="Arial"/>
              </w:rPr>
              <w:t>3</w:t>
            </w:r>
          </w:p>
        </w:tc>
      </w:tr>
      <w:tr w:rsidR="005721E7" w:rsidRPr="00FE5409" w14:paraId="5DD4E31E" w14:textId="77777777" w:rsidTr="000B2FD5">
        <w:trPr>
          <w:trHeight w:val="300"/>
        </w:trPr>
        <w:tc>
          <w:tcPr>
            <w:tcW w:w="2200" w:type="dxa"/>
            <w:shd w:val="clear" w:color="auto" w:fill="auto"/>
            <w:vAlign w:val="bottom"/>
          </w:tcPr>
          <w:p w14:paraId="4CAD65B0" w14:textId="40D3638E" w:rsidR="005721E7" w:rsidRDefault="005721E7" w:rsidP="005721E7">
            <w:pPr>
              <w:spacing w:line="240" w:lineRule="auto"/>
              <w:rPr>
                <w:rFonts w:cs="Calibri"/>
                <w:color w:val="000000"/>
              </w:rPr>
            </w:pPr>
            <w:r>
              <w:rPr>
                <w:rFonts w:ascii="Arial" w:hAnsi="Arial" w:cs="Arial"/>
              </w:rPr>
              <w:t>CS,DVO,EQ,MAG</w:t>
            </w:r>
          </w:p>
        </w:tc>
        <w:tc>
          <w:tcPr>
            <w:tcW w:w="1197" w:type="dxa"/>
            <w:shd w:val="clear" w:color="auto" w:fill="auto"/>
            <w:vAlign w:val="bottom"/>
          </w:tcPr>
          <w:p w14:paraId="3322EC6D" w14:textId="089F22EB" w:rsidR="005721E7" w:rsidRDefault="005721E7" w:rsidP="005721E7">
            <w:pPr>
              <w:spacing w:line="240" w:lineRule="auto"/>
              <w:jc w:val="right"/>
              <w:rPr>
                <w:rFonts w:cs="Calibri"/>
                <w:color w:val="000000"/>
                <w:lang w:eastAsia="en-AU"/>
              </w:rPr>
            </w:pPr>
            <w:r>
              <w:rPr>
                <w:rFonts w:ascii="Arial" w:hAnsi="Arial" w:cs="Arial"/>
              </w:rPr>
              <w:t>1</w:t>
            </w:r>
          </w:p>
        </w:tc>
      </w:tr>
      <w:tr w:rsidR="005721E7" w:rsidRPr="00FE5409" w14:paraId="6FF59BF7" w14:textId="77777777" w:rsidTr="000B2FD5">
        <w:trPr>
          <w:trHeight w:val="300"/>
        </w:trPr>
        <w:tc>
          <w:tcPr>
            <w:tcW w:w="2200" w:type="dxa"/>
            <w:shd w:val="clear" w:color="auto" w:fill="auto"/>
            <w:vAlign w:val="bottom"/>
          </w:tcPr>
          <w:p w14:paraId="46C178A4" w14:textId="368ECB9C" w:rsidR="005721E7" w:rsidRDefault="005721E7" w:rsidP="005721E7">
            <w:pPr>
              <w:spacing w:line="240" w:lineRule="auto"/>
              <w:rPr>
                <w:rFonts w:cs="Calibri"/>
                <w:color w:val="000000"/>
                <w:lang w:eastAsia="en-AU"/>
              </w:rPr>
            </w:pPr>
            <w:r>
              <w:rPr>
                <w:rFonts w:ascii="Arial" w:hAnsi="Arial" w:cs="Arial"/>
              </w:rPr>
              <w:t>CS,EQ</w:t>
            </w:r>
          </w:p>
        </w:tc>
        <w:tc>
          <w:tcPr>
            <w:tcW w:w="1197" w:type="dxa"/>
            <w:shd w:val="clear" w:color="auto" w:fill="auto"/>
            <w:vAlign w:val="bottom"/>
          </w:tcPr>
          <w:p w14:paraId="073DFBE8" w14:textId="1F25E043" w:rsidR="005721E7" w:rsidRDefault="005721E7" w:rsidP="005721E7">
            <w:pPr>
              <w:spacing w:line="240" w:lineRule="auto"/>
              <w:jc w:val="right"/>
              <w:rPr>
                <w:rFonts w:cs="Calibri"/>
                <w:color w:val="000000"/>
                <w:lang w:eastAsia="en-AU"/>
              </w:rPr>
            </w:pPr>
            <w:r>
              <w:rPr>
                <w:rFonts w:ascii="Arial" w:hAnsi="Arial" w:cs="Arial"/>
              </w:rPr>
              <w:t>44</w:t>
            </w:r>
          </w:p>
        </w:tc>
      </w:tr>
      <w:tr w:rsidR="005721E7" w:rsidRPr="00FE5409" w14:paraId="3B8F98C7" w14:textId="77777777" w:rsidTr="000B2FD5">
        <w:trPr>
          <w:trHeight w:val="300"/>
        </w:trPr>
        <w:tc>
          <w:tcPr>
            <w:tcW w:w="2200" w:type="dxa"/>
            <w:shd w:val="clear" w:color="auto" w:fill="auto"/>
            <w:vAlign w:val="bottom"/>
          </w:tcPr>
          <w:p w14:paraId="01ACEBCD" w14:textId="0B1933D9" w:rsidR="005721E7" w:rsidRDefault="005721E7" w:rsidP="005721E7">
            <w:pPr>
              <w:spacing w:line="240" w:lineRule="auto"/>
              <w:rPr>
                <w:rFonts w:cs="Arial"/>
                <w:color w:val="000000"/>
              </w:rPr>
            </w:pPr>
            <w:r>
              <w:rPr>
                <w:rFonts w:ascii="Arial" w:hAnsi="Arial" w:cs="Arial"/>
              </w:rPr>
              <w:t>CS,EQ,MAG</w:t>
            </w:r>
          </w:p>
        </w:tc>
        <w:tc>
          <w:tcPr>
            <w:tcW w:w="1197" w:type="dxa"/>
            <w:shd w:val="clear" w:color="auto" w:fill="auto"/>
            <w:vAlign w:val="bottom"/>
          </w:tcPr>
          <w:p w14:paraId="61DECDF2" w14:textId="60E6C693" w:rsidR="005721E7" w:rsidRDefault="005721E7" w:rsidP="005721E7">
            <w:pPr>
              <w:spacing w:line="240" w:lineRule="auto"/>
              <w:jc w:val="right"/>
              <w:rPr>
                <w:rFonts w:cs="Arial"/>
                <w:color w:val="000000"/>
              </w:rPr>
            </w:pPr>
            <w:r>
              <w:rPr>
                <w:rFonts w:ascii="Arial" w:hAnsi="Arial" w:cs="Arial"/>
              </w:rPr>
              <w:t>2</w:t>
            </w:r>
          </w:p>
        </w:tc>
      </w:tr>
      <w:tr w:rsidR="005721E7" w:rsidRPr="00FE5409" w14:paraId="1F7BFD3E" w14:textId="77777777" w:rsidTr="000B2FD5">
        <w:trPr>
          <w:trHeight w:val="300"/>
        </w:trPr>
        <w:tc>
          <w:tcPr>
            <w:tcW w:w="2200" w:type="dxa"/>
            <w:shd w:val="clear" w:color="auto" w:fill="auto"/>
            <w:vAlign w:val="bottom"/>
          </w:tcPr>
          <w:p w14:paraId="7F0F7750" w14:textId="105CDED4" w:rsidR="005721E7" w:rsidRPr="00FE5409" w:rsidRDefault="005721E7" w:rsidP="005721E7">
            <w:pPr>
              <w:spacing w:line="240" w:lineRule="auto"/>
              <w:rPr>
                <w:rFonts w:cs="Calibri"/>
                <w:color w:val="000000"/>
                <w:lang w:eastAsia="en-AU"/>
              </w:rPr>
            </w:pPr>
            <w:r>
              <w:rPr>
                <w:rFonts w:ascii="Arial" w:hAnsi="Arial" w:cs="Arial"/>
              </w:rPr>
              <w:t>CS,MAG</w:t>
            </w:r>
          </w:p>
        </w:tc>
        <w:tc>
          <w:tcPr>
            <w:tcW w:w="1197" w:type="dxa"/>
            <w:shd w:val="clear" w:color="auto" w:fill="auto"/>
            <w:vAlign w:val="bottom"/>
          </w:tcPr>
          <w:p w14:paraId="0F6136B2" w14:textId="55DD344B" w:rsidR="005721E7" w:rsidRPr="00FE5409" w:rsidRDefault="005721E7" w:rsidP="005721E7">
            <w:pPr>
              <w:spacing w:line="240" w:lineRule="auto"/>
              <w:jc w:val="right"/>
              <w:rPr>
                <w:rFonts w:cs="Calibri"/>
                <w:color w:val="000000"/>
                <w:lang w:eastAsia="en-AU"/>
              </w:rPr>
            </w:pPr>
            <w:r>
              <w:rPr>
                <w:rFonts w:ascii="Arial" w:hAnsi="Arial" w:cs="Arial"/>
              </w:rPr>
              <w:t>6</w:t>
            </w:r>
          </w:p>
        </w:tc>
      </w:tr>
      <w:tr w:rsidR="005721E7" w:rsidRPr="00FE5409" w14:paraId="7473681C" w14:textId="77777777" w:rsidTr="000B2FD5">
        <w:trPr>
          <w:trHeight w:val="300"/>
        </w:trPr>
        <w:tc>
          <w:tcPr>
            <w:tcW w:w="2200" w:type="dxa"/>
            <w:shd w:val="clear" w:color="auto" w:fill="auto"/>
            <w:vAlign w:val="bottom"/>
          </w:tcPr>
          <w:p w14:paraId="1EC80D89" w14:textId="4AA36673" w:rsidR="005721E7" w:rsidRPr="00FE5409" w:rsidRDefault="005721E7" w:rsidP="005721E7">
            <w:pPr>
              <w:spacing w:line="240" w:lineRule="auto"/>
              <w:rPr>
                <w:rFonts w:cs="Calibri"/>
                <w:color w:val="000000"/>
                <w:lang w:eastAsia="en-AU"/>
              </w:rPr>
            </w:pPr>
            <w:r>
              <w:rPr>
                <w:rFonts w:ascii="Arial" w:hAnsi="Arial" w:cs="Arial"/>
              </w:rPr>
              <w:t>DVB,DVO,EQ</w:t>
            </w:r>
          </w:p>
        </w:tc>
        <w:tc>
          <w:tcPr>
            <w:tcW w:w="1197" w:type="dxa"/>
            <w:shd w:val="clear" w:color="auto" w:fill="auto"/>
            <w:vAlign w:val="bottom"/>
          </w:tcPr>
          <w:p w14:paraId="7BBBF358" w14:textId="799E2C61" w:rsidR="005721E7" w:rsidRPr="00FE5409" w:rsidRDefault="005721E7" w:rsidP="005721E7">
            <w:pPr>
              <w:spacing w:line="240" w:lineRule="auto"/>
              <w:jc w:val="right"/>
              <w:rPr>
                <w:rFonts w:cs="Calibri"/>
                <w:color w:val="000000"/>
                <w:lang w:eastAsia="en-AU"/>
              </w:rPr>
            </w:pPr>
            <w:r>
              <w:rPr>
                <w:rFonts w:ascii="Arial" w:hAnsi="Arial" w:cs="Arial"/>
              </w:rPr>
              <w:t>1</w:t>
            </w:r>
          </w:p>
        </w:tc>
      </w:tr>
      <w:tr w:rsidR="005721E7" w:rsidRPr="00FE5409" w14:paraId="0ACB3A1E" w14:textId="77777777" w:rsidTr="000B2FD5">
        <w:trPr>
          <w:trHeight w:val="300"/>
        </w:trPr>
        <w:tc>
          <w:tcPr>
            <w:tcW w:w="2200" w:type="dxa"/>
            <w:shd w:val="clear" w:color="auto" w:fill="auto"/>
            <w:vAlign w:val="bottom"/>
          </w:tcPr>
          <w:p w14:paraId="067DD967" w14:textId="441986F0" w:rsidR="005721E7" w:rsidRPr="00FE5409" w:rsidRDefault="005721E7" w:rsidP="005721E7">
            <w:pPr>
              <w:spacing w:line="240" w:lineRule="auto"/>
              <w:rPr>
                <w:rFonts w:cs="Calibri"/>
                <w:color w:val="000000"/>
                <w:lang w:eastAsia="en-AU"/>
              </w:rPr>
            </w:pPr>
            <w:r>
              <w:rPr>
                <w:rFonts w:ascii="Arial" w:hAnsi="Arial" w:cs="Arial"/>
              </w:rPr>
              <w:t>DVB,DVO,MAG</w:t>
            </w:r>
          </w:p>
        </w:tc>
        <w:tc>
          <w:tcPr>
            <w:tcW w:w="1197" w:type="dxa"/>
            <w:shd w:val="clear" w:color="auto" w:fill="auto"/>
            <w:vAlign w:val="bottom"/>
          </w:tcPr>
          <w:p w14:paraId="2509FA12" w14:textId="225A8F37" w:rsidR="005721E7" w:rsidRPr="00FE5409" w:rsidRDefault="005721E7" w:rsidP="005721E7">
            <w:pPr>
              <w:spacing w:line="240" w:lineRule="auto"/>
              <w:jc w:val="right"/>
              <w:rPr>
                <w:rFonts w:cs="Calibri"/>
                <w:color w:val="000000"/>
                <w:lang w:eastAsia="en-AU"/>
              </w:rPr>
            </w:pPr>
            <w:r>
              <w:rPr>
                <w:rFonts w:ascii="Arial" w:hAnsi="Arial" w:cs="Arial"/>
              </w:rPr>
              <w:t>1</w:t>
            </w:r>
          </w:p>
        </w:tc>
      </w:tr>
      <w:tr w:rsidR="005721E7" w:rsidRPr="00FE5409" w14:paraId="1787C4F7" w14:textId="77777777" w:rsidTr="000B2FD5">
        <w:trPr>
          <w:trHeight w:val="300"/>
        </w:trPr>
        <w:tc>
          <w:tcPr>
            <w:tcW w:w="2200" w:type="dxa"/>
            <w:shd w:val="clear" w:color="auto" w:fill="auto"/>
            <w:vAlign w:val="bottom"/>
          </w:tcPr>
          <w:p w14:paraId="4FDE344B" w14:textId="0734E549" w:rsidR="005721E7" w:rsidRPr="00FE5409" w:rsidRDefault="005721E7" w:rsidP="005721E7">
            <w:pPr>
              <w:spacing w:line="240" w:lineRule="auto"/>
              <w:rPr>
                <w:rFonts w:cs="Calibri"/>
                <w:color w:val="000000"/>
                <w:lang w:eastAsia="en-AU"/>
              </w:rPr>
            </w:pPr>
            <w:r>
              <w:rPr>
                <w:rFonts w:ascii="Arial" w:hAnsi="Arial" w:cs="Arial"/>
              </w:rPr>
              <w:t>DVB,EQ</w:t>
            </w:r>
          </w:p>
        </w:tc>
        <w:tc>
          <w:tcPr>
            <w:tcW w:w="1197" w:type="dxa"/>
            <w:shd w:val="clear" w:color="auto" w:fill="auto"/>
            <w:vAlign w:val="bottom"/>
          </w:tcPr>
          <w:p w14:paraId="1A891217" w14:textId="134CCCC2" w:rsidR="005721E7" w:rsidRPr="00FE5409" w:rsidRDefault="005721E7" w:rsidP="005721E7">
            <w:pPr>
              <w:spacing w:line="240" w:lineRule="auto"/>
              <w:jc w:val="right"/>
              <w:rPr>
                <w:rFonts w:cs="Calibri"/>
                <w:color w:val="000000"/>
                <w:lang w:eastAsia="en-AU"/>
              </w:rPr>
            </w:pPr>
            <w:r>
              <w:rPr>
                <w:rFonts w:ascii="Arial" w:hAnsi="Arial" w:cs="Arial"/>
              </w:rPr>
              <w:t>1</w:t>
            </w:r>
          </w:p>
        </w:tc>
      </w:tr>
      <w:tr w:rsidR="005721E7" w:rsidRPr="00FE5409" w14:paraId="3740FA89" w14:textId="77777777" w:rsidTr="000B2FD5">
        <w:trPr>
          <w:trHeight w:val="300"/>
        </w:trPr>
        <w:tc>
          <w:tcPr>
            <w:tcW w:w="2200" w:type="dxa"/>
            <w:shd w:val="clear" w:color="auto" w:fill="auto"/>
            <w:vAlign w:val="bottom"/>
          </w:tcPr>
          <w:p w14:paraId="51D24033" w14:textId="0457DA8A" w:rsidR="005721E7" w:rsidRDefault="005721E7" w:rsidP="005721E7">
            <w:pPr>
              <w:spacing w:line="240" w:lineRule="auto"/>
              <w:rPr>
                <w:rFonts w:cs="Calibri"/>
                <w:color w:val="000000"/>
                <w:lang w:eastAsia="en-AU"/>
              </w:rPr>
            </w:pPr>
            <w:r>
              <w:rPr>
                <w:rFonts w:ascii="Arial" w:hAnsi="Arial" w:cs="Arial"/>
              </w:rPr>
              <w:t>DVB,EQ,MAG</w:t>
            </w:r>
          </w:p>
        </w:tc>
        <w:tc>
          <w:tcPr>
            <w:tcW w:w="1197" w:type="dxa"/>
            <w:shd w:val="clear" w:color="auto" w:fill="auto"/>
            <w:vAlign w:val="bottom"/>
          </w:tcPr>
          <w:p w14:paraId="09F5D6E0" w14:textId="39678C1E" w:rsidR="005721E7" w:rsidRPr="00FE5409" w:rsidRDefault="005721E7" w:rsidP="005721E7">
            <w:pPr>
              <w:spacing w:line="240" w:lineRule="auto"/>
              <w:jc w:val="right"/>
              <w:rPr>
                <w:rFonts w:cs="Calibri"/>
                <w:color w:val="000000"/>
                <w:lang w:eastAsia="en-AU"/>
              </w:rPr>
            </w:pPr>
            <w:r>
              <w:rPr>
                <w:rFonts w:ascii="Arial" w:hAnsi="Arial" w:cs="Arial"/>
              </w:rPr>
              <w:t>3</w:t>
            </w:r>
          </w:p>
        </w:tc>
      </w:tr>
      <w:tr w:rsidR="005721E7" w:rsidRPr="00FE5409" w14:paraId="3B5DB2AE" w14:textId="77777777" w:rsidTr="000B2FD5">
        <w:trPr>
          <w:trHeight w:val="300"/>
        </w:trPr>
        <w:tc>
          <w:tcPr>
            <w:tcW w:w="2200" w:type="dxa"/>
            <w:shd w:val="clear" w:color="auto" w:fill="auto"/>
            <w:vAlign w:val="bottom"/>
          </w:tcPr>
          <w:p w14:paraId="5AFBBD46" w14:textId="54772646" w:rsidR="005721E7" w:rsidRDefault="005721E7" w:rsidP="005721E7">
            <w:pPr>
              <w:spacing w:line="240" w:lineRule="auto"/>
              <w:rPr>
                <w:rFonts w:cs="Arial"/>
                <w:color w:val="000000"/>
              </w:rPr>
            </w:pPr>
            <w:r>
              <w:rPr>
                <w:rFonts w:ascii="Arial" w:hAnsi="Arial" w:cs="Arial"/>
              </w:rPr>
              <w:t>DVB,MAG</w:t>
            </w:r>
          </w:p>
        </w:tc>
        <w:tc>
          <w:tcPr>
            <w:tcW w:w="1197" w:type="dxa"/>
            <w:shd w:val="clear" w:color="auto" w:fill="auto"/>
            <w:vAlign w:val="bottom"/>
          </w:tcPr>
          <w:p w14:paraId="06991F98" w14:textId="7A04414A" w:rsidR="005721E7" w:rsidRDefault="005721E7" w:rsidP="005721E7">
            <w:pPr>
              <w:spacing w:line="240" w:lineRule="auto"/>
              <w:jc w:val="right"/>
              <w:rPr>
                <w:rFonts w:cs="Arial"/>
                <w:color w:val="000000"/>
              </w:rPr>
            </w:pPr>
            <w:r>
              <w:rPr>
                <w:rFonts w:ascii="Arial" w:hAnsi="Arial" w:cs="Arial"/>
              </w:rPr>
              <w:t>14</w:t>
            </w:r>
          </w:p>
        </w:tc>
      </w:tr>
      <w:tr w:rsidR="005721E7" w:rsidRPr="00FE5409" w14:paraId="1CA3553C" w14:textId="77777777" w:rsidTr="000B2FD5">
        <w:trPr>
          <w:trHeight w:val="300"/>
        </w:trPr>
        <w:tc>
          <w:tcPr>
            <w:tcW w:w="2200" w:type="dxa"/>
            <w:shd w:val="clear" w:color="auto" w:fill="auto"/>
            <w:vAlign w:val="bottom"/>
          </w:tcPr>
          <w:p w14:paraId="2F839C82" w14:textId="12966A18" w:rsidR="005721E7" w:rsidRDefault="005721E7" w:rsidP="005721E7">
            <w:pPr>
              <w:spacing w:line="240" w:lineRule="auto"/>
              <w:rPr>
                <w:rFonts w:cs="Calibri"/>
                <w:color w:val="000000"/>
                <w:lang w:eastAsia="en-AU"/>
              </w:rPr>
            </w:pPr>
            <w:r>
              <w:rPr>
                <w:rFonts w:ascii="Arial" w:hAnsi="Arial" w:cs="Arial"/>
              </w:rPr>
              <w:t>DVO,EQ</w:t>
            </w:r>
          </w:p>
        </w:tc>
        <w:tc>
          <w:tcPr>
            <w:tcW w:w="1197" w:type="dxa"/>
            <w:shd w:val="clear" w:color="auto" w:fill="auto"/>
            <w:vAlign w:val="bottom"/>
          </w:tcPr>
          <w:p w14:paraId="6717F1C7" w14:textId="2F70C428" w:rsidR="005721E7" w:rsidRPr="00FE5409" w:rsidRDefault="005721E7" w:rsidP="005721E7">
            <w:pPr>
              <w:spacing w:line="240" w:lineRule="auto"/>
              <w:jc w:val="right"/>
              <w:rPr>
                <w:rFonts w:cs="Calibri"/>
                <w:color w:val="000000"/>
                <w:lang w:eastAsia="en-AU"/>
              </w:rPr>
            </w:pPr>
            <w:r>
              <w:rPr>
                <w:rFonts w:ascii="Arial" w:hAnsi="Arial" w:cs="Arial"/>
              </w:rPr>
              <w:t>2</w:t>
            </w:r>
          </w:p>
        </w:tc>
      </w:tr>
      <w:tr w:rsidR="005721E7" w:rsidRPr="00FE5409" w14:paraId="21624647" w14:textId="77777777" w:rsidTr="000B2FD5">
        <w:trPr>
          <w:trHeight w:val="300"/>
        </w:trPr>
        <w:tc>
          <w:tcPr>
            <w:tcW w:w="2200" w:type="dxa"/>
            <w:shd w:val="clear" w:color="auto" w:fill="auto"/>
            <w:vAlign w:val="bottom"/>
          </w:tcPr>
          <w:p w14:paraId="294F9D6D" w14:textId="1421F72B" w:rsidR="005721E7" w:rsidRDefault="005721E7" w:rsidP="005721E7">
            <w:pPr>
              <w:spacing w:line="240" w:lineRule="auto"/>
              <w:rPr>
                <w:rFonts w:cs="Calibri"/>
                <w:color w:val="000000"/>
                <w:lang w:eastAsia="en-AU"/>
              </w:rPr>
            </w:pPr>
            <w:r>
              <w:rPr>
                <w:rFonts w:ascii="Arial" w:hAnsi="Arial" w:cs="Arial"/>
              </w:rPr>
              <w:t>DVO,MAG</w:t>
            </w:r>
          </w:p>
        </w:tc>
        <w:tc>
          <w:tcPr>
            <w:tcW w:w="1197" w:type="dxa"/>
            <w:shd w:val="clear" w:color="auto" w:fill="auto"/>
            <w:vAlign w:val="bottom"/>
          </w:tcPr>
          <w:p w14:paraId="6E572CE5" w14:textId="7613EEC8" w:rsidR="005721E7" w:rsidRPr="00FE5409" w:rsidRDefault="005721E7" w:rsidP="005721E7">
            <w:pPr>
              <w:spacing w:line="240" w:lineRule="auto"/>
              <w:jc w:val="right"/>
              <w:rPr>
                <w:rFonts w:cs="Calibri"/>
                <w:color w:val="000000"/>
                <w:lang w:eastAsia="en-AU"/>
              </w:rPr>
            </w:pPr>
            <w:r>
              <w:rPr>
                <w:rFonts w:ascii="Arial" w:hAnsi="Arial" w:cs="Arial"/>
              </w:rPr>
              <w:t>10</w:t>
            </w:r>
          </w:p>
        </w:tc>
      </w:tr>
      <w:tr w:rsidR="005721E7" w:rsidRPr="00FE5409" w14:paraId="11A6D743" w14:textId="77777777" w:rsidTr="000B2FD5">
        <w:trPr>
          <w:trHeight w:val="300"/>
        </w:trPr>
        <w:tc>
          <w:tcPr>
            <w:tcW w:w="2200" w:type="dxa"/>
            <w:shd w:val="clear" w:color="auto" w:fill="auto"/>
            <w:vAlign w:val="bottom"/>
          </w:tcPr>
          <w:p w14:paraId="15C0D7F0" w14:textId="3E7034BA" w:rsidR="005721E7" w:rsidRDefault="005721E7" w:rsidP="005721E7">
            <w:pPr>
              <w:spacing w:line="240" w:lineRule="auto"/>
              <w:rPr>
                <w:rFonts w:cs="Calibri"/>
                <w:color w:val="000000"/>
                <w:lang w:eastAsia="en-AU"/>
              </w:rPr>
            </w:pPr>
            <w:r>
              <w:rPr>
                <w:rFonts w:ascii="Arial" w:hAnsi="Arial" w:cs="Arial"/>
              </w:rPr>
              <w:t>EQ,HT</w:t>
            </w:r>
          </w:p>
        </w:tc>
        <w:tc>
          <w:tcPr>
            <w:tcW w:w="1197" w:type="dxa"/>
            <w:shd w:val="clear" w:color="auto" w:fill="auto"/>
            <w:vAlign w:val="bottom"/>
          </w:tcPr>
          <w:p w14:paraId="2228C8AA" w14:textId="71A39A1C" w:rsidR="005721E7" w:rsidRPr="00FE5409" w:rsidRDefault="005721E7" w:rsidP="005721E7">
            <w:pPr>
              <w:spacing w:line="240" w:lineRule="auto"/>
              <w:jc w:val="right"/>
              <w:rPr>
                <w:rFonts w:cs="Calibri"/>
                <w:color w:val="000000"/>
                <w:lang w:eastAsia="en-AU"/>
              </w:rPr>
            </w:pPr>
            <w:r>
              <w:rPr>
                <w:rFonts w:ascii="Arial" w:hAnsi="Arial" w:cs="Arial"/>
              </w:rPr>
              <w:t>1</w:t>
            </w:r>
          </w:p>
        </w:tc>
      </w:tr>
      <w:tr w:rsidR="005721E7" w:rsidRPr="00FE5409" w14:paraId="23A62464" w14:textId="77777777" w:rsidTr="000B2FD5">
        <w:trPr>
          <w:trHeight w:val="300"/>
        </w:trPr>
        <w:tc>
          <w:tcPr>
            <w:tcW w:w="2200" w:type="dxa"/>
            <w:shd w:val="clear" w:color="auto" w:fill="auto"/>
            <w:vAlign w:val="bottom"/>
          </w:tcPr>
          <w:p w14:paraId="64C37F8A" w14:textId="2C5C1C82" w:rsidR="005721E7" w:rsidRDefault="005721E7" w:rsidP="005721E7">
            <w:pPr>
              <w:spacing w:line="240" w:lineRule="auto"/>
              <w:rPr>
                <w:rFonts w:cs="Calibri"/>
                <w:color w:val="000000"/>
                <w:lang w:eastAsia="en-AU"/>
              </w:rPr>
            </w:pPr>
            <w:r>
              <w:rPr>
                <w:rFonts w:ascii="Arial" w:hAnsi="Arial" w:cs="Arial"/>
              </w:rPr>
              <w:t>EQ,HT,MAG</w:t>
            </w:r>
          </w:p>
        </w:tc>
        <w:tc>
          <w:tcPr>
            <w:tcW w:w="1197" w:type="dxa"/>
            <w:shd w:val="clear" w:color="auto" w:fill="auto"/>
            <w:vAlign w:val="bottom"/>
          </w:tcPr>
          <w:p w14:paraId="3B00AAD3" w14:textId="64BE7646" w:rsidR="005721E7" w:rsidRPr="00FE5409" w:rsidRDefault="005721E7" w:rsidP="005721E7">
            <w:pPr>
              <w:spacing w:line="240" w:lineRule="auto"/>
              <w:jc w:val="right"/>
              <w:rPr>
                <w:rFonts w:cs="Calibri"/>
                <w:color w:val="000000"/>
                <w:lang w:eastAsia="en-AU"/>
              </w:rPr>
            </w:pPr>
            <w:r>
              <w:rPr>
                <w:rFonts w:ascii="Arial" w:hAnsi="Arial" w:cs="Arial"/>
              </w:rPr>
              <w:t>1</w:t>
            </w:r>
          </w:p>
        </w:tc>
      </w:tr>
      <w:tr w:rsidR="005721E7" w:rsidRPr="00FE5409" w14:paraId="61A13792" w14:textId="77777777" w:rsidTr="000B2FD5">
        <w:trPr>
          <w:trHeight w:val="300"/>
        </w:trPr>
        <w:tc>
          <w:tcPr>
            <w:tcW w:w="2200" w:type="dxa"/>
            <w:shd w:val="clear" w:color="auto" w:fill="auto"/>
            <w:vAlign w:val="bottom"/>
          </w:tcPr>
          <w:p w14:paraId="0AD62CE3" w14:textId="79CC4D78" w:rsidR="005721E7" w:rsidRDefault="005721E7" w:rsidP="005721E7">
            <w:pPr>
              <w:spacing w:line="240" w:lineRule="auto"/>
              <w:rPr>
                <w:rFonts w:cs="Calibri"/>
                <w:color w:val="000000"/>
                <w:lang w:eastAsia="en-AU"/>
              </w:rPr>
            </w:pPr>
            <w:r>
              <w:rPr>
                <w:rFonts w:ascii="Arial" w:hAnsi="Arial" w:cs="Arial"/>
              </w:rPr>
              <w:t>EQ,MAG</w:t>
            </w:r>
          </w:p>
        </w:tc>
        <w:tc>
          <w:tcPr>
            <w:tcW w:w="1197" w:type="dxa"/>
            <w:shd w:val="clear" w:color="auto" w:fill="auto"/>
            <w:vAlign w:val="bottom"/>
          </w:tcPr>
          <w:p w14:paraId="5584C5B3" w14:textId="2DC4DFF8" w:rsidR="005721E7" w:rsidRPr="00FE5409" w:rsidRDefault="005721E7" w:rsidP="005721E7">
            <w:pPr>
              <w:spacing w:line="240" w:lineRule="auto"/>
              <w:jc w:val="right"/>
              <w:rPr>
                <w:rFonts w:cs="Calibri"/>
                <w:color w:val="000000"/>
                <w:lang w:eastAsia="en-AU"/>
              </w:rPr>
            </w:pPr>
            <w:r>
              <w:rPr>
                <w:rFonts w:ascii="Arial" w:hAnsi="Arial" w:cs="Arial"/>
              </w:rPr>
              <w:t>21</w:t>
            </w:r>
          </w:p>
        </w:tc>
      </w:tr>
      <w:tr w:rsidR="00277E4B" w:rsidRPr="00FE5409" w14:paraId="50E20029" w14:textId="77777777" w:rsidTr="000B2FD5">
        <w:trPr>
          <w:trHeight w:val="300"/>
        </w:trPr>
        <w:tc>
          <w:tcPr>
            <w:tcW w:w="2200" w:type="dxa"/>
            <w:shd w:val="clear" w:color="auto" w:fill="auto"/>
          </w:tcPr>
          <w:p w14:paraId="53704947" w14:textId="0621D349" w:rsidR="00277E4B" w:rsidRPr="00FE5409" w:rsidRDefault="00277E4B" w:rsidP="00277E4B">
            <w:pPr>
              <w:spacing w:line="240" w:lineRule="auto"/>
              <w:rPr>
                <w:rFonts w:cs="Calibri"/>
                <w:b/>
                <w:bCs/>
                <w:color w:val="000000"/>
                <w:lang w:eastAsia="en-AU"/>
              </w:rPr>
            </w:pPr>
          </w:p>
        </w:tc>
        <w:tc>
          <w:tcPr>
            <w:tcW w:w="1197" w:type="dxa"/>
            <w:shd w:val="clear" w:color="auto" w:fill="auto"/>
          </w:tcPr>
          <w:p w14:paraId="15B80D46" w14:textId="70F50478" w:rsidR="00277E4B" w:rsidRPr="00FE5409" w:rsidRDefault="005721E7" w:rsidP="00277E4B">
            <w:pPr>
              <w:spacing w:line="240" w:lineRule="auto"/>
              <w:jc w:val="right"/>
              <w:rPr>
                <w:rFonts w:cs="Calibri"/>
                <w:b/>
                <w:bCs/>
                <w:color w:val="000000"/>
                <w:lang w:eastAsia="en-AU"/>
              </w:rPr>
            </w:pPr>
            <w:r>
              <w:rPr>
                <w:rFonts w:cs="Calibri"/>
                <w:b/>
                <w:bCs/>
                <w:color w:val="000000"/>
                <w:lang w:eastAsia="en-AU"/>
              </w:rPr>
              <w:t>114</w:t>
            </w:r>
          </w:p>
        </w:tc>
      </w:tr>
    </w:tbl>
    <w:p w14:paraId="2ADD0DB0" w14:textId="77777777" w:rsidR="00FE5409" w:rsidRDefault="00FE5409" w:rsidP="00106EA8">
      <w:pPr>
        <w:tabs>
          <w:tab w:val="left" w:pos="1134"/>
        </w:tabs>
        <w:ind w:left="-142" w:right="-425"/>
        <w:jc w:val="both"/>
      </w:pPr>
    </w:p>
    <w:p w14:paraId="01DC83BC" w14:textId="37034037" w:rsidR="008F63D1" w:rsidRDefault="00973468" w:rsidP="00C16F20">
      <w:pPr>
        <w:ind w:left="-142" w:right="-425"/>
        <w:jc w:val="both"/>
        <w:rPr>
          <w:rFonts w:cs="Arial"/>
        </w:rPr>
      </w:pPr>
      <w:r w:rsidRPr="008F63D1">
        <w:rPr>
          <w:rFonts w:cs="Arial"/>
          <w:b/>
          <w:bCs/>
        </w:rPr>
        <w:t xml:space="preserve">Client </w:t>
      </w:r>
      <w:r w:rsidR="00C27CBE" w:rsidRPr="008F63D1">
        <w:rPr>
          <w:rFonts w:cs="Arial"/>
          <w:b/>
          <w:bCs/>
        </w:rPr>
        <w:t>interactions with the Commission</w:t>
      </w:r>
      <w:r w:rsidR="00011490">
        <w:rPr>
          <w:rFonts w:cs="Arial"/>
          <w:b/>
          <w:bCs/>
        </w:rPr>
        <w:t xml:space="preserve"> </w:t>
      </w:r>
      <w:r w:rsidR="002346ED">
        <w:rPr>
          <w:rFonts w:cs="Arial"/>
          <w:b/>
          <w:bCs/>
        </w:rPr>
        <w:t>fall within a continuum of decisions available</w:t>
      </w:r>
      <w:r w:rsidR="00D85018">
        <w:rPr>
          <w:rFonts w:cs="Arial"/>
          <w:b/>
          <w:bCs/>
        </w:rPr>
        <w:t>.</w:t>
      </w:r>
    </w:p>
    <w:p w14:paraId="7A7B2C9D" w14:textId="56E77C28" w:rsidR="0056316C" w:rsidRDefault="00A73CA0" w:rsidP="00C16F20">
      <w:pPr>
        <w:ind w:left="-142" w:right="-425"/>
        <w:jc w:val="both"/>
        <w:rPr>
          <w:rFonts w:cs="Arial"/>
        </w:rPr>
      </w:pPr>
      <w:r>
        <w:rPr>
          <w:rFonts w:cs="Arial"/>
        </w:rPr>
        <w:t>The following data</w:t>
      </w:r>
      <w:r w:rsidR="00D85018">
        <w:rPr>
          <w:rFonts w:cs="Arial"/>
        </w:rPr>
        <w:t xml:space="preserve"> (tables </w:t>
      </w:r>
      <w:r w:rsidR="002522F2">
        <w:rPr>
          <w:rFonts w:cs="Arial"/>
        </w:rPr>
        <w:t>4</w:t>
      </w:r>
      <w:r w:rsidR="00D85018">
        <w:rPr>
          <w:rFonts w:cs="Arial"/>
        </w:rPr>
        <w:t xml:space="preserve"> to </w:t>
      </w:r>
      <w:r w:rsidR="002522F2">
        <w:rPr>
          <w:rFonts w:cs="Arial"/>
        </w:rPr>
        <w:t>8</w:t>
      </w:r>
      <w:r w:rsidR="00D85018">
        <w:rPr>
          <w:rFonts w:cs="Arial"/>
        </w:rPr>
        <w:t>)</w:t>
      </w:r>
      <w:r>
        <w:rPr>
          <w:rFonts w:cs="Arial"/>
        </w:rPr>
        <w:t xml:space="preserve"> provides an overview of interactions that have taken place with clients during this reporting period</w:t>
      </w:r>
      <w:r w:rsidR="008D0261">
        <w:rPr>
          <w:rFonts w:cs="Arial"/>
        </w:rPr>
        <w:t>,</w:t>
      </w:r>
      <w:r>
        <w:rPr>
          <w:rFonts w:cs="Arial"/>
        </w:rPr>
        <w:t xml:space="preserve"> </w:t>
      </w:r>
      <w:r w:rsidR="00190C1B">
        <w:rPr>
          <w:rFonts w:cs="Arial"/>
        </w:rPr>
        <w:t>consist</w:t>
      </w:r>
      <w:r w:rsidR="000A7AFF">
        <w:rPr>
          <w:rFonts w:cs="Arial"/>
        </w:rPr>
        <w:t>ing</w:t>
      </w:r>
      <w:r w:rsidR="00190C1B">
        <w:rPr>
          <w:rFonts w:cs="Arial"/>
        </w:rPr>
        <w:t xml:space="preserve"> of</w:t>
      </w:r>
      <w:r w:rsidR="00342EBC">
        <w:rPr>
          <w:rFonts w:cs="Arial"/>
        </w:rPr>
        <w:t xml:space="preserve"> decisions where a final determination has taken place in conference and </w:t>
      </w:r>
      <w:r w:rsidR="00190C1B">
        <w:rPr>
          <w:rFonts w:cs="Arial"/>
        </w:rPr>
        <w:t xml:space="preserve">includes decisions delivered </w:t>
      </w:r>
      <w:r w:rsidR="00342EBC">
        <w:rPr>
          <w:rFonts w:cs="Arial"/>
        </w:rPr>
        <w:t>at application hearing</w:t>
      </w:r>
      <w:r w:rsidR="00190C1B">
        <w:rPr>
          <w:rFonts w:cs="Arial"/>
        </w:rPr>
        <w:t>s. It</w:t>
      </w:r>
      <w:r w:rsidR="00881438">
        <w:rPr>
          <w:rFonts w:cs="Arial"/>
        </w:rPr>
        <w:t xml:space="preserve"> does not include instances w</w:t>
      </w:r>
      <w:r w:rsidR="00342EBC">
        <w:rPr>
          <w:rFonts w:cs="Arial"/>
        </w:rPr>
        <w:t>here a client was rescheduled to another conference due to non-attendance</w:t>
      </w:r>
      <w:r w:rsidR="00190C1B">
        <w:rPr>
          <w:rFonts w:cs="Arial"/>
        </w:rPr>
        <w:t>,</w:t>
      </w:r>
      <w:r w:rsidR="00342EBC">
        <w:rPr>
          <w:rFonts w:cs="Arial"/>
        </w:rPr>
        <w:t xml:space="preserve"> or </w:t>
      </w:r>
      <w:r w:rsidR="00DA38EC">
        <w:rPr>
          <w:rFonts w:cs="Arial"/>
        </w:rPr>
        <w:t>a</w:t>
      </w:r>
      <w:r w:rsidR="00342EBC">
        <w:rPr>
          <w:rFonts w:cs="Arial"/>
        </w:rPr>
        <w:t xml:space="preserve"> conference was adjourned to another date to allow the parties to address matter/s </w:t>
      </w:r>
      <w:r w:rsidR="00190C1B">
        <w:rPr>
          <w:rFonts w:cs="Arial"/>
        </w:rPr>
        <w:t>prior to</w:t>
      </w:r>
      <w:r w:rsidR="00342EBC">
        <w:rPr>
          <w:rFonts w:cs="Arial"/>
        </w:rPr>
        <w:t xml:space="preserve"> </w:t>
      </w:r>
      <w:r w:rsidR="003A48E8">
        <w:rPr>
          <w:rFonts w:cs="Arial"/>
        </w:rPr>
        <w:t xml:space="preserve">the Commissioners </w:t>
      </w:r>
      <w:r w:rsidR="00DA38EC">
        <w:rPr>
          <w:rFonts w:cs="Arial"/>
        </w:rPr>
        <w:t xml:space="preserve">making </w:t>
      </w:r>
      <w:r w:rsidR="00342EBC">
        <w:rPr>
          <w:rFonts w:cs="Arial"/>
        </w:rPr>
        <w:t>a determination</w:t>
      </w:r>
      <w:r w:rsidR="00881438">
        <w:rPr>
          <w:rFonts w:cs="Arial"/>
        </w:rPr>
        <w:t>.</w:t>
      </w:r>
    </w:p>
    <w:p w14:paraId="33BB1B04" w14:textId="2C083555" w:rsidR="002D75CB" w:rsidRDefault="002D75CB" w:rsidP="00C16F20">
      <w:pPr>
        <w:ind w:left="-142" w:right="-425"/>
        <w:jc w:val="both"/>
        <w:rPr>
          <w:rFonts w:cs="Arial"/>
        </w:rPr>
      </w:pPr>
    </w:p>
    <w:p w14:paraId="68A169AC" w14:textId="64249375" w:rsidR="002D75CB" w:rsidRPr="00264A2C" w:rsidRDefault="002D75CB" w:rsidP="002D75CB">
      <w:pPr>
        <w:tabs>
          <w:tab w:val="left" w:pos="1134"/>
        </w:tabs>
        <w:ind w:left="-142" w:right="-425"/>
        <w:jc w:val="both"/>
      </w:pPr>
      <w:r>
        <w:t xml:space="preserve">The role of the FRC is to work with the most vulnerable, disadvantaged group who engage in anti-social behaviours. Of this extremely vulnerable cohort who engage in anti-social behaviours there are a range of clients who fall within a spectrum of willingness to take personal accountability for </w:t>
      </w:r>
      <w:r w:rsidR="00414B67">
        <w:t xml:space="preserve">their </w:t>
      </w:r>
      <w:r>
        <w:t>actions and accept support to address behaviours</w:t>
      </w:r>
      <w:r w:rsidR="00414B67">
        <w:t>. T</w:t>
      </w:r>
      <w:r>
        <w:t>he vast majority are prepared to accept support and demonstrate a degree of insight into their behaviours</w:t>
      </w:r>
      <w:r w:rsidR="00425DDB">
        <w:t>,</w:t>
      </w:r>
      <w:r>
        <w:t xml:space="preserve"> however</w:t>
      </w:r>
      <w:r w:rsidR="0087406D">
        <w:t>,</w:t>
      </w:r>
      <w:r>
        <w:t xml:space="preserve"> </w:t>
      </w:r>
      <w:r w:rsidR="00425DDB">
        <w:t xml:space="preserve">there is </w:t>
      </w:r>
      <w:r>
        <w:t xml:space="preserve">a cohort of clients who are </w:t>
      </w:r>
      <w:r w:rsidR="000440CF">
        <w:t>resistant</w:t>
      </w:r>
      <w:r w:rsidR="00425DDB">
        <w:t xml:space="preserve"> to chang</w:t>
      </w:r>
      <w:r w:rsidR="0087406D">
        <w:t>e</w:t>
      </w:r>
      <w:r w:rsidR="00425DDB">
        <w:t>.</w:t>
      </w:r>
    </w:p>
    <w:p w14:paraId="51F2BF4A" w14:textId="77777777" w:rsidR="002D75CB" w:rsidRDefault="002D75CB" w:rsidP="00C16F20">
      <w:pPr>
        <w:ind w:left="-142" w:right="-425"/>
        <w:jc w:val="both"/>
        <w:rPr>
          <w:rFonts w:cs="Arial"/>
        </w:rPr>
      </w:pPr>
    </w:p>
    <w:p w14:paraId="65D3405D" w14:textId="25526046" w:rsidR="00237AB1" w:rsidRDefault="00696B4E" w:rsidP="0091685B">
      <w:pPr>
        <w:ind w:left="-142" w:right="-425"/>
        <w:jc w:val="both"/>
        <w:rPr>
          <w:rFonts w:cs="Arial"/>
        </w:rPr>
      </w:pPr>
      <w:r>
        <w:rPr>
          <w:rFonts w:cs="Arial"/>
        </w:rPr>
        <w:t>Show</w:t>
      </w:r>
      <w:r w:rsidR="00F305F2">
        <w:rPr>
          <w:rFonts w:cs="Arial"/>
        </w:rPr>
        <w:t>n</w:t>
      </w:r>
      <w:r>
        <w:rPr>
          <w:rFonts w:cs="Arial"/>
        </w:rPr>
        <w:t xml:space="preserve"> </w:t>
      </w:r>
      <w:r w:rsidR="00E25138">
        <w:rPr>
          <w:rFonts w:cs="Arial"/>
        </w:rPr>
        <w:t xml:space="preserve">on the next page </w:t>
      </w:r>
      <w:r>
        <w:rPr>
          <w:rFonts w:cs="Arial"/>
        </w:rPr>
        <w:t>are t</w:t>
      </w:r>
      <w:r w:rsidR="00237AB1">
        <w:rPr>
          <w:rFonts w:cs="Arial"/>
        </w:rPr>
        <w:t>he number of interactions (excluding reschedules and adjournments during the quarter) that resulted in a voluntary agreement</w:t>
      </w:r>
      <w:r w:rsidR="007F068B">
        <w:rPr>
          <w:rFonts w:cs="Arial"/>
        </w:rPr>
        <w:t>,</w:t>
      </w:r>
      <w:r w:rsidR="00237AB1">
        <w:rPr>
          <w:rFonts w:cs="Arial"/>
        </w:rPr>
        <w:t xml:space="preserve"> a decision by agreement or order</w:t>
      </w:r>
      <w:r w:rsidR="00AE549C">
        <w:rPr>
          <w:rFonts w:cs="Arial"/>
        </w:rPr>
        <w:t>,</w:t>
      </w:r>
      <w:r w:rsidR="007F068B">
        <w:rPr>
          <w:rFonts w:cs="Arial"/>
        </w:rPr>
        <w:t xml:space="preserve"> or a decision </w:t>
      </w:r>
      <w:r w:rsidR="00B23523">
        <w:rPr>
          <w:rFonts w:cs="Arial"/>
        </w:rPr>
        <w:t xml:space="preserve">delivered </w:t>
      </w:r>
      <w:r w:rsidR="008569EF">
        <w:rPr>
          <w:rFonts w:cs="Arial"/>
        </w:rPr>
        <w:t>on</w:t>
      </w:r>
      <w:r w:rsidR="007F068B">
        <w:rPr>
          <w:rFonts w:cs="Arial"/>
        </w:rPr>
        <w:t xml:space="preserve"> </w:t>
      </w:r>
      <w:r w:rsidR="00DA38EC">
        <w:rPr>
          <w:rFonts w:cs="Arial"/>
        </w:rPr>
        <w:t xml:space="preserve">an </w:t>
      </w:r>
      <w:r w:rsidR="008569EF">
        <w:rPr>
          <w:rFonts w:cs="Arial"/>
        </w:rPr>
        <w:t xml:space="preserve">amend/end </w:t>
      </w:r>
      <w:r w:rsidR="007F068B">
        <w:rPr>
          <w:rFonts w:cs="Arial"/>
        </w:rPr>
        <w:t>application</w:t>
      </w:r>
      <w:r w:rsidR="00237AB1" w:rsidRPr="00BD03F1">
        <w:rPr>
          <w:rFonts w:cs="Arial"/>
        </w:rPr>
        <w:t xml:space="preserve">. </w:t>
      </w:r>
      <w:r w:rsidR="0030673F" w:rsidRPr="00BD03F1">
        <w:rPr>
          <w:rFonts w:cs="Arial"/>
        </w:rPr>
        <w:t>The Commission is still seeing a number</w:t>
      </w:r>
      <w:r w:rsidR="00237AB1" w:rsidRPr="00BD03F1">
        <w:rPr>
          <w:rFonts w:cs="Arial"/>
        </w:rPr>
        <w:t xml:space="preserve"> of </w:t>
      </w:r>
      <w:r w:rsidR="00B23523" w:rsidRPr="00BD03F1">
        <w:rPr>
          <w:rFonts w:cs="Arial"/>
        </w:rPr>
        <w:t>i</w:t>
      </w:r>
      <w:r w:rsidR="00237AB1" w:rsidRPr="00BD03F1">
        <w:rPr>
          <w:rFonts w:cs="Arial"/>
        </w:rPr>
        <w:t>nteractions by client</w:t>
      </w:r>
      <w:r w:rsidR="0030673F" w:rsidRPr="00BD03F1">
        <w:rPr>
          <w:rFonts w:cs="Arial"/>
        </w:rPr>
        <w:t>s</w:t>
      </w:r>
      <w:r w:rsidR="00237AB1" w:rsidRPr="00BD03F1">
        <w:rPr>
          <w:rFonts w:cs="Arial"/>
        </w:rPr>
        <w:t xml:space="preserve"> on a less intrusive and more proactive basis</w:t>
      </w:r>
      <w:r w:rsidR="00701EFB" w:rsidRPr="00BD03F1">
        <w:rPr>
          <w:rFonts w:cs="Arial"/>
        </w:rPr>
        <w:t>,</w:t>
      </w:r>
      <w:r w:rsidR="00B23523" w:rsidRPr="00BD03F1">
        <w:rPr>
          <w:rFonts w:cs="Arial"/>
        </w:rPr>
        <w:t xml:space="preserve"> </w:t>
      </w:r>
      <w:r w:rsidR="00237AB1" w:rsidRPr="00BD03F1">
        <w:rPr>
          <w:rFonts w:cs="Arial"/>
        </w:rPr>
        <w:t xml:space="preserve">i.e. where engagement is on a voluntary basis (Table </w:t>
      </w:r>
      <w:r w:rsidR="002522F2">
        <w:rPr>
          <w:rFonts w:cs="Arial"/>
        </w:rPr>
        <w:t>4</w:t>
      </w:r>
      <w:r w:rsidR="00237AB1" w:rsidRPr="00BD03F1">
        <w:rPr>
          <w:rFonts w:cs="Arial"/>
        </w:rPr>
        <w:t>)</w:t>
      </w:r>
      <w:r w:rsidR="00AE549C" w:rsidRPr="00BD03F1">
        <w:rPr>
          <w:rFonts w:cs="Arial"/>
        </w:rPr>
        <w:t>,</w:t>
      </w:r>
      <w:r w:rsidR="00237AB1" w:rsidRPr="00BD03F1">
        <w:rPr>
          <w:rFonts w:cs="Arial"/>
        </w:rPr>
        <w:t xml:space="preserve"> or where acceptance of the Commission’s decision for a referral to </w:t>
      </w:r>
      <w:r w:rsidR="009D568A" w:rsidRPr="00BD03F1">
        <w:rPr>
          <w:rFonts w:cs="Arial"/>
        </w:rPr>
        <w:t xml:space="preserve">a </w:t>
      </w:r>
      <w:r w:rsidR="00237AB1" w:rsidRPr="00BD03F1">
        <w:rPr>
          <w:rFonts w:cs="Arial"/>
        </w:rPr>
        <w:t xml:space="preserve">support service or income management is by agreement with the client (Table </w:t>
      </w:r>
      <w:r w:rsidR="002522F2">
        <w:rPr>
          <w:rFonts w:cs="Arial"/>
        </w:rPr>
        <w:t>5</w:t>
      </w:r>
      <w:r w:rsidR="00237AB1" w:rsidRPr="00BD03F1">
        <w:rPr>
          <w:rFonts w:cs="Arial"/>
        </w:rPr>
        <w:t>). The</w:t>
      </w:r>
      <w:r w:rsidR="00B23523" w:rsidRPr="00BD03F1">
        <w:rPr>
          <w:rFonts w:cs="Arial"/>
        </w:rPr>
        <w:t xml:space="preserve">se proactive interactions </w:t>
      </w:r>
      <w:r w:rsidR="00B23523" w:rsidRPr="00BD03F1">
        <w:rPr>
          <w:rFonts w:cs="Arial"/>
        </w:rPr>
        <w:lastRenderedPageBreak/>
        <w:t xml:space="preserve">are </w:t>
      </w:r>
      <w:r w:rsidR="00D505F2" w:rsidRPr="00BD03F1">
        <w:rPr>
          <w:rFonts w:cs="Arial"/>
        </w:rPr>
        <w:t>c</w:t>
      </w:r>
      <w:r w:rsidR="00237AB1" w:rsidRPr="00BD03F1">
        <w:rPr>
          <w:rFonts w:cs="Arial"/>
        </w:rPr>
        <w:t>onsider</w:t>
      </w:r>
      <w:r w:rsidR="00B23523" w:rsidRPr="00BD03F1">
        <w:rPr>
          <w:rFonts w:cs="Arial"/>
        </w:rPr>
        <w:t>ed</w:t>
      </w:r>
      <w:r w:rsidR="00237AB1" w:rsidRPr="00BD03F1">
        <w:rPr>
          <w:rFonts w:cs="Arial"/>
        </w:rPr>
        <w:t xml:space="preserve"> to be a positive indication that community members have developed a consciousness of their actions and are demonstrating early insight into the </w:t>
      </w:r>
      <w:r w:rsidR="008D0261">
        <w:rPr>
          <w:rFonts w:cs="Arial"/>
        </w:rPr>
        <w:t>a</w:t>
      </w:r>
      <w:r w:rsidR="00237AB1" w:rsidRPr="00BD03F1">
        <w:rPr>
          <w:rFonts w:cs="Arial"/>
        </w:rPr>
        <w:t>ffect those actions have on others.</w:t>
      </w:r>
    </w:p>
    <w:p w14:paraId="3A601116" w14:textId="77777777" w:rsidR="008436DC" w:rsidRDefault="008436DC" w:rsidP="0091685B">
      <w:pPr>
        <w:ind w:left="-142" w:right="-425"/>
        <w:jc w:val="both"/>
        <w:rPr>
          <w:rFonts w:cs="Arial"/>
        </w:rPr>
      </w:pPr>
    </w:p>
    <w:p w14:paraId="19233629" w14:textId="6156CA16" w:rsidR="00237AB1" w:rsidRPr="0092015D" w:rsidRDefault="00237AB1" w:rsidP="00237AB1">
      <w:pPr>
        <w:spacing w:after="120" w:line="240" w:lineRule="auto"/>
        <w:ind w:left="794" w:hanging="794"/>
      </w:pPr>
      <w:r w:rsidRPr="006C6A65">
        <w:rPr>
          <w:b/>
          <w:sz w:val="16"/>
          <w:szCs w:val="16"/>
        </w:rPr>
        <w:t xml:space="preserve">Table </w:t>
      </w:r>
      <w:r w:rsidR="002522F2">
        <w:rPr>
          <w:b/>
          <w:sz w:val="16"/>
          <w:szCs w:val="16"/>
        </w:rPr>
        <w:t>4</w:t>
      </w:r>
      <w:r w:rsidRPr="006C6A65">
        <w:rPr>
          <w:b/>
          <w:sz w:val="16"/>
          <w:szCs w:val="16"/>
        </w:rPr>
        <w:t>:</w:t>
      </w:r>
      <w:r w:rsidRPr="006C6A65">
        <w:rPr>
          <w:sz w:val="16"/>
          <w:szCs w:val="16"/>
        </w:rPr>
        <w:t xml:space="preserve"> Number of </w:t>
      </w:r>
      <w:r w:rsidRPr="00656C56">
        <w:rPr>
          <w:sz w:val="16"/>
          <w:szCs w:val="16"/>
        </w:rPr>
        <w:t>voluntary agreements</w:t>
      </w:r>
      <w:r w:rsidR="00E52293">
        <w:rPr>
          <w:sz w:val="16"/>
          <w:szCs w:val="16"/>
        </w:rPr>
        <w:t xml:space="preserve"> </w:t>
      </w:r>
      <w:bookmarkStart w:id="10" w:name="_Hlk82504830"/>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v</w:t>
      </w:r>
      <w:r w:rsidR="00E52293">
        <w:rPr>
          <w:sz w:val="16"/>
          <w:szCs w:val="16"/>
        </w:rPr>
        <w:t xml:space="preserve">oluntary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v</w:t>
      </w:r>
      <w:r w:rsidR="00E52293">
        <w:rPr>
          <w:sz w:val="16"/>
          <w:szCs w:val="16"/>
        </w:rPr>
        <w:t xml:space="preserve">oluntary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sidRPr="00656C56">
        <w:rPr>
          <w:sz w:val="16"/>
          <w:szCs w:val="16"/>
        </w:rPr>
        <w:t xml:space="preserve"> </w:t>
      </w:r>
      <w:bookmarkEnd w:id="10"/>
      <w:r w:rsidRPr="00656C56">
        <w:rPr>
          <w:sz w:val="16"/>
          <w:szCs w:val="16"/>
        </w:rPr>
        <w:t>entered into</w:t>
      </w:r>
      <w:r>
        <w:rPr>
          <w:sz w:val="16"/>
          <w:szCs w:val="16"/>
        </w:rPr>
        <w:t xml:space="preserve"> </w:t>
      </w:r>
      <w:r w:rsidR="00397BFC">
        <w:rPr>
          <w:sz w:val="16"/>
          <w:szCs w:val="16"/>
        </w:rPr>
        <w:t xml:space="preserve">from </w:t>
      </w:r>
      <w:r w:rsidR="007B7E78">
        <w:rPr>
          <w:sz w:val="16"/>
          <w:szCs w:val="16"/>
        </w:rPr>
        <w:t xml:space="preserve">1 </w:t>
      </w:r>
      <w:r w:rsidR="0080444C">
        <w:rPr>
          <w:sz w:val="16"/>
          <w:szCs w:val="16"/>
        </w:rPr>
        <w:t xml:space="preserve">July </w:t>
      </w:r>
      <w:r w:rsidR="00413FAC">
        <w:rPr>
          <w:sz w:val="16"/>
          <w:szCs w:val="16"/>
        </w:rPr>
        <w:t>2023</w:t>
      </w:r>
      <w:r>
        <w:rPr>
          <w:sz w:val="16"/>
          <w:szCs w:val="16"/>
        </w:rPr>
        <w:t xml:space="preserve"> to </w:t>
      </w:r>
      <w:bookmarkStart w:id="11" w:name="_Ref74754019"/>
      <w:r w:rsidR="007B7E78">
        <w:rPr>
          <w:sz w:val="16"/>
          <w:szCs w:val="16"/>
        </w:rPr>
        <w:t>3</w:t>
      </w:r>
      <w:r w:rsidR="00CE7CB6">
        <w:rPr>
          <w:sz w:val="16"/>
          <w:szCs w:val="16"/>
        </w:rPr>
        <w:t xml:space="preserve">0 </w:t>
      </w:r>
      <w:r w:rsidR="0080444C">
        <w:rPr>
          <w:sz w:val="16"/>
          <w:szCs w:val="16"/>
        </w:rPr>
        <w:t xml:space="preserve">September </w:t>
      </w:r>
      <w:r w:rsidR="00984BBB">
        <w:rPr>
          <w:sz w:val="16"/>
          <w:szCs w:val="16"/>
        </w:rPr>
        <w:t>2023</w:t>
      </w:r>
      <w:r w:rsidR="00604429" w:rsidRPr="008F6888">
        <w:rPr>
          <w:rStyle w:val="FootnoteReference"/>
          <w:sz w:val="16"/>
          <w:szCs w:val="16"/>
        </w:rPr>
        <w:footnoteReference w:id="6"/>
      </w:r>
      <w:bookmarkEnd w:id="11"/>
    </w:p>
    <w:tbl>
      <w:tblPr>
        <w:tblStyle w:val="TableGrid"/>
        <w:tblW w:w="0" w:type="auto"/>
        <w:tblInd w:w="108" w:type="dxa"/>
        <w:tblLook w:val="04A0" w:firstRow="1" w:lastRow="0" w:firstColumn="1" w:lastColumn="0" w:noHBand="0" w:noVBand="1"/>
      </w:tblPr>
      <w:tblGrid>
        <w:gridCol w:w="1555"/>
        <w:gridCol w:w="992"/>
        <w:gridCol w:w="1134"/>
        <w:gridCol w:w="992"/>
      </w:tblGrid>
      <w:tr w:rsidR="00237AB1" w:rsidRPr="00776C26" w14:paraId="41B7F57F" w14:textId="77777777" w:rsidTr="00237AB1">
        <w:tc>
          <w:tcPr>
            <w:tcW w:w="4673" w:type="dxa"/>
            <w:gridSpan w:val="4"/>
          </w:tcPr>
          <w:p w14:paraId="76E170F9" w14:textId="5275229E" w:rsidR="00237AB1" w:rsidRPr="00776C26" w:rsidRDefault="00237AB1" w:rsidP="00237AB1">
            <w:pPr>
              <w:ind w:right="-425"/>
              <w:jc w:val="center"/>
              <w:rPr>
                <w:rFonts w:cs="Arial"/>
                <w:b/>
                <w:bCs/>
              </w:rPr>
            </w:pPr>
            <w:r>
              <w:rPr>
                <w:rFonts w:cs="Arial"/>
                <w:b/>
                <w:bCs/>
              </w:rPr>
              <w:t>Voluntary Agreements</w:t>
            </w:r>
          </w:p>
        </w:tc>
      </w:tr>
      <w:tr w:rsidR="00237AB1" w:rsidRPr="00776C26" w14:paraId="1ACB6B25" w14:textId="77777777" w:rsidTr="00237AB1">
        <w:tc>
          <w:tcPr>
            <w:tcW w:w="1555" w:type="dxa"/>
          </w:tcPr>
          <w:p w14:paraId="4951D87C" w14:textId="77777777" w:rsidR="00237AB1" w:rsidRPr="00776C26" w:rsidRDefault="00237AB1" w:rsidP="00237AB1">
            <w:pPr>
              <w:ind w:right="-425"/>
              <w:jc w:val="both"/>
              <w:rPr>
                <w:rFonts w:cs="Arial"/>
                <w:b/>
                <w:bCs/>
              </w:rPr>
            </w:pPr>
          </w:p>
        </w:tc>
        <w:tc>
          <w:tcPr>
            <w:tcW w:w="992" w:type="dxa"/>
          </w:tcPr>
          <w:p w14:paraId="63EAF499" w14:textId="4173984D" w:rsidR="00237AB1" w:rsidRPr="00776C26" w:rsidRDefault="00237AB1" w:rsidP="00237AB1">
            <w:pPr>
              <w:jc w:val="center"/>
              <w:rPr>
                <w:rFonts w:cs="Arial"/>
                <w:b/>
                <w:bCs/>
              </w:rPr>
            </w:pPr>
            <w:r>
              <w:rPr>
                <w:rFonts w:cs="Arial"/>
                <w:b/>
                <w:bCs/>
              </w:rPr>
              <w:t>V</w:t>
            </w:r>
            <w:r w:rsidRPr="00776C26">
              <w:rPr>
                <w:rFonts w:cs="Arial"/>
                <w:b/>
                <w:bCs/>
              </w:rPr>
              <w:t>CP</w:t>
            </w:r>
          </w:p>
        </w:tc>
        <w:tc>
          <w:tcPr>
            <w:tcW w:w="1134" w:type="dxa"/>
          </w:tcPr>
          <w:p w14:paraId="47B66C78" w14:textId="0AA6A076" w:rsidR="00237AB1" w:rsidRPr="00776C26" w:rsidRDefault="00237AB1" w:rsidP="00237AB1">
            <w:pPr>
              <w:jc w:val="center"/>
              <w:rPr>
                <w:rFonts w:cs="Arial"/>
                <w:b/>
                <w:bCs/>
              </w:rPr>
            </w:pPr>
            <w:r>
              <w:rPr>
                <w:rFonts w:cs="Arial"/>
                <w:b/>
                <w:bCs/>
              </w:rPr>
              <w:t>V</w:t>
            </w:r>
            <w:r w:rsidRPr="00776C26">
              <w:rPr>
                <w:rFonts w:cs="Arial"/>
                <w:b/>
                <w:bCs/>
              </w:rPr>
              <w:t>IM</w:t>
            </w:r>
          </w:p>
        </w:tc>
        <w:tc>
          <w:tcPr>
            <w:tcW w:w="992" w:type="dxa"/>
          </w:tcPr>
          <w:p w14:paraId="3C6C1E19" w14:textId="77777777" w:rsidR="00237AB1" w:rsidRPr="00776C26" w:rsidRDefault="00237AB1" w:rsidP="00237AB1">
            <w:pPr>
              <w:jc w:val="right"/>
              <w:rPr>
                <w:rFonts w:cs="Arial"/>
                <w:b/>
                <w:bCs/>
              </w:rPr>
            </w:pPr>
            <w:r w:rsidRPr="00776C26">
              <w:rPr>
                <w:rFonts w:cs="Arial"/>
                <w:b/>
                <w:bCs/>
              </w:rPr>
              <w:t>Total</w:t>
            </w:r>
          </w:p>
        </w:tc>
      </w:tr>
      <w:tr w:rsidR="00ED5D13" w:rsidRPr="00776C26" w14:paraId="23E8C631" w14:textId="77777777" w:rsidTr="0034073B">
        <w:tc>
          <w:tcPr>
            <w:tcW w:w="1555" w:type="dxa"/>
          </w:tcPr>
          <w:p w14:paraId="08DA178D" w14:textId="77777777" w:rsidR="00ED5D13" w:rsidRPr="00776C26" w:rsidRDefault="00ED5D13" w:rsidP="00ED5D13">
            <w:pPr>
              <w:ind w:right="-425"/>
              <w:jc w:val="both"/>
              <w:rPr>
                <w:rFonts w:cs="Arial"/>
                <w:b/>
                <w:bCs/>
              </w:rPr>
            </w:pPr>
            <w:r w:rsidRPr="00776C26">
              <w:rPr>
                <w:rFonts w:cs="Arial"/>
                <w:b/>
                <w:bCs/>
              </w:rPr>
              <w:t>Total</w:t>
            </w:r>
          </w:p>
        </w:tc>
        <w:tc>
          <w:tcPr>
            <w:tcW w:w="992" w:type="dxa"/>
            <w:vAlign w:val="bottom"/>
          </w:tcPr>
          <w:p w14:paraId="31C63D09" w14:textId="74F966FE" w:rsidR="00ED5D13" w:rsidRPr="00776C26" w:rsidRDefault="005721E7" w:rsidP="00ED5D13">
            <w:pPr>
              <w:jc w:val="right"/>
              <w:rPr>
                <w:b/>
                <w:bCs/>
              </w:rPr>
            </w:pPr>
            <w:r>
              <w:rPr>
                <w:b/>
                <w:bCs/>
              </w:rPr>
              <w:t>2</w:t>
            </w:r>
            <w:r w:rsidR="00C95797">
              <w:rPr>
                <w:b/>
                <w:bCs/>
              </w:rPr>
              <w:t>7</w:t>
            </w:r>
          </w:p>
        </w:tc>
        <w:tc>
          <w:tcPr>
            <w:tcW w:w="1134" w:type="dxa"/>
            <w:vAlign w:val="bottom"/>
          </w:tcPr>
          <w:p w14:paraId="1D2060AE" w14:textId="343C9870" w:rsidR="00ED5D13" w:rsidRPr="00776C26" w:rsidRDefault="005721E7" w:rsidP="00ED5D13">
            <w:pPr>
              <w:jc w:val="right"/>
              <w:rPr>
                <w:b/>
                <w:bCs/>
              </w:rPr>
            </w:pPr>
            <w:r>
              <w:rPr>
                <w:b/>
                <w:bCs/>
              </w:rPr>
              <w:t>32</w:t>
            </w:r>
          </w:p>
        </w:tc>
        <w:tc>
          <w:tcPr>
            <w:tcW w:w="992" w:type="dxa"/>
            <w:vAlign w:val="bottom"/>
          </w:tcPr>
          <w:p w14:paraId="7E29C7F4" w14:textId="133B4EAC" w:rsidR="00ED5D13" w:rsidRPr="00776C26" w:rsidRDefault="00C95797" w:rsidP="00ED5D13">
            <w:pPr>
              <w:jc w:val="right"/>
              <w:rPr>
                <w:b/>
                <w:bCs/>
              </w:rPr>
            </w:pPr>
            <w:r>
              <w:rPr>
                <w:b/>
                <w:bCs/>
              </w:rPr>
              <w:t>59</w:t>
            </w:r>
          </w:p>
        </w:tc>
      </w:tr>
    </w:tbl>
    <w:p w14:paraId="340804AB" w14:textId="2011C4C9" w:rsidR="00C64787" w:rsidRDefault="00C64787" w:rsidP="00237AB1">
      <w:pPr>
        <w:ind w:left="-142" w:right="-425"/>
        <w:jc w:val="both"/>
        <w:rPr>
          <w:rFonts w:cs="Arial"/>
        </w:rPr>
      </w:pPr>
    </w:p>
    <w:p w14:paraId="32A7D6CF" w14:textId="5147D7E7" w:rsidR="00237AB1" w:rsidRPr="0092015D" w:rsidRDefault="00237AB1" w:rsidP="00237AB1">
      <w:pPr>
        <w:spacing w:after="120" w:line="240" w:lineRule="auto"/>
        <w:ind w:left="794" w:hanging="794"/>
      </w:pPr>
      <w:r w:rsidRPr="006C6A65">
        <w:rPr>
          <w:b/>
          <w:sz w:val="16"/>
          <w:szCs w:val="16"/>
        </w:rPr>
        <w:t xml:space="preserve">Table </w:t>
      </w:r>
      <w:r w:rsidR="002522F2">
        <w:rPr>
          <w:b/>
          <w:sz w:val="16"/>
          <w:szCs w:val="16"/>
        </w:rPr>
        <w:t>5</w:t>
      </w:r>
      <w:r w:rsidRPr="006C6A65">
        <w:rPr>
          <w:b/>
          <w:sz w:val="16"/>
          <w:szCs w:val="16"/>
        </w:rPr>
        <w:t>:</w:t>
      </w:r>
      <w:r w:rsidRPr="006C6A65">
        <w:rPr>
          <w:sz w:val="16"/>
          <w:szCs w:val="16"/>
        </w:rPr>
        <w:t xml:space="preserve"> Number of </w:t>
      </w:r>
      <w:r>
        <w:rPr>
          <w:sz w:val="16"/>
          <w:szCs w:val="16"/>
        </w:rPr>
        <w:t>decisions by agreement</w:t>
      </w:r>
      <w:r w:rsidR="00E52293">
        <w:rPr>
          <w:sz w:val="16"/>
          <w:szCs w:val="16"/>
        </w:rPr>
        <w:t xml:space="preserve"> </w:t>
      </w:r>
      <w:bookmarkStart w:id="13" w:name="_Hlk82504907"/>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c</w:t>
      </w:r>
      <w:r w:rsidR="00E52293">
        <w:rPr>
          <w:sz w:val="16"/>
          <w:szCs w:val="16"/>
        </w:rPr>
        <w:t xml:space="preserve">onditional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Pr>
          <w:sz w:val="16"/>
          <w:szCs w:val="16"/>
        </w:rPr>
        <w:t xml:space="preserve"> </w:t>
      </w:r>
      <w:bookmarkEnd w:id="13"/>
      <w:r w:rsidRPr="00656C56">
        <w:rPr>
          <w:sz w:val="16"/>
          <w:szCs w:val="16"/>
        </w:rPr>
        <w:t>entered into</w:t>
      </w:r>
      <w:r>
        <w:rPr>
          <w:sz w:val="16"/>
          <w:szCs w:val="16"/>
        </w:rPr>
        <w:t xml:space="preserve"> </w:t>
      </w:r>
      <w:r w:rsidR="00397BFC">
        <w:rPr>
          <w:sz w:val="16"/>
          <w:szCs w:val="16"/>
        </w:rPr>
        <w:t xml:space="preserve">from </w:t>
      </w:r>
      <w:r w:rsidR="007B7E78">
        <w:rPr>
          <w:sz w:val="16"/>
          <w:szCs w:val="16"/>
        </w:rPr>
        <w:t xml:space="preserve">1 </w:t>
      </w:r>
      <w:r w:rsidR="0080444C">
        <w:rPr>
          <w:sz w:val="16"/>
          <w:szCs w:val="16"/>
        </w:rPr>
        <w:t xml:space="preserve">July </w:t>
      </w:r>
      <w:r w:rsidR="00413FAC">
        <w:rPr>
          <w:sz w:val="16"/>
          <w:szCs w:val="16"/>
        </w:rPr>
        <w:t>2023</w:t>
      </w:r>
      <w:r>
        <w:rPr>
          <w:sz w:val="16"/>
          <w:szCs w:val="16"/>
        </w:rPr>
        <w:t xml:space="preserve"> to </w:t>
      </w:r>
      <w:r w:rsidR="007B7E78">
        <w:rPr>
          <w:sz w:val="16"/>
          <w:szCs w:val="16"/>
        </w:rPr>
        <w:t>3</w:t>
      </w:r>
      <w:r w:rsidR="00CE7CB6">
        <w:rPr>
          <w:sz w:val="16"/>
          <w:szCs w:val="16"/>
        </w:rPr>
        <w:t xml:space="preserve">0 </w:t>
      </w:r>
      <w:r w:rsidR="0080444C">
        <w:rPr>
          <w:sz w:val="16"/>
          <w:szCs w:val="16"/>
        </w:rPr>
        <w:t xml:space="preserve">September </w:t>
      </w:r>
      <w:r w:rsidR="00984BBB">
        <w:rPr>
          <w:sz w:val="16"/>
          <w:szCs w:val="16"/>
        </w:rPr>
        <w:t>2023</w:t>
      </w:r>
      <w:r w:rsidR="009315C2" w:rsidRPr="00152D32">
        <w:rPr>
          <w:sz w:val="16"/>
          <w:szCs w:val="16"/>
          <w:vertAlign w:val="superscript"/>
        </w:rPr>
        <w:fldChar w:fldCharType="begin"/>
      </w:r>
      <w:r w:rsidR="009315C2" w:rsidRPr="00152D32">
        <w:rPr>
          <w:sz w:val="16"/>
          <w:szCs w:val="16"/>
          <w:vertAlign w:val="superscript"/>
        </w:rPr>
        <w:instrText xml:space="preserve"> NOTEREF _Ref74754019 \h </w:instrText>
      </w:r>
      <w:r w:rsidR="00152D32">
        <w:rPr>
          <w:sz w:val="16"/>
          <w:szCs w:val="16"/>
          <w:vertAlign w:val="superscript"/>
        </w:rPr>
        <w:instrText xml:space="preserve"> \* MERGEFORMAT </w:instrText>
      </w:r>
      <w:r w:rsidR="009315C2" w:rsidRPr="00152D32">
        <w:rPr>
          <w:sz w:val="16"/>
          <w:szCs w:val="16"/>
          <w:vertAlign w:val="superscript"/>
        </w:rPr>
      </w:r>
      <w:r w:rsidR="009315C2" w:rsidRPr="00152D32">
        <w:rPr>
          <w:sz w:val="16"/>
          <w:szCs w:val="16"/>
          <w:vertAlign w:val="superscript"/>
        </w:rPr>
        <w:fldChar w:fldCharType="separate"/>
      </w:r>
      <w:r w:rsidR="008E44A0">
        <w:rPr>
          <w:sz w:val="16"/>
          <w:szCs w:val="16"/>
          <w:vertAlign w:val="superscript"/>
        </w:rPr>
        <w:t>5</w:t>
      </w:r>
      <w:r w:rsidR="009315C2" w:rsidRPr="00152D32">
        <w:rPr>
          <w:sz w:val="16"/>
          <w:szCs w:val="16"/>
          <w:vertAlign w:val="superscript"/>
        </w:rPr>
        <w:fldChar w:fldCharType="end"/>
      </w:r>
    </w:p>
    <w:tbl>
      <w:tblPr>
        <w:tblStyle w:val="TableGrid"/>
        <w:tblW w:w="0" w:type="auto"/>
        <w:tblInd w:w="108" w:type="dxa"/>
        <w:tblLook w:val="04A0" w:firstRow="1" w:lastRow="0" w:firstColumn="1" w:lastColumn="0" w:noHBand="0" w:noVBand="1"/>
      </w:tblPr>
      <w:tblGrid>
        <w:gridCol w:w="1555"/>
        <w:gridCol w:w="992"/>
        <w:gridCol w:w="1134"/>
        <w:gridCol w:w="992"/>
      </w:tblGrid>
      <w:tr w:rsidR="00237AB1" w14:paraId="53E930CE" w14:textId="77777777" w:rsidTr="00237AB1">
        <w:tc>
          <w:tcPr>
            <w:tcW w:w="4673" w:type="dxa"/>
            <w:gridSpan w:val="4"/>
          </w:tcPr>
          <w:p w14:paraId="6BE89000" w14:textId="77777777" w:rsidR="00237AB1" w:rsidRPr="00776C26" w:rsidRDefault="00237AB1" w:rsidP="00237AB1">
            <w:pPr>
              <w:ind w:right="-425"/>
              <w:jc w:val="center"/>
              <w:rPr>
                <w:rFonts w:cs="Arial"/>
                <w:b/>
                <w:bCs/>
              </w:rPr>
            </w:pPr>
            <w:r w:rsidRPr="00776C26">
              <w:rPr>
                <w:rFonts w:cs="Arial"/>
                <w:b/>
                <w:bCs/>
              </w:rPr>
              <w:t>Decisions by Agreement</w:t>
            </w:r>
          </w:p>
        </w:tc>
      </w:tr>
      <w:tr w:rsidR="00237AB1" w14:paraId="1B39E359" w14:textId="77777777" w:rsidTr="00237AB1">
        <w:tc>
          <w:tcPr>
            <w:tcW w:w="1555" w:type="dxa"/>
          </w:tcPr>
          <w:p w14:paraId="340242C0" w14:textId="77777777" w:rsidR="00237AB1" w:rsidRPr="00776C26" w:rsidRDefault="00237AB1" w:rsidP="00237AB1">
            <w:pPr>
              <w:ind w:right="-425"/>
              <w:jc w:val="both"/>
              <w:rPr>
                <w:rFonts w:cs="Arial"/>
                <w:b/>
                <w:bCs/>
              </w:rPr>
            </w:pPr>
            <w:r w:rsidRPr="00776C26">
              <w:rPr>
                <w:rFonts w:cs="Arial"/>
                <w:b/>
                <w:bCs/>
              </w:rPr>
              <w:t>Community</w:t>
            </w:r>
          </w:p>
        </w:tc>
        <w:tc>
          <w:tcPr>
            <w:tcW w:w="992" w:type="dxa"/>
          </w:tcPr>
          <w:p w14:paraId="55C79983" w14:textId="35668438" w:rsidR="00237AB1" w:rsidRPr="00776C26" w:rsidRDefault="00237AB1" w:rsidP="00237AB1">
            <w:pPr>
              <w:jc w:val="center"/>
              <w:rPr>
                <w:rFonts w:cs="Arial"/>
                <w:b/>
                <w:bCs/>
              </w:rPr>
            </w:pPr>
            <w:r w:rsidRPr="00776C26">
              <w:rPr>
                <w:rFonts w:cs="Arial"/>
                <w:b/>
                <w:bCs/>
              </w:rPr>
              <w:t>CP</w:t>
            </w:r>
          </w:p>
        </w:tc>
        <w:tc>
          <w:tcPr>
            <w:tcW w:w="1134" w:type="dxa"/>
          </w:tcPr>
          <w:p w14:paraId="655927A8" w14:textId="38EB1868" w:rsidR="00237AB1" w:rsidRPr="00776C26" w:rsidRDefault="00237AB1" w:rsidP="00237AB1">
            <w:pPr>
              <w:jc w:val="center"/>
              <w:rPr>
                <w:rFonts w:cs="Arial"/>
                <w:b/>
                <w:bCs/>
              </w:rPr>
            </w:pPr>
            <w:r w:rsidRPr="00776C26">
              <w:rPr>
                <w:rFonts w:cs="Arial"/>
                <w:b/>
                <w:bCs/>
              </w:rPr>
              <w:t>CIM</w:t>
            </w:r>
          </w:p>
        </w:tc>
        <w:tc>
          <w:tcPr>
            <w:tcW w:w="992" w:type="dxa"/>
          </w:tcPr>
          <w:p w14:paraId="2853358B" w14:textId="77777777" w:rsidR="00237AB1" w:rsidRPr="00776C26" w:rsidRDefault="00237AB1" w:rsidP="00237AB1">
            <w:pPr>
              <w:jc w:val="right"/>
              <w:rPr>
                <w:rFonts w:cs="Arial"/>
                <w:b/>
                <w:bCs/>
              </w:rPr>
            </w:pPr>
            <w:r w:rsidRPr="00776C26">
              <w:rPr>
                <w:rFonts w:cs="Arial"/>
                <w:b/>
                <w:bCs/>
              </w:rPr>
              <w:t>Total</w:t>
            </w:r>
          </w:p>
        </w:tc>
      </w:tr>
      <w:tr w:rsidR="005721E7" w14:paraId="604BDE97" w14:textId="77777777" w:rsidTr="00237AB1">
        <w:tc>
          <w:tcPr>
            <w:tcW w:w="1555" w:type="dxa"/>
          </w:tcPr>
          <w:p w14:paraId="16D39C9C" w14:textId="77777777" w:rsidR="005721E7" w:rsidRPr="00490B40" w:rsidRDefault="005721E7" w:rsidP="005721E7">
            <w:pPr>
              <w:ind w:right="-425"/>
              <w:jc w:val="both"/>
              <w:rPr>
                <w:rFonts w:cs="Arial"/>
              </w:rPr>
            </w:pPr>
            <w:r w:rsidRPr="00490B40">
              <w:rPr>
                <w:rFonts w:cs="Arial"/>
              </w:rPr>
              <w:t>AU</w:t>
            </w:r>
          </w:p>
        </w:tc>
        <w:tc>
          <w:tcPr>
            <w:tcW w:w="992" w:type="dxa"/>
            <w:vAlign w:val="bottom"/>
          </w:tcPr>
          <w:p w14:paraId="4F2BC6E4" w14:textId="10980B43" w:rsidR="005721E7" w:rsidRPr="00900EA0" w:rsidRDefault="005721E7" w:rsidP="005721E7">
            <w:pPr>
              <w:jc w:val="right"/>
            </w:pPr>
            <w:r>
              <w:rPr>
                <w:rFonts w:cs="Arial"/>
              </w:rPr>
              <w:t>27</w:t>
            </w:r>
          </w:p>
        </w:tc>
        <w:tc>
          <w:tcPr>
            <w:tcW w:w="1134" w:type="dxa"/>
            <w:vAlign w:val="bottom"/>
          </w:tcPr>
          <w:p w14:paraId="5D79F7D6" w14:textId="33F4CA14" w:rsidR="005721E7" w:rsidRPr="00900EA0" w:rsidRDefault="005721E7" w:rsidP="005721E7">
            <w:pPr>
              <w:jc w:val="right"/>
            </w:pPr>
            <w:r>
              <w:rPr>
                <w:rFonts w:cs="Arial"/>
              </w:rPr>
              <w:t>0</w:t>
            </w:r>
          </w:p>
        </w:tc>
        <w:tc>
          <w:tcPr>
            <w:tcW w:w="992" w:type="dxa"/>
            <w:vAlign w:val="bottom"/>
          </w:tcPr>
          <w:p w14:paraId="2B25B2DF" w14:textId="50F938B5" w:rsidR="005721E7" w:rsidRPr="00900EA0" w:rsidRDefault="005721E7" w:rsidP="005721E7">
            <w:pPr>
              <w:jc w:val="right"/>
              <w:rPr>
                <w:b/>
                <w:bCs/>
              </w:rPr>
            </w:pPr>
            <w:r>
              <w:rPr>
                <w:rFonts w:cs="Arial"/>
                <w:b/>
                <w:bCs/>
              </w:rPr>
              <w:t>27</w:t>
            </w:r>
          </w:p>
        </w:tc>
      </w:tr>
      <w:tr w:rsidR="005721E7" w14:paraId="1A905600" w14:textId="77777777" w:rsidTr="00237AB1">
        <w:tc>
          <w:tcPr>
            <w:tcW w:w="1555" w:type="dxa"/>
          </w:tcPr>
          <w:p w14:paraId="59A72EEE" w14:textId="77777777" w:rsidR="005721E7" w:rsidRPr="00490B40" w:rsidRDefault="005721E7" w:rsidP="005721E7">
            <w:pPr>
              <w:ind w:right="-425"/>
              <w:jc w:val="both"/>
              <w:rPr>
                <w:rFonts w:cs="Arial"/>
              </w:rPr>
            </w:pPr>
            <w:r w:rsidRPr="00490B40">
              <w:rPr>
                <w:rFonts w:cs="Arial"/>
              </w:rPr>
              <w:t>CO</w:t>
            </w:r>
          </w:p>
        </w:tc>
        <w:tc>
          <w:tcPr>
            <w:tcW w:w="992" w:type="dxa"/>
            <w:vAlign w:val="bottom"/>
          </w:tcPr>
          <w:p w14:paraId="7DC045C3" w14:textId="0401509F" w:rsidR="005721E7" w:rsidRPr="00900EA0" w:rsidRDefault="005721E7" w:rsidP="005721E7">
            <w:pPr>
              <w:jc w:val="right"/>
            </w:pPr>
            <w:r>
              <w:rPr>
                <w:rFonts w:cs="Arial"/>
              </w:rPr>
              <w:t>4</w:t>
            </w:r>
          </w:p>
        </w:tc>
        <w:tc>
          <w:tcPr>
            <w:tcW w:w="1134" w:type="dxa"/>
            <w:vAlign w:val="bottom"/>
          </w:tcPr>
          <w:p w14:paraId="544139DB" w14:textId="417EA792" w:rsidR="005721E7" w:rsidRPr="00900EA0" w:rsidRDefault="005721E7" w:rsidP="005721E7">
            <w:pPr>
              <w:jc w:val="right"/>
            </w:pPr>
            <w:r>
              <w:rPr>
                <w:rFonts w:cs="Arial"/>
              </w:rPr>
              <w:t>0</w:t>
            </w:r>
          </w:p>
        </w:tc>
        <w:tc>
          <w:tcPr>
            <w:tcW w:w="992" w:type="dxa"/>
            <w:vAlign w:val="bottom"/>
          </w:tcPr>
          <w:p w14:paraId="655575AD" w14:textId="32EF74A4" w:rsidR="005721E7" w:rsidRPr="00900EA0" w:rsidRDefault="005721E7" w:rsidP="005721E7">
            <w:pPr>
              <w:jc w:val="right"/>
              <w:rPr>
                <w:b/>
                <w:bCs/>
              </w:rPr>
            </w:pPr>
            <w:r>
              <w:rPr>
                <w:rFonts w:cs="Arial"/>
                <w:b/>
                <w:bCs/>
              </w:rPr>
              <w:t>4</w:t>
            </w:r>
          </w:p>
        </w:tc>
      </w:tr>
      <w:tr w:rsidR="005721E7" w14:paraId="577F7E12" w14:textId="77777777" w:rsidTr="00237AB1">
        <w:tc>
          <w:tcPr>
            <w:tcW w:w="1555" w:type="dxa"/>
          </w:tcPr>
          <w:p w14:paraId="2E4003E9" w14:textId="77777777" w:rsidR="005721E7" w:rsidRPr="00490B40" w:rsidRDefault="005721E7" w:rsidP="005721E7">
            <w:pPr>
              <w:ind w:right="-425"/>
              <w:jc w:val="both"/>
              <w:rPr>
                <w:rFonts w:cs="Arial"/>
              </w:rPr>
            </w:pPr>
            <w:r w:rsidRPr="00490B40">
              <w:rPr>
                <w:rFonts w:cs="Arial"/>
              </w:rPr>
              <w:t>DM</w:t>
            </w:r>
          </w:p>
        </w:tc>
        <w:tc>
          <w:tcPr>
            <w:tcW w:w="992" w:type="dxa"/>
            <w:vAlign w:val="bottom"/>
          </w:tcPr>
          <w:p w14:paraId="68E2C72D" w14:textId="275A80EF" w:rsidR="005721E7" w:rsidRPr="00900EA0" w:rsidRDefault="005721E7" w:rsidP="005721E7">
            <w:pPr>
              <w:jc w:val="right"/>
            </w:pPr>
            <w:r>
              <w:rPr>
                <w:rFonts w:cs="Arial"/>
              </w:rPr>
              <w:t>14</w:t>
            </w:r>
          </w:p>
        </w:tc>
        <w:tc>
          <w:tcPr>
            <w:tcW w:w="1134" w:type="dxa"/>
            <w:vAlign w:val="bottom"/>
          </w:tcPr>
          <w:p w14:paraId="5EFFF8C4" w14:textId="561123FE" w:rsidR="005721E7" w:rsidRPr="00900EA0" w:rsidRDefault="005721E7" w:rsidP="005721E7">
            <w:pPr>
              <w:jc w:val="right"/>
            </w:pPr>
            <w:r>
              <w:rPr>
                <w:rFonts w:cs="Arial"/>
              </w:rPr>
              <w:t>0</w:t>
            </w:r>
          </w:p>
        </w:tc>
        <w:tc>
          <w:tcPr>
            <w:tcW w:w="992" w:type="dxa"/>
            <w:vAlign w:val="bottom"/>
          </w:tcPr>
          <w:p w14:paraId="1CF754DE" w14:textId="6A9EB8F0" w:rsidR="005721E7" w:rsidRPr="00900EA0" w:rsidRDefault="005721E7" w:rsidP="005721E7">
            <w:pPr>
              <w:jc w:val="right"/>
              <w:rPr>
                <w:b/>
                <w:bCs/>
              </w:rPr>
            </w:pPr>
            <w:r>
              <w:rPr>
                <w:rFonts w:cs="Arial"/>
                <w:b/>
                <w:bCs/>
              </w:rPr>
              <w:t>14</w:t>
            </w:r>
          </w:p>
        </w:tc>
      </w:tr>
      <w:tr w:rsidR="005721E7" w14:paraId="55AC2A32" w14:textId="77777777" w:rsidTr="00237AB1">
        <w:tc>
          <w:tcPr>
            <w:tcW w:w="1555" w:type="dxa"/>
          </w:tcPr>
          <w:p w14:paraId="511465EF" w14:textId="77777777" w:rsidR="005721E7" w:rsidRPr="00490B40" w:rsidRDefault="005721E7" w:rsidP="005721E7">
            <w:pPr>
              <w:ind w:right="-425"/>
              <w:jc w:val="both"/>
              <w:rPr>
                <w:rFonts w:cs="Arial"/>
              </w:rPr>
            </w:pPr>
            <w:r w:rsidRPr="00490B40">
              <w:rPr>
                <w:rFonts w:cs="Arial"/>
              </w:rPr>
              <w:t>HV</w:t>
            </w:r>
          </w:p>
        </w:tc>
        <w:tc>
          <w:tcPr>
            <w:tcW w:w="992" w:type="dxa"/>
            <w:vAlign w:val="bottom"/>
          </w:tcPr>
          <w:p w14:paraId="16976329" w14:textId="6629BE14" w:rsidR="005721E7" w:rsidRPr="00900EA0" w:rsidRDefault="005721E7" w:rsidP="005721E7">
            <w:pPr>
              <w:jc w:val="right"/>
            </w:pPr>
            <w:r>
              <w:rPr>
                <w:rFonts w:cs="Arial"/>
              </w:rPr>
              <w:t>4</w:t>
            </w:r>
          </w:p>
        </w:tc>
        <w:tc>
          <w:tcPr>
            <w:tcW w:w="1134" w:type="dxa"/>
            <w:vAlign w:val="bottom"/>
          </w:tcPr>
          <w:p w14:paraId="48C3CD7F" w14:textId="6A6DFEDF" w:rsidR="005721E7" w:rsidRPr="00900EA0" w:rsidRDefault="005721E7" w:rsidP="005721E7">
            <w:pPr>
              <w:jc w:val="right"/>
            </w:pPr>
            <w:r>
              <w:rPr>
                <w:rFonts w:cs="Arial"/>
              </w:rPr>
              <w:t>0</w:t>
            </w:r>
          </w:p>
        </w:tc>
        <w:tc>
          <w:tcPr>
            <w:tcW w:w="992" w:type="dxa"/>
            <w:vAlign w:val="bottom"/>
          </w:tcPr>
          <w:p w14:paraId="1AAF646B" w14:textId="18D7A9A6" w:rsidR="005721E7" w:rsidRPr="00900EA0" w:rsidRDefault="005721E7" w:rsidP="005721E7">
            <w:pPr>
              <w:jc w:val="right"/>
              <w:rPr>
                <w:b/>
                <w:bCs/>
              </w:rPr>
            </w:pPr>
            <w:r>
              <w:rPr>
                <w:rFonts w:cs="Arial"/>
                <w:b/>
                <w:bCs/>
              </w:rPr>
              <w:t>4</w:t>
            </w:r>
          </w:p>
        </w:tc>
      </w:tr>
      <w:tr w:rsidR="005721E7" w14:paraId="50F69E1F" w14:textId="77777777" w:rsidTr="00237AB1">
        <w:tc>
          <w:tcPr>
            <w:tcW w:w="1555" w:type="dxa"/>
          </w:tcPr>
          <w:p w14:paraId="48DBAB63" w14:textId="77777777" w:rsidR="005721E7" w:rsidRPr="00490B40" w:rsidRDefault="005721E7" w:rsidP="005721E7">
            <w:pPr>
              <w:ind w:right="-425"/>
              <w:jc w:val="both"/>
              <w:rPr>
                <w:rFonts w:cs="Arial"/>
              </w:rPr>
            </w:pPr>
            <w:r w:rsidRPr="00490B40">
              <w:rPr>
                <w:rFonts w:cs="Arial"/>
              </w:rPr>
              <w:t>MG</w:t>
            </w:r>
          </w:p>
        </w:tc>
        <w:tc>
          <w:tcPr>
            <w:tcW w:w="992" w:type="dxa"/>
            <w:vAlign w:val="bottom"/>
          </w:tcPr>
          <w:p w14:paraId="2E4ACC08" w14:textId="249409B7" w:rsidR="005721E7" w:rsidRPr="00900EA0" w:rsidRDefault="005721E7" w:rsidP="005721E7">
            <w:pPr>
              <w:jc w:val="right"/>
            </w:pPr>
            <w:r>
              <w:rPr>
                <w:rFonts w:cs="Arial"/>
              </w:rPr>
              <w:t>3</w:t>
            </w:r>
          </w:p>
        </w:tc>
        <w:tc>
          <w:tcPr>
            <w:tcW w:w="1134" w:type="dxa"/>
            <w:vAlign w:val="bottom"/>
          </w:tcPr>
          <w:p w14:paraId="06822B4C" w14:textId="5E458519" w:rsidR="005721E7" w:rsidRPr="00900EA0" w:rsidRDefault="005721E7" w:rsidP="005721E7">
            <w:pPr>
              <w:jc w:val="right"/>
            </w:pPr>
            <w:r>
              <w:rPr>
                <w:rFonts w:cs="Arial"/>
              </w:rPr>
              <w:t>0</w:t>
            </w:r>
          </w:p>
        </w:tc>
        <w:tc>
          <w:tcPr>
            <w:tcW w:w="992" w:type="dxa"/>
            <w:vAlign w:val="bottom"/>
          </w:tcPr>
          <w:p w14:paraId="4AC3B4A9" w14:textId="2C100532" w:rsidR="005721E7" w:rsidRPr="00900EA0" w:rsidRDefault="005721E7" w:rsidP="005721E7">
            <w:pPr>
              <w:jc w:val="right"/>
              <w:rPr>
                <w:b/>
                <w:bCs/>
              </w:rPr>
            </w:pPr>
            <w:r>
              <w:rPr>
                <w:rFonts w:cs="Arial"/>
                <w:b/>
                <w:bCs/>
              </w:rPr>
              <w:t>3</w:t>
            </w:r>
          </w:p>
        </w:tc>
      </w:tr>
      <w:tr w:rsidR="005721E7" w14:paraId="7BC56D75" w14:textId="77777777" w:rsidTr="00237AB1">
        <w:tc>
          <w:tcPr>
            <w:tcW w:w="1555" w:type="dxa"/>
          </w:tcPr>
          <w:p w14:paraId="201CE63A" w14:textId="77777777" w:rsidR="005721E7" w:rsidRPr="00776C26" w:rsidRDefault="005721E7" w:rsidP="005721E7">
            <w:pPr>
              <w:ind w:right="-425"/>
              <w:jc w:val="both"/>
              <w:rPr>
                <w:rFonts w:cs="Arial"/>
                <w:b/>
                <w:bCs/>
              </w:rPr>
            </w:pPr>
            <w:r w:rsidRPr="00776C26">
              <w:rPr>
                <w:rFonts w:cs="Arial"/>
                <w:b/>
                <w:bCs/>
              </w:rPr>
              <w:t>Total</w:t>
            </w:r>
          </w:p>
        </w:tc>
        <w:tc>
          <w:tcPr>
            <w:tcW w:w="992" w:type="dxa"/>
            <w:vAlign w:val="bottom"/>
          </w:tcPr>
          <w:p w14:paraId="0FB9062E" w14:textId="7DA42554" w:rsidR="005721E7" w:rsidRPr="00900EA0" w:rsidRDefault="005721E7" w:rsidP="005721E7">
            <w:pPr>
              <w:jc w:val="right"/>
              <w:rPr>
                <w:b/>
                <w:bCs/>
              </w:rPr>
            </w:pPr>
            <w:r>
              <w:rPr>
                <w:rFonts w:cs="Arial"/>
                <w:b/>
                <w:bCs/>
              </w:rPr>
              <w:t>52</w:t>
            </w:r>
          </w:p>
        </w:tc>
        <w:tc>
          <w:tcPr>
            <w:tcW w:w="1134" w:type="dxa"/>
            <w:vAlign w:val="bottom"/>
          </w:tcPr>
          <w:p w14:paraId="482ED4A6" w14:textId="1D390360" w:rsidR="005721E7" w:rsidRPr="00900EA0" w:rsidRDefault="005721E7" w:rsidP="005721E7">
            <w:pPr>
              <w:jc w:val="right"/>
              <w:rPr>
                <w:b/>
                <w:bCs/>
              </w:rPr>
            </w:pPr>
            <w:r>
              <w:rPr>
                <w:rFonts w:cs="Arial"/>
                <w:b/>
                <w:bCs/>
              </w:rPr>
              <w:t>0</w:t>
            </w:r>
          </w:p>
        </w:tc>
        <w:tc>
          <w:tcPr>
            <w:tcW w:w="992" w:type="dxa"/>
            <w:vAlign w:val="bottom"/>
          </w:tcPr>
          <w:p w14:paraId="47A0B826" w14:textId="2F433718" w:rsidR="005721E7" w:rsidRPr="00900EA0" w:rsidRDefault="005721E7" w:rsidP="005721E7">
            <w:pPr>
              <w:jc w:val="right"/>
              <w:rPr>
                <w:b/>
                <w:bCs/>
              </w:rPr>
            </w:pPr>
            <w:r>
              <w:rPr>
                <w:rFonts w:cs="Arial"/>
                <w:b/>
                <w:bCs/>
              </w:rPr>
              <w:t>52</w:t>
            </w:r>
          </w:p>
        </w:tc>
      </w:tr>
    </w:tbl>
    <w:p w14:paraId="600511AC" w14:textId="77777777" w:rsidR="00237AB1" w:rsidRDefault="00237AB1" w:rsidP="00237AB1">
      <w:pPr>
        <w:ind w:left="-142" w:right="-425"/>
        <w:jc w:val="both"/>
        <w:rPr>
          <w:rFonts w:cs="Arial"/>
        </w:rPr>
      </w:pPr>
    </w:p>
    <w:p w14:paraId="07242880" w14:textId="4BECE5DF" w:rsidR="00237AB1" w:rsidRPr="0002195A" w:rsidRDefault="00237AB1" w:rsidP="0002195A">
      <w:pPr>
        <w:spacing w:after="120" w:line="240" w:lineRule="auto"/>
        <w:ind w:left="794" w:hanging="794"/>
        <w:rPr>
          <w:b/>
          <w:sz w:val="16"/>
          <w:szCs w:val="16"/>
        </w:rPr>
      </w:pPr>
      <w:r w:rsidRPr="004B6F52">
        <w:rPr>
          <w:b/>
          <w:sz w:val="16"/>
          <w:szCs w:val="16"/>
        </w:rPr>
        <w:t xml:space="preserve">Table </w:t>
      </w:r>
      <w:r w:rsidR="002522F2">
        <w:rPr>
          <w:b/>
          <w:sz w:val="16"/>
          <w:szCs w:val="16"/>
        </w:rPr>
        <w:t>6</w:t>
      </w:r>
      <w:r w:rsidRPr="004B6F52">
        <w:rPr>
          <w:b/>
          <w:sz w:val="16"/>
          <w:szCs w:val="16"/>
        </w:rPr>
        <w:t>:</w:t>
      </w:r>
      <w:r w:rsidRPr="0002195A">
        <w:rPr>
          <w:bCs/>
          <w:sz w:val="16"/>
          <w:szCs w:val="16"/>
        </w:rPr>
        <w:t xml:space="preserve"> Number of decisions by order</w:t>
      </w:r>
      <w:bookmarkStart w:id="14" w:name="_Hlk82505564"/>
      <w:r w:rsidR="00E52293" w:rsidRPr="0002195A">
        <w:rPr>
          <w:bCs/>
          <w:sz w:val="16"/>
          <w:szCs w:val="16"/>
        </w:rPr>
        <w:t xml:space="preserve"> (</w:t>
      </w:r>
      <w:r w:rsidR="003B114F" w:rsidRPr="0002195A">
        <w:rPr>
          <w:bCs/>
          <w:sz w:val="16"/>
          <w:szCs w:val="16"/>
        </w:rPr>
        <w:t xml:space="preserve">including </w:t>
      </w:r>
      <w:r w:rsidR="00E52293" w:rsidRPr="0002195A">
        <w:rPr>
          <w:bCs/>
          <w:sz w:val="16"/>
          <w:szCs w:val="16"/>
        </w:rPr>
        <w:t xml:space="preserve">where the FRC has mandated a client be the subject of a </w:t>
      </w:r>
      <w:r w:rsidR="0002195A" w:rsidRPr="0002195A">
        <w:rPr>
          <w:bCs/>
          <w:sz w:val="16"/>
          <w:szCs w:val="16"/>
        </w:rPr>
        <w:t>c</w:t>
      </w:r>
      <w:r w:rsidR="00E52293" w:rsidRPr="0002195A">
        <w:rPr>
          <w:bCs/>
          <w:sz w:val="16"/>
          <w:szCs w:val="16"/>
        </w:rPr>
        <w:t xml:space="preserve">ase </w:t>
      </w:r>
      <w:r w:rsidR="0002195A" w:rsidRPr="0002195A">
        <w:rPr>
          <w:bCs/>
          <w:sz w:val="16"/>
          <w:szCs w:val="16"/>
        </w:rPr>
        <w:t>p</w:t>
      </w:r>
      <w:r w:rsidR="00E52293" w:rsidRPr="0002195A">
        <w:rPr>
          <w:bCs/>
          <w:sz w:val="16"/>
          <w:szCs w:val="16"/>
        </w:rPr>
        <w:t xml:space="preserve">lan or </w:t>
      </w:r>
      <w:r w:rsidR="0002195A" w:rsidRPr="0002195A">
        <w:rPr>
          <w:bCs/>
          <w:sz w:val="16"/>
          <w:szCs w:val="16"/>
        </w:rPr>
        <w:t>c</w:t>
      </w:r>
      <w:r w:rsidR="00E52293" w:rsidRPr="0002195A">
        <w:rPr>
          <w:bCs/>
          <w:sz w:val="16"/>
          <w:szCs w:val="16"/>
        </w:rPr>
        <w:t xml:space="preserve">onditional </w:t>
      </w:r>
      <w:r w:rsidR="0002195A" w:rsidRPr="0002195A">
        <w:rPr>
          <w:bCs/>
          <w:sz w:val="16"/>
          <w:szCs w:val="16"/>
        </w:rPr>
        <w:t>i</w:t>
      </w:r>
      <w:r w:rsidR="00E52293" w:rsidRPr="0002195A">
        <w:rPr>
          <w:bCs/>
          <w:sz w:val="16"/>
          <w:szCs w:val="16"/>
        </w:rPr>
        <w:t xml:space="preserve">ncome </w:t>
      </w:r>
      <w:r w:rsidR="0002195A" w:rsidRPr="0002195A">
        <w:rPr>
          <w:bCs/>
          <w:sz w:val="16"/>
          <w:szCs w:val="16"/>
        </w:rPr>
        <w:t>m</w:t>
      </w:r>
      <w:r w:rsidR="00E52293" w:rsidRPr="0002195A">
        <w:rPr>
          <w:bCs/>
          <w:sz w:val="16"/>
          <w:szCs w:val="16"/>
        </w:rPr>
        <w:t>anagement)</w:t>
      </w:r>
      <w:r w:rsidRPr="0002195A">
        <w:rPr>
          <w:bCs/>
          <w:sz w:val="16"/>
          <w:szCs w:val="16"/>
        </w:rPr>
        <w:t xml:space="preserve"> </w:t>
      </w:r>
      <w:bookmarkEnd w:id="14"/>
      <w:r w:rsidRPr="0002195A">
        <w:rPr>
          <w:bCs/>
          <w:sz w:val="16"/>
          <w:szCs w:val="16"/>
        </w:rPr>
        <w:t xml:space="preserve">from </w:t>
      </w:r>
      <w:r w:rsidR="007B7E78">
        <w:rPr>
          <w:bCs/>
          <w:sz w:val="16"/>
          <w:szCs w:val="16"/>
        </w:rPr>
        <w:t xml:space="preserve">1 </w:t>
      </w:r>
      <w:r w:rsidR="0080444C">
        <w:rPr>
          <w:bCs/>
          <w:sz w:val="16"/>
          <w:szCs w:val="16"/>
        </w:rPr>
        <w:t xml:space="preserve">July </w:t>
      </w:r>
      <w:r w:rsidR="00413FAC">
        <w:rPr>
          <w:bCs/>
          <w:sz w:val="16"/>
          <w:szCs w:val="16"/>
        </w:rPr>
        <w:t>2023</w:t>
      </w:r>
      <w:r w:rsidRPr="0002195A">
        <w:rPr>
          <w:bCs/>
          <w:sz w:val="16"/>
          <w:szCs w:val="16"/>
        </w:rPr>
        <w:t xml:space="preserve"> to </w:t>
      </w:r>
      <w:r w:rsidR="007B7E78">
        <w:rPr>
          <w:bCs/>
          <w:sz w:val="16"/>
          <w:szCs w:val="16"/>
        </w:rPr>
        <w:t>3</w:t>
      </w:r>
      <w:r w:rsidR="00CE7CB6">
        <w:rPr>
          <w:bCs/>
          <w:sz w:val="16"/>
          <w:szCs w:val="16"/>
        </w:rPr>
        <w:t xml:space="preserve">0 </w:t>
      </w:r>
      <w:r w:rsidR="0080444C">
        <w:rPr>
          <w:bCs/>
          <w:sz w:val="16"/>
          <w:szCs w:val="16"/>
        </w:rPr>
        <w:t xml:space="preserve">September </w:t>
      </w:r>
      <w:r w:rsidR="00984BBB">
        <w:rPr>
          <w:bCs/>
          <w:sz w:val="16"/>
          <w:szCs w:val="16"/>
        </w:rPr>
        <w:t>2023</w:t>
      </w:r>
      <w:r w:rsidR="0002195A" w:rsidRPr="00152D32">
        <w:rPr>
          <w:sz w:val="16"/>
          <w:szCs w:val="16"/>
          <w:vertAlign w:val="superscript"/>
        </w:rPr>
        <w:fldChar w:fldCharType="begin"/>
      </w:r>
      <w:r w:rsidR="0002195A" w:rsidRPr="00152D32">
        <w:rPr>
          <w:sz w:val="16"/>
          <w:szCs w:val="16"/>
          <w:vertAlign w:val="superscript"/>
        </w:rPr>
        <w:instrText xml:space="preserve"> NOTEREF _Ref74754019 \h </w:instrText>
      </w:r>
      <w:r w:rsidR="0002195A">
        <w:rPr>
          <w:sz w:val="16"/>
          <w:szCs w:val="16"/>
          <w:vertAlign w:val="superscript"/>
        </w:rPr>
        <w:instrText xml:space="preserve"> \* MERGEFORMAT </w:instrText>
      </w:r>
      <w:r w:rsidR="0002195A" w:rsidRPr="00152D32">
        <w:rPr>
          <w:sz w:val="16"/>
          <w:szCs w:val="16"/>
          <w:vertAlign w:val="superscript"/>
        </w:rPr>
      </w:r>
      <w:r w:rsidR="0002195A" w:rsidRPr="00152D32">
        <w:rPr>
          <w:sz w:val="16"/>
          <w:szCs w:val="16"/>
          <w:vertAlign w:val="superscript"/>
        </w:rPr>
        <w:fldChar w:fldCharType="separate"/>
      </w:r>
      <w:r w:rsidR="008E44A0">
        <w:rPr>
          <w:sz w:val="16"/>
          <w:szCs w:val="16"/>
          <w:vertAlign w:val="superscript"/>
        </w:rPr>
        <w:t>5</w:t>
      </w:r>
      <w:r w:rsidR="0002195A" w:rsidRPr="00152D32">
        <w:rPr>
          <w:sz w:val="16"/>
          <w:szCs w:val="16"/>
          <w:vertAlign w:val="superscript"/>
        </w:rPr>
        <w:fldChar w:fldCharType="end"/>
      </w:r>
    </w:p>
    <w:tbl>
      <w:tblPr>
        <w:tblStyle w:val="TableGrid"/>
        <w:tblW w:w="9188" w:type="dxa"/>
        <w:tblInd w:w="108" w:type="dxa"/>
        <w:tblLook w:val="04A0" w:firstRow="1" w:lastRow="0" w:firstColumn="1" w:lastColumn="0" w:noHBand="0" w:noVBand="1"/>
      </w:tblPr>
      <w:tblGrid>
        <w:gridCol w:w="1240"/>
        <w:gridCol w:w="565"/>
        <w:gridCol w:w="1375"/>
        <w:gridCol w:w="1356"/>
        <w:gridCol w:w="571"/>
        <w:gridCol w:w="887"/>
        <w:gridCol w:w="1323"/>
        <w:gridCol w:w="1196"/>
        <w:gridCol w:w="675"/>
      </w:tblGrid>
      <w:tr w:rsidR="007234EE" w:rsidRPr="00FD5669" w14:paraId="209C6712" w14:textId="77777777" w:rsidTr="005721E7">
        <w:tc>
          <w:tcPr>
            <w:tcW w:w="9188" w:type="dxa"/>
            <w:gridSpan w:val="9"/>
          </w:tcPr>
          <w:p w14:paraId="3AD53699" w14:textId="4AA14002" w:rsidR="007234EE" w:rsidRPr="005721E7" w:rsidRDefault="007234EE" w:rsidP="00862DC4">
            <w:pPr>
              <w:jc w:val="center"/>
              <w:rPr>
                <w:rFonts w:cs="Arial"/>
                <w:b/>
                <w:bCs/>
                <w:sz w:val="16"/>
                <w:szCs w:val="16"/>
              </w:rPr>
            </w:pPr>
            <w:r w:rsidRPr="005721E7">
              <w:rPr>
                <w:rFonts w:cs="Arial"/>
                <w:b/>
                <w:bCs/>
                <w:sz w:val="16"/>
                <w:szCs w:val="16"/>
              </w:rPr>
              <w:t>Decision by Order</w:t>
            </w:r>
          </w:p>
        </w:tc>
      </w:tr>
      <w:tr w:rsidR="005721E7" w:rsidRPr="00FD5669" w14:paraId="00D64F33" w14:textId="77777777" w:rsidTr="005721E7">
        <w:tc>
          <w:tcPr>
            <w:tcW w:w="1240" w:type="dxa"/>
          </w:tcPr>
          <w:p w14:paraId="4D5DE928" w14:textId="77777777" w:rsidR="005721E7" w:rsidRPr="005721E7" w:rsidRDefault="005721E7" w:rsidP="005721E7">
            <w:pPr>
              <w:ind w:right="-425"/>
              <w:jc w:val="both"/>
              <w:rPr>
                <w:rFonts w:cs="Arial"/>
                <w:b/>
                <w:bCs/>
                <w:sz w:val="16"/>
                <w:szCs w:val="16"/>
              </w:rPr>
            </w:pPr>
            <w:r w:rsidRPr="005721E7">
              <w:rPr>
                <w:rFonts w:cs="Arial"/>
                <w:b/>
                <w:bCs/>
                <w:sz w:val="16"/>
                <w:szCs w:val="16"/>
              </w:rPr>
              <w:t>Community</w:t>
            </w:r>
          </w:p>
        </w:tc>
        <w:tc>
          <w:tcPr>
            <w:tcW w:w="565" w:type="dxa"/>
          </w:tcPr>
          <w:p w14:paraId="26C6768E" w14:textId="38839D85" w:rsidR="005721E7" w:rsidRPr="005721E7" w:rsidRDefault="005721E7" w:rsidP="005721E7">
            <w:pPr>
              <w:jc w:val="center"/>
              <w:rPr>
                <w:rFonts w:cs="Arial"/>
                <w:b/>
                <w:bCs/>
                <w:sz w:val="16"/>
                <w:szCs w:val="16"/>
              </w:rPr>
            </w:pPr>
            <w:r w:rsidRPr="005721E7">
              <w:rPr>
                <w:rFonts w:cs="Arial"/>
                <w:b/>
                <w:bCs/>
                <w:sz w:val="16"/>
                <w:szCs w:val="16"/>
              </w:rPr>
              <w:t>CCP</w:t>
            </w:r>
          </w:p>
        </w:tc>
        <w:tc>
          <w:tcPr>
            <w:tcW w:w="1375" w:type="dxa"/>
          </w:tcPr>
          <w:p w14:paraId="26BEE2F4" w14:textId="2C3EC3D2" w:rsidR="005721E7" w:rsidRPr="005721E7" w:rsidRDefault="005721E7" w:rsidP="005721E7">
            <w:pPr>
              <w:jc w:val="center"/>
              <w:rPr>
                <w:rFonts w:cs="Arial"/>
                <w:b/>
                <w:bCs/>
                <w:sz w:val="16"/>
                <w:szCs w:val="16"/>
              </w:rPr>
            </w:pPr>
            <w:r w:rsidRPr="005721E7">
              <w:rPr>
                <w:rFonts w:cs="Arial"/>
                <w:b/>
                <w:bCs/>
                <w:sz w:val="16"/>
                <w:szCs w:val="16"/>
              </w:rPr>
              <w:t>CCP &amp; CIM Concurrently</w:t>
            </w:r>
          </w:p>
        </w:tc>
        <w:tc>
          <w:tcPr>
            <w:tcW w:w="1356" w:type="dxa"/>
          </w:tcPr>
          <w:p w14:paraId="4ED5CDAF" w14:textId="60DA8986" w:rsidR="005721E7" w:rsidRPr="005721E7" w:rsidRDefault="005721E7" w:rsidP="005721E7">
            <w:pPr>
              <w:jc w:val="center"/>
              <w:rPr>
                <w:rFonts w:cs="Arial"/>
                <w:b/>
                <w:bCs/>
                <w:sz w:val="16"/>
                <w:szCs w:val="16"/>
              </w:rPr>
            </w:pPr>
            <w:r w:rsidRPr="005721E7">
              <w:rPr>
                <w:rFonts w:cs="Arial"/>
                <w:b/>
                <w:bCs/>
                <w:sz w:val="16"/>
                <w:szCs w:val="16"/>
              </w:rPr>
              <w:t>CCP, CIM Rescheduled</w:t>
            </w:r>
          </w:p>
        </w:tc>
        <w:tc>
          <w:tcPr>
            <w:tcW w:w="571" w:type="dxa"/>
          </w:tcPr>
          <w:p w14:paraId="20680178" w14:textId="2DF7D7B7" w:rsidR="005721E7" w:rsidRPr="005721E7" w:rsidRDefault="005721E7" w:rsidP="005721E7">
            <w:pPr>
              <w:jc w:val="center"/>
              <w:rPr>
                <w:rFonts w:cs="Arial"/>
                <w:b/>
                <w:bCs/>
                <w:sz w:val="16"/>
                <w:szCs w:val="16"/>
              </w:rPr>
            </w:pPr>
            <w:r w:rsidRPr="005721E7">
              <w:rPr>
                <w:rFonts w:cs="Arial"/>
                <w:b/>
                <w:bCs/>
                <w:sz w:val="16"/>
                <w:szCs w:val="16"/>
              </w:rPr>
              <w:t>CIM</w:t>
            </w:r>
          </w:p>
        </w:tc>
        <w:tc>
          <w:tcPr>
            <w:tcW w:w="887" w:type="dxa"/>
          </w:tcPr>
          <w:p w14:paraId="5E156BEA" w14:textId="6A7D5A79" w:rsidR="005721E7" w:rsidRPr="005721E7" w:rsidRDefault="005721E7" w:rsidP="005721E7">
            <w:pPr>
              <w:jc w:val="right"/>
              <w:rPr>
                <w:rFonts w:cs="Arial"/>
                <w:b/>
                <w:bCs/>
                <w:sz w:val="16"/>
                <w:szCs w:val="16"/>
              </w:rPr>
            </w:pPr>
            <w:r w:rsidRPr="005721E7">
              <w:rPr>
                <w:rFonts w:cs="Arial"/>
                <w:b/>
                <w:bCs/>
                <w:sz w:val="16"/>
                <w:szCs w:val="16"/>
              </w:rPr>
              <w:t>No Further Action</w:t>
            </w:r>
          </w:p>
        </w:tc>
        <w:tc>
          <w:tcPr>
            <w:tcW w:w="1323" w:type="dxa"/>
          </w:tcPr>
          <w:p w14:paraId="2F640541" w14:textId="2F5D48BF" w:rsidR="005721E7" w:rsidRPr="005721E7" w:rsidRDefault="005721E7" w:rsidP="005721E7">
            <w:pPr>
              <w:jc w:val="right"/>
              <w:rPr>
                <w:rFonts w:cs="Arial"/>
                <w:b/>
                <w:bCs/>
                <w:sz w:val="16"/>
                <w:szCs w:val="16"/>
              </w:rPr>
            </w:pPr>
            <w:r w:rsidRPr="005721E7">
              <w:rPr>
                <w:rFonts w:cs="Arial"/>
                <w:b/>
                <w:bCs/>
                <w:sz w:val="16"/>
                <w:szCs w:val="16"/>
              </w:rPr>
              <w:t>Recommend Support Service</w:t>
            </w:r>
          </w:p>
        </w:tc>
        <w:tc>
          <w:tcPr>
            <w:tcW w:w="1196" w:type="dxa"/>
          </w:tcPr>
          <w:p w14:paraId="733FB272" w14:textId="28BC897A" w:rsidR="005721E7" w:rsidRPr="005721E7" w:rsidRDefault="005721E7" w:rsidP="005721E7">
            <w:pPr>
              <w:jc w:val="right"/>
              <w:rPr>
                <w:rFonts w:cs="Arial"/>
                <w:b/>
                <w:bCs/>
                <w:sz w:val="16"/>
                <w:szCs w:val="16"/>
              </w:rPr>
            </w:pPr>
            <w:r w:rsidRPr="005721E7">
              <w:rPr>
                <w:rFonts w:cs="Arial"/>
                <w:b/>
                <w:bCs/>
                <w:sz w:val="16"/>
                <w:szCs w:val="16"/>
              </w:rPr>
              <w:t>Reprimand</w:t>
            </w:r>
          </w:p>
        </w:tc>
        <w:tc>
          <w:tcPr>
            <w:tcW w:w="675" w:type="dxa"/>
          </w:tcPr>
          <w:p w14:paraId="510D2877" w14:textId="34D89101" w:rsidR="005721E7" w:rsidRPr="005721E7" w:rsidRDefault="005721E7" w:rsidP="005721E7">
            <w:pPr>
              <w:jc w:val="right"/>
              <w:rPr>
                <w:rFonts w:cs="Arial"/>
                <w:b/>
                <w:bCs/>
                <w:sz w:val="16"/>
                <w:szCs w:val="16"/>
              </w:rPr>
            </w:pPr>
            <w:r w:rsidRPr="005721E7">
              <w:rPr>
                <w:rFonts w:cs="Arial"/>
                <w:b/>
                <w:bCs/>
                <w:sz w:val="16"/>
                <w:szCs w:val="16"/>
              </w:rPr>
              <w:t>Total</w:t>
            </w:r>
          </w:p>
        </w:tc>
      </w:tr>
      <w:tr w:rsidR="005721E7" w:rsidRPr="00FD5669" w14:paraId="1020AB47" w14:textId="77777777" w:rsidTr="005721E7">
        <w:tc>
          <w:tcPr>
            <w:tcW w:w="1240" w:type="dxa"/>
          </w:tcPr>
          <w:p w14:paraId="38A91592" w14:textId="77777777" w:rsidR="005721E7" w:rsidRPr="005721E7" w:rsidRDefault="005721E7" w:rsidP="005721E7">
            <w:pPr>
              <w:ind w:right="-425"/>
              <w:jc w:val="both"/>
              <w:rPr>
                <w:rFonts w:cs="Arial"/>
                <w:sz w:val="16"/>
                <w:szCs w:val="16"/>
              </w:rPr>
            </w:pPr>
            <w:r w:rsidRPr="005721E7">
              <w:rPr>
                <w:rFonts w:cs="Arial"/>
                <w:sz w:val="16"/>
                <w:szCs w:val="16"/>
              </w:rPr>
              <w:t>AU</w:t>
            </w:r>
          </w:p>
        </w:tc>
        <w:tc>
          <w:tcPr>
            <w:tcW w:w="565" w:type="dxa"/>
          </w:tcPr>
          <w:p w14:paraId="49AD44CD" w14:textId="62F35781" w:rsidR="005721E7" w:rsidRPr="005721E7" w:rsidRDefault="005721E7" w:rsidP="005721E7">
            <w:pPr>
              <w:jc w:val="right"/>
              <w:rPr>
                <w:sz w:val="16"/>
                <w:szCs w:val="16"/>
              </w:rPr>
            </w:pPr>
            <w:r w:rsidRPr="005721E7">
              <w:rPr>
                <w:rFonts w:cs="Arial"/>
                <w:color w:val="000000"/>
                <w:sz w:val="16"/>
                <w:szCs w:val="16"/>
              </w:rPr>
              <w:t>0</w:t>
            </w:r>
          </w:p>
        </w:tc>
        <w:tc>
          <w:tcPr>
            <w:tcW w:w="1375" w:type="dxa"/>
          </w:tcPr>
          <w:p w14:paraId="17354BB6" w14:textId="763B9C76" w:rsidR="005721E7" w:rsidRPr="005721E7" w:rsidRDefault="005721E7" w:rsidP="005721E7">
            <w:pPr>
              <w:jc w:val="right"/>
              <w:rPr>
                <w:sz w:val="16"/>
                <w:szCs w:val="16"/>
              </w:rPr>
            </w:pPr>
            <w:r w:rsidRPr="005721E7">
              <w:rPr>
                <w:rFonts w:cs="Arial"/>
                <w:color w:val="000000"/>
                <w:sz w:val="16"/>
                <w:szCs w:val="16"/>
              </w:rPr>
              <w:t>3</w:t>
            </w:r>
          </w:p>
        </w:tc>
        <w:tc>
          <w:tcPr>
            <w:tcW w:w="1356" w:type="dxa"/>
          </w:tcPr>
          <w:p w14:paraId="78125343" w14:textId="67EE4C62" w:rsidR="005721E7" w:rsidRPr="005721E7" w:rsidRDefault="005721E7" w:rsidP="005721E7">
            <w:pPr>
              <w:jc w:val="right"/>
              <w:rPr>
                <w:sz w:val="16"/>
                <w:szCs w:val="16"/>
              </w:rPr>
            </w:pPr>
            <w:r w:rsidRPr="005721E7">
              <w:rPr>
                <w:rFonts w:cs="Arial"/>
                <w:color w:val="000000"/>
                <w:sz w:val="16"/>
                <w:szCs w:val="16"/>
              </w:rPr>
              <w:t>0</w:t>
            </w:r>
          </w:p>
        </w:tc>
        <w:tc>
          <w:tcPr>
            <w:tcW w:w="571" w:type="dxa"/>
          </w:tcPr>
          <w:p w14:paraId="515C5886" w14:textId="4572E079" w:rsidR="005721E7" w:rsidRPr="005721E7" w:rsidRDefault="005721E7" w:rsidP="005721E7">
            <w:pPr>
              <w:jc w:val="right"/>
              <w:rPr>
                <w:sz w:val="16"/>
                <w:szCs w:val="16"/>
              </w:rPr>
            </w:pPr>
            <w:r w:rsidRPr="005721E7">
              <w:rPr>
                <w:rFonts w:cs="Arial"/>
                <w:color w:val="000000"/>
                <w:sz w:val="16"/>
                <w:szCs w:val="16"/>
              </w:rPr>
              <w:t>2</w:t>
            </w:r>
          </w:p>
        </w:tc>
        <w:tc>
          <w:tcPr>
            <w:tcW w:w="887" w:type="dxa"/>
          </w:tcPr>
          <w:p w14:paraId="1EDEBBF3" w14:textId="57EBE50E" w:rsidR="005721E7" w:rsidRPr="005721E7" w:rsidRDefault="005721E7" w:rsidP="005721E7">
            <w:pPr>
              <w:jc w:val="right"/>
              <w:rPr>
                <w:sz w:val="16"/>
                <w:szCs w:val="16"/>
              </w:rPr>
            </w:pPr>
            <w:r w:rsidRPr="005721E7">
              <w:rPr>
                <w:rFonts w:cs="Arial"/>
                <w:color w:val="000000"/>
                <w:sz w:val="16"/>
                <w:szCs w:val="16"/>
              </w:rPr>
              <w:t>7</w:t>
            </w:r>
          </w:p>
        </w:tc>
        <w:tc>
          <w:tcPr>
            <w:tcW w:w="1323" w:type="dxa"/>
          </w:tcPr>
          <w:p w14:paraId="148E8079" w14:textId="10F85B4A" w:rsidR="005721E7" w:rsidRPr="005721E7" w:rsidRDefault="005721E7" w:rsidP="005721E7">
            <w:pPr>
              <w:jc w:val="right"/>
              <w:rPr>
                <w:sz w:val="16"/>
                <w:szCs w:val="16"/>
              </w:rPr>
            </w:pPr>
            <w:r w:rsidRPr="005721E7">
              <w:rPr>
                <w:rFonts w:cs="Arial"/>
                <w:color w:val="000000"/>
                <w:sz w:val="16"/>
                <w:szCs w:val="16"/>
              </w:rPr>
              <w:t>2</w:t>
            </w:r>
          </w:p>
        </w:tc>
        <w:tc>
          <w:tcPr>
            <w:tcW w:w="1196" w:type="dxa"/>
          </w:tcPr>
          <w:p w14:paraId="3ABFE30D" w14:textId="22D2D278" w:rsidR="005721E7" w:rsidRPr="005721E7" w:rsidRDefault="005721E7" w:rsidP="005721E7">
            <w:pPr>
              <w:jc w:val="right"/>
              <w:rPr>
                <w:sz w:val="16"/>
                <w:szCs w:val="16"/>
              </w:rPr>
            </w:pPr>
            <w:r w:rsidRPr="005721E7">
              <w:rPr>
                <w:rFonts w:cs="Arial"/>
                <w:color w:val="000000"/>
                <w:sz w:val="16"/>
                <w:szCs w:val="16"/>
              </w:rPr>
              <w:t>4</w:t>
            </w:r>
          </w:p>
        </w:tc>
        <w:tc>
          <w:tcPr>
            <w:tcW w:w="675" w:type="dxa"/>
            <w:vAlign w:val="bottom"/>
          </w:tcPr>
          <w:p w14:paraId="5EBCE817" w14:textId="0CE0FBFF" w:rsidR="005721E7" w:rsidRPr="005721E7" w:rsidRDefault="005721E7" w:rsidP="005721E7">
            <w:pPr>
              <w:jc w:val="right"/>
              <w:rPr>
                <w:b/>
                <w:bCs/>
                <w:sz w:val="16"/>
                <w:szCs w:val="16"/>
              </w:rPr>
            </w:pPr>
            <w:r w:rsidRPr="005721E7">
              <w:rPr>
                <w:rFonts w:cs="Arial"/>
                <w:b/>
                <w:bCs/>
                <w:sz w:val="16"/>
                <w:szCs w:val="16"/>
              </w:rPr>
              <w:t>18</w:t>
            </w:r>
          </w:p>
        </w:tc>
      </w:tr>
      <w:tr w:rsidR="005721E7" w:rsidRPr="00FD5669" w14:paraId="301C6385" w14:textId="77777777" w:rsidTr="005721E7">
        <w:tc>
          <w:tcPr>
            <w:tcW w:w="1240" w:type="dxa"/>
          </w:tcPr>
          <w:p w14:paraId="50576C01" w14:textId="77777777" w:rsidR="005721E7" w:rsidRPr="005721E7" w:rsidRDefault="005721E7" w:rsidP="005721E7">
            <w:pPr>
              <w:ind w:right="-425"/>
              <w:jc w:val="both"/>
              <w:rPr>
                <w:rFonts w:cs="Arial"/>
                <w:sz w:val="16"/>
                <w:szCs w:val="16"/>
              </w:rPr>
            </w:pPr>
            <w:r w:rsidRPr="005721E7">
              <w:rPr>
                <w:rFonts w:cs="Arial"/>
                <w:sz w:val="16"/>
                <w:szCs w:val="16"/>
              </w:rPr>
              <w:t>CO</w:t>
            </w:r>
          </w:p>
        </w:tc>
        <w:tc>
          <w:tcPr>
            <w:tcW w:w="565" w:type="dxa"/>
          </w:tcPr>
          <w:p w14:paraId="44D73875" w14:textId="2C70C954" w:rsidR="005721E7" w:rsidRPr="005721E7" w:rsidRDefault="005721E7" w:rsidP="005721E7">
            <w:pPr>
              <w:jc w:val="right"/>
              <w:rPr>
                <w:sz w:val="16"/>
                <w:szCs w:val="16"/>
              </w:rPr>
            </w:pPr>
            <w:r w:rsidRPr="005721E7">
              <w:rPr>
                <w:rFonts w:cs="Arial"/>
                <w:color w:val="000000"/>
                <w:sz w:val="16"/>
                <w:szCs w:val="16"/>
              </w:rPr>
              <w:t>0</w:t>
            </w:r>
          </w:p>
        </w:tc>
        <w:tc>
          <w:tcPr>
            <w:tcW w:w="1375" w:type="dxa"/>
          </w:tcPr>
          <w:p w14:paraId="0F9DAF08" w14:textId="3BF52CA2" w:rsidR="005721E7" w:rsidRPr="005721E7" w:rsidRDefault="005721E7" w:rsidP="005721E7">
            <w:pPr>
              <w:jc w:val="right"/>
              <w:rPr>
                <w:sz w:val="16"/>
                <w:szCs w:val="16"/>
              </w:rPr>
            </w:pPr>
            <w:r w:rsidRPr="005721E7">
              <w:rPr>
                <w:rFonts w:cs="Arial"/>
                <w:color w:val="000000"/>
                <w:sz w:val="16"/>
                <w:szCs w:val="16"/>
              </w:rPr>
              <w:t>0</w:t>
            </w:r>
          </w:p>
        </w:tc>
        <w:tc>
          <w:tcPr>
            <w:tcW w:w="1356" w:type="dxa"/>
          </w:tcPr>
          <w:p w14:paraId="19DCE547" w14:textId="47BE254F" w:rsidR="005721E7" w:rsidRPr="005721E7" w:rsidRDefault="005721E7" w:rsidP="005721E7">
            <w:pPr>
              <w:jc w:val="right"/>
              <w:rPr>
                <w:sz w:val="16"/>
                <w:szCs w:val="16"/>
              </w:rPr>
            </w:pPr>
            <w:r w:rsidRPr="005721E7">
              <w:rPr>
                <w:rFonts w:cs="Arial"/>
                <w:color w:val="000000"/>
                <w:sz w:val="16"/>
                <w:szCs w:val="16"/>
              </w:rPr>
              <w:t>0</w:t>
            </w:r>
          </w:p>
        </w:tc>
        <w:tc>
          <w:tcPr>
            <w:tcW w:w="571" w:type="dxa"/>
          </w:tcPr>
          <w:p w14:paraId="2433CFD3" w14:textId="631A6A55" w:rsidR="005721E7" w:rsidRPr="005721E7" w:rsidRDefault="005721E7" w:rsidP="005721E7">
            <w:pPr>
              <w:jc w:val="right"/>
              <w:rPr>
                <w:sz w:val="16"/>
                <w:szCs w:val="16"/>
              </w:rPr>
            </w:pPr>
            <w:r w:rsidRPr="005721E7">
              <w:rPr>
                <w:rFonts w:cs="Arial"/>
                <w:color w:val="000000"/>
                <w:sz w:val="16"/>
                <w:szCs w:val="16"/>
              </w:rPr>
              <w:t>0</w:t>
            </w:r>
          </w:p>
        </w:tc>
        <w:tc>
          <w:tcPr>
            <w:tcW w:w="887" w:type="dxa"/>
          </w:tcPr>
          <w:p w14:paraId="7CBCE60D" w14:textId="0FBF267A" w:rsidR="005721E7" w:rsidRPr="005721E7" w:rsidRDefault="005721E7" w:rsidP="005721E7">
            <w:pPr>
              <w:jc w:val="right"/>
              <w:rPr>
                <w:sz w:val="16"/>
                <w:szCs w:val="16"/>
              </w:rPr>
            </w:pPr>
            <w:r w:rsidRPr="005721E7">
              <w:rPr>
                <w:rFonts w:cs="Arial"/>
                <w:color w:val="000000"/>
                <w:sz w:val="16"/>
                <w:szCs w:val="16"/>
              </w:rPr>
              <w:t>2</w:t>
            </w:r>
          </w:p>
        </w:tc>
        <w:tc>
          <w:tcPr>
            <w:tcW w:w="1323" w:type="dxa"/>
          </w:tcPr>
          <w:p w14:paraId="607C9E91" w14:textId="2E30142B" w:rsidR="005721E7" w:rsidRPr="005721E7" w:rsidRDefault="005721E7" w:rsidP="005721E7">
            <w:pPr>
              <w:jc w:val="right"/>
              <w:rPr>
                <w:sz w:val="16"/>
                <w:szCs w:val="16"/>
              </w:rPr>
            </w:pPr>
            <w:r w:rsidRPr="005721E7">
              <w:rPr>
                <w:rFonts w:cs="Arial"/>
                <w:color w:val="000000"/>
                <w:sz w:val="16"/>
                <w:szCs w:val="16"/>
              </w:rPr>
              <w:t>0</w:t>
            </w:r>
          </w:p>
        </w:tc>
        <w:tc>
          <w:tcPr>
            <w:tcW w:w="1196" w:type="dxa"/>
          </w:tcPr>
          <w:p w14:paraId="467E65DA" w14:textId="058287BF" w:rsidR="005721E7" w:rsidRPr="005721E7" w:rsidRDefault="005721E7" w:rsidP="005721E7">
            <w:pPr>
              <w:jc w:val="right"/>
              <w:rPr>
                <w:sz w:val="16"/>
                <w:szCs w:val="16"/>
              </w:rPr>
            </w:pPr>
            <w:r w:rsidRPr="005721E7">
              <w:rPr>
                <w:rFonts w:cs="Arial"/>
                <w:color w:val="000000"/>
                <w:sz w:val="16"/>
                <w:szCs w:val="16"/>
              </w:rPr>
              <w:t>0</w:t>
            </w:r>
          </w:p>
        </w:tc>
        <w:tc>
          <w:tcPr>
            <w:tcW w:w="675" w:type="dxa"/>
            <w:vAlign w:val="bottom"/>
          </w:tcPr>
          <w:p w14:paraId="72B8A199" w14:textId="7B9E60DB" w:rsidR="005721E7" w:rsidRPr="005721E7" w:rsidRDefault="005721E7" w:rsidP="005721E7">
            <w:pPr>
              <w:jc w:val="right"/>
              <w:rPr>
                <w:b/>
                <w:bCs/>
                <w:sz w:val="16"/>
                <w:szCs w:val="16"/>
              </w:rPr>
            </w:pPr>
            <w:r w:rsidRPr="005721E7">
              <w:rPr>
                <w:rFonts w:cs="Arial"/>
                <w:b/>
                <w:bCs/>
                <w:sz w:val="16"/>
                <w:szCs w:val="16"/>
              </w:rPr>
              <w:t>2</w:t>
            </w:r>
          </w:p>
        </w:tc>
      </w:tr>
      <w:tr w:rsidR="005721E7" w:rsidRPr="00FD5669" w14:paraId="1AF88ED4" w14:textId="77777777" w:rsidTr="005721E7">
        <w:tc>
          <w:tcPr>
            <w:tcW w:w="1240" w:type="dxa"/>
          </w:tcPr>
          <w:p w14:paraId="4C229F63" w14:textId="77777777" w:rsidR="005721E7" w:rsidRPr="005721E7" w:rsidRDefault="005721E7" w:rsidP="005721E7">
            <w:pPr>
              <w:ind w:right="-425"/>
              <w:jc w:val="both"/>
              <w:rPr>
                <w:rFonts w:cs="Arial"/>
                <w:sz w:val="16"/>
                <w:szCs w:val="16"/>
              </w:rPr>
            </w:pPr>
            <w:r w:rsidRPr="005721E7">
              <w:rPr>
                <w:rFonts w:cs="Arial"/>
                <w:sz w:val="16"/>
                <w:szCs w:val="16"/>
              </w:rPr>
              <w:t>DM</w:t>
            </w:r>
          </w:p>
        </w:tc>
        <w:tc>
          <w:tcPr>
            <w:tcW w:w="565" w:type="dxa"/>
          </w:tcPr>
          <w:p w14:paraId="67496A09" w14:textId="7DE870B5" w:rsidR="005721E7" w:rsidRPr="005721E7" w:rsidRDefault="005721E7" w:rsidP="005721E7">
            <w:pPr>
              <w:jc w:val="right"/>
              <w:rPr>
                <w:sz w:val="16"/>
                <w:szCs w:val="16"/>
              </w:rPr>
            </w:pPr>
            <w:r w:rsidRPr="005721E7">
              <w:rPr>
                <w:rFonts w:cs="Arial"/>
                <w:color w:val="000000"/>
                <w:sz w:val="16"/>
                <w:szCs w:val="16"/>
              </w:rPr>
              <w:t>11</w:t>
            </w:r>
          </w:p>
        </w:tc>
        <w:tc>
          <w:tcPr>
            <w:tcW w:w="1375" w:type="dxa"/>
          </w:tcPr>
          <w:p w14:paraId="0675C9A5" w14:textId="64AA1519" w:rsidR="005721E7" w:rsidRPr="005721E7" w:rsidRDefault="005721E7" w:rsidP="005721E7">
            <w:pPr>
              <w:jc w:val="right"/>
              <w:rPr>
                <w:sz w:val="16"/>
                <w:szCs w:val="16"/>
              </w:rPr>
            </w:pPr>
            <w:r w:rsidRPr="005721E7">
              <w:rPr>
                <w:rFonts w:cs="Arial"/>
                <w:color w:val="000000"/>
                <w:sz w:val="16"/>
                <w:szCs w:val="16"/>
              </w:rPr>
              <w:t>0</w:t>
            </w:r>
          </w:p>
        </w:tc>
        <w:tc>
          <w:tcPr>
            <w:tcW w:w="1356" w:type="dxa"/>
          </w:tcPr>
          <w:p w14:paraId="2B43EAFA" w14:textId="6BF85245" w:rsidR="005721E7" w:rsidRPr="005721E7" w:rsidRDefault="005721E7" w:rsidP="005721E7">
            <w:pPr>
              <w:jc w:val="right"/>
              <w:rPr>
                <w:sz w:val="16"/>
                <w:szCs w:val="16"/>
              </w:rPr>
            </w:pPr>
            <w:r w:rsidRPr="005721E7">
              <w:rPr>
                <w:rFonts w:cs="Arial"/>
                <w:color w:val="000000"/>
                <w:sz w:val="16"/>
                <w:szCs w:val="16"/>
              </w:rPr>
              <w:t>2</w:t>
            </w:r>
          </w:p>
        </w:tc>
        <w:tc>
          <w:tcPr>
            <w:tcW w:w="571" w:type="dxa"/>
          </w:tcPr>
          <w:p w14:paraId="2BF4D189" w14:textId="076E19B2" w:rsidR="005721E7" w:rsidRPr="005721E7" w:rsidRDefault="005721E7" w:rsidP="005721E7">
            <w:pPr>
              <w:jc w:val="right"/>
              <w:rPr>
                <w:sz w:val="16"/>
                <w:szCs w:val="16"/>
              </w:rPr>
            </w:pPr>
            <w:r w:rsidRPr="005721E7">
              <w:rPr>
                <w:rFonts w:cs="Arial"/>
                <w:color w:val="000000"/>
                <w:sz w:val="16"/>
                <w:szCs w:val="16"/>
              </w:rPr>
              <w:t>4</w:t>
            </w:r>
          </w:p>
        </w:tc>
        <w:tc>
          <w:tcPr>
            <w:tcW w:w="887" w:type="dxa"/>
          </w:tcPr>
          <w:p w14:paraId="27C5948E" w14:textId="3333C860" w:rsidR="005721E7" w:rsidRPr="005721E7" w:rsidRDefault="005721E7" w:rsidP="005721E7">
            <w:pPr>
              <w:jc w:val="right"/>
              <w:rPr>
                <w:sz w:val="16"/>
                <w:szCs w:val="16"/>
              </w:rPr>
            </w:pPr>
            <w:r w:rsidRPr="005721E7">
              <w:rPr>
                <w:rFonts w:cs="Arial"/>
                <w:color w:val="000000"/>
                <w:sz w:val="16"/>
                <w:szCs w:val="16"/>
              </w:rPr>
              <w:t>10</w:t>
            </w:r>
          </w:p>
        </w:tc>
        <w:tc>
          <w:tcPr>
            <w:tcW w:w="1323" w:type="dxa"/>
          </w:tcPr>
          <w:p w14:paraId="3CCA6FC4" w14:textId="05F6B3CA" w:rsidR="005721E7" w:rsidRPr="005721E7" w:rsidRDefault="005721E7" w:rsidP="005721E7">
            <w:pPr>
              <w:jc w:val="right"/>
              <w:rPr>
                <w:sz w:val="16"/>
                <w:szCs w:val="16"/>
              </w:rPr>
            </w:pPr>
            <w:r w:rsidRPr="005721E7">
              <w:rPr>
                <w:rFonts w:cs="Arial"/>
                <w:color w:val="000000"/>
                <w:sz w:val="16"/>
                <w:szCs w:val="16"/>
              </w:rPr>
              <w:t>2</w:t>
            </w:r>
          </w:p>
        </w:tc>
        <w:tc>
          <w:tcPr>
            <w:tcW w:w="1196" w:type="dxa"/>
          </w:tcPr>
          <w:p w14:paraId="40C7CD15" w14:textId="645BF42B" w:rsidR="005721E7" w:rsidRPr="005721E7" w:rsidRDefault="005721E7" w:rsidP="005721E7">
            <w:pPr>
              <w:jc w:val="right"/>
              <w:rPr>
                <w:sz w:val="16"/>
                <w:szCs w:val="16"/>
              </w:rPr>
            </w:pPr>
            <w:r w:rsidRPr="005721E7">
              <w:rPr>
                <w:rFonts w:cs="Arial"/>
                <w:color w:val="000000"/>
                <w:sz w:val="16"/>
                <w:szCs w:val="16"/>
              </w:rPr>
              <w:t>2</w:t>
            </w:r>
          </w:p>
        </w:tc>
        <w:tc>
          <w:tcPr>
            <w:tcW w:w="675" w:type="dxa"/>
            <w:vAlign w:val="bottom"/>
          </w:tcPr>
          <w:p w14:paraId="6A174D2C" w14:textId="36B300C5" w:rsidR="005721E7" w:rsidRPr="005721E7" w:rsidRDefault="005721E7" w:rsidP="005721E7">
            <w:pPr>
              <w:jc w:val="right"/>
              <w:rPr>
                <w:b/>
                <w:bCs/>
                <w:sz w:val="16"/>
                <w:szCs w:val="16"/>
              </w:rPr>
            </w:pPr>
            <w:r w:rsidRPr="005721E7">
              <w:rPr>
                <w:rFonts w:cs="Arial"/>
                <w:b/>
                <w:bCs/>
                <w:sz w:val="16"/>
                <w:szCs w:val="16"/>
              </w:rPr>
              <w:t>31</w:t>
            </w:r>
          </w:p>
        </w:tc>
      </w:tr>
      <w:tr w:rsidR="005721E7" w:rsidRPr="00FD5669" w14:paraId="0B079D3E" w14:textId="77777777" w:rsidTr="005721E7">
        <w:tc>
          <w:tcPr>
            <w:tcW w:w="1240" w:type="dxa"/>
          </w:tcPr>
          <w:p w14:paraId="4C8C2425" w14:textId="77777777" w:rsidR="005721E7" w:rsidRPr="005721E7" w:rsidRDefault="005721E7" w:rsidP="005721E7">
            <w:pPr>
              <w:ind w:right="-425"/>
              <w:jc w:val="both"/>
              <w:rPr>
                <w:rFonts w:cs="Arial"/>
                <w:sz w:val="16"/>
                <w:szCs w:val="16"/>
              </w:rPr>
            </w:pPr>
            <w:r w:rsidRPr="005721E7">
              <w:rPr>
                <w:rFonts w:cs="Arial"/>
                <w:sz w:val="16"/>
                <w:szCs w:val="16"/>
              </w:rPr>
              <w:t>HV</w:t>
            </w:r>
          </w:p>
        </w:tc>
        <w:tc>
          <w:tcPr>
            <w:tcW w:w="565" w:type="dxa"/>
          </w:tcPr>
          <w:p w14:paraId="37538412" w14:textId="5938BDBF" w:rsidR="005721E7" w:rsidRPr="005721E7" w:rsidRDefault="005721E7" w:rsidP="005721E7">
            <w:pPr>
              <w:jc w:val="right"/>
              <w:rPr>
                <w:sz w:val="16"/>
                <w:szCs w:val="16"/>
              </w:rPr>
            </w:pPr>
            <w:r w:rsidRPr="005721E7">
              <w:rPr>
                <w:rFonts w:cs="Arial"/>
                <w:color w:val="000000"/>
                <w:sz w:val="16"/>
                <w:szCs w:val="16"/>
              </w:rPr>
              <w:t>2</w:t>
            </w:r>
          </w:p>
        </w:tc>
        <w:tc>
          <w:tcPr>
            <w:tcW w:w="1375" w:type="dxa"/>
          </w:tcPr>
          <w:p w14:paraId="19FE7E35" w14:textId="30791A60" w:rsidR="005721E7" w:rsidRPr="005721E7" w:rsidRDefault="005721E7" w:rsidP="005721E7">
            <w:pPr>
              <w:jc w:val="right"/>
              <w:rPr>
                <w:sz w:val="16"/>
                <w:szCs w:val="16"/>
              </w:rPr>
            </w:pPr>
            <w:r w:rsidRPr="005721E7">
              <w:rPr>
                <w:rFonts w:cs="Arial"/>
                <w:color w:val="000000"/>
                <w:sz w:val="16"/>
                <w:szCs w:val="16"/>
              </w:rPr>
              <w:t>2</w:t>
            </w:r>
          </w:p>
        </w:tc>
        <w:tc>
          <w:tcPr>
            <w:tcW w:w="1356" w:type="dxa"/>
          </w:tcPr>
          <w:p w14:paraId="24344828" w14:textId="30F5B1B6" w:rsidR="005721E7" w:rsidRPr="005721E7" w:rsidRDefault="005721E7" w:rsidP="005721E7">
            <w:pPr>
              <w:jc w:val="right"/>
              <w:rPr>
                <w:sz w:val="16"/>
                <w:szCs w:val="16"/>
              </w:rPr>
            </w:pPr>
            <w:r w:rsidRPr="005721E7">
              <w:rPr>
                <w:rFonts w:cs="Arial"/>
                <w:color w:val="000000"/>
                <w:sz w:val="16"/>
                <w:szCs w:val="16"/>
              </w:rPr>
              <w:t>0</w:t>
            </w:r>
          </w:p>
        </w:tc>
        <w:tc>
          <w:tcPr>
            <w:tcW w:w="571" w:type="dxa"/>
          </w:tcPr>
          <w:p w14:paraId="5329BF30" w14:textId="25DC7AD6" w:rsidR="005721E7" w:rsidRPr="005721E7" w:rsidRDefault="005721E7" w:rsidP="005721E7">
            <w:pPr>
              <w:jc w:val="right"/>
              <w:rPr>
                <w:sz w:val="16"/>
                <w:szCs w:val="16"/>
              </w:rPr>
            </w:pPr>
            <w:r w:rsidRPr="005721E7">
              <w:rPr>
                <w:rFonts w:cs="Arial"/>
                <w:color w:val="000000"/>
                <w:sz w:val="16"/>
                <w:szCs w:val="16"/>
              </w:rPr>
              <w:t>0</w:t>
            </w:r>
          </w:p>
        </w:tc>
        <w:tc>
          <w:tcPr>
            <w:tcW w:w="887" w:type="dxa"/>
          </w:tcPr>
          <w:p w14:paraId="069E5406" w14:textId="649ACB3D" w:rsidR="005721E7" w:rsidRPr="005721E7" w:rsidRDefault="005721E7" w:rsidP="005721E7">
            <w:pPr>
              <w:jc w:val="right"/>
              <w:rPr>
                <w:sz w:val="16"/>
                <w:szCs w:val="16"/>
              </w:rPr>
            </w:pPr>
            <w:r w:rsidRPr="005721E7">
              <w:rPr>
                <w:rFonts w:cs="Arial"/>
                <w:color w:val="000000"/>
                <w:sz w:val="16"/>
                <w:szCs w:val="16"/>
              </w:rPr>
              <w:t>13</w:t>
            </w:r>
          </w:p>
        </w:tc>
        <w:tc>
          <w:tcPr>
            <w:tcW w:w="1323" w:type="dxa"/>
          </w:tcPr>
          <w:p w14:paraId="3A7239B1" w14:textId="0C3155AB" w:rsidR="005721E7" w:rsidRPr="005721E7" w:rsidRDefault="005721E7" w:rsidP="005721E7">
            <w:pPr>
              <w:jc w:val="right"/>
              <w:rPr>
                <w:sz w:val="16"/>
                <w:szCs w:val="16"/>
              </w:rPr>
            </w:pPr>
            <w:r w:rsidRPr="005721E7">
              <w:rPr>
                <w:rFonts w:cs="Arial"/>
                <w:color w:val="000000"/>
                <w:sz w:val="16"/>
                <w:szCs w:val="16"/>
              </w:rPr>
              <w:t>0</w:t>
            </w:r>
          </w:p>
        </w:tc>
        <w:tc>
          <w:tcPr>
            <w:tcW w:w="1196" w:type="dxa"/>
          </w:tcPr>
          <w:p w14:paraId="1EBA0B08" w14:textId="5BB03B44" w:rsidR="005721E7" w:rsidRPr="005721E7" w:rsidRDefault="005721E7" w:rsidP="005721E7">
            <w:pPr>
              <w:jc w:val="right"/>
              <w:rPr>
                <w:sz w:val="16"/>
                <w:szCs w:val="16"/>
              </w:rPr>
            </w:pPr>
            <w:r w:rsidRPr="005721E7">
              <w:rPr>
                <w:rFonts w:cs="Arial"/>
                <w:color w:val="000000"/>
                <w:sz w:val="16"/>
                <w:szCs w:val="16"/>
              </w:rPr>
              <w:t>0</w:t>
            </w:r>
          </w:p>
        </w:tc>
        <w:tc>
          <w:tcPr>
            <w:tcW w:w="675" w:type="dxa"/>
            <w:vAlign w:val="bottom"/>
          </w:tcPr>
          <w:p w14:paraId="03987686" w14:textId="12DE77BF" w:rsidR="005721E7" w:rsidRPr="005721E7" w:rsidRDefault="005721E7" w:rsidP="005721E7">
            <w:pPr>
              <w:jc w:val="right"/>
              <w:rPr>
                <w:b/>
                <w:bCs/>
                <w:sz w:val="16"/>
                <w:szCs w:val="16"/>
              </w:rPr>
            </w:pPr>
            <w:r w:rsidRPr="005721E7">
              <w:rPr>
                <w:rFonts w:cs="Arial"/>
                <w:b/>
                <w:bCs/>
                <w:sz w:val="16"/>
                <w:szCs w:val="16"/>
              </w:rPr>
              <w:t>17</w:t>
            </w:r>
          </w:p>
        </w:tc>
      </w:tr>
      <w:tr w:rsidR="005721E7" w:rsidRPr="00FD5669" w14:paraId="1A110982" w14:textId="77777777" w:rsidTr="005721E7">
        <w:tc>
          <w:tcPr>
            <w:tcW w:w="1240" w:type="dxa"/>
          </w:tcPr>
          <w:p w14:paraId="3E280D98" w14:textId="77777777" w:rsidR="005721E7" w:rsidRPr="005721E7" w:rsidRDefault="005721E7" w:rsidP="005721E7">
            <w:pPr>
              <w:ind w:right="-425"/>
              <w:jc w:val="both"/>
              <w:rPr>
                <w:rFonts w:cs="Arial"/>
                <w:sz w:val="16"/>
                <w:szCs w:val="16"/>
              </w:rPr>
            </w:pPr>
            <w:r w:rsidRPr="005721E7">
              <w:rPr>
                <w:rFonts w:cs="Arial"/>
                <w:sz w:val="16"/>
                <w:szCs w:val="16"/>
              </w:rPr>
              <w:t>MG</w:t>
            </w:r>
          </w:p>
        </w:tc>
        <w:tc>
          <w:tcPr>
            <w:tcW w:w="565" w:type="dxa"/>
          </w:tcPr>
          <w:p w14:paraId="219E514B" w14:textId="70D43B19" w:rsidR="005721E7" w:rsidRPr="005721E7" w:rsidRDefault="005721E7" w:rsidP="005721E7">
            <w:pPr>
              <w:jc w:val="right"/>
              <w:rPr>
                <w:sz w:val="16"/>
                <w:szCs w:val="16"/>
              </w:rPr>
            </w:pPr>
            <w:r w:rsidRPr="005721E7">
              <w:rPr>
                <w:rFonts w:cs="Arial"/>
                <w:color w:val="000000"/>
                <w:sz w:val="16"/>
                <w:szCs w:val="16"/>
              </w:rPr>
              <w:t>2</w:t>
            </w:r>
          </w:p>
        </w:tc>
        <w:tc>
          <w:tcPr>
            <w:tcW w:w="1375" w:type="dxa"/>
          </w:tcPr>
          <w:p w14:paraId="51A17240" w14:textId="5CAF6EFA" w:rsidR="005721E7" w:rsidRPr="005721E7" w:rsidRDefault="005721E7" w:rsidP="005721E7">
            <w:pPr>
              <w:jc w:val="right"/>
              <w:rPr>
                <w:sz w:val="16"/>
                <w:szCs w:val="16"/>
              </w:rPr>
            </w:pPr>
            <w:r w:rsidRPr="005721E7">
              <w:rPr>
                <w:rFonts w:cs="Arial"/>
                <w:color w:val="000000"/>
                <w:sz w:val="16"/>
                <w:szCs w:val="16"/>
              </w:rPr>
              <w:t>0</w:t>
            </w:r>
          </w:p>
        </w:tc>
        <w:tc>
          <w:tcPr>
            <w:tcW w:w="1356" w:type="dxa"/>
          </w:tcPr>
          <w:p w14:paraId="7A3B1990" w14:textId="5141612F" w:rsidR="005721E7" w:rsidRPr="005721E7" w:rsidRDefault="005721E7" w:rsidP="005721E7">
            <w:pPr>
              <w:jc w:val="right"/>
              <w:rPr>
                <w:sz w:val="16"/>
                <w:szCs w:val="16"/>
              </w:rPr>
            </w:pPr>
            <w:r w:rsidRPr="005721E7">
              <w:rPr>
                <w:rFonts w:cs="Arial"/>
                <w:color w:val="000000"/>
                <w:sz w:val="16"/>
                <w:szCs w:val="16"/>
              </w:rPr>
              <w:t>0</w:t>
            </w:r>
          </w:p>
        </w:tc>
        <w:tc>
          <w:tcPr>
            <w:tcW w:w="571" w:type="dxa"/>
          </w:tcPr>
          <w:p w14:paraId="358DC4D7" w14:textId="16612DED" w:rsidR="005721E7" w:rsidRPr="005721E7" w:rsidRDefault="005721E7" w:rsidP="005721E7">
            <w:pPr>
              <w:jc w:val="right"/>
              <w:rPr>
                <w:sz w:val="16"/>
                <w:szCs w:val="16"/>
              </w:rPr>
            </w:pPr>
            <w:r w:rsidRPr="005721E7">
              <w:rPr>
                <w:rFonts w:cs="Arial"/>
                <w:color w:val="000000"/>
                <w:sz w:val="16"/>
                <w:szCs w:val="16"/>
              </w:rPr>
              <w:t>0</w:t>
            </w:r>
          </w:p>
        </w:tc>
        <w:tc>
          <w:tcPr>
            <w:tcW w:w="887" w:type="dxa"/>
          </w:tcPr>
          <w:p w14:paraId="33ED210D" w14:textId="2173BE20" w:rsidR="005721E7" w:rsidRPr="005721E7" w:rsidRDefault="005721E7" w:rsidP="005721E7">
            <w:pPr>
              <w:jc w:val="right"/>
              <w:rPr>
                <w:sz w:val="16"/>
                <w:szCs w:val="16"/>
              </w:rPr>
            </w:pPr>
            <w:r w:rsidRPr="005721E7">
              <w:rPr>
                <w:rFonts w:cs="Arial"/>
                <w:color w:val="000000"/>
                <w:sz w:val="16"/>
                <w:szCs w:val="16"/>
              </w:rPr>
              <w:t>1</w:t>
            </w:r>
          </w:p>
        </w:tc>
        <w:tc>
          <w:tcPr>
            <w:tcW w:w="1323" w:type="dxa"/>
          </w:tcPr>
          <w:p w14:paraId="0CEB7435" w14:textId="7BA49E45" w:rsidR="005721E7" w:rsidRPr="005721E7" w:rsidRDefault="005721E7" w:rsidP="005721E7">
            <w:pPr>
              <w:jc w:val="right"/>
              <w:rPr>
                <w:sz w:val="16"/>
                <w:szCs w:val="16"/>
              </w:rPr>
            </w:pPr>
            <w:r w:rsidRPr="005721E7">
              <w:rPr>
                <w:rFonts w:cs="Arial"/>
                <w:color w:val="000000"/>
                <w:sz w:val="16"/>
                <w:szCs w:val="16"/>
              </w:rPr>
              <w:t>3</w:t>
            </w:r>
          </w:p>
        </w:tc>
        <w:tc>
          <w:tcPr>
            <w:tcW w:w="1196" w:type="dxa"/>
          </w:tcPr>
          <w:p w14:paraId="3088DABD" w14:textId="7558ACA2" w:rsidR="005721E7" w:rsidRPr="005721E7" w:rsidRDefault="005721E7" w:rsidP="005721E7">
            <w:pPr>
              <w:jc w:val="right"/>
              <w:rPr>
                <w:sz w:val="16"/>
                <w:szCs w:val="16"/>
              </w:rPr>
            </w:pPr>
            <w:r w:rsidRPr="005721E7">
              <w:rPr>
                <w:rFonts w:cs="Arial"/>
                <w:color w:val="000000"/>
                <w:sz w:val="16"/>
                <w:szCs w:val="16"/>
              </w:rPr>
              <w:t>0</w:t>
            </w:r>
          </w:p>
        </w:tc>
        <w:tc>
          <w:tcPr>
            <w:tcW w:w="675" w:type="dxa"/>
            <w:vAlign w:val="bottom"/>
          </w:tcPr>
          <w:p w14:paraId="1AC531B7" w14:textId="65E3AE86" w:rsidR="005721E7" w:rsidRPr="005721E7" w:rsidRDefault="005721E7" w:rsidP="005721E7">
            <w:pPr>
              <w:jc w:val="right"/>
              <w:rPr>
                <w:b/>
                <w:bCs/>
                <w:sz w:val="16"/>
                <w:szCs w:val="16"/>
              </w:rPr>
            </w:pPr>
            <w:r w:rsidRPr="005721E7">
              <w:rPr>
                <w:rFonts w:cs="Arial"/>
                <w:b/>
                <w:bCs/>
                <w:sz w:val="16"/>
                <w:szCs w:val="16"/>
              </w:rPr>
              <w:t>6</w:t>
            </w:r>
          </w:p>
        </w:tc>
      </w:tr>
      <w:tr w:rsidR="005721E7" w:rsidRPr="00FD5669" w14:paraId="7D295E1A" w14:textId="77777777" w:rsidTr="005721E7">
        <w:tc>
          <w:tcPr>
            <w:tcW w:w="1240" w:type="dxa"/>
          </w:tcPr>
          <w:p w14:paraId="1AA67368" w14:textId="77777777" w:rsidR="005721E7" w:rsidRPr="005721E7" w:rsidRDefault="005721E7" w:rsidP="005721E7">
            <w:pPr>
              <w:ind w:right="-425"/>
              <w:jc w:val="both"/>
              <w:rPr>
                <w:rFonts w:cs="Arial"/>
                <w:b/>
                <w:bCs/>
                <w:sz w:val="16"/>
                <w:szCs w:val="16"/>
              </w:rPr>
            </w:pPr>
            <w:r w:rsidRPr="005721E7">
              <w:rPr>
                <w:rFonts w:cs="Arial"/>
                <w:b/>
                <w:bCs/>
                <w:sz w:val="16"/>
                <w:szCs w:val="16"/>
              </w:rPr>
              <w:t>Total</w:t>
            </w:r>
          </w:p>
        </w:tc>
        <w:tc>
          <w:tcPr>
            <w:tcW w:w="565" w:type="dxa"/>
            <w:vAlign w:val="bottom"/>
          </w:tcPr>
          <w:p w14:paraId="7EA61294" w14:textId="18EC31CF" w:rsidR="005721E7" w:rsidRPr="005721E7" w:rsidRDefault="005721E7" w:rsidP="005721E7">
            <w:pPr>
              <w:jc w:val="right"/>
              <w:rPr>
                <w:b/>
                <w:bCs/>
                <w:sz w:val="16"/>
                <w:szCs w:val="16"/>
              </w:rPr>
            </w:pPr>
            <w:r w:rsidRPr="005721E7">
              <w:rPr>
                <w:rFonts w:cs="Arial"/>
                <w:b/>
                <w:bCs/>
                <w:sz w:val="16"/>
                <w:szCs w:val="16"/>
              </w:rPr>
              <w:t>15</w:t>
            </w:r>
          </w:p>
        </w:tc>
        <w:tc>
          <w:tcPr>
            <w:tcW w:w="1375" w:type="dxa"/>
            <w:vAlign w:val="bottom"/>
          </w:tcPr>
          <w:p w14:paraId="4423A1A4" w14:textId="543A2549" w:rsidR="005721E7" w:rsidRPr="005721E7" w:rsidRDefault="005721E7" w:rsidP="005721E7">
            <w:pPr>
              <w:jc w:val="right"/>
              <w:rPr>
                <w:b/>
                <w:bCs/>
                <w:sz w:val="16"/>
                <w:szCs w:val="16"/>
              </w:rPr>
            </w:pPr>
            <w:r w:rsidRPr="005721E7">
              <w:rPr>
                <w:rFonts w:cs="Arial"/>
                <w:b/>
                <w:bCs/>
                <w:sz w:val="16"/>
                <w:szCs w:val="16"/>
              </w:rPr>
              <w:t>5</w:t>
            </w:r>
          </w:p>
        </w:tc>
        <w:tc>
          <w:tcPr>
            <w:tcW w:w="1356" w:type="dxa"/>
            <w:vAlign w:val="bottom"/>
          </w:tcPr>
          <w:p w14:paraId="564DE3B0" w14:textId="55B539DC" w:rsidR="005721E7" w:rsidRPr="005721E7" w:rsidRDefault="005721E7" w:rsidP="005721E7">
            <w:pPr>
              <w:jc w:val="right"/>
              <w:rPr>
                <w:b/>
                <w:bCs/>
                <w:sz w:val="16"/>
                <w:szCs w:val="16"/>
              </w:rPr>
            </w:pPr>
            <w:r w:rsidRPr="005721E7">
              <w:rPr>
                <w:rFonts w:cs="Arial"/>
                <w:b/>
                <w:bCs/>
                <w:sz w:val="16"/>
                <w:szCs w:val="16"/>
              </w:rPr>
              <w:t>2</w:t>
            </w:r>
          </w:p>
        </w:tc>
        <w:tc>
          <w:tcPr>
            <w:tcW w:w="571" w:type="dxa"/>
            <w:vAlign w:val="bottom"/>
          </w:tcPr>
          <w:p w14:paraId="2793E47C" w14:textId="292B89D5" w:rsidR="005721E7" w:rsidRPr="005721E7" w:rsidRDefault="005721E7" w:rsidP="005721E7">
            <w:pPr>
              <w:jc w:val="right"/>
              <w:rPr>
                <w:b/>
                <w:bCs/>
                <w:sz w:val="16"/>
                <w:szCs w:val="16"/>
              </w:rPr>
            </w:pPr>
            <w:r w:rsidRPr="005721E7">
              <w:rPr>
                <w:rFonts w:cs="Arial"/>
                <w:b/>
                <w:bCs/>
                <w:sz w:val="16"/>
                <w:szCs w:val="16"/>
              </w:rPr>
              <w:t>6</w:t>
            </w:r>
          </w:p>
        </w:tc>
        <w:tc>
          <w:tcPr>
            <w:tcW w:w="887" w:type="dxa"/>
            <w:vAlign w:val="bottom"/>
          </w:tcPr>
          <w:p w14:paraId="1795BF25" w14:textId="705198BB" w:rsidR="005721E7" w:rsidRPr="005721E7" w:rsidRDefault="005721E7" w:rsidP="005721E7">
            <w:pPr>
              <w:jc w:val="right"/>
              <w:rPr>
                <w:b/>
                <w:bCs/>
                <w:sz w:val="16"/>
                <w:szCs w:val="16"/>
              </w:rPr>
            </w:pPr>
            <w:r w:rsidRPr="005721E7">
              <w:rPr>
                <w:rFonts w:cs="Arial"/>
                <w:b/>
                <w:bCs/>
                <w:sz w:val="16"/>
                <w:szCs w:val="16"/>
              </w:rPr>
              <w:t>33</w:t>
            </w:r>
          </w:p>
        </w:tc>
        <w:tc>
          <w:tcPr>
            <w:tcW w:w="1323" w:type="dxa"/>
            <w:vAlign w:val="bottom"/>
          </w:tcPr>
          <w:p w14:paraId="0554D8B3" w14:textId="6AAB2544" w:rsidR="005721E7" w:rsidRPr="005721E7" w:rsidRDefault="005721E7" w:rsidP="005721E7">
            <w:pPr>
              <w:jc w:val="right"/>
              <w:rPr>
                <w:b/>
                <w:bCs/>
                <w:sz w:val="16"/>
                <w:szCs w:val="16"/>
              </w:rPr>
            </w:pPr>
            <w:r w:rsidRPr="005721E7">
              <w:rPr>
                <w:rFonts w:cs="Arial"/>
                <w:b/>
                <w:bCs/>
                <w:sz w:val="16"/>
                <w:szCs w:val="16"/>
              </w:rPr>
              <w:t>7</w:t>
            </w:r>
          </w:p>
        </w:tc>
        <w:tc>
          <w:tcPr>
            <w:tcW w:w="1196" w:type="dxa"/>
            <w:vAlign w:val="bottom"/>
          </w:tcPr>
          <w:p w14:paraId="5CC64B6B" w14:textId="42C192B2" w:rsidR="005721E7" w:rsidRPr="005721E7" w:rsidRDefault="005721E7" w:rsidP="005721E7">
            <w:pPr>
              <w:jc w:val="right"/>
              <w:rPr>
                <w:b/>
                <w:bCs/>
                <w:sz w:val="16"/>
                <w:szCs w:val="16"/>
              </w:rPr>
            </w:pPr>
            <w:r w:rsidRPr="005721E7">
              <w:rPr>
                <w:rFonts w:cs="Arial"/>
                <w:b/>
                <w:bCs/>
                <w:sz w:val="16"/>
                <w:szCs w:val="16"/>
              </w:rPr>
              <w:t>6</w:t>
            </w:r>
          </w:p>
        </w:tc>
        <w:tc>
          <w:tcPr>
            <w:tcW w:w="675" w:type="dxa"/>
            <w:vAlign w:val="bottom"/>
          </w:tcPr>
          <w:p w14:paraId="6FB13ACB" w14:textId="17258D36" w:rsidR="005721E7" w:rsidRPr="005721E7" w:rsidRDefault="005721E7" w:rsidP="005721E7">
            <w:pPr>
              <w:jc w:val="right"/>
              <w:rPr>
                <w:b/>
                <w:bCs/>
                <w:sz w:val="16"/>
                <w:szCs w:val="16"/>
              </w:rPr>
            </w:pPr>
            <w:r w:rsidRPr="005721E7">
              <w:rPr>
                <w:rFonts w:cs="Arial"/>
                <w:b/>
                <w:bCs/>
                <w:sz w:val="16"/>
                <w:szCs w:val="16"/>
              </w:rPr>
              <w:t>74</w:t>
            </w:r>
          </w:p>
        </w:tc>
      </w:tr>
    </w:tbl>
    <w:p w14:paraId="370BFC10" w14:textId="6394BA5A" w:rsidR="00D505F2" w:rsidRDefault="00D505F2" w:rsidP="00237AB1">
      <w:pPr>
        <w:ind w:left="-142" w:right="-425"/>
        <w:jc w:val="both"/>
        <w:rPr>
          <w:rFonts w:cs="Arial"/>
        </w:rPr>
      </w:pPr>
    </w:p>
    <w:p w14:paraId="1C006F71" w14:textId="36CBB65E" w:rsidR="00270A6D" w:rsidRPr="004B6F52" w:rsidRDefault="00270A6D" w:rsidP="00270A6D">
      <w:pPr>
        <w:spacing w:after="120" w:line="240" w:lineRule="auto"/>
        <w:ind w:left="794" w:hanging="794"/>
      </w:pPr>
      <w:r w:rsidRPr="004B6F52">
        <w:rPr>
          <w:b/>
          <w:sz w:val="16"/>
          <w:szCs w:val="16"/>
        </w:rPr>
        <w:t xml:space="preserve">Table </w:t>
      </w:r>
      <w:r w:rsidR="002522F2">
        <w:rPr>
          <w:b/>
          <w:sz w:val="16"/>
          <w:szCs w:val="16"/>
        </w:rPr>
        <w:t>7</w:t>
      </w:r>
      <w:r w:rsidRPr="004B6F52">
        <w:rPr>
          <w:b/>
          <w:sz w:val="16"/>
          <w:szCs w:val="16"/>
        </w:rPr>
        <w:t>:</w:t>
      </w:r>
      <w:r w:rsidRPr="004B6F52">
        <w:rPr>
          <w:sz w:val="16"/>
          <w:szCs w:val="16"/>
        </w:rPr>
        <w:t xml:space="preserve"> Number of</w:t>
      </w:r>
      <w:r w:rsidR="0054087A">
        <w:rPr>
          <w:sz w:val="16"/>
          <w:szCs w:val="16"/>
        </w:rPr>
        <w:t xml:space="preserve"> decisions </w:t>
      </w:r>
      <w:r w:rsidR="001D6F7E">
        <w:rPr>
          <w:sz w:val="16"/>
          <w:szCs w:val="16"/>
        </w:rPr>
        <w:t>on</w:t>
      </w:r>
      <w:r w:rsidR="001D6F7E" w:rsidRPr="004B6F52">
        <w:rPr>
          <w:sz w:val="16"/>
          <w:szCs w:val="16"/>
        </w:rPr>
        <w:t xml:space="preserve"> </w:t>
      </w:r>
      <w:r w:rsidR="00D505F2">
        <w:rPr>
          <w:sz w:val="16"/>
          <w:szCs w:val="16"/>
        </w:rPr>
        <w:t>application</w:t>
      </w:r>
      <w:r w:rsidR="001D6F7E">
        <w:rPr>
          <w:sz w:val="16"/>
          <w:szCs w:val="16"/>
        </w:rPr>
        <w:t xml:space="preserve">s from a Decision by order and a Decision by </w:t>
      </w:r>
      <w:r w:rsidR="001D6F7E" w:rsidRPr="004B4B23">
        <w:rPr>
          <w:sz w:val="16"/>
          <w:szCs w:val="16"/>
        </w:rPr>
        <w:t>agreement</w:t>
      </w:r>
      <w:bookmarkStart w:id="15" w:name="_Hlk82505623"/>
      <w:r w:rsidR="004B4B23" w:rsidRPr="004B4B23">
        <w:rPr>
          <w:sz w:val="16"/>
          <w:szCs w:val="16"/>
        </w:rPr>
        <w:t xml:space="preserve"> </w:t>
      </w:r>
      <w:r w:rsidR="00C32C08" w:rsidRPr="004B4B23">
        <w:rPr>
          <w:sz w:val="16"/>
          <w:szCs w:val="16"/>
        </w:rPr>
        <w:t>(</w:t>
      </w:r>
      <w:r w:rsidR="00C32C08">
        <w:rPr>
          <w:sz w:val="16"/>
          <w:szCs w:val="16"/>
        </w:rPr>
        <w:t>where a client seeks to alter or end their original FRC decision because their circumstances or behaviours ha</w:t>
      </w:r>
      <w:r w:rsidR="00397BFC">
        <w:rPr>
          <w:sz w:val="16"/>
          <w:szCs w:val="16"/>
        </w:rPr>
        <w:t>ve</w:t>
      </w:r>
      <w:r w:rsidR="00C32C08">
        <w:rPr>
          <w:sz w:val="16"/>
          <w:szCs w:val="16"/>
        </w:rPr>
        <w:t xml:space="preserve"> changed)</w:t>
      </w:r>
      <w:r w:rsidR="00D505F2">
        <w:rPr>
          <w:sz w:val="16"/>
          <w:szCs w:val="16"/>
        </w:rPr>
        <w:t xml:space="preserve"> </w:t>
      </w:r>
      <w:bookmarkEnd w:id="15"/>
      <w:r w:rsidRPr="004B6F52">
        <w:rPr>
          <w:sz w:val="16"/>
          <w:szCs w:val="16"/>
        </w:rPr>
        <w:t xml:space="preserve">from </w:t>
      </w:r>
      <w:r w:rsidR="007B7E78">
        <w:rPr>
          <w:sz w:val="16"/>
          <w:szCs w:val="16"/>
        </w:rPr>
        <w:t xml:space="preserve">1 </w:t>
      </w:r>
      <w:r w:rsidR="0080444C">
        <w:rPr>
          <w:sz w:val="16"/>
          <w:szCs w:val="16"/>
        </w:rPr>
        <w:t xml:space="preserve">July </w:t>
      </w:r>
      <w:r w:rsidR="00413FAC">
        <w:rPr>
          <w:sz w:val="16"/>
          <w:szCs w:val="16"/>
        </w:rPr>
        <w:t>2023</w:t>
      </w:r>
      <w:r w:rsidRPr="004B6F52">
        <w:rPr>
          <w:sz w:val="16"/>
          <w:szCs w:val="16"/>
        </w:rPr>
        <w:t xml:space="preserve"> to </w:t>
      </w:r>
      <w:r w:rsidR="007B7E78">
        <w:rPr>
          <w:sz w:val="16"/>
          <w:szCs w:val="16"/>
        </w:rPr>
        <w:t>3</w:t>
      </w:r>
      <w:r w:rsidR="00CE7CB6">
        <w:rPr>
          <w:sz w:val="16"/>
          <w:szCs w:val="16"/>
        </w:rPr>
        <w:t xml:space="preserve">0 </w:t>
      </w:r>
      <w:r w:rsidR="0080444C">
        <w:rPr>
          <w:sz w:val="16"/>
          <w:szCs w:val="16"/>
        </w:rPr>
        <w:t xml:space="preserve">September </w:t>
      </w:r>
      <w:r w:rsidR="00984BBB">
        <w:rPr>
          <w:sz w:val="16"/>
          <w:szCs w:val="16"/>
        </w:rPr>
        <w:t>2023</w:t>
      </w:r>
      <w:r w:rsidR="006106C9" w:rsidRPr="00152D32">
        <w:rPr>
          <w:sz w:val="16"/>
          <w:szCs w:val="16"/>
          <w:vertAlign w:val="superscript"/>
        </w:rPr>
        <w:fldChar w:fldCharType="begin"/>
      </w:r>
      <w:r w:rsidR="006106C9" w:rsidRPr="00152D32">
        <w:rPr>
          <w:sz w:val="16"/>
          <w:szCs w:val="16"/>
          <w:vertAlign w:val="superscript"/>
        </w:rPr>
        <w:instrText xml:space="preserve"> NOTEREF _Ref74754019 \h </w:instrText>
      </w:r>
      <w:r w:rsidR="006106C9">
        <w:rPr>
          <w:sz w:val="16"/>
          <w:szCs w:val="16"/>
          <w:vertAlign w:val="superscript"/>
        </w:rPr>
        <w:instrText xml:space="preserve"> \* MERGEFORMAT </w:instrText>
      </w:r>
      <w:r w:rsidR="006106C9" w:rsidRPr="00152D32">
        <w:rPr>
          <w:sz w:val="16"/>
          <w:szCs w:val="16"/>
          <w:vertAlign w:val="superscript"/>
        </w:rPr>
      </w:r>
      <w:r w:rsidR="006106C9" w:rsidRPr="00152D32">
        <w:rPr>
          <w:sz w:val="16"/>
          <w:szCs w:val="16"/>
          <w:vertAlign w:val="superscript"/>
        </w:rPr>
        <w:fldChar w:fldCharType="separate"/>
      </w:r>
      <w:r w:rsidR="008E44A0">
        <w:rPr>
          <w:sz w:val="16"/>
          <w:szCs w:val="16"/>
          <w:vertAlign w:val="superscript"/>
        </w:rPr>
        <w:t>5</w:t>
      </w:r>
      <w:r w:rsidR="006106C9" w:rsidRPr="00152D32">
        <w:rPr>
          <w:sz w:val="16"/>
          <w:szCs w:val="16"/>
          <w:vertAlign w:val="superscript"/>
        </w:rPr>
        <w:fldChar w:fldCharType="end"/>
      </w:r>
    </w:p>
    <w:tbl>
      <w:tblPr>
        <w:tblStyle w:val="TableGrid"/>
        <w:tblW w:w="8109" w:type="dxa"/>
        <w:tblInd w:w="108" w:type="dxa"/>
        <w:tblLayout w:type="fixed"/>
        <w:tblLook w:val="04A0" w:firstRow="1" w:lastRow="0" w:firstColumn="1" w:lastColumn="0" w:noHBand="0" w:noVBand="1"/>
      </w:tblPr>
      <w:tblGrid>
        <w:gridCol w:w="1588"/>
        <w:gridCol w:w="992"/>
        <w:gridCol w:w="1418"/>
        <w:gridCol w:w="1134"/>
        <w:gridCol w:w="850"/>
        <w:gridCol w:w="1276"/>
        <w:gridCol w:w="851"/>
      </w:tblGrid>
      <w:tr w:rsidR="00AE6690" w14:paraId="38744CDD" w14:textId="77777777" w:rsidTr="002D2253">
        <w:trPr>
          <w:trHeight w:val="235"/>
        </w:trPr>
        <w:tc>
          <w:tcPr>
            <w:tcW w:w="8109" w:type="dxa"/>
            <w:gridSpan w:val="7"/>
          </w:tcPr>
          <w:p w14:paraId="1E1C22EB" w14:textId="2D5C93B5" w:rsidR="00AE6690" w:rsidRPr="004B6F52" w:rsidRDefault="00AE6690" w:rsidP="003F391E">
            <w:pPr>
              <w:jc w:val="center"/>
              <w:rPr>
                <w:rFonts w:cs="Arial"/>
                <w:b/>
                <w:bCs/>
              </w:rPr>
            </w:pPr>
            <w:r w:rsidRPr="004B6F52">
              <w:rPr>
                <w:rFonts w:cs="Arial"/>
                <w:b/>
                <w:bCs/>
              </w:rPr>
              <w:t xml:space="preserve">Decisions </w:t>
            </w:r>
            <w:r w:rsidR="001D6F7E">
              <w:rPr>
                <w:rFonts w:cs="Arial"/>
                <w:b/>
                <w:bCs/>
              </w:rPr>
              <w:t xml:space="preserve">on </w:t>
            </w:r>
            <w:r w:rsidR="00BD5B5D">
              <w:rPr>
                <w:rFonts w:cs="Arial"/>
                <w:b/>
                <w:bCs/>
              </w:rPr>
              <w:t>Order</w:t>
            </w:r>
            <w:r w:rsidR="001D6F7E">
              <w:rPr>
                <w:rFonts w:cs="Arial"/>
                <w:b/>
                <w:bCs/>
              </w:rPr>
              <w:t xml:space="preserve"> and </w:t>
            </w:r>
            <w:r w:rsidR="00BD5B5D">
              <w:rPr>
                <w:rFonts w:cs="Arial"/>
                <w:b/>
                <w:bCs/>
              </w:rPr>
              <w:t>Agreement</w:t>
            </w:r>
            <w:r w:rsidR="001D6F7E">
              <w:rPr>
                <w:rFonts w:cs="Arial"/>
                <w:b/>
                <w:bCs/>
              </w:rPr>
              <w:t xml:space="preserve"> Amen</w:t>
            </w:r>
            <w:r w:rsidR="00B96887">
              <w:rPr>
                <w:rFonts w:cs="Arial"/>
                <w:b/>
                <w:bCs/>
              </w:rPr>
              <w:t>d</w:t>
            </w:r>
            <w:r w:rsidR="001D6F7E">
              <w:rPr>
                <w:rFonts w:cs="Arial"/>
                <w:b/>
                <w:bCs/>
              </w:rPr>
              <w:t xml:space="preserve">/End </w:t>
            </w:r>
            <w:r>
              <w:rPr>
                <w:rFonts w:cs="Arial"/>
                <w:b/>
                <w:bCs/>
              </w:rPr>
              <w:t>Application</w:t>
            </w:r>
            <w:r w:rsidR="001D6F7E">
              <w:rPr>
                <w:rFonts w:cs="Arial"/>
                <w:b/>
                <w:bCs/>
              </w:rPr>
              <w:t>s</w:t>
            </w:r>
          </w:p>
        </w:tc>
      </w:tr>
      <w:tr w:rsidR="002D2253" w:rsidRPr="00BD03F1" w14:paraId="3B7805EC" w14:textId="77777777" w:rsidTr="00BD03F1">
        <w:trPr>
          <w:trHeight w:val="458"/>
        </w:trPr>
        <w:tc>
          <w:tcPr>
            <w:tcW w:w="1588" w:type="dxa"/>
            <w:vAlign w:val="bottom"/>
          </w:tcPr>
          <w:p w14:paraId="2C3BEFA7" w14:textId="77777777" w:rsidR="002D2253" w:rsidRPr="00BD03F1" w:rsidRDefault="002D2253" w:rsidP="00BD03F1">
            <w:pPr>
              <w:ind w:right="-425"/>
              <w:rPr>
                <w:rFonts w:cs="Arial"/>
                <w:b/>
                <w:bCs/>
              </w:rPr>
            </w:pPr>
            <w:r w:rsidRPr="00BD03F1">
              <w:rPr>
                <w:rFonts w:cs="Arial"/>
                <w:b/>
                <w:bCs/>
              </w:rPr>
              <w:t>Community</w:t>
            </w:r>
          </w:p>
        </w:tc>
        <w:tc>
          <w:tcPr>
            <w:tcW w:w="992" w:type="dxa"/>
            <w:vAlign w:val="bottom"/>
          </w:tcPr>
          <w:p w14:paraId="0EC72F94" w14:textId="5CE669EE" w:rsidR="002D2253" w:rsidRPr="00BD03F1" w:rsidRDefault="002D2253" w:rsidP="00BD03F1">
            <w:pPr>
              <w:jc w:val="center"/>
              <w:rPr>
                <w:rFonts w:cs="Arial"/>
                <w:b/>
                <w:bCs/>
              </w:rPr>
            </w:pPr>
            <w:r w:rsidRPr="00BD03F1">
              <w:rPr>
                <w:rFonts w:cs="Arial"/>
                <w:b/>
                <w:bCs/>
              </w:rPr>
              <w:t>CCP End</w:t>
            </w:r>
          </w:p>
        </w:tc>
        <w:tc>
          <w:tcPr>
            <w:tcW w:w="1418" w:type="dxa"/>
            <w:vAlign w:val="bottom"/>
          </w:tcPr>
          <w:p w14:paraId="12659BD5" w14:textId="13C9149F" w:rsidR="002D2253" w:rsidRPr="00BD03F1" w:rsidRDefault="002D2253" w:rsidP="00BD03F1">
            <w:pPr>
              <w:jc w:val="center"/>
              <w:rPr>
                <w:rFonts w:cs="Arial"/>
                <w:b/>
                <w:bCs/>
              </w:rPr>
            </w:pPr>
            <w:r w:rsidRPr="00BD03F1">
              <w:rPr>
                <w:rFonts w:cs="Arial"/>
                <w:b/>
                <w:bCs/>
              </w:rPr>
              <w:t>CCP End &amp; CIM End</w:t>
            </w:r>
          </w:p>
        </w:tc>
        <w:tc>
          <w:tcPr>
            <w:tcW w:w="1134" w:type="dxa"/>
            <w:vAlign w:val="bottom"/>
          </w:tcPr>
          <w:p w14:paraId="5F17FCC4" w14:textId="4C06D4F6" w:rsidR="002D2253" w:rsidRPr="00BD03F1" w:rsidRDefault="002D2253" w:rsidP="00BD03F1">
            <w:pPr>
              <w:jc w:val="center"/>
              <w:rPr>
                <w:rFonts w:cs="Arial"/>
                <w:b/>
                <w:bCs/>
              </w:rPr>
            </w:pPr>
            <w:r w:rsidRPr="00BD03F1">
              <w:rPr>
                <w:rFonts w:cs="Arial"/>
                <w:b/>
                <w:bCs/>
              </w:rPr>
              <w:t>CIM Amend</w:t>
            </w:r>
          </w:p>
        </w:tc>
        <w:tc>
          <w:tcPr>
            <w:tcW w:w="850" w:type="dxa"/>
            <w:vAlign w:val="bottom"/>
          </w:tcPr>
          <w:p w14:paraId="3648C27F" w14:textId="45BB8B97" w:rsidR="002D2253" w:rsidRPr="00BD03F1" w:rsidRDefault="002D2253" w:rsidP="00BD03F1">
            <w:pPr>
              <w:jc w:val="center"/>
              <w:rPr>
                <w:rFonts w:cs="Arial"/>
                <w:b/>
                <w:bCs/>
              </w:rPr>
            </w:pPr>
            <w:r w:rsidRPr="00BD03F1">
              <w:rPr>
                <w:rFonts w:cs="Arial"/>
                <w:b/>
                <w:bCs/>
              </w:rPr>
              <w:t>CIM End</w:t>
            </w:r>
          </w:p>
        </w:tc>
        <w:tc>
          <w:tcPr>
            <w:tcW w:w="1276" w:type="dxa"/>
            <w:vAlign w:val="bottom"/>
          </w:tcPr>
          <w:p w14:paraId="7D3258B0" w14:textId="46E6EF21" w:rsidR="002D2253" w:rsidRPr="00BD03F1" w:rsidRDefault="002D2253" w:rsidP="00BD03F1">
            <w:pPr>
              <w:jc w:val="center"/>
              <w:rPr>
                <w:rFonts w:cs="Arial"/>
                <w:b/>
                <w:bCs/>
              </w:rPr>
            </w:pPr>
            <w:r w:rsidRPr="00BD03F1">
              <w:rPr>
                <w:rFonts w:cs="Arial"/>
                <w:b/>
                <w:bCs/>
              </w:rPr>
              <w:t>No Further Action</w:t>
            </w:r>
          </w:p>
        </w:tc>
        <w:tc>
          <w:tcPr>
            <w:tcW w:w="851" w:type="dxa"/>
            <w:vAlign w:val="bottom"/>
          </w:tcPr>
          <w:p w14:paraId="434B513A" w14:textId="5D54118E" w:rsidR="002D2253" w:rsidRPr="00BD03F1" w:rsidRDefault="002D2253" w:rsidP="00BD03F1">
            <w:pPr>
              <w:jc w:val="center"/>
              <w:rPr>
                <w:rFonts w:cs="Arial"/>
                <w:b/>
                <w:bCs/>
              </w:rPr>
            </w:pPr>
            <w:r w:rsidRPr="00BD03F1">
              <w:rPr>
                <w:rFonts w:cs="Arial"/>
                <w:b/>
                <w:bCs/>
              </w:rPr>
              <w:t>Total</w:t>
            </w:r>
          </w:p>
        </w:tc>
      </w:tr>
      <w:tr w:rsidR="00E774B9" w14:paraId="5A3BBB23" w14:textId="77777777" w:rsidTr="00BD03F1">
        <w:trPr>
          <w:trHeight w:val="222"/>
        </w:trPr>
        <w:tc>
          <w:tcPr>
            <w:tcW w:w="1588" w:type="dxa"/>
          </w:tcPr>
          <w:p w14:paraId="0687FF23" w14:textId="77777777" w:rsidR="00E774B9" w:rsidRPr="00294D17" w:rsidRDefault="00E774B9" w:rsidP="00E774B9">
            <w:pPr>
              <w:ind w:right="-425"/>
              <w:jc w:val="both"/>
              <w:rPr>
                <w:rFonts w:cs="Arial"/>
                <w:b/>
                <w:bCs/>
              </w:rPr>
            </w:pPr>
            <w:r w:rsidRPr="00294D17">
              <w:rPr>
                <w:rFonts w:cs="Arial"/>
                <w:b/>
                <w:bCs/>
              </w:rPr>
              <w:t>Total</w:t>
            </w:r>
          </w:p>
        </w:tc>
        <w:tc>
          <w:tcPr>
            <w:tcW w:w="992" w:type="dxa"/>
            <w:vAlign w:val="bottom"/>
          </w:tcPr>
          <w:p w14:paraId="5B6FF504" w14:textId="0AB572DF" w:rsidR="00E774B9" w:rsidRPr="008742B2" w:rsidRDefault="00E774B9" w:rsidP="00E774B9">
            <w:pPr>
              <w:jc w:val="right"/>
              <w:rPr>
                <w:b/>
                <w:bCs/>
              </w:rPr>
            </w:pPr>
            <w:r>
              <w:rPr>
                <w:rFonts w:cs="Arial"/>
                <w:b/>
                <w:bCs/>
              </w:rPr>
              <w:t>0</w:t>
            </w:r>
          </w:p>
        </w:tc>
        <w:tc>
          <w:tcPr>
            <w:tcW w:w="1418" w:type="dxa"/>
            <w:vAlign w:val="bottom"/>
          </w:tcPr>
          <w:p w14:paraId="2A53915F" w14:textId="6E048304" w:rsidR="00E774B9" w:rsidRPr="008742B2" w:rsidRDefault="00E774B9" w:rsidP="00E774B9">
            <w:pPr>
              <w:jc w:val="right"/>
              <w:rPr>
                <w:b/>
                <w:bCs/>
              </w:rPr>
            </w:pPr>
            <w:r>
              <w:rPr>
                <w:rFonts w:cs="Arial"/>
                <w:b/>
                <w:bCs/>
              </w:rPr>
              <w:t>0</w:t>
            </w:r>
          </w:p>
        </w:tc>
        <w:tc>
          <w:tcPr>
            <w:tcW w:w="1134" w:type="dxa"/>
            <w:vAlign w:val="bottom"/>
          </w:tcPr>
          <w:p w14:paraId="62FCB111" w14:textId="3E231E86" w:rsidR="00E774B9" w:rsidRPr="008742B2" w:rsidRDefault="00E774B9" w:rsidP="00E774B9">
            <w:pPr>
              <w:jc w:val="right"/>
              <w:rPr>
                <w:b/>
                <w:bCs/>
              </w:rPr>
            </w:pPr>
            <w:r>
              <w:rPr>
                <w:rFonts w:cs="Arial"/>
                <w:b/>
                <w:bCs/>
              </w:rPr>
              <w:t>0</w:t>
            </w:r>
          </w:p>
        </w:tc>
        <w:tc>
          <w:tcPr>
            <w:tcW w:w="850" w:type="dxa"/>
            <w:vAlign w:val="bottom"/>
          </w:tcPr>
          <w:p w14:paraId="1321C4ED" w14:textId="6456CE13" w:rsidR="00E774B9" w:rsidRPr="008742B2" w:rsidRDefault="00E774B9" w:rsidP="00E774B9">
            <w:pPr>
              <w:jc w:val="right"/>
              <w:rPr>
                <w:b/>
                <w:bCs/>
              </w:rPr>
            </w:pPr>
            <w:r>
              <w:rPr>
                <w:rFonts w:cs="Arial"/>
                <w:b/>
                <w:bCs/>
              </w:rPr>
              <w:t>1</w:t>
            </w:r>
          </w:p>
        </w:tc>
        <w:tc>
          <w:tcPr>
            <w:tcW w:w="1276" w:type="dxa"/>
            <w:vAlign w:val="bottom"/>
          </w:tcPr>
          <w:p w14:paraId="70642BB8" w14:textId="712C8F1C" w:rsidR="00E774B9" w:rsidRPr="008742B2" w:rsidRDefault="00E774B9" w:rsidP="00E774B9">
            <w:pPr>
              <w:jc w:val="right"/>
              <w:rPr>
                <w:b/>
                <w:bCs/>
              </w:rPr>
            </w:pPr>
            <w:r>
              <w:rPr>
                <w:rFonts w:cs="Arial"/>
                <w:b/>
                <w:bCs/>
              </w:rPr>
              <w:t>0</w:t>
            </w:r>
          </w:p>
        </w:tc>
        <w:tc>
          <w:tcPr>
            <w:tcW w:w="851" w:type="dxa"/>
            <w:vAlign w:val="bottom"/>
          </w:tcPr>
          <w:p w14:paraId="542CEAE2" w14:textId="557B07B4" w:rsidR="00E774B9" w:rsidRPr="008742B2" w:rsidRDefault="00E774B9" w:rsidP="00E774B9">
            <w:pPr>
              <w:jc w:val="right"/>
              <w:rPr>
                <w:b/>
                <w:bCs/>
              </w:rPr>
            </w:pPr>
            <w:r>
              <w:rPr>
                <w:rFonts w:cs="Arial"/>
                <w:b/>
                <w:bCs/>
              </w:rPr>
              <w:t>1</w:t>
            </w:r>
          </w:p>
        </w:tc>
      </w:tr>
    </w:tbl>
    <w:p w14:paraId="5681D27B" w14:textId="77777777" w:rsidR="00B23CEA" w:rsidRPr="003362C2" w:rsidRDefault="00B23CEA" w:rsidP="003362C2">
      <w:pPr>
        <w:ind w:left="-142" w:right="-425"/>
        <w:jc w:val="both"/>
        <w:rPr>
          <w:rFonts w:cs="Arial"/>
        </w:rPr>
      </w:pPr>
      <w:bookmarkStart w:id="16" w:name="_Hlk69483860"/>
    </w:p>
    <w:p w14:paraId="1B8999AA" w14:textId="0F79C443" w:rsidR="00CA7C48" w:rsidRPr="004B6F52" w:rsidRDefault="00CA7C48" w:rsidP="00CA7C48">
      <w:pPr>
        <w:spacing w:after="120" w:line="240" w:lineRule="auto"/>
        <w:ind w:left="794" w:hanging="794"/>
      </w:pPr>
      <w:r w:rsidRPr="004B6F52">
        <w:rPr>
          <w:b/>
          <w:sz w:val="16"/>
          <w:szCs w:val="16"/>
        </w:rPr>
        <w:t xml:space="preserve">Table </w:t>
      </w:r>
      <w:r w:rsidR="002522F2">
        <w:rPr>
          <w:b/>
          <w:sz w:val="16"/>
          <w:szCs w:val="16"/>
        </w:rPr>
        <w:t>8</w:t>
      </w:r>
      <w:r w:rsidRPr="004B6F52">
        <w:rPr>
          <w:b/>
          <w:sz w:val="16"/>
          <w:szCs w:val="16"/>
        </w:rPr>
        <w:t>:</w:t>
      </w:r>
      <w:r w:rsidRPr="004B6F52">
        <w:rPr>
          <w:sz w:val="16"/>
          <w:szCs w:val="16"/>
        </w:rPr>
        <w:t xml:space="preserve"> Number of</w:t>
      </w:r>
      <w:r>
        <w:rPr>
          <w:sz w:val="16"/>
          <w:szCs w:val="16"/>
        </w:rPr>
        <w:t xml:space="preserve"> decisions </w:t>
      </w:r>
      <w:r w:rsidR="0077183E">
        <w:rPr>
          <w:sz w:val="16"/>
          <w:szCs w:val="16"/>
        </w:rPr>
        <w:t>of voluntary amend/end</w:t>
      </w:r>
      <w:r w:rsidRPr="004B6F52">
        <w:rPr>
          <w:sz w:val="16"/>
          <w:szCs w:val="16"/>
        </w:rPr>
        <w:t xml:space="preserve"> </w:t>
      </w:r>
      <w:r>
        <w:rPr>
          <w:sz w:val="16"/>
          <w:szCs w:val="16"/>
        </w:rPr>
        <w:t>application</w:t>
      </w:r>
      <w:r w:rsidR="0077183E">
        <w:rPr>
          <w:sz w:val="16"/>
          <w:szCs w:val="16"/>
        </w:rPr>
        <w:t>s</w:t>
      </w:r>
      <w:r w:rsidR="00C32C08">
        <w:rPr>
          <w:sz w:val="16"/>
          <w:szCs w:val="16"/>
        </w:rPr>
        <w:t xml:space="preserve"> (where a self</w:t>
      </w:r>
      <w:r w:rsidR="00B5290F">
        <w:rPr>
          <w:sz w:val="16"/>
          <w:szCs w:val="16"/>
        </w:rPr>
        <w:t>-</w:t>
      </w:r>
      <w:r w:rsidR="00C32C08">
        <w:rPr>
          <w:sz w:val="16"/>
          <w:szCs w:val="16"/>
        </w:rPr>
        <w:t>referred client seeks to alter or end their voluntary income management agreement because their circumstances have changed)</w:t>
      </w:r>
      <w:r w:rsidR="0077183E">
        <w:rPr>
          <w:sz w:val="16"/>
          <w:szCs w:val="16"/>
        </w:rPr>
        <w:t xml:space="preserve"> </w:t>
      </w:r>
      <w:r w:rsidRPr="004B6F52">
        <w:rPr>
          <w:sz w:val="16"/>
          <w:szCs w:val="16"/>
        </w:rPr>
        <w:t xml:space="preserve">from </w:t>
      </w:r>
      <w:r w:rsidR="007B7E78">
        <w:rPr>
          <w:sz w:val="16"/>
          <w:szCs w:val="16"/>
        </w:rPr>
        <w:t xml:space="preserve">1 </w:t>
      </w:r>
      <w:r w:rsidR="0080444C">
        <w:rPr>
          <w:sz w:val="16"/>
          <w:szCs w:val="16"/>
        </w:rPr>
        <w:t xml:space="preserve">July </w:t>
      </w:r>
      <w:r w:rsidR="00413FAC">
        <w:rPr>
          <w:sz w:val="16"/>
          <w:szCs w:val="16"/>
        </w:rPr>
        <w:t>2023</w:t>
      </w:r>
      <w:r w:rsidRPr="004B6F52">
        <w:rPr>
          <w:sz w:val="16"/>
          <w:szCs w:val="16"/>
        </w:rPr>
        <w:t xml:space="preserve"> to </w:t>
      </w:r>
      <w:r w:rsidR="007B7E78">
        <w:rPr>
          <w:sz w:val="16"/>
          <w:szCs w:val="16"/>
        </w:rPr>
        <w:t>3</w:t>
      </w:r>
      <w:r w:rsidR="00CE7CB6">
        <w:rPr>
          <w:sz w:val="16"/>
          <w:szCs w:val="16"/>
        </w:rPr>
        <w:t xml:space="preserve">0 </w:t>
      </w:r>
      <w:r w:rsidR="0080444C">
        <w:rPr>
          <w:sz w:val="16"/>
          <w:szCs w:val="16"/>
        </w:rPr>
        <w:t xml:space="preserve">September </w:t>
      </w:r>
      <w:r w:rsidR="00984BBB">
        <w:rPr>
          <w:sz w:val="16"/>
          <w:szCs w:val="16"/>
        </w:rPr>
        <w:t>2023</w:t>
      </w:r>
      <w:r w:rsidR="00560109">
        <w:rPr>
          <w:rStyle w:val="FootnoteReference"/>
          <w:sz w:val="16"/>
          <w:szCs w:val="16"/>
        </w:rPr>
        <w:footnoteReference w:id="7"/>
      </w:r>
    </w:p>
    <w:tbl>
      <w:tblPr>
        <w:tblStyle w:val="TableGrid"/>
        <w:tblW w:w="8109" w:type="dxa"/>
        <w:tblInd w:w="108" w:type="dxa"/>
        <w:tblLayout w:type="fixed"/>
        <w:tblLook w:val="04A0" w:firstRow="1" w:lastRow="0" w:firstColumn="1" w:lastColumn="0" w:noHBand="0" w:noVBand="1"/>
      </w:tblPr>
      <w:tblGrid>
        <w:gridCol w:w="1496"/>
        <w:gridCol w:w="1793"/>
        <w:gridCol w:w="1227"/>
        <w:gridCol w:w="2742"/>
        <w:gridCol w:w="851"/>
      </w:tblGrid>
      <w:tr w:rsidR="00E65E47" w14:paraId="22AF7D29" w14:textId="77777777" w:rsidTr="00E65E47">
        <w:tc>
          <w:tcPr>
            <w:tcW w:w="8109" w:type="dxa"/>
            <w:gridSpan w:val="5"/>
          </w:tcPr>
          <w:p w14:paraId="4A6BBFF2" w14:textId="4E2A5A75" w:rsidR="00E65E47" w:rsidRPr="004B6F52" w:rsidRDefault="00E65E47" w:rsidP="001D51D4">
            <w:pPr>
              <w:jc w:val="center"/>
              <w:rPr>
                <w:rFonts w:cs="Arial"/>
                <w:b/>
                <w:bCs/>
              </w:rPr>
            </w:pPr>
            <w:r w:rsidRPr="0045533F">
              <w:rPr>
                <w:rFonts w:cs="Arial"/>
                <w:b/>
                <w:bCs/>
              </w:rPr>
              <w:t>Decisions of Voluntary Amend/End Applications</w:t>
            </w:r>
          </w:p>
        </w:tc>
      </w:tr>
      <w:tr w:rsidR="00E65E47" w14:paraId="43F463AE" w14:textId="77777777" w:rsidTr="00E65E47">
        <w:tc>
          <w:tcPr>
            <w:tcW w:w="1496" w:type="dxa"/>
          </w:tcPr>
          <w:p w14:paraId="416143FE" w14:textId="77777777" w:rsidR="00E65E47" w:rsidRPr="004B6F52" w:rsidRDefault="00E65E47" w:rsidP="001D51D4">
            <w:pPr>
              <w:ind w:right="-425"/>
              <w:jc w:val="both"/>
              <w:rPr>
                <w:rFonts w:cs="Arial"/>
                <w:b/>
                <w:bCs/>
              </w:rPr>
            </w:pPr>
            <w:r w:rsidRPr="004B6F52">
              <w:rPr>
                <w:rFonts w:cs="Arial"/>
                <w:b/>
                <w:bCs/>
              </w:rPr>
              <w:t>Community</w:t>
            </w:r>
          </w:p>
        </w:tc>
        <w:tc>
          <w:tcPr>
            <w:tcW w:w="1793" w:type="dxa"/>
          </w:tcPr>
          <w:p w14:paraId="566BF449" w14:textId="33534A3B" w:rsidR="00E65E47" w:rsidRDefault="00E65E47" w:rsidP="001D51D4">
            <w:pPr>
              <w:jc w:val="center"/>
              <w:rPr>
                <w:rFonts w:cs="Arial"/>
                <w:b/>
                <w:bCs/>
              </w:rPr>
            </w:pPr>
            <w:r>
              <w:rPr>
                <w:rFonts w:cs="Arial"/>
                <w:b/>
                <w:bCs/>
              </w:rPr>
              <w:t>VIM Amend</w:t>
            </w:r>
          </w:p>
        </w:tc>
        <w:tc>
          <w:tcPr>
            <w:tcW w:w="1227" w:type="dxa"/>
          </w:tcPr>
          <w:p w14:paraId="60E1B18D" w14:textId="2DC76B4B" w:rsidR="00E65E47" w:rsidRPr="004B6F52" w:rsidRDefault="00E65E47" w:rsidP="001D51D4">
            <w:pPr>
              <w:jc w:val="center"/>
              <w:rPr>
                <w:rFonts w:cs="Arial"/>
                <w:b/>
                <w:bCs/>
              </w:rPr>
            </w:pPr>
            <w:r>
              <w:rPr>
                <w:rFonts w:cs="Arial"/>
                <w:b/>
                <w:bCs/>
              </w:rPr>
              <w:t>VIM End</w:t>
            </w:r>
          </w:p>
        </w:tc>
        <w:tc>
          <w:tcPr>
            <w:tcW w:w="2742" w:type="dxa"/>
          </w:tcPr>
          <w:p w14:paraId="5E56E6B0" w14:textId="7599F720" w:rsidR="00E65E47" w:rsidRPr="004B6F52" w:rsidRDefault="00E65E47" w:rsidP="00E65E47">
            <w:pPr>
              <w:jc w:val="center"/>
              <w:rPr>
                <w:rFonts w:cs="Arial"/>
                <w:b/>
                <w:bCs/>
              </w:rPr>
            </w:pPr>
            <w:r>
              <w:rPr>
                <w:rFonts w:cs="Arial"/>
                <w:b/>
                <w:bCs/>
              </w:rPr>
              <w:t>VIM No Further Action</w:t>
            </w:r>
          </w:p>
        </w:tc>
        <w:tc>
          <w:tcPr>
            <w:tcW w:w="851" w:type="dxa"/>
          </w:tcPr>
          <w:p w14:paraId="4D65582C" w14:textId="41B881C3" w:rsidR="00E65E47" w:rsidRPr="00294D17" w:rsidRDefault="00E65E47" w:rsidP="001D51D4">
            <w:pPr>
              <w:jc w:val="right"/>
              <w:rPr>
                <w:rFonts w:cs="Arial"/>
                <w:b/>
                <w:bCs/>
              </w:rPr>
            </w:pPr>
            <w:r w:rsidRPr="004B6F52">
              <w:rPr>
                <w:rFonts w:cs="Arial"/>
                <w:b/>
                <w:bCs/>
              </w:rPr>
              <w:t>Total</w:t>
            </w:r>
          </w:p>
        </w:tc>
      </w:tr>
      <w:tr w:rsidR="00E774B9" w14:paraId="16A64130" w14:textId="77777777" w:rsidTr="00E65E47">
        <w:tc>
          <w:tcPr>
            <w:tcW w:w="1496" w:type="dxa"/>
          </w:tcPr>
          <w:p w14:paraId="11A0DFEF" w14:textId="77777777" w:rsidR="00E774B9" w:rsidRPr="00294D17" w:rsidRDefault="00E774B9" w:rsidP="00E774B9">
            <w:pPr>
              <w:ind w:right="-425"/>
              <w:jc w:val="both"/>
              <w:rPr>
                <w:rFonts w:cs="Arial"/>
                <w:b/>
                <w:bCs/>
              </w:rPr>
            </w:pPr>
            <w:r w:rsidRPr="00294D17">
              <w:rPr>
                <w:rFonts w:cs="Arial"/>
                <w:b/>
                <w:bCs/>
              </w:rPr>
              <w:t>Total</w:t>
            </w:r>
          </w:p>
        </w:tc>
        <w:tc>
          <w:tcPr>
            <w:tcW w:w="1793" w:type="dxa"/>
            <w:vAlign w:val="bottom"/>
          </w:tcPr>
          <w:p w14:paraId="171714C6" w14:textId="1730C9B2" w:rsidR="00E774B9" w:rsidRPr="00900EA0" w:rsidRDefault="00E774B9" w:rsidP="00E774B9">
            <w:pPr>
              <w:jc w:val="right"/>
              <w:rPr>
                <w:b/>
                <w:bCs/>
              </w:rPr>
            </w:pPr>
            <w:r>
              <w:rPr>
                <w:rFonts w:cs="Arial"/>
                <w:b/>
                <w:bCs/>
              </w:rPr>
              <w:t>0</w:t>
            </w:r>
          </w:p>
        </w:tc>
        <w:tc>
          <w:tcPr>
            <w:tcW w:w="1227" w:type="dxa"/>
            <w:vAlign w:val="bottom"/>
          </w:tcPr>
          <w:p w14:paraId="3DCD9CB4" w14:textId="45B6727A" w:rsidR="00E774B9" w:rsidRPr="00900EA0" w:rsidRDefault="00E774B9" w:rsidP="00E774B9">
            <w:pPr>
              <w:jc w:val="right"/>
              <w:rPr>
                <w:b/>
                <w:bCs/>
              </w:rPr>
            </w:pPr>
            <w:r>
              <w:rPr>
                <w:rFonts w:cs="Arial"/>
                <w:b/>
                <w:bCs/>
              </w:rPr>
              <w:t>5</w:t>
            </w:r>
          </w:p>
        </w:tc>
        <w:tc>
          <w:tcPr>
            <w:tcW w:w="2742" w:type="dxa"/>
            <w:vAlign w:val="bottom"/>
          </w:tcPr>
          <w:p w14:paraId="1EDA8F9D" w14:textId="035290BC" w:rsidR="00E774B9" w:rsidRPr="00900EA0" w:rsidRDefault="00E774B9" w:rsidP="00E774B9">
            <w:pPr>
              <w:jc w:val="right"/>
              <w:rPr>
                <w:b/>
                <w:bCs/>
              </w:rPr>
            </w:pPr>
            <w:r>
              <w:rPr>
                <w:rFonts w:cs="Arial"/>
                <w:b/>
                <w:bCs/>
              </w:rPr>
              <w:t>0</w:t>
            </w:r>
          </w:p>
        </w:tc>
        <w:tc>
          <w:tcPr>
            <w:tcW w:w="851" w:type="dxa"/>
            <w:vAlign w:val="bottom"/>
          </w:tcPr>
          <w:p w14:paraId="14017305" w14:textId="11872AAE" w:rsidR="00E774B9" w:rsidRPr="00900EA0" w:rsidRDefault="00E774B9" w:rsidP="00E774B9">
            <w:pPr>
              <w:jc w:val="right"/>
              <w:rPr>
                <w:b/>
                <w:bCs/>
              </w:rPr>
            </w:pPr>
            <w:r>
              <w:rPr>
                <w:rFonts w:cs="Arial"/>
                <w:b/>
                <w:bCs/>
              </w:rPr>
              <w:t>5</w:t>
            </w:r>
          </w:p>
        </w:tc>
      </w:tr>
    </w:tbl>
    <w:p w14:paraId="466F9F6E" w14:textId="77777777" w:rsidR="002522F2" w:rsidRDefault="002522F2" w:rsidP="00A42818">
      <w:pPr>
        <w:ind w:left="-142" w:right="-425"/>
        <w:jc w:val="both"/>
        <w:rPr>
          <w:rFonts w:cs="Arial"/>
        </w:rPr>
      </w:pPr>
    </w:p>
    <w:p w14:paraId="27F37C5D" w14:textId="6DDFD2EF" w:rsidR="00152C1E" w:rsidRDefault="00237AB1" w:rsidP="00A42818">
      <w:pPr>
        <w:ind w:left="-142" w:right="-425"/>
        <w:jc w:val="both"/>
        <w:rPr>
          <w:rFonts w:cs="Arial"/>
        </w:rPr>
      </w:pPr>
      <w:r w:rsidRPr="00CE1294">
        <w:rPr>
          <w:rFonts w:cs="Arial"/>
        </w:rPr>
        <w:lastRenderedPageBreak/>
        <w:t xml:space="preserve">During quarter </w:t>
      </w:r>
      <w:r w:rsidR="00CE7CB6">
        <w:rPr>
          <w:rFonts w:cs="Arial"/>
        </w:rPr>
        <w:t>6</w:t>
      </w:r>
      <w:r w:rsidR="00E774B9">
        <w:rPr>
          <w:rFonts w:cs="Arial"/>
        </w:rPr>
        <w:t>1</w:t>
      </w:r>
      <w:r w:rsidR="00CE7CB6" w:rsidRPr="00CE1294">
        <w:rPr>
          <w:rFonts w:cs="Arial"/>
        </w:rPr>
        <w:t xml:space="preserve"> </w:t>
      </w:r>
      <w:r w:rsidRPr="00CE1294">
        <w:rPr>
          <w:rFonts w:cs="Arial"/>
        </w:rPr>
        <w:t xml:space="preserve">the number of interactions highlighted in tables </w:t>
      </w:r>
      <w:r w:rsidR="00A42818">
        <w:rPr>
          <w:rFonts w:cs="Arial"/>
        </w:rPr>
        <w:t>4</w:t>
      </w:r>
      <w:r w:rsidR="008D0261">
        <w:rPr>
          <w:rFonts w:cs="Arial"/>
        </w:rPr>
        <w:t xml:space="preserve"> to </w:t>
      </w:r>
      <w:r w:rsidR="002522F2">
        <w:rPr>
          <w:rFonts w:cs="Arial"/>
        </w:rPr>
        <w:t>8</w:t>
      </w:r>
      <w:r w:rsidR="0077183E">
        <w:rPr>
          <w:rFonts w:cs="Arial"/>
        </w:rPr>
        <w:t xml:space="preserve"> </w:t>
      </w:r>
      <w:r w:rsidRPr="00CE1294">
        <w:rPr>
          <w:rFonts w:cs="Arial"/>
        </w:rPr>
        <w:t xml:space="preserve">related to a total </w:t>
      </w:r>
      <w:r w:rsidRPr="00EF268C">
        <w:rPr>
          <w:rFonts w:cs="Arial"/>
        </w:rPr>
        <w:t xml:space="preserve">of </w:t>
      </w:r>
      <w:r w:rsidR="00E774B9">
        <w:rPr>
          <w:rFonts w:cs="Arial"/>
        </w:rPr>
        <w:t>16</w:t>
      </w:r>
      <w:r w:rsidR="00A46E8D">
        <w:rPr>
          <w:rFonts w:cs="Arial"/>
        </w:rPr>
        <w:t>8</w:t>
      </w:r>
      <w:r w:rsidR="00E774B9" w:rsidRPr="00EF268C">
        <w:rPr>
          <w:rFonts w:cs="Arial"/>
        </w:rPr>
        <w:t xml:space="preserve"> </w:t>
      </w:r>
      <w:r w:rsidRPr="00EF268C">
        <w:rPr>
          <w:rFonts w:cs="Arial"/>
        </w:rPr>
        <w:t>clients (</w:t>
      </w:r>
      <w:r w:rsidR="00E774B9">
        <w:rPr>
          <w:rFonts w:cs="Arial"/>
        </w:rPr>
        <w:t>112</w:t>
      </w:r>
      <w:r w:rsidR="00E774B9" w:rsidRPr="00EF268C">
        <w:rPr>
          <w:rFonts w:cs="Arial"/>
        </w:rPr>
        <w:t xml:space="preserve"> </w:t>
      </w:r>
      <w:r w:rsidRPr="00EF268C">
        <w:rPr>
          <w:rFonts w:cs="Arial"/>
        </w:rPr>
        <w:t xml:space="preserve">female and </w:t>
      </w:r>
      <w:r w:rsidR="00E774B9">
        <w:rPr>
          <w:rFonts w:cs="Arial"/>
        </w:rPr>
        <w:t>5</w:t>
      </w:r>
      <w:r w:rsidR="00A46E8D">
        <w:rPr>
          <w:rFonts w:cs="Arial"/>
        </w:rPr>
        <w:t>6</w:t>
      </w:r>
      <w:r w:rsidR="00E774B9" w:rsidRPr="00EF268C">
        <w:rPr>
          <w:rFonts w:cs="Arial"/>
        </w:rPr>
        <w:t xml:space="preserve"> </w:t>
      </w:r>
      <w:r w:rsidRPr="00EF268C">
        <w:rPr>
          <w:rFonts w:cs="Arial"/>
        </w:rPr>
        <w:t>male)</w:t>
      </w:r>
      <w:r w:rsidR="00A42818" w:rsidRPr="00EF268C">
        <w:rPr>
          <w:rFonts w:cs="Arial"/>
        </w:rPr>
        <w:t>.</w:t>
      </w:r>
      <w:r w:rsidRPr="00CE1294">
        <w:rPr>
          <w:rFonts w:cs="Arial"/>
        </w:rPr>
        <w:t xml:space="preserve"> </w:t>
      </w:r>
      <w:r w:rsidR="00152C1E">
        <w:rPr>
          <w:rFonts w:cs="Arial"/>
        </w:rPr>
        <w:t xml:space="preserve">To </w:t>
      </w:r>
      <w:r w:rsidR="00130D3D">
        <w:rPr>
          <w:rFonts w:cs="Arial"/>
        </w:rPr>
        <w:t>clarify</w:t>
      </w:r>
      <w:r w:rsidR="00152C1E">
        <w:rPr>
          <w:rFonts w:cs="Arial"/>
        </w:rPr>
        <w:t xml:space="preserve"> the variability of client interactions, the following may occur during the reporting period:</w:t>
      </w:r>
    </w:p>
    <w:p w14:paraId="0D3868CF" w14:textId="3DCEE4D9" w:rsidR="00152C1E" w:rsidRPr="00B106D4" w:rsidRDefault="006264B4"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D7725C" w:rsidRPr="00B106D4">
        <w:rPr>
          <w:rFonts w:ascii="Verdana" w:hAnsi="Verdana" w:cs="Arial"/>
          <w:sz w:val="20"/>
          <w:szCs w:val="20"/>
        </w:rPr>
        <w:t xml:space="preserve"> </w:t>
      </w:r>
      <w:r w:rsidR="00A42818" w:rsidRPr="00B106D4">
        <w:rPr>
          <w:rFonts w:ascii="Verdana" w:hAnsi="Verdana" w:cs="Arial"/>
          <w:sz w:val="20"/>
          <w:szCs w:val="20"/>
        </w:rPr>
        <w:t>client may be placed on a case plan at the beginning of the quarter to one service provider and then referred to another service provider later in the same quarter.</w:t>
      </w:r>
    </w:p>
    <w:p w14:paraId="6680F687" w14:textId="0B21D53E" w:rsidR="00152C1E"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A42818" w:rsidRPr="00B106D4">
        <w:rPr>
          <w:rFonts w:ascii="Verdana" w:hAnsi="Verdana" w:cs="Arial"/>
          <w:sz w:val="20"/>
          <w:szCs w:val="20"/>
        </w:rPr>
        <w:t xml:space="preserve"> client may be placed on a CIM order </w:t>
      </w:r>
      <w:r w:rsidR="00454E1A">
        <w:rPr>
          <w:rFonts w:ascii="Verdana" w:hAnsi="Verdana" w:cs="Arial"/>
          <w:sz w:val="20"/>
          <w:szCs w:val="20"/>
        </w:rPr>
        <w:t>quarantining</w:t>
      </w:r>
      <w:r w:rsidR="00A42818" w:rsidRPr="00B106D4">
        <w:rPr>
          <w:rFonts w:ascii="Verdana" w:hAnsi="Verdana" w:cs="Arial"/>
          <w:sz w:val="20"/>
          <w:szCs w:val="20"/>
        </w:rPr>
        <w:t xml:space="preserve"> 60%, 75% or 90% </w:t>
      </w:r>
      <w:r w:rsidR="00454E1A" w:rsidRPr="00454E1A">
        <w:rPr>
          <w:rFonts w:ascii="Verdana" w:hAnsi="Verdana" w:cs="Arial"/>
          <w:sz w:val="20"/>
          <w:szCs w:val="20"/>
        </w:rPr>
        <w:t xml:space="preserve">of </w:t>
      </w:r>
      <w:r w:rsidR="00454E1A">
        <w:rPr>
          <w:rFonts w:ascii="Verdana" w:hAnsi="Verdana" w:cs="Arial"/>
          <w:sz w:val="20"/>
          <w:szCs w:val="20"/>
        </w:rPr>
        <w:t xml:space="preserve">their </w:t>
      </w:r>
      <w:r w:rsidR="00454E1A" w:rsidRPr="00454E1A">
        <w:rPr>
          <w:rFonts w:ascii="Verdana" w:hAnsi="Verdana" w:cs="Arial"/>
          <w:sz w:val="20"/>
          <w:szCs w:val="20"/>
        </w:rPr>
        <w:t>welfare payments</w:t>
      </w:r>
      <w:r w:rsidR="00454E1A">
        <w:rPr>
          <w:rFonts w:cs="Arial"/>
        </w:rPr>
        <w:t xml:space="preserve"> </w:t>
      </w:r>
      <w:r w:rsidR="00A42818" w:rsidRPr="00B106D4">
        <w:rPr>
          <w:rFonts w:ascii="Verdana" w:hAnsi="Verdana" w:cs="Arial"/>
          <w:sz w:val="20"/>
          <w:szCs w:val="20"/>
        </w:rPr>
        <w:t>and then have their percentage of income management reduced or increased later in the quarter.</w:t>
      </w:r>
    </w:p>
    <w:p w14:paraId="67B0C746" w14:textId="15A8E133" w:rsidR="00152C1E" w:rsidRPr="00B106D4" w:rsidRDefault="00A42818"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 client may be separately or concurrently placed on a case plan and income management throughout the quarter</w:t>
      </w:r>
      <w:r w:rsidR="00F9074F" w:rsidRPr="00B106D4">
        <w:rPr>
          <w:rFonts w:ascii="Verdana" w:hAnsi="Verdana" w:cs="Arial"/>
          <w:sz w:val="20"/>
          <w:szCs w:val="20"/>
        </w:rPr>
        <w:t xml:space="preserve">, </w:t>
      </w:r>
      <w:r w:rsidR="00CE4861">
        <w:rPr>
          <w:rFonts w:ascii="Verdana" w:hAnsi="Verdana" w:cs="Arial"/>
          <w:sz w:val="20"/>
          <w:szCs w:val="20"/>
        </w:rPr>
        <w:t xml:space="preserve">and a </w:t>
      </w:r>
      <w:r w:rsidR="00F9074F" w:rsidRPr="00B106D4">
        <w:rPr>
          <w:rFonts w:ascii="Verdana" w:hAnsi="Verdana" w:cs="Arial"/>
          <w:sz w:val="20"/>
          <w:szCs w:val="20"/>
        </w:rPr>
        <w:t>client</w:t>
      </w:r>
      <w:r w:rsidR="00CE4861">
        <w:rPr>
          <w:rFonts w:ascii="Verdana" w:hAnsi="Verdana" w:cs="Arial"/>
          <w:sz w:val="20"/>
          <w:szCs w:val="20"/>
        </w:rPr>
        <w:t xml:space="preserve"> may be</w:t>
      </w:r>
      <w:r w:rsidR="00F9074F" w:rsidRPr="00B106D4">
        <w:rPr>
          <w:rFonts w:ascii="Verdana" w:hAnsi="Verdana" w:cs="Arial"/>
          <w:sz w:val="20"/>
          <w:szCs w:val="20"/>
        </w:rPr>
        <w:t xml:space="preserve"> placed on an income management order </w:t>
      </w:r>
      <w:r w:rsidR="00987B9D" w:rsidRPr="00B106D4">
        <w:rPr>
          <w:rFonts w:ascii="Verdana" w:hAnsi="Verdana" w:cs="Arial"/>
          <w:sz w:val="20"/>
          <w:szCs w:val="20"/>
        </w:rPr>
        <w:t xml:space="preserve">but </w:t>
      </w:r>
      <w:r w:rsidR="007E07BA" w:rsidRPr="00B106D4">
        <w:rPr>
          <w:rFonts w:ascii="Verdana" w:hAnsi="Verdana" w:cs="Arial"/>
          <w:sz w:val="20"/>
          <w:szCs w:val="20"/>
        </w:rPr>
        <w:t xml:space="preserve">then </w:t>
      </w:r>
      <w:r w:rsidR="00987B9D" w:rsidRPr="00B106D4">
        <w:rPr>
          <w:rFonts w:ascii="Verdana" w:hAnsi="Verdana" w:cs="Arial"/>
          <w:sz w:val="20"/>
          <w:szCs w:val="20"/>
        </w:rPr>
        <w:t xml:space="preserve">placed on a case plan under </w:t>
      </w:r>
      <w:r w:rsidR="007E07BA" w:rsidRPr="00B106D4">
        <w:rPr>
          <w:rFonts w:ascii="Verdana" w:hAnsi="Verdana" w:cs="Arial"/>
          <w:sz w:val="20"/>
          <w:szCs w:val="20"/>
        </w:rPr>
        <w:t xml:space="preserve">a decision by </w:t>
      </w:r>
      <w:r w:rsidR="00987B9D" w:rsidRPr="00B106D4">
        <w:rPr>
          <w:rFonts w:ascii="Verdana" w:hAnsi="Verdana" w:cs="Arial"/>
          <w:sz w:val="20"/>
          <w:szCs w:val="20"/>
        </w:rPr>
        <w:t>agreement</w:t>
      </w:r>
      <w:r w:rsidRPr="00B106D4">
        <w:rPr>
          <w:rFonts w:ascii="Verdana" w:hAnsi="Verdana" w:cs="Arial"/>
          <w:sz w:val="20"/>
          <w:szCs w:val="20"/>
        </w:rPr>
        <w:t>.</w:t>
      </w:r>
    </w:p>
    <w:p w14:paraId="68D6AF55" w14:textId="0FF172EA" w:rsidR="00A42818"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 xml:space="preserve">A </w:t>
      </w:r>
      <w:r w:rsidR="00987B9D" w:rsidRPr="00B106D4">
        <w:rPr>
          <w:rFonts w:ascii="Verdana" w:hAnsi="Verdana" w:cs="Arial"/>
          <w:sz w:val="20"/>
          <w:szCs w:val="20"/>
        </w:rPr>
        <w:t xml:space="preserve">client </w:t>
      </w:r>
      <w:r w:rsidRPr="00B106D4">
        <w:rPr>
          <w:rFonts w:ascii="Verdana" w:hAnsi="Verdana" w:cs="Arial"/>
          <w:sz w:val="20"/>
          <w:szCs w:val="20"/>
        </w:rPr>
        <w:t xml:space="preserve">may have </w:t>
      </w:r>
      <w:r w:rsidR="00987B9D" w:rsidRPr="00B106D4">
        <w:rPr>
          <w:rFonts w:ascii="Verdana" w:hAnsi="Verdana" w:cs="Arial"/>
          <w:sz w:val="20"/>
          <w:szCs w:val="20"/>
        </w:rPr>
        <w:t>enter</w:t>
      </w:r>
      <w:r w:rsidRPr="00B106D4">
        <w:rPr>
          <w:rFonts w:ascii="Verdana" w:hAnsi="Verdana" w:cs="Arial"/>
          <w:sz w:val="20"/>
          <w:szCs w:val="20"/>
        </w:rPr>
        <w:t>ed</w:t>
      </w:r>
      <w:r w:rsidR="00987B9D" w:rsidRPr="00B106D4">
        <w:rPr>
          <w:rFonts w:ascii="Verdana" w:hAnsi="Verdana" w:cs="Arial"/>
          <w:sz w:val="20"/>
          <w:szCs w:val="20"/>
        </w:rPr>
        <w:t xml:space="preserve"> into a voluntary agreement for voluntary income management along with a separate case plan to attend support services under a decision by agreement.</w:t>
      </w:r>
    </w:p>
    <w:p w14:paraId="1CAAD6E7" w14:textId="0F114AD7" w:rsidR="00514E25" w:rsidRDefault="00514E25" w:rsidP="00237AB1">
      <w:pPr>
        <w:ind w:left="-142" w:right="-425"/>
        <w:jc w:val="both"/>
        <w:rPr>
          <w:rFonts w:cs="Arial"/>
        </w:rPr>
      </w:pPr>
    </w:p>
    <w:p w14:paraId="0A9B343C" w14:textId="7CB80725" w:rsidR="008F63D1" w:rsidRDefault="00BC1779" w:rsidP="00237AB1">
      <w:pPr>
        <w:ind w:left="-142" w:right="-425"/>
        <w:jc w:val="both"/>
      </w:pPr>
      <w:r w:rsidRPr="008F63D1">
        <w:rPr>
          <w:b/>
          <w:bCs/>
        </w:rPr>
        <w:t>The nuanced decision</w:t>
      </w:r>
      <w:r w:rsidR="0087406D" w:rsidRPr="008F63D1">
        <w:rPr>
          <w:b/>
          <w:bCs/>
        </w:rPr>
        <w:t>-</w:t>
      </w:r>
      <w:r w:rsidRPr="008F63D1">
        <w:rPr>
          <w:b/>
          <w:bCs/>
        </w:rPr>
        <w:t>making of Commissioners at conference is reflective of each client’s individual circumstances.</w:t>
      </w:r>
    </w:p>
    <w:p w14:paraId="7BD58CD8" w14:textId="51B0C20E" w:rsidR="00F71FA9" w:rsidRDefault="00031A6E" w:rsidP="00237AB1">
      <w:pPr>
        <w:ind w:left="-142" w:right="-425"/>
        <w:jc w:val="both"/>
      </w:pPr>
      <w:r>
        <w:t xml:space="preserve">Clients with </w:t>
      </w:r>
      <w:r w:rsidR="00430499">
        <w:t xml:space="preserve">complex and multifaceted </w:t>
      </w:r>
      <w:r>
        <w:t xml:space="preserve">issues often require solutions which are best coordinated with </w:t>
      </w:r>
      <w:r w:rsidR="00E9725A">
        <w:t xml:space="preserve">multiple service providers who </w:t>
      </w:r>
      <w:r w:rsidR="006F5933">
        <w:t>can</w:t>
      </w:r>
      <w:r w:rsidR="00E9725A">
        <w:t xml:space="preserve"> </w:t>
      </w:r>
      <w:r>
        <w:t>extend</w:t>
      </w:r>
      <w:r w:rsidR="00E9725A">
        <w:t xml:space="preserve"> assistance</w:t>
      </w:r>
      <w:r>
        <w:t xml:space="preserve"> to family members</w:t>
      </w:r>
      <w:r w:rsidR="00C50FCF">
        <w:t xml:space="preserve">. </w:t>
      </w:r>
      <w:r w:rsidR="00C32C08">
        <w:t xml:space="preserve">This requires the Commissioners </w:t>
      </w:r>
      <w:r w:rsidR="00B2674A">
        <w:t xml:space="preserve">to </w:t>
      </w:r>
      <w:r w:rsidR="00C32C08">
        <w:t>tak</w:t>
      </w:r>
      <w:r w:rsidR="00B2674A">
        <w:t>e</w:t>
      </w:r>
      <w:r w:rsidR="00C32C08">
        <w:t xml:space="preserve"> a </w:t>
      </w:r>
      <w:r w:rsidR="00430499">
        <w:t>holistic approach</w:t>
      </w:r>
      <w:r w:rsidR="00C32C08">
        <w:t xml:space="preserve"> to their decision</w:t>
      </w:r>
      <w:r w:rsidR="00B2674A">
        <w:t>-</w:t>
      </w:r>
      <w:r w:rsidR="00C32C08">
        <w:t>ma</w:t>
      </w:r>
      <w:r w:rsidR="00F10787">
        <w:t>king</w:t>
      </w:r>
      <w:r w:rsidR="00430499">
        <w:t xml:space="preserve"> </w:t>
      </w:r>
      <w:r w:rsidR="00C32C08">
        <w:t>by in</w:t>
      </w:r>
      <w:r w:rsidR="00F10787">
        <w:t>volving, where appropriate,</w:t>
      </w:r>
      <w:r w:rsidR="00430499">
        <w:t xml:space="preserve"> famil</w:t>
      </w:r>
      <w:r w:rsidR="00F10787">
        <w:t xml:space="preserve">y and clan group members at conference, together with a network of relevant </w:t>
      </w:r>
      <w:r w:rsidR="00430499">
        <w:t>service providers</w:t>
      </w:r>
      <w:r w:rsidR="00B2674A">
        <w:t xml:space="preserve">. </w:t>
      </w:r>
      <w:r w:rsidR="0028679C">
        <w:t>The Commissioners</w:t>
      </w:r>
      <w:r w:rsidR="0087406D">
        <w:t>,</w:t>
      </w:r>
      <w:r w:rsidR="0028679C">
        <w:t xml:space="preserve"> when making decision</w:t>
      </w:r>
      <w:r w:rsidR="00926217">
        <w:t>s</w:t>
      </w:r>
      <w:r w:rsidR="0087406D">
        <w:t>,</w:t>
      </w:r>
      <w:r w:rsidR="0028679C">
        <w:t xml:space="preserve"> consider </w:t>
      </w:r>
      <w:r w:rsidR="00C27A77">
        <w:t>a variety of options</w:t>
      </w:r>
      <w:r w:rsidR="00F127B3">
        <w:t>. Th</w:t>
      </w:r>
      <w:r w:rsidR="00A7717F">
        <w:t>e</w:t>
      </w:r>
      <w:r w:rsidR="00F127B3">
        <w:t>s</w:t>
      </w:r>
      <w:r w:rsidR="00A7717F">
        <w:t>e</w:t>
      </w:r>
      <w:r w:rsidR="00C46283">
        <w:t xml:space="preserve"> may</w:t>
      </w:r>
      <w:r w:rsidR="00C27A77">
        <w:t xml:space="preserve"> includ</w:t>
      </w:r>
      <w:r w:rsidR="00C46283">
        <w:t>e</w:t>
      </w:r>
      <w:r w:rsidR="0028679C">
        <w:t xml:space="preserve"> not putting clients on case plans when they already have an appropriate referral in place, not making a referral because of the limited availability of appropriate support services to address the client’s specific needs and the use of </w:t>
      </w:r>
      <w:r w:rsidR="0087406D">
        <w:t>‘</w:t>
      </w:r>
      <w:r w:rsidR="0028679C">
        <w:t>No Further Action</w:t>
      </w:r>
      <w:r w:rsidR="0087406D">
        <w:t>’</w:t>
      </w:r>
      <w:r w:rsidR="0028679C">
        <w:t xml:space="preserve"> being made</w:t>
      </w:r>
      <w:r w:rsidR="00C46283">
        <w:t xml:space="preserve">. The latter decision can be </w:t>
      </w:r>
      <w:r w:rsidR="005E5449">
        <w:t>ordered in circumstances where the Commission is satisfied</w:t>
      </w:r>
      <w:r w:rsidR="0028679C">
        <w:t xml:space="preserve"> clients are already showing insight into their own behaviours and have taken personal responsibility to address the issue of concern before the matter proceeded to conference. </w:t>
      </w:r>
      <w:r w:rsidR="00B2674A">
        <w:t xml:space="preserve">This holistic approach </w:t>
      </w:r>
      <w:r w:rsidR="00F10787">
        <w:t>a</w:t>
      </w:r>
      <w:r w:rsidR="00B2674A">
        <w:t xml:space="preserve">ssists in creating </w:t>
      </w:r>
      <w:r w:rsidR="00F10787">
        <w:t>a more informative, culturally relevant and empowering</w:t>
      </w:r>
      <w:r w:rsidR="00430499">
        <w:t xml:space="preserve"> </w:t>
      </w:r>
      <w:r w:rsidR="00F10787">
        <w:t>experience for the</w:t>
      </w:r>
      <w:r w:rsidR="00CC70BB">
        <w:t xml:space="preserve"> </w:t>
      </w:r>
      <w:r w:rsidR="00430499">
        <w:t>client</w:t>
      </w:r>
      <w:r>
        <w:t xml:space="preserve"> </w:t>
      </w:r>
      <w:r w:rsidR="005B7F9C">
        <w:t>so they can</w:t>
      </w:r>
      <w:r w:rsidR="00B2674A">
        <w:t xml:space="preserve"> </w:t>
      </w:r>
      <w:r>
        <w:t>make the necessary changes in their lives to provide for a safe and secure environment for themselves and their families.</w:t>
      </w:r>
    </w:p>
    <w:p w14:paraId="7604EF59" w14:textId="77777777" w:rsidR="000440CF" w:rsidRDefault="000440CF" w:rsidP="00237AB1">
      <w:pPr>
        <w:ind w:left="-142" w:right="-425"/>
        <w:jc w:val="both"/>
        <w:rPr>
          <w:rFonts w:cs="Arial"/>
        </w:rPr>
      </w:pPr>
    </w:p>
    <w:p w14:paraId="6F65C7CD" w14:textId="064F4C75" w:rsidR="00B9722A" w:rsidRPr="001B0466" w:rsidRDefault="00B9722A" w:rsidP="00C34899">
      <w:pPr>
        <w:tabs>
          <w:tab w:val="left" w:pos="1134"/>
        </w:tabs>
        <w:ind w:left="-142" w:right="-425"/>
        <w:jc w:val="both"/>
      </w:pPr>
      <w:r w:rsidRPr="001B0466">
        <w:t xml:space="preserve">The types of client interactions evident during quarter </w:t>
      </w:r>
      <w:r w:rsidR="000E7C1E">
        <w:t>6</w:t>
      </w:r>
      <w:r w:rsidR="00EE7CC7">
        <w:t>1</w:t>
      </w:r>
      <w:r w:rsidRPr="001B0466">
        <w:t xml:space="preserve"> reinforce the Commission’s belief that our clients are displaying a willingness to change</w:t>
      </w:r>
      <w:r w:rsidR="005B7F9C" w:rsidRPr="001B0466">
        <w:t xml:space="preserve"> and taking personal responsibility for their wellbeing and </w:t>
      </w:r>
      <w:r w:rsidR="00B301F1" w:rsidRPr="001B0466">
        <w:t xml:space="preserve">the wellbeing of their </w:t>
      </w:r>
      <w:r w:rsidR="002872AF" w:rsidRPr="001B0466">
        <w:t>families</w:t>
      </w:r>
      <w:r w:rsidRPr="001B0466">
        <w:t xml:space="preserve">. The following highlights for the period </w:t>
      </w:r>
      <w:r w:rsidR="007B7E78">
        <w:t xml:space="preserve">1 </w:t>
      </w:r>
      <w:r w:rsidR="00EE7CC7">
        <w:t xml:space="preserve">July </w:t>
      </w:r>
      <w:r w:rsidR="00413FAC">
        <w:t>2023</w:t>
      </w:r>
      <w:r w:rsidRPr="001B0466">
        <w:t xml:space="preserve"> to </w:t>
      </w:r>
      <w:r w:rsidR="007B7E78">
        <w:t>3</w:t>
      </w:r>
      <w:r w:rsidR="004748B3">
        <w:t xml:space="preserve">0 </w:t>
      </w:r>
      <w:r w:rsidR="00EE7CC7">
        <w:t xml:space="preserve">September </w:t>
      </w:r>
      <w:r w:rsidR="00984BBB">
        <w:t>2023</w:t>
      </w:r>
      <w:r w:rsidRPr="001B0466">
        <w:t xml:space="preserve"> support our assertion:</w:t>
      </w:r>
    </w:p>
    <w:p w14:paraId="689B3599" w14:textId="77777777" w:rsidR="00C34899" w:rsidRPr="001B0466" w:rsidRDefault="00C34899" w:rsidP="0099478F">
      <w:pPr>
        <w:ind w:left="-142" w:right="-425"/>
        <w:jc w:val="both"/>
        <w:rPr>
          <w:rFonts w:cs="Arial"/>
        </w:rPr>
      </w:pPr>
    </w:p>
    <w:p w14:paraId="2EAF0566" w14:textId="5363A97F" w:rsidR="00B9722A" w:rsidRPr="001B0466" w:rsidRDefault="00EE7CC7"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57.</w:t>
      </w:r>
      <w:r w:rsidR="00A46E8D">
        <w:rPr>
          <w:rFonts w:ascii="Verdana" w:hAnsi="Verdana" w:cs="Arial"/>
          <w:sz w:val="20"/>
          <w:szCs w:val="20"/>
        </w:rPr>
        <w:t>1</w:t>
      </w:r>
      <w:r w:rsidR="00DD36DF">
        <w:rPr>
          <w:rFonts w:ascii="Verdana" w:hAnsi="Verdana" w:cs="Arial"/>
          <w:sz w:val="20"/>
          <w:szCs w:val="20"/>
        </w:rPr>
        <w:t>%</w:t>
      </w:r>
      <w:r w:rsidR="00B9722A" w:rsidRPr="000F203E">
        <w:rPr>
          <w:rFonts w:ascii="Verdana" w:hAnsi="Verdana" w:cs="Arial"/>
          <w:sz w:val="20"/>
          <w:szCs w:val="20"/>
        </w:rPr>
        <w:t xml:space="preserve"> of clients </w:t>
      </w:r>
      <w:r w:rsidR="00887699" w:rsidRPr="000F203E">
        <w:rPr>
          <w:rFonts w:ascii="Verdana" w:hAnsi="Verdana"/>
          <w:sz w:val="20"/>
          <w:szCs w:val="20"/>
        </w:rPr>
        <w:t xml:space="preserve">at some point during the quarter </w:t>
      </w:r>
      <w:r w:rsidR="0031338E" w:rsidRPr="000F203E">
        <w:rPr>
          <w:rFonts w:ascii="Verdana" w:hAnsi="Verdana"/>
          <w:sz w:val="20"/>
          <w:szCs w:val="20"/>
        </w:rPr>
        <w:t xml:space="preserve">may have done one or more of the following: </w:t>
      </w:r>
      <w:r w:rsidR="00DE0E94" w:rsidRPr="000F203E">
        <w:rPr>
          <w:rFonts w:ascii="Verdana" w:hAnsi="Verdana" w:cs="Arial"/>
          <w:sz w:val="20"/>
          <w:szCs w:val="20"/>
        </w:rPr>
        <w:t>self-referr</w:t>
      </w:r>
      <w:r w:rsidR="0031338E" w:rsidRPr="000F203E">
        <w:rPr>
          <w:rFonts w:ascii="Verdana" w:hAnsi="Verdana" w:cs="Arial"/>
          <w:sz w:val="20"/>
          <w:szCs w:val="20"/>
        </w:rPr>
        <w:t>ed</w:t>
      </w:r>
      <w:r w:rsidR="00DE0E94" w:rsidRPr="000F203E">
        <w:rPr>
          <w:rFonts w:ascii="Verdana" w:hAnsi="Verdana" w:cs="Arial"/>
          <w:sz w:val="20"/>
          <w:szCs w:val="20"/>
        </w:rPr>
        <w:t xml:space="preserve"> to the FRC</w:t>
      </w:r>
      <w:r w:rsidR="0031338E" w:rsidRPr="000F203E">
        <w:rPr>
          <w:rFonts w:ascii="Verdana" w:hAnsi="Verdana" w:cs="Arial"/>
          <w:sz w:val="20"/>
          <w:szCs w:val="20"/>
        </w:rPr>
        <w:t xml:space="preserve"> </w:t>
      </w:r>
      <w:r w:rsidR="00F76774" w:rsidRPr="000F203E">
        <w:rPr>
          <w:rFonts w:ascii="Verdana" w:hAnsi="Verdana" w:cs="Arial"/>
          <w:sz w:val="20"/>
          <w:szCs w:val="20"/>
        </w:rPr>
        <w:t xml:space="preserve">for a VCP or a </w:t>
      </w:r>
      <w:r w:rsidR="0031338E" w:rsidRPr="000F203E">
        <w:rPr>
          <w:rFonts w:ascii="Verdana" w:hAnsi="Verdana" w:cs="Arial"/>
          <w:sz w:val="20"/>
          <w:szCs w:val="20"/>
        </w:rPr>
        <w:t>VIM</w:t>
      </w:r>
      <w:r w:rsidR="00177928" w:rsidRPr="000F203E">
        <w:rPr>
          <w:rFonts w:ascii="Verdana" w:hAnsi="Verdana" w:cs="Arial"/>
          <w:sz w:val="20"/>
          <w:szCs w:val="20"/>
        </w:rPr>
        <w:t xml:space="preserve">; </w:t>
      </w:r>
      <w:r w:rsidR="00B9722A" w:rsidRPr="000F203E">
        <w:rPr>
          <w:rFonts w:ascii="Verdana" w:hAnsi="Verdana" w:cs="Arial"/>
          <w:sz w:val="20"/>
          <w:szCs w:val="20"/>
        </w:rPr>
        <w:t>enter</w:t>
      </w:r>
      <w:r w:rsidR="0031338E" w:rsidRPr="000F203E">
        <w:rPr>
          <w:rFonts w:ascii="Verdana" w:hAnsi="Verdana" w:cs="Arial"/>
          <w:sz w:val="20"/>
          <w:szCs w:val="20"/>
        </w:rPr>
        <w:t>ed</w:t>
      </w:r>
      <w:r w:rsidR="00B9722A" w:rsidRPr="000F203E">
        <w:rPr>
          <w:rFonts w:ascii="Verdana" w:hAnsi="Verdana" w:cs="Arial"/>
          <w:sz w:val="20"/>
          <w:szCs w:val="20"/>
        </w:rPr>
        <w:t xml:space="preserve"> into a Family Responsibilities Agreement</w:t>
      </w:r>
      <w:r w:rsidR="00177928" w:rsidRPr="000F203E">
        <w:rPr>
          <w:rFonts w:ascii="Verdana" w:hAnsi="Verdana" w:cs="Arial"/>
          <w:sz w:val="20"/>
          <w:szCs w:val="20"/>
        </w:rPr>
        <w:t>;</w:t>
      </w:r>
      <w:r w:rsidR="005B7F9C" w:rsidRPr="000F203E">
        <w:rPr>
          <w:rFonts w:ascii="Verdana" w:hAnsi="Verdana" w:cs="Arial"/>
          <w:sz w:val="20"/>
          <w:szCs w:val="20"/>
        </w:rPr>
        <w:t xml:space="preserve"> </w:t>
      </w:r>
      <w:r w:rsidR="00DE0E94" w:rsidRPr="000F203E">
        <w:rPr>
          <w:rFonts w:ascii="Verdana" w:hAnsi="Verdana" w:cs="Arial"/>
          <w:sz w:val="20"/>
          <w:szCs w:val="20"/>
        </w:rPr>
        <w:t>successfully appl</w:t>
      </w:r>
      <w:r w:rsidR="0031338E" w:rsidRPr="000F203E">
        <w:rPr>
          <w:rFonts w:ascii="Verdana" w:hAnsi="Verdana" w:cs="Arial"/>
          <w:sz w:val="20"/>
          <w:szCs w:val="20"/>
        </w:rPr>
        <w:t>ied</w:t>
      </w:r>
      <w:r w:rsidR="00DE0E94" w:rsidRPr="000F203E">
        <w:rPr>
          <w:rFonts w:ascii="Verdana" w:hAnsi="Verdana" w:cs="Arial"/>
          <w:sz w:val="20"/>
          <w:szCs w:val="20"/>
        </w:rPr>
        <w:t xml:space="preserve"> to end or amend their decision by order or a</w:t>
      </w:r>
      <w:r w:rsidR="002A33C4" w:rsidRPr="000F203E">
        <w:rPr>
          <w:rFonts w:ascii="Verdana" w:hAnsi="Verdana" w:cs="Arial"/>
          <w:sz w:val="20"/>
          <w:szCs w:val="20"/>
        </w:rPr>
        <w:t>greement</w:t>
      </w:r>
      <w:r w:rsidR="00C34899" w:rsidRPr="000F203E">
        <w:rPr>
          <w:rFonts w:ascii="Verdana" w:hAnsi="Verdana" w:cs="Arial"/>
          <w:sz w:val="20"/>
          <w:szCs w:val="20"/>
        </w:rPr>
        <w:t>;</w:t>
      </w:r>
    </w:p>
    <w:p w14:paraId="0B6EF2B3" w14:textId="5FA967C3" w:rsidR="00B9722A" w:rsidRPr="001B0466" w:rsidRDefault="000E0C2F" w:rsidP="00D552BE">
      <w:pPr>
        <w:pStyle w:val="ListParagraph"/>
        <w:numPr>
          <w:ilvl w:val="1"/>
          <w:numId w:val="10"/>
        </w:numPr>
        <w:spacing w:after="120"/>
        <w:ind w:left="709" w:right="-425"/>
        <w:jc w:val="both"/>
        <w:rPr>
          <w:rFonts w:ascii="Verdana" w:hAnsi="Verdana" w:cs="Arial"/>
          <w:sz w:val="20"/>
          <w:szCs w:val="20"/>
        </w:rPr>
      </w:pPr>
      <w:r w:rsidRPr="001B0466">
        <w:rPr>
          <w:rFonts w:ascii="Verdana" w:hAnsi="Verdana" w:cs="Arial"/>
          <w:sz w:val="20"/>
          <w:szCs w:val="20"/>
        </w:rPr>
        <w:t>A</w:t>
      </w:r>
      <w:r w:rsidR="00B9722A" w:rsidRPr="001B0466">
        <w:rPr>
          <w:rFonts w:ascii="Verdana" w:hAnsi="Verdana" w:cs="Arial"/>
          <w:sz w:val="20"/>
          <w:szCs w:val="20"/>
        </w:rPr>
        <w:t xml:space="preserve">s a subset of the above, </w:t>
      </w:r>
      <w:r w:rsidR="00EE7CC7">
        <w:rPr>
          <w:rFonts w:ascii="Verdana" w:hAnsi="Verdana" w:cs="Arial"/>
          <w:sz w:val="20"/>
          <w:szCs w:val="20"/>
        </w:rPr>
        <w:t>46</w:t>
      </w:r>
      <w:r w:rsidR="00DD36DF">
        <w:rPr>
          <w:rFonts w:ascii="Verdana" w:hAnsi="Verdana" w:cs="Arial"/>
          <w:sz w:val="20"/>
          <w:szCs w:val="20"/>
        </w:rPr>
        <w:t>%</w:t>
      </w:r>
      <w:r w:rsidR="00B9722A" w:rsidRPr="001B0466">
        <w:rPr>
          <w:rFonts w:ascii="Verdana" w:hAnsi="Verdana" w:cs="Arial"/>
          <w:sz w:val="20"/>
          <w:szCs w:val="20"/>
        </w:rPr>
        <w:t xml:space="preserve"> of clients specifically entered into a </w:t>
      </w:r>
      <w:r w:rsidR="00AC48DA" w:rsidRPr="001B0466">
        <w:rPr>
          <w:rFonts w:ascii="Verdana" w:hAnsi="Verdana" w:cs="Arial"/>
          <w:sz w:val="20"/>
          <w:szCs w:val="20"/>
        </w:rPr>
        <w:t>v</w:t>
      </w:r>
      <w:r w:rsidR="00B9722A" w:rsidRPr="001B0466">
        <w:rPr>
          <w:rFonts w:ascii="Verdana" w:hAnsi="Verdana" w:cs="Arial"/>
          <w:sz w:val="20"/>
          <w:szCs w:val="20"/>
        </w:rPr>
        <w:t xml:space="preserve">oluntary </w:t>
      </w:r>
      <w:r w:rsidR="00AC48DA" w:rsidRPr="001B0466">
        <w:rPr>
          <w:rFonts w:ascii="Verdana" w:hAnsi="Verdana" w:cs="Arial"/>
          <w:sz w:val="20"/>
          <w:szCs w:val="20"/>
        </w:rPr>
        <w:t>a</w:t>
      </w:r>
      <w:r w:rsidR="00B9722A" w:rsidRPr="001B0466">
        <w:rPr>
          <w:rFonts w:ascii="Verdana" w:hAnsi="Verdana" w:cs="Arial"/>
          <w:sz w:val="20"/>
          <w:szCs w:val="20"/>
        </w:rPr>
        <w:t>greement</w:t>
      </w:r>
      <w:r w:rsidR="00177928" w:rsidRPr="001B0466">
        <w:rPr>
          <w:rFonts w:ascii="Verdana" w:hAnsi="Verdana" w:cs="Arial"/>
          <w:sz w:val="20"/>
          <w:szCs w:val="20"/>
        </w:rPr>
        <w:t>;</w:t>
      </w:r>
    </w:p>
    <w:p w14:paraId="3A616BEF" w14:textId="4844596E" w:rsidR="00B9722A" w:rsidRPr="001B0466" w:rsidRDefault="00EE7CC7"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20.</w:t>
      </w:r>
      <w:r w:rsidR="00A46E8D">
        <w:rPr>
          <w:rFonts w:ascii="Verdana" w:hAnsi="Verdana" w:cs="Arial"/>
          <w:sz w:val="20"/>
          <w:szCs w:val="20"/>
        </w:rPr>
        <w:t>8</w:t>
      </w:r>
      <w:r w:rsidR="00DD36DF">
        <w:rPr>
          <w:rFonts w:ascii="Verdana" w:hAnsi="Verdana" w:cs="Arial"/>
          <w:sz w:val="20"/>
          <w:szCs w:val="20"/>
        </w:rPr>
        <w:t>%</w:t>
      </w:r>
      <w:r w:rsidR="00B9722A" w:rsidRPr="001B0466">
        <w:rPr>
          <w:rFonts w:ascii="Verdana" w:hAnsi="Verdana" w:cs="Arial"/>
          <w:sz w:val="20"/>
          <w:szCs w:val="20"/>
        </w:rPr>
        <w:t xml:space="preserve"> of clients </w:t>
      </w:r>
      <w:r w:rsidR="009C14B5" w:rsidRPr="001B0466">
        <w:rPr>
          <w:rFonts w:ascii="Verdana" w:hAnsi="Verdana" w:cs="Arial"/>
          <w:sz w:val="20"/>
          <w:szCs w:val="20"/>
        </w:rPr>
        <w:t xml:space="preserve">were issued with a no </w:t>
      </w:r>
      <w:r w:rsidR="00B9722A" w:rsidRPr="001B0466">
        <w:rPr>
          <w:rFonts w:ascii="Verdana" w:hAnsi="Verdana" w:cs="Arial"/>
          <w:sz w:val="20"/>
          <w:szCs w:val="20"/>
        </w:rPr>
        <w:t xml:space="preserve">further action on their matter/s, </w:t>
      </w:r>
      <w:r w:rsidR="005551E4" w:rsidRPr="001B0466">
        <w:rPr>
          <w:rFonts w:ascii="Verdana" w:hAnsi="Verdana" w:cs="Arial"/>
          <w:sz w:val="20"/>
          <w:szCs w:val="20"/>
        </w:rPr>
        <w:t xml:space="preserve">or they were recommended to attend a support service with no </w:t>
      </w:r>
      <w:r w:rsidR="00E6519A" w:rsidRPr="001B0466">
        <w:rPr>
          <w:rFonts w:ascii="Verdana" w:hAnsi="Verdana" w:cs="Arial"/>
          <w:sz w:val="20"/>
          <w:szCs w:val="20"/>
        </w:rPr>
        <w:t>other</w:t>
      </w:r>
      <w:r w:rsidR="005551E4" w:rsidRPr="001B0466">
        <w:rPr>
          <w:rFonts w:ascii="Verdana" w:hAnsi="Verdana" w:cs="Arial"/>
          <w:sz w:val="20"/>
          <w:szCs w:val="20"/>
        </w:rPr>
        <w:t xml:space="preserve"> action</w:t>
      </w:r>
      <w:r w:rsidR="00E6519A" w:rsidRPr="001B0466">
        <w:rPr>
          <w:rFonts w:ascii="Verdana" w:hAnsi="Verdana" w:cs="Arial"/>
          <w:sz w:val="20"/>
          <w:szCs w:val="20"/>
        </w:rPr>
        <w:t xml:space="preserve"> types</w:t>
      </w:r>
      <w:r w:rsidR="00C34899" w:rsidRPr="001B0466">
        <w:rPr>
          <w:rFonts w:ascii="Verdana" w:hAnsi="Verdana" w:cs="Arial"/>
          <w:sz w:val="20"/>
          <w:szCs w:val="20"/>
        </w:rPr>
        <w:t>;</w:t>
      </w:r>
    </w:p>
    <w:p w14:paraId="46767E6D" w14:textId="315B37D8" w:rsidR="00B9722A" w:rsidRPr="001B0466" w:rsidRDefault="00EE7CC7"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3</w:t>
      </w:r>
      <w:r w:rsidR="000E7C1E">
        <w:rPr>
          <w:rFonts w:ascii="Verdana" w:hAnsi="Verdana" w:cs="Arial"/>
          <w:sz w:val="20"/>
          <w:szCs w:val="20"/>
        </w:rPr>
        <w:t>.0</w:t>
      </w:r>
      <w:r w:rsidR="00DD36DF">
        <w:rPr>
          <w:rFonts w:ascii="Verdana" w:hAnsi="Verdana" w:cs="Arial"/>
          <w:sz w:val="20"/>
          <w:szCs w:val="20"/>
        </w:rPr>
        <w:t>%</w:t>
      </w:r>
      <w:r w:rsidR="00B9722A" w:rsidRPr="001B0466">
        <w:rPr>
          <w:rFonts w:ascii="Verdana" w:hAnsi="Verdana" w:cs="Arial"/>
          <w:sz w:val="20"/>
          <w:szCs w:val="20"/>
        </w:rPr>
        <w:t xml:space="preserve"> of clients were </w:t>
      </w:r>
      <w:r w:rsidR="005551E4" w:rsidRPr="001B0466">
        <w:rPr>
          <w:rFonts w:ascii="Verdana" w:hAnsi="Verdana" w:cs="Arial"/>
          <w:sz w:val="20"/>
          <w:szCs w:val="20"/>
        </w:rPr>
        <w:t>issued with</w:t>
      </w:r>
      <w:r w:rsidR="00B9722A" w:rsidRPr="001B0466">
        <w:rPr>
          <w:rFonts w:ascii="Verdana" w:hAnsi="Verdana" w:cs="Arial"/>
          <w:sz w:val="20"/>
          <w:szCs w:val="20"/>
        </w:rPr>
        <w:t xml:space="preserve"> a reprimand </w:t>
      </w:r>
      <w:r w:rsidR="00E6519A" w:rsidRPr="001B0466">
        <w:rPr>
          <w:rFonts w:ascii="Verdana" w:hAnsi="Verdana" w:cs="Arial"/>
          <w:sz w:val="20"/>
          <w:szCs w:val="20"/>
        </w:rPr>
        <w:t>with or without</w:t>
      </w:r>
      <w:r w:rsidR="005551E4" w:rsidRPr="001B0466">
        <w:rPr>
          <w:rFonts w:ascii="Verdana" w:hAnsi="Verdana" w:cs="Arial"/>
          <w:sz w:val="20"/>
          <w:szCs w:val="20"/>
        </w:rPr>
        <w:t xml:space="preserve"> a </w:t>
      </w:r>
      <w:r w:rsidR="00E6519A" w:rsidRPr="001B0466">
        <w:rPr>
          <w:rFonts w:ascii="Verdana" w:hAnsi="Verdana" w:cs="Arial"/>
          <w:sz w:val="20"/>
          <w:szCs w:val="20"/>
        </w:rPr>
        <w:t xml:space="preserve">decision for </w:t>
      </w:r>
      <w:r w:rsidR="005551E4" w:rsidRPr="001B0466">
        <w:rPr>
          <w:rFonts w:ascii="Verdana" w:hAnsi="Verdana" w:cs="Arial"/>
          <w:sz w:val="20"/>
          <w:szCs w:val="20"/>
        </w:rPr>
        <w:t>no further action or recommend</w:t>
      </w:r>
      <w:r w:rsidR="00E6519A" w:rsidRPr="001B0466">
        <w:rPr>
          <w:rFonts w:ascii="Verdana" w:hAnsi="Verdana" w:cs="Arial"/>
          <w:sz w:val="20"/>
          <w:szCs w:val="20"/>
        </w:rPr>
        <w:t>ation</w:t>
      </w:r>
      <w:r w:rsidR="005551E4" w:rsidRPr="001B0466">
        <w:rPr>
          <w:rFonts w:ascii="Verdana" w:hAnsi="Verdana" w:cs="Arial"/>
          <w:sz w:val="20"/>
          <w:szCs w:val="20"/>
        </w:rPr>
        <w:t xml:space="preserve"> to attend a support service</w:t>
      </w:r>
      <w:r w:rsidR="00C34899" w:rsidRPr="001B0466">
        <w:rPr>
          <w:rFonts w:ascii="Verdana" w:hAnsi="Verdana" w:cs="Arial"/>
          <w:sz w:val="20"/>
          <w:szCs w:val="20"/>
        </w:rPr>
        <w:t>.</w:t>
      </w:r>
    </w:p>
    <w:p w14:paraId="52967A18" w14:textId="77777777" w:rsidR="00926217" w:rsidRPr="001B0466" w:rsidRDefault="00926217" w:rsidP="005D6EF0">
      <w:pPr>
        <w:tabs>
          <w:tab w:val="decimal" w:pos="284"/>
        </w:tabs>
        <w:ind w:left="-142" w:right="-425"/>
        <w:jc w:val="both"/>
        <w:rPr>
          <w:rFonts w:cs="Arial"/>
        </w:rPr>
      </w:pPr>
    </w:p>
    <w:p w14:paraId="78EF6562" w14:textId="5C21AA85" w:rsidR="00240AAF" w:rsidRPr="001B0466" w:rsidRDefault="00106839" w:rsidP="002522F2">
      <w:pPr>
        <w:tabs>
          <w:tab w:val="decimal" w:pos="284"/>
        </w:tabs>
        <w:ind w:left="-142" w:right="-425"/>
        <w:jc w:val="both"/>
      </w:pPr>
      <w:bookmarkStart w:id="17" w:name="_Hlk97302962"/>
      <w:r w:rsidRPr="001B0466">
        <w:rPr>
          <w:rFonts w:cs="Arial"/>
        </w:rPr>
        <w:t xml:space="preserve">There </w:t>
      </w:r>
      <w:r w:rsidR="0032035F" w:rsidRPr="001B0466">
        <w:rPr>
          <w:rFonts w:cs="Arial"/>
        </w:rPr>
        <w:t>remains</w:t>
      </w:r>
      <w:r w:rsidRPr="001B0466">
        <w:rPr>
          <w:rFonts w:cs="Arial"/>
        </w:rPr>
        <w:t xml:space="preserve"> a cohort of clients who come before the Commission </w:t>
      </w:r>
      <w:r w:rsidR="005D6EF0" w:rsidRPr="001B0466">
        <w:rPr>
          <w:rFonts w:cs="Arial"/>
        </w:rPr>
        <w:t xml:space="preserve">who </w:t>
      </w:r>
      <w:r w:rsidR="008A2A64" w:rsidRPr="001B0466">
        <w:rPr>
          <w:rFonts w:cs="Arial"/>
        </w:rPr>
        <w:t>struggle to</w:t>
      </w:r>
      <w:r w:rsidR="004A6E0F" w:rsidRPr="001B0466">
        <w:rPr>
          <w:rFonts w:cs="Arial"/>
        </w:rPr>
        <w:t xml:space="preserve"> develop insight into their actions and are less incline</w:t>
      </w:r>
      <w:r w:rsidR="00AC48DA" w:rsidRPr="001B0466">
        <w:rPr>
          <w:rFonts w:cs="Arial"/>
        </w:rPr>
        <w:t>d</w:t>
      </w:r>
      <w:r w:rsidRPr="001B0466">
        <w:rPr>
          <w:rFonts w:cs="Arial"/>
        </w:rPr>
        <w:t xml:space="preserve"> to change their behaviours</w:t>
      </w:r>
      <w:r w:rsidR="00CD0A5A" w:rsidRPr="001B0466">
        <w:rPr>
          <w:rFonts w:cs="Arial"/>
        </w:rPr>
        <w:t xml:space="preserve">. </w:t>
      </w:r>
      <w:r w:rsidR="00926217" w:rsidRPr="001B0466">
        <w:rPr>
          <w:rFonts w:cs="Arial"/>
        </w:rPr>
        <w:t>The nuanced decision</w:t>
      </w:r>
      <w:r w:rsidR="005D3FB2" w:rsidRPr="001B0466">
        <w:rPr>
          <w:rFonts w:cs="Arial"/>
        </w:rPr>
        <w:t>-</w:t>
      </w:r>
      <w:r w:rsidR="00926217" w:rsidRPr="001B0466">
        <w:rPr>
          <w:rFonts w:cs="Arial"/>
        </w:rPr>
        <w:t xml:space="preserve">making of Commissioners </w:t>
      </w:r>
      <w:r w:rsidR="00B32DC9" w:rsidRPr="001B0466">
        <w:rPr>
          <w:rFonts w:cs="Arial"/>
        </w:rPr>
        <w:t xml:space="preserve">for these clients may include </w:t>
      </w:r>
      <w:r w:rsidR="00660953" w:rsidRPr="001B0466">
        <w:rPr>
          <w:rFonts w:cs="Arial"/>
        </w:rPr>
        <w:t>(</w:t>
      </w:r>
      <w:r w:rsidR="00CC5894" w:rsidRPr="001B0466">
        <w:rPr>
          <w:rFonts w:cs="Arial"/>
        </w:rPr>
        <w:t>as an option of last resort</w:t>
      </w:r>
      <w:r w:rsidR="00660953" w:rsidRPr="001B0466">
        <w:rPr>
          <w:rFonts w:cs="Arial"/>
        </w:rPr>
        <w:t>)</w:t>
      </w:r>
      <w:r w:rsidR="00CC5894" w:rsidRPr="001B0466">
        <w:rPr>
          <w:rFonts w:cs="Arial"/>
        </w:rPr>
        <w:t xml:space="preserve"> </w:t>
      </w:r>
      <w:r w:rsidR="00926217" w:rsidRPr="001B0466">
        <w:t xml:space="preserve">a decision </w:t>
      </w:r>
      <w:r w:rsidR="00B32DC9" w:rsidRPr="001B0466">
        <w:t>to income manage the client</w:t>
      </w:r>
      <w:r w:rsidR="00660953" w:rsidRPr="001B0466">
        <w:t>. These orders are issued</w:t>
      </w:r>
      <w:r w:rsidR="00B32DC9" w:rsidRPr="001B0466">
        <w:t xml:space="preserve"> </w:t>
      </w:r>
      <w:r w:rsidR="00926217" w:rsidRPr="001B0466">
        <w:t xml:space="preserve">as a </w:t>
      </w:r>
      <w:r w:rsidR="00B32DC9" w:rsidRPr="001B0466">
        <w:t xml:space="preserve">means of </w:t>
      </w:r>
      <w:r w:rsidR="00926217" w:rsidRPr="001B0466">
        <w:t>hold</w:t>
      </w:r>
      <w:r w:rsidR="00B32DC9" w:rsidRPr="001B0466">
        <w:t>ing</w:t>
      </w:r>
      <w:r w:rsidR="00926217" w:rsidRPr="001B0466">
        <w:t xml:space="preserve"> the clients to account (and </w:t>
      </w:r>
      <w:r w:rsidR="00B32DC9" w:rsidRPr="001B0466">
        <w:t xml:space="preserve">to create some </w:t>
      </w:r>
      <w:r w:rsidR="00926217" w:rsidRPr="001B0466">
        <w:t>stabili</w:t>
      </w:r>
      <w:r w:rsidR="00B32DC9" w:rsidRPr="001B0466">
        <w:t>ty in</w:t>
      </w:r>
      <w:r w:rsidR="00926217" w:rsidRPr="001B0466">
        <w:t xml:space="preserve"> their lives, </w:t>
      </w:r>
      <w:r w:rsidR="00B32DC9" w:rsidRPr="001B0466">
        <w:t xml:space="preserve">particularly </w:t>
      </w:r>
      <w:r w:rsidR="00926217" w:rsidRPr="001B0466">
        <w:t>if they are responsible for children).</w:t>
      </w:r>
      <w:bookmarkEnd w:id="17"/>
      <w:r w:rsidR="002522F2">
        <w:t xml:space="preserve"> </w:t>
      </w:r>
      <w:r w:rsidR="00CD0A5A" w:rsidRPr="001B0466">
        <w:rPr>
          <w:rFonts w:cs="Arial"/>
        </w:rPr>
        <w:t>T</w:t>
      </w:r>
      <w:r w:rsidR="005F330D" w:rsidRPr="001B0466">
        <w:rPr>
          <w:rFonts w:cs="Arial"/>
        </w:rPr>
        <w:t xml:space="preserve">he Commissioners have made the following </w:t>
      </w:r>
      <w:r w:rsidR="001E3C39" w:rsidRPr="001B0466">
        <w:rPr>
          <w:rFonts w:cs="Arial"/>
        </w:rPr>
        <w:t xml:space="preserve">decisions </w:t>
      </w:r>
      <w:r w:rsidR="005F330D" w:rsidRPr="001B0466">
        <w:rPr>
          <w:rFonts w:cs="Arial"/>
        </w:rPr>
        <w:t xml:space="preserve">in </w:t>
      </w:r>
      <w:r w:rsidR="004D5CBF" w:rsidRPr="001B0466">
        <w:rPr>
          <w:rFonts w:cs="Arial"/>
        </w:rPr>
        <w:t xml:space="preserve">conference for </w:t>
      </w:r>
      <w:r w:rsidR="005F330D" w:rsidRPr="001B0466">
        <w:rPr>
          <w:rFonts w:cs="Arial"/>
        </w:rPr>
        <w:t xml:space="preserve">those </w:t>
      </w:r>
      <w:r w:rsidR="004D5CBF" w:rsidRPr="001B0466">
        <w:t xml:space="preserve">recalcitrant </w:t>
      </w:r>
      <w:r w:rsidR="004D5CBF" w:rsidRPr="001B0466">
        <w:rPr>
          <w:rFonts w:cs="Arial"/>
        </w:rPr>
        <w:t>clients who refuse to change their behaviour</w:t>
      </w:r>
      <w:r w:rsidR="005F330D" w:rsidRPr="001B0466">
        <w:rPr>
          <w:rFonts w:cs="Arial"/>
        </w:rPr>
        <w:t>:</w:t>
      </w:r>
    </w:p>
    <w:p w14:paraId="0D7D4F20" w14:textId="3084A686" w:rsidR="0099478F" w:rsidRPr="001B0466" w:rsidRDefault="0099478F" w:rsidP="005D6EF0">
      <w:pPr>
        <w:tabs>
          <w:tab w:val="decimal" w:pos="284"/>
        </w:tabs>
        <w:ind w:left="-142" w:right="-425"/>
        <w:jc w:val="both"/>
        <w:rPr>
          <w:rFonts w:cs="Arial"/>
        </w:rPr>
      </w:pPr>
    </w:p>
    <w:p w14:paraId="431EED9F" w14:textId="1E7A9F3B" w:rsidR="007B1F5A" w:rsidRPr="001B0466" w:rsidRDefault="00B43DA5" w:rsidP="007B1F5A">
      <w:pPr>
        <w:tabs>
          <w:tab w:val="decimal" w:pos="720"/>
        </w:tabs>
        <w:ind w:left="-142" w:right="-425"/>
        <w:jc w:val="both"/>
        <w:rPr>
          <w:rFonts w:cs="Arial"/>
        </w:rPr>
      </w:pPr>
      <w:r w:rsidRPr="001B0466">
        <w:rPr>
          <w:rFonts w:cs="Arial"/>
        </w:rPr>
        <w:lastRenderedPageBreak/>
        <w:tab/>
      </w:r>
      <w:r w:rsidR="00EE7CC7">
        <w:rPr>
          <w:rFonts w:cs="Arial"/>
        </w:rPr>
        <w:t>8</w:t>
      </w:r>
      <w:r w:rsidR="000E7C1E">
        <w:rPr>
          <w:rFonts w:cs="Arial"/>
        </w:rPr>
        <w:t>.9</w:t>
      </w:r>
      <w:r w:rsidR="00DD36DF">
        <w:rPr>
          <w:rFonts w:cs="Arial"/>
        </w:rPr>
        <w:t>%</w:t>
      </w:r>
      <w:r w:rsidR="007B1F5A" w:rsidRPr="001B0466">
        <w:rPr>
          <w:rFonts w:cs="Arial"/>
        </w:rPr>
        <w:t xml:space="preserve"> of clients </w:t>
      </w:r>
      <w:r w:rsidR="007B1F5A" w:rsidRPr="001B0466">
        <w:rPr>
          <w:lang w:val="en-US"/>
        </w:rPr>
        <w:t>were ordered to attend a support service under a case plan;</w:t>
      </w:r>
    </w:p>
    <w:p w14:paraId="039AEB9E" w14:textId="48FDF4D5" w:rsidR="00EB52B2" w:rsidRPr="001B0466" w:rsidRDefault="007B1F5A" w:rsidP="00EB52B2">
      <w:pPr>
        <w:tabs>
          <w:tab w:val="decimal" w:pos="720"/>
        </w:tabs>
        <w:ind w:left="-142" w:right="-425"/>
        <w:jc w:val="both"/>
        <w:rPr>
          <w:rFonts w:cs="Arial"/>
        </w:rPr>
      </w:pPr>
      <w:r w:rsidRPr="001B0466">
        <w:rPr>
          <w:rFonts w:cs="Arial"/>
        </w:rPr>
        <w:tab/>
      </w:r>
      <w:r w:rsidR="00EE7CC7">
        <w:rPr>
          <w:rFonts w:cs="Arial"/>
        </w:rPr>
        <w:t>3.6</w:t>
      </w:r>
      <w:r w:rsidR="00DD36DF">
        <w:rPr>
          <w:rFonts w:cs="Arial"/>
        </w:rPr>
        <w:t>%</w:t>
      </w:r>
      <w:r w:rsidR="00EB52B2" w:rsidRPr="001B0466">
        <w:rPr>
          <w:rFonts w:cs="Arial"/>
        </w:rPr>
        <w:t xml:space="preserve"> of clients </w:t>
      </w:r>
      <w:r w:rsidR="00EB52B2" w:rsidRPr="001B0466">
        <w:rPr>
          <w:lang w:val="en-US"/>
        </w:rPr>
        <w:t>were placed on a CIM order</w:t>
      </w:r>
      <w:r w:rsidR="00EB52B2" w:rsidRPr="001B0466">
        <w:rPr>
          <w:rFonts w:cs="Arial"/>
        </w:rPr>
        <w:t>;</w:t>
      </w:r>
    </w:p>
    <w:p w14:paraId="19F8E19F" w14:textId="468AF34F" w:rsidR="00334048" w:rsidRPr="005C0A9F" w:rsidRDefault="001B3846" w:rsidP="00334048">
      <w:pPr>
        <w:tabs>
          <w:tab w:val="decimal" w:pos="720"/>
        </w:tabs>
        <w:ind w:left="-142" w:right="-425"/>
        <w:jc w:val="both"/>
        <w:rPr>
          <w:rFonts w:cs="Arial"/>
        </w:rPr>
      </w:pPr>
      <w:r w:rsidRPr="001B0466">
        <w:rPr>
          <w:rFonts w:cs="Arial"/>
        </w:rPr>
        <w:tab/>
      </w:r>
      <w:r w:rsidR="00EE7CC7">
        <w:rPr>
          <w:rFonts w:cs="Arial"/>
        </w:rPr>
        <w:t>4.</w:t>
      </w:r>
      <w:r w:rsidR="00A46E8D">
        <w:rPr>
          <w:rFonts w:cs="Arial"/>
        </w:rPr>
        <w:t>2</w:t>
      </w:r>
      <w:r w:rsidR="00DD36DF">
        <w:rPr>
          <w:rFonts w:cs="Arial"/>
        </w:rPr>
        <w:t>%</w:t>
      </w:r>
      <w:r w:rsidR="00334048" w:rsidRPr="001B0466">
        <w:rPr>
          <w:rFonts w:cs="Arial"/>
        </w:rPr>
        <w:t xml:space="preserve"> of clients </w:t>
      </w:r>
      <w:r w:rsidR="00334048" w:rsidRPr="001B0466">
        <w:rPr>
          <w:lang w:val="en-US"/>
        </w:rPr>
        <w:t>were placed on a CIM order and ordered to attend a support service</w:t>
      </w:r>
      <w:r w:rsidR="00B43DA5" w:rsidRPr="001B0466">
        <w:rPr>
          <w:lang w:val="en-US"/>
        </w:rPr>
        <w:t>.</w:t>
      </w:r>
    </w:p>
    <w:bookmarkEnd w:id="16"/>
    <w:p w14:paraId="7FE1D337" w14:textId="77777777" w:rsidR="008436DC" w:rsidRPr="00DA470C" w:rsidRDefault="008436DC" w:rsidP="008436DC">
      <w:pPr>
        <w:tabs>
          <w:tab w:val="left" w:pos="1134"/>
        </w:tabs>
        <w:ind w:left="-142" w:right="-425"/>
        <w:jc w:val="both"/>
      </w:pPr>
    </w:p>
    <w:p w14:paraId="01840B62" w14:textId="127C4F9D" w:rsidR="00986092" w:rsidRPr="00143FBB" w:rsidRDefault="00986092" w:rsidP="00F034B6">
      <w:pPr>
        <w:pStyle w:val="Heading2"/>
      </w:pPr>
      <w:r w:rsidRPr="00143FBB">
        <w:t>Notices</w:t>
      </w:r>
    </w:p>
    <w:p w14:paraId="41B569DF" w14:textId="14AE2424"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4748B3">
        <w:rPr>
          <w:rFonts w:cs="Arial"/>
        </w:rPr>
        <w:t>6</w:t>
      </w:r>
      <w:r w:rsidR="00EE7CC7">
        <w:rPr>
          <w:rFonts w:cs="Arial"/>
        </w:rPr>
        <w:t>1</w:t>
      </w:r>
      <w:r w:rsidR="004748B3" w:rsidRPr="00483DC3">
        <w:rPr>
          <w:rFonts w:cs="Arial"/>
        </w:rPr>
        <w:t xml:space="preserve"> </w:t>
      </w:r>
      <w:r w:rsidRPr="00483DC3">
        <w:rPr>
          <w:rFonts w:cs="Arial"/>
        </w:rPr>
        <w:t xml:space="preserve">the Commission </w:t>
      </w:r>
      <w:r w:rsidRPr="006042AF">
        <w:rPr>
          <w:rFonts w:cs="Arial"/>
        </w:rPr>
        <w:t>received</w:t>
      </w:r>
      <w:r w:rsidR="00E46AAE" w:rsidRPr="006042AF">
        <w:rPr>
          <w:rFonts w:cs="Arial"/>
          <w:bCs/>
        </w:rPr>
        <w:t xml:space="preserve"> </w:t>
      </w:r>
      <w:r w:rsidR="003D78AF">
        <w:rPr>
          <w:rFonts w:cs="Arial"/>
        </w:rPr>
        <w:t>2,</w:t>
      </w:r>
      <w:r w:rsidR="000E7C1E">
        <w:rPr>
          <w:rFonts w:cs="Arial"/>
        </w:rPr>
        <w:t>07</w:t>
      </w:r>
      <w:r w:rsidR="000E0895">
        <w:rPr>
          <w:rFonts w:cs="Arial"/>
        </w:rPr>
        <w:t>5</w:t>
      </w:r>
      <w:r w:rsidR="000E7C1E" w:rsidRPr="006042AF">
        <w:rPr>
          <w:rFonts w:cs="Arial"/>
        </w:rPr>
        <w:t xml:space="preserve"> </w:t>
      </w:r>
      <w:r w:rsidRPr="006042AF">
        <w:rPr>
          <w:rFonts w:cs="Arial"/>
        </w:rPr>
        <w:t>agency notices</w:t>
      </w:r>
      <w:r w:rsidRPr="006042AF">
        <w:rPr>
          <w:rFonts w:cs="Arial"/>
          <w:vertAlign w:val="superscript"/>
        </w:rPr>
        <w:footnoteReference w:id="8"/>
      </w:r>
      <w:r w:rsidR="00CE6E33" w:rsidRPr="006042AF">
        <w:rPr>
          <w:rFonts w:cs="Arial"/>
        </w:rPr>
        <w:t xml:space="preserve">. </w:t>
      </w:r>
      <w:r w:rsidRPr="006042AF">
        <w:rPr>
          <w:rFonts w:cs="Arial"/>
        </w:rPr>
        <w:t xml:space="preserve">Some individuals may have been the subject of more than one agency notice. Of that figure </w:t>
      </w:r>
      <w:r w:rsidR="003D78AF">
        <w:rPr>
          <w:rFonts w:cs="Arial"/>
        </w:rPr>
        <w:t>1,</w:t>
      </w:r>
      <w:r w:rsidR="000E7C1E">
        <w:rPr>
          <w:rFonts w:cs="Arial"/>
        </w:rPr>
        <w:t>4</w:t>
      </w:r>
      <w:r w:rsidR="000E0895">
        <w:rPr>
          <w:rFonts w:cs="Arial"/>
        </w:rPr>
        <w:t>34</w:t>
      </w:r>
      <w:r w:rsidR="005174DF" w:rsidRPr="006042AF">
        <w:rPr>
          <w:rFonts w:cs="Arial"/>
        </w:rPr>
        <w:t xml:space="preserve"> </w:t>
      </w:r>
      <w:r w:rsidRPr="006042AF">
        <w:rPr>
          <w:rFonts w:cs="Arial"/>
        </w:rPr>
        <w:t>notices (</w:t>
      </w:r>
      <w:r w:rsidR="000E7C1E">
        <w:rPr>
          <w:rFonts w:cs="Arial"/>
        </w:rPr>
        <w:t>6</w:t>
      </w:r>
      <w:r w:rsidR="000E0895">
        <w:rPr>
          <w:rFonts w:cs="Arial"/>
        </w:rPr>
        <w:t>9</w:t>
      </w:r>
      <w:r w:rsidR="00DD36DF">
        <w:rPr>
          <w:rFonts w:cs="Arial"/>
        </w:rPr>
        <w:t>%</w:t>
      </w:r>
      <w:r w:rsidRPr="006042AF">
        <w:rPr>
          <w:rFonts w:cs="Arial"/>
        </w:rPr>
        <w:t>)</w:t>
      </w:r>
      <w:r w:rsidR="00F257B3" w:rsidRPr="006042AF">
        <w:rPr>
          <w:rFonts w:cs="Arial"/>
        </w:rPr>
        <w:t xml:space="preserve"> relating to </w:t>
      </w:r>
      <w:r w:rsidR="00505590">
        <w:rPr>
          <w:rFonts w:cs="Arial"/>
        </w:rPr>
        <w:t>7</w:t>
      </w:r>
      <w:r w:rsidR="000E0895">
        <w:rPr>
          <w:rFonts w:cs="Arial"/>
        </w:rPr>
        <w:t>21</w:t>
      </w:r>
      <w:r w:rsidR="00505590" w:rsidRPr="006042AF">
        <w:rPr>
          <w:rFonts w:cs="Arial"/>
        </w:rPr>
        <w:t xml:space="preserve"> </w:t>
      </w:r>
      <w:r w:rsidR="00F257B3" w:rsidRPr="006042AF">
        <w:rPr>
          <w:rFonts w:cs="Arial"/>
        </w:rPr>
        <w:t>clients</w:t>
      </w:r>
      <w:r w:rsidR="00526AA6" w:rsidRPr="006042AF">
        <w:rPr>
          <w:rFonts w:cs="Arial"/>
        </w:rPr>
        <w:t xml:space="preserve"> </w:t>
      </w:r>
      <w:r w:rsidRPr="006042AF">
        <w:rPr>
          <w:rFonts w:cs="Arial"/>
        </w:rPr>
        <w:t>were within the Commission’s jurisdiction</w:t>
      </w:r>
      <w:r w:rsidR="005A2DE3" w:rsidRPr="006042AF">
        <w:rPr>
          <w:rFonts w:cs="Arial"/>
        </w:rPr>
        <w:t>,</w:t>
      </w:r>
      <w:r w:rsidRPr="006042AF">
        <w:rPr>
          <w:rFonts w:cs="Arial"/>
        </w:rPr>
        <w:t xml:space="preserve"> and </w:t>
      </w:r>
      <w:r w:rsidR="000E7C1E">
        <w:rPr>
          <w:rFonts w:cs="Arial"/>
        </w:rPr>
        <w:t>6</w:t>
      </w:r>
      <w:r w:rsidR="000E0895">
        <w:rPr>
          <w:rFonts w:cs="Arial"/>
        </w:rPr>
        <w:t>41</w:t>
      </w:r>
      <w:r w:rsidR="00505590">
        <w:rPr>
          <w:rFonts w:cs="Arial"/>
        </w:rPr>
        <w:t xml:space="preserve"> </w:t>
      </w:r>
      <w:r w:rsidRPr="006042AF">
        <w:rPr>
          <w:rFonts w:cs="Arial"/>
        </w:rPr>
        <w:t>notices (</w:t>
      </w:r>
      <w:r w:rsidR="000E7C1E">
        <w:rPr>
          <w:rFonts w:cs="Arial"/>
        </w:rPr>
        <w:t>3</w:t>
      </w:r>
      <w:r w:rsidR="000E0895">
        <w:rPr>
          <w:rFonts w:cs="Arial"/>
        </w:rPr>
        <w:t>1</w:t>
      </w:r>
      <w:r w:rsidR="00DD36DF">
        <w:rPr>
          <w:rFonts w:cs="Arial"/>
        </w:rPr>
        <w:t>%</w:t>
      </w:r>
      <w:r w:rsidRPr="00483DC3">
        <w:rPr>
          <w:rFonts w:cs="Arial"/>
        </w:rPr>
        <w:t>) were outside the Commission’s jurisdiction.</w:t>
      </w:r>
    </w:p>
    <w:p w14:paraId="2CBC4CEC" w14:textId="77777777" w:rsidR="001C67F7" w:rsidRPr="00DA470C" w:rsidRDefault="001C67F7" w:rsidP="005A5B78">
      <w:pPr>
        <w:tabs>
          <w:tab w:val="left" w:pos="1134"/>
        </w:tabs>
        <w:ind w:left="-142" w:right="-425"/>
        <w:jc w:val="both"/>
      </w:pPr>
    </w:p>
    <w:p w14:paraId="363A2C28" w14:textId="294DF9B0" w:rsidR="005A5B78" w:rsidRDefault="00C7128D" w:rsidP="00C7128D">
      <w:pPr>
        <w:spacing w:after="120" w:line="240" w:lineRule="auto"/>
        <w:ind w:right="-425"/>
        <w:rPr>
          <w:rFonts w:cs="Arial"/>
          <w:b/>
        </w:rPr>
      </w:pPr>
      <w:r>
        <w:rPr>
          <w:b/>
          <w:sz w:val="16"/>
          <w:szCs w:val="16"/>
        </w:rPr>
        <w:t xml:space="preserve">Table </w:t>
      </w:r>
      <w:r w:rsidR="00DC6388">
        <w:rPr>
          <w:b/>
          <w:sz w:val="16"/>
          <w:szCs w:val="16"/>
        </w:rPr>
        <w:t>9</w:t>
      </w:r>
      <w:r w:rsidRPr="00012B69">
        <w:rPr>
          <w:b/>
          <w:sz w:val="16"/>
          <w:szCs w:val="16"/>
        </w:rPr>
        <w:t>:</w:t>
      </w:r>
      <w:r w:rsidRPr="00012B69">
        <w:rPr>
          <w:sz w:val="16"/>
          <w:szCs w:val="16"/>
        </w:rPr>
        <w:t xml:space="preserve"> </w:t>
      </w:r>
      <w:r w:rsidR="00D3196A">
        <w:rPr>
          <w:sz w:val="16"/>
          <w:szCs w:val="16"/>
        </w:rPr>
        <w:t>Notices i</w:t>
      </w:r>
      <w:r>
        <w:rPr>
          <w:sz w:val="16"/>
          <w:szCs w:val="16"/>
        </w:rPr>
        <w:t xml:space="preserve">n jurisdiction by type and community </w:t>
      </w:r>
      <w:r w:rsidR="007B7E78">
        <w:rPr>
          <w:sz w:val="16"/>
          <w:szCs w:val="16"/>
        </w:rPr>
        <w:t xml:space="preserve">1 </w:t>
      </w:r>
      <w:r w:rsidR="000850EB">
        <w:rPr>
          <w:sz w:val="16"/>
          <w:szCs w:val="16"/>
        </w:rPr>
        <w:t xml:space="preserve">July </w:t>
      </w:r>
      <w:r w:rsidR="00413FAC">
        <w:rPr>
          <w:sz w:val="16"/>
          <w:szCs w:val="16"/>
        </w:rPr>
        <w:t>2023</w:t>
      </w:r>
      <w:r w:rsidR="00A41820">
        <w:rPr>
          <w:sz w:val="16"/>
          <w:szCs w:val="16"/>
        </w:rPr>
        <w:t xml:space="preserve"> to </w:t>
      </w:r>
      <w:r w:rsidR="007B7E78">
        <w:rPr>
          <w:sz w:val="16"/>
          <w:szCs w:val="16"/>
        </w:rPr>
        <w:t>3</w:t>
      </w:r>
      <w:r w:rsidR="003E5FF1">
        <w:rPr>
          <w:sz w:val="16"/>
          <w:szCs w:val="16"/>
        </w:rPr>
        <w:t xml:space="preserve">0 </w:t>
      </w:r>
      <w:r w:rsidR="000850EB">
        <w:rPr>
          <w:sz w:val="16"/>
          <w:szCs w:val="16"/>
        </w:rPr>
        <w:t xml:space="preserve">September </w:t>
      </w:r>
      <w:r w:rsidR="00984BBB">
        <w:rPr>
          <w:sz w:val="16"/>
          <w:szCs w:val="16"/>
        </w:rPr>
        <w:t>2023</w:t>
      </w:r>
    </w:p>
    <w:tbl>
      <w:tblPr>
        <w:tblW w:w="9673" w:type="dxa"/>
        <w:tblInd w:w="103" w:type="dxa"/>
        <w:tblLook w:val="04A0" w:firstRow="1" w:lastRow="0" w:firstColumn="1" w:lastColumn="0" w:noHBand="0" w:noVBand="1"/>
      </w:tblPr>
      <w:tblGrid>
        <w:gridCol w:w="4995"/>
        <w:gridCol w:w="851"/>
        <w:gridCol w:w="850"/>
        <w:gridCol w:w="779"/>
        <w:gridCol w:w="643"/>
        <w:gridCol w:w="706"/>
        <w:gridCol w:w="849"/>
      </w:tblGrid>
      <w:tr w:rsidR="00557E24" w:rsidRPr="00650B45" w14:paraId="3FC0B802" w14:textId="77777777" w:rsidTr="003D78AF">
        <w:trPr>
          <w:trHeight w:val="398"/>
        </w:trPr>
        <w:tc>
          <w:tcPr>
            <w:tcW w:w="4995"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40594D" w:rsidRDefault="00557E24" w:rsidP="00557E24">
            <w:pPr>
              <w:spacing w:line="240" w:lineRule="auto"/>
              <w:jc w:val="center"/>
              <w:rPr>
                <w:rFonts w:cs="Arial"/>
                <w:b/>
                <w:bCs/>
                <w:lang w:eastAsia="en-AU"/>
              </w:rPr>
            </w:pPr>
            <w:r>
              <w:rPr>
                <w:rFonts w:cs="Arial"/>
                <w:b/>
                <w:bCs/>
                <w:lang w:eastAsia="en-AU"/>
              </w:rPr>
              <w:t>AU</w:t>
            </w:r>
          </w:p>
        </w:tc>
        <w:tc>
          <w:tcPr>
            <w:tcW w:w="850"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40594D" w:rsidRDefault="00557E24" w:rsidP="00557E24">
            <w:pPr>
              <w:spacing w:line="240" w:lineRule="auto"/>
              <w:jc w:val="center"/>
              <w:rPr>
                <w:rFonts w:cs="Arial"/>
                <w:b/>
                <w:bCs/>
                <w:lang w:eastAsia="en-AU"/>
              </w:rPr>
            </w:pPr>
            <w:r>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40594D" w:rsidRDefault="00557E24" w:rsidP="00557E24">
            <w:pPr>
              <w:spacing w:line="240" w:lineRule="auto"/>
              <w:jc w:val="center"/>
              <w:rPr>
                <w:rFonts w:cs="Arial"/>
                <w:b/>
                <w:bCs/>
                <w:lang w:eastAsia="en-AU"/>
              </w:rPr>
            </w:pPr>
            <w:r>
              <w:rPr>
                <w:rFonts w:cs="Arial"/>
                <w:b/>
                <w:bCs/>
                <w:lang w:eastAsia="en-AU"/>
              </w:rPr>
              <w:t>DM</w:t>
            </w:r>
            <w:r w:rsidR="0049342A">
              <w:rPr>
                <w:rStyle w:val="FootnoteReference"/>
                <w:b/>
                <w:bCs/>
                <w:lang w:eastAsia="en-AU"/>
              </w:rPr>
              <w:footnoteReference w:id="9"/>
            </w:r>
          </w:p>
        </w:tc>
        <w:tc>
          <w:tcPr>
            <w:tcW w:w="643" w:type="dxa"/>
            <w:tcBorders>
              <w:top w:val="single" w:sz="4" w:space="0" w:color="auto"/>
              <w:left w:val="nil"/>
              <w:bottom w:val="single" w:sz="4" w:space="0" w:color="auto"/>
              <w:right w:val="single" w:sz="4" w:space="0" w:color="auto"/>
            </w:tcBorders>
          </w:tcPr>
          <w:p w14:paraId="6A084DD3" w14:textId="77777777" w:rsidR="00557E24" w:rsidRPr="0040594D" w:rsidRDefault="00557E24" w:rsidP="00557E24">
            <w:pPr>
              <w:spacing w:line="240" w:lineRule="auto"/>
              <w:jc w:val="center"/>
              <w:rPr>
                <w:rFonts w:cs="Arial"/>
                <w:b/>
                <w:bCs/>
                <w:lang w:eastAsia="en-AU"/>
              </w:rPr>
            </w:pPr>
            <w:r>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40594D" w:rsidRDefault="00557E24" w:rsidP="00557E24">
            <w:pPr>
              <w:spacing w:line="240" w:lineRule="auto"/>
              <w:jc w:val="center"/>
              <w:rPr>
                <w:rFonts w:cs="Arial"/>
                <w:b/>
                <w:bCs/>
                <w:lang w:eastAsia="en-AU"/>
              </w:rPr>
            </w:pPr>
            <w:r>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40594D" w:rsidRDefault="00557E24" w:rsidP="00557E24">
            <w:pPr>
              <w:spacing w:line="240" w:lineRule="auto"/>
              <w:jc w:val="center"/>
              <w:rPr>
                <w:rFonts w:cs="Arial"/>
                <w:b/>
                <w:bCs/>
                <w:lang w:eastAsia="en-AU"/>
              </w:rPr>
            </w:pPr>
            <w:r>
              <w:rPr>
                <w:rFonts w:cs="Arial"/>
                <w:b/>
                <w:bCs/>
                <w:lang w:eastAsia="en-AU"/>
              </w:rPr>
              <w:t>Total</w:t>
            </w:r>
          </w:p>
        </w:tc>
      </w:tr>
      <w:tr w:rsidR="000E0895" w:rsidRPr="00650B45" w14:paraId="34AFEA3C"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0E0895" w:rsidRPr="005E0531" w:rsidRDefault="000E0895" w:rsidP="000E0895">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5640E14A" w14:textId="3EFEABEA" w:rsidR="000E0895" w:rsidRPr="003D78AF" w:rsidRDefault="000E0895" w:rsidP="000E0895">
            <w:pPr>
              <w:spacing w:line="240" w:lineRule="auto"/>
              <w:jc w:val="right"/>
              <w:rPr>
                <w:rFonts w:cs="Arial"/>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0FB598" w14:textId="4B15F624" w:rsidR="000E0895" w:rsidRPr="003D78AF" w:rsidRDefault="000E0895" w:rsidP="000E0895">
            <w:pPr>
              <w:spacing w:line="240" w:lineRule="auto"/>
              <w:jc w:val="right"/>
              <w:rPr>
                <w:rFonts w:cs="Arial"/>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7FB6364C" w14:textId="24909D85" w:rsidR="000E0895" w:rsidRPr="003D78AF" w:rsidRDefault="000E0895" w:rsidP="000E0895">
            <w:pPr>
              <w:spacing w:line="240" w:lineRule="auto"/>
              <w:jc w:val="right"/>
              <w:rPr>
                <w:rFonts w:cs="Arial"/>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0C4DF6A7" w14:textId="5AF7B402" w:rsidR="000E0895" w:rsidRPr="003D78AF" w:rsidRDefault="000E0895" w:rsidP="000E0895">
            <w:pPr>
              <w:spacing w:line="240" w:lineRule="auto"/>
              <w:jc w:val="right"/>
              <w:rPr>
                <w:rFonts w:cs="Arial"/>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25FC0DA8" w14:textId="6BC18F82" w:rsidR="000E0895" w:rsidRPr="003D78AF" w:rsidRDefault="000E0895" w:rsidP="000E0895">
            <w:pPr>
              <w:spacing w:line="240" w:lineRule="auto"/>
              <w:jc w:val="right"/>
              <w:rPr>
                <w:rFonts w:cs="Arial"/>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7BAB65CF" w:rsidR="000E0895" w:rsidRPr="003D78AF" w:rsidRDefault="000E0895" w:rsidP="000E0895">
            <w:pPr>
              <w:spacing w:line="240" w:lineRule="auto"/>
              <w:jc w:val="right"/>
              <w:rPr>
                <w:rFonts w:cs="Arial"/>
                <w:b/>
                <w:bCs/>
                <w:lang w:eastAsia="en-AU"/>
              </w:rPr>
            </w:pPr>
            <w:r>
              <w:rPr>
                <w:rFonts w:cs="Arial"/>
                <w:b/>
                <w:bCs/>
              </w:rPr>
              <w:t>0</w:t>
            </w:r>
          </w:p>
        </w:tc>
      </w:tr>
      <w:tr w:rsidR="000E0895" w:rsidRPr="00650B45" w14:paraId="440532E3"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0E0895" w:rsidRPr="0040594D" w:rsidRDefault="000E0895" w:rsidP="000E0895">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shd w:val="clear" w:color="auto" w:fill="auto"/>
            <w:vAlign w:val="center"/>
          </w:tcPr>
          <w:p w14:paraId="00039A5F" w14:textId="796DB281" w:rsidR="000E0895" w:rsidRPr="003D78AF" w:rsidRDefault="000E0895" w:rsidP="000E0895">
            <w:pPr>
              <w:spacing w:line="240" w:lineRule="auto"/>
              <w:jc w:val="right"/>
              <w:rPr>
                <w:rFonts w:cs="Arial"/>
                <w:lang w:eastAsia="en-AU"/>
              </w:rPr>
            </w:pPr>
            <w:r>
              <w:rPr>
                <w:rFonts w:cs="Arial"/>
              </w:rPr>
              <w:t>1</w:t>
            </w:r>
          </w:p>
        </w:tc>
        <w:tc>
          <w:tcPr>
            <w:tcW w:w="850" w:type="dxa"/>
            <w:tcBorders>
              <w:top w:val="nil"/>
              <w:left w:val="nil"/>
              <w:bottom w:val="single" w:sz="4" w:space="0" w:color="auto"/>
              <w:right w:val="single" w:sz="4" w:space="0" w:color="auto"/>
            </w:tcBorders>
            <w:shd w:val="clear" w:color="auto" w:fill="auto"/>
            <w:vAlign w:val="center"/>
          </w:tcPr>
          <w:p w14:paraId="2545D481" w14:textId="0065E5E5" w:rsidR="000E0895" w:rsidRPr="003D78AF" w:rsidRDefault="000E0895" w:rsidP="000E0895">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02F60FDE" w14:textId="60312C60" w:rsidR="000E0895" w:rsidRPr="003D78AF" w:rsidRDefault="000E0895" w:rsidP="000E0895">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34CB5F06" w14:textId="598042D4" w:rsidR="000E0895" w:rsidRPr="003D78AF" w:rsidRDefault="000E0895" w:rsidP="000E0895">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7909412F" w14:textId="2890B315" w:rsidR="000E0895" w:rsidRPr="003D78AF" w:rsidRDefault="000E0895" w:rsidP="000E0895">
            <w:pPr>
              <w:spacing w:line="240" w:lineRule="auto"/>
              <w:jc w:val="right"/>
              <w:rPr>
                <w:rFonts w:cs="Arial"/>
                <w:lang w:eastAsia="en-AU"/>
              </w:rPr>
            </w:pPr>
            <w:r>
              <w:rPr>
                <w:rFonts w:cs="Arial"/>
              </w:rPr>
              <w:t>1</w:t>
            </w:r>
          </w:p>
        </w:tc>
        <w:tc>
          <w:tcPr>
            <w:tcW w:w="849" w:type="dxa"/>
            <w:tcBorders>
              <w:top w:val="nil"/>
              <w:left w:val="nil"/>
              <w:bottom w:val="single" w:sz="4" w:space="0" w:color="auto"/>
              <w:right w:val="single" w:sz="4" w:space="0" w:color="auto"/>
            </w:tcBorders>
            <w:vAlign w:val="center"/>
          </w:tcPr>
          <w:p w14:paraId="731692A8" w14:textId="5232EDF7" w:rsidR="000E0895" w:rsidRPr="003D78AF" w:rsidRDefault="000E0895" w:rsidP="000E0895">
            <w:pPr>
              <w:spacing w:line="240" w:lineRule="auto"/>
              <w:jc w:val="right"/>
              <w:rPr>
                <w:rFonts w:cs="Arial"/>
                <w:b/>
                <w:lang w:eastAsia="en-AU"/>
              </w:rPr>
            </w:pPr>
            <w:r>
              <w:rPr>
                <w:rFonts w:cs="Arial"/>
                <w:b/>
                <w:bCs/>
              </w:rPr>
              <w:t>2</w:t>
            </w:r>
          </w:p>
        </w:tc>
      </w:tr>
      <w:tr w:rsidR="000E0895" w:rsidRPr="00650B45" w14:paraId="606D952D"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167E120C" w14:textId="77777777" w:rsidR="000E0895" w:rsidRDefault="000E0895" w:rsidP="000E0895">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shd w:val="clear" w:color="auto" w:fill="auto"/>
            <w:vAlign w:val="center"/>
          </w:tcPr>
          <w:p w14:paraId="7D871931" w14:textId="06E0058F" w:rsidR="000E0895" w:rsidRPr="003D78AF" w:rsidRDefault="000E0895" w:rsidP="000E0895">
            <w:pPr>
              <w:spacing w:line="240" w:lineRule="auto"/>
              <w:jc w:val="right"/>
              <w:rPr>
                <w:rFonts w:cs="Arial"/>
                <w:lang w:eastAsia="en-AU"/>
              </w:rPr>
            </w:pPr>
            <w:r>
              <w:rPr>
                <w:rFonts w:cs="Arial"/>
              </w:rPr>
              <w:t>298</w:t>
            </w:r>
          </w:p>
        </w:tc>
        <w:tc>
          <w:tcPr>
            <w:tcW w:w="850" w:type="dxa"/>
            <w:tcBorders>
              <w:top w:val="nil"/>
              <w:left w:val="nil"/>
              <w:bottom w:val="single" w:sz="4" w:space="0" w:color="auto"/>
              <w:right w:val="single" w:sz="4" w:space="0" w:color="auto"/>
            </w:tcBorders>
            <w:shd w:val="clear" w:color="auto" w:fill="auto"/>
            <w:vAlign w:val="center"/>
          </w:tcPr>
          <w:p w14:paraId="42DE6DE7" w14:textId="5B41F6D8" w:rsidR="000E0895" w:rsidRPr="003D78AF" w:rsidRDefault="000E0895" w:rsidP="000E0895">
            <w:pPr>
              <w:spacing w:line="240" w:lineRule="auto"/>
              <w:jc w:val="right"/>
              <w:rPr>
                <w:rFonts w:cs="Arial"/>
                <w:lang w:eastAsia="en-AU"/>
              </w:rPr>
            </w:pPr>
            <w:r>
              <w:rPr>
                <w:rFonts w:cs="Arial"/>
              </w:rPr>
              <w:t>31</w:t>
            </w:r>
          </w:p>
        </w:tc>
        <w:tc>
          <w:tcPr>
            <w:tcW w:w="779" w:type="dxa"/>
            <w:tcBorders>
              <w:top w:val="nil"/>
              <w:left w:val="nil"/>
              <w:bottom w:val="single" w:sz="4" w:space="0" w:color="auto"/>
              <w:right w:val="single" w:sz="4" w:space="0" w:color="auto"/>
            </w:tcBorders>
            <w:vAlign w:val="center"/>
          </w:tcPr>
          <w:p w14:paraId="6A2B0F8E" w14:textId="0CA7A9A5" w:rsidR="000E0895" w:rsidRPr="003D78AF" w:rsidRDefault="000E0895" w:rsidP="000E0895">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1100B639" w14:textId="1723C502" w:rsidR="000E0895" w:rsidRPr="003D78AF" w:rsidRDefault="000E0895" w:rsidP="000E0895">
            <w:pPr>
              <w:spacing w:line="240" w:lineRule="auto"/>
              <w:jc w:val="right"/>
              <w:rPr>
                <w:rFonts w:cs="Arial"/>
                <w:lang w:eastAsia="en-AU"/>
              </w:rPr>
            </w:pPr>
            <w:r>
              <w:rPr>
                <w:rFonts w:cs="Arial"/>
              </w:rPr>
              <w:t>90</w:t>
            </w:r>
          </w:p>
        </w:tc>
        <w:tc>
          <w:tcPr>
            <w:tcW w:w="706" w:type="dxa"/>
            <w:tcBorders>
              <w:top w:val="nil"/>
              <w:left w:val="nil"/>
              <w:bottom w:val="single" w:sz="4" w:space="0" w:color="auto"/>
              <w:right w:val="single" w:sz="4" w:space="0" w:color="auto"/>
            </w:tcBorders>
            <w:vAlign w:val="center"/>
          </w:tcPr>
          <w:p w14:paraId="635B50F1" w14:textId="52499BB1" w:rsidR="000E0895" w:rsidRPr="003D78AF" w:rsidRDefault="000E0895" w:rsidP="000E0895">
            <w:pPr>
              <w:spacing w:line="240" w:lineRule="auto"/>
              <w:jc w:val="right"/>
              <w:rPr>
                <w:rFonts w:cs="Arial"/>
                <w:lang w:eastAsia="en-AU"/>
              </w:rPr>
            </w:pPr>
            <w:r>
              <w:rPr>
                <w:rFonts w:cs="Arial"/>
              </w:rPr>
              <w:t>13</w:t>
            </w:r>
          </w:p>
        </w:tc>
        <w:tc>
          <w:tcPr>
            <w:tcW w:w="849" w:type="dxa"/>
            <w:tcBorders>
              <w:top w:val="nil"/>
              <w:left w:val="nil"/>
              <w:bottom w:val="single" w:sz="4" w:space="0" w:color="auto"/>
              <w:right w:val="single" w:sz="4" w:space="0" w:color="auto"/>
            </w:tcBorders>
            <w:vAlign w:val="center"/>
          </w:tcPr>
          <w:p w14:paraId="413D1C25" w14:textId="6CE6B774" w:rsidR="000E0895" w:rsidRPr="003D78AF" w:rsidRDefault="000E0895" w:rsidP="000E0895">
            <w:pPr>
              <w:spacing w:line="240" w:lineRule="auto"/>
              <w:jc w:val="right"/>
              <w:rPr>
                <w:rFonts w:cs="Arial"/>
                <w:b/>
                <w:lang w:eastAsia="en-AU"/>
              </w:rPr>
            </w:pPr>
            <w:r>
              <w:rPr>
                <w:rFonts w:cs="Arial"/>
                <w:b/>
                <w:bCs/>
              </w:rPr>
              <w:t>432</w:t>
            </w:r>
          </w:p>
        </w:tc>
      </w:tr>
      <w:tr w:rsidR="000E0895" w:rsidRPr="00650B45" w14:paraId="326E9032"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6700C21A" w14:textId="77777777" w:rsidR="000E0895" w:rsidRDefault="000E0895" w:rsidP="000E0895">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shd w:val="clear" w:color="auto" w:fill="auto"/>
            <w:vAlign w:val="center"/>
          </w:tcPr>
          <w:p w14:paraId="232348B9" w14:textId="6A18DB64" w:rsidR="000E0895" w:rsidRPr="003D78AF" w:rsidRDefault="000E0895" w:rsidP="000E0895">
            <w:pPr>
              <w:spacing w:line="240" w:lineRule="auto"/>
              <w:jc w:val="right"/>
              <w:rPr>
                <w:rFonts w:cs="Arial"/>
                <w:lang w:eastAsia="en-AU"/>
              </w:rPr>
            </w:pPr>
            <w:r>
              <w:rPr>
                <w:rFonts w:cs="Arial"/>
              </w:rPr>
              <w:t>21</w:t>
            </w:r>
          </w:p>
        </w:tc>
        <w:tc>
          <w:tcPr>
            <w:tcW w:w="850" w:type="dxa"/>
            <w:tcBorders>
              <w:top w:val="nil"/>
              <w:left w:val="nil"/>
              <w:bottom w:val="single" w:sz="4" w:space="0" w:color="auto"/>
              <w:right w:val="single" w:sz="4" w:space="0" w:color="auto"/>
            </w:tcBorders>
            <w:shd w:val="clear" w:color="auto" w:fill="auto"/>
            <w:vAlign w:val="center"/>
          </w:tcPr>
          <w:p w14:paraId="1BA99C8E" w14:textId="56A58E14" w:rsidR="000E0895" w:rsidRPr="003D78AF" w:rsidRDefault="000E0895" w:rsidP="000E0895">
            <w:pPr>
              <w:spacing w:line="240" w:lineRule="auto"/>
              <w:jc w:val="right"/>
              <w:rPr>
                <w:rFonts w:cs="Arial"/>
                <w:lang w:eastAsia="en-AU"/>
              </w:rPr>
            </w:pPr>
            <w:r>
              <w:rPr>
                <w:rFonts w:cs="Arial"/>
              </w:rPr>
              <w:t>2</w:t>
            </w:r>
          </w:p>
        </w:tc>
        <w:tc>
          <w:tcPr>
            <w:tcW w:w="779" w:type="dxa"/>
            <w:tcBorders>
              <w:top w:val="nil"/>
              <w:left w:val="nil"/>
              <w:bottom w:val="single" w:sz="4" w:space="0" w:color="auto"/>
              <w:right w:val="single" w:sz="4" w:space="0" w:color="auto"/>
            </w:tcBorders>
            <w:vAlign w:val="center"/>
          </w:tcPr>
          <w:p w14:paraId="54E7A1AA" w14:textId="28486DAF" w:rsidR="000E0895" w:rsidRPr="003D78AF" w:rsidRDefault="000E0895" w:rsidP="000E0895">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5531EBCB" w14:textId="7DA492EF" w:rsidR="000E0895" w:rsidRPr="003D78AF" w:rsidRDefault="000E0895" w:rsidP="000E0895">
            <w:pPr>
              <w:spacing w:line="240" w:lineRule="auto"/>
              <w:jc w:val="right"/>
              <w:rPr>
                <w:rFonts w:cs="Arial"/>
                <w:lang w:eastAsia="en-AU"/>
              </w:rPr>
            </w:pPr>
            <w:r>
              <w:rPr>
                <w:rFonts w:cs="Arial"/>
              </w:rPr>
              <w:t>17</w:t>
            </w:r>
          </w:p>
        </w:tc>
        <w:tc>
          <w:tcPr>
            <w:tcW w:w="706" w:type="dxa"/>
            <w:tcBorders>
              <w:top w:val="nil"/>
              <w:left w:val="nil"/>
              <w:bottom w:val="single" w:sz="4" w:space="0" w:color="auto"/>
              <w:right w:val="single" w:sz="4" w:space="0" w:color="auto"/>
            </w:tcBorders>
            <w:vAlign w:val="center"/>
          </w:tcPr>
          <w:p w14:paraId="772FC04E" w14:textId="2DA5DC27" w:rsidR="000E0895" w:rsidRPr="003D78AF" w:rsidRDefault="000E0895" w:rsidP="000E0895">
            <w:pPr>
              <w:spacing w:line="240" w:lineRule="auto"/>
              <w:jc w:val="right"/>
              <w:rPr>
                <w:rFonts w:cs="Arial"/>
                <w:lang w:eastAsia="en-AU"/>
              </w:rPr>
            </w:pPr>
            <w:r>
              <w:rPr>
                <w:rFonts w:cs="Arial"/>
              </w:rPr>
              <w:t>7</w:t>
            </w:r>
          </w:p>
        </w:tc>
        <w:tc>
          <w:tcPr>
            <w:tcW w:w="849" w:type="dxa"/>
            <w:tcBorders>
              <w:top w:val="nil"/>
              <w:left w:val="nil"/>
              <w:bottom w:val="single" w:sz="4" w:space="0" w:color="auto"/>
              <w:right w:val="single" w:sz="4" w:space="0" w:color="auto"/>
            </w:tcBorders>
            <w:vAlign w:val="center"/>
          </w:tcPr>
          <w:p w14:paraId="7DF1704F" w14:textId="4EFB8B6D" w:rsidR="000E0895" w:rsidRPr="003D78AF" w:rsidRDefault="000E0895" w:rsidP="000E0895">
            <w:pPr>
              <w:spacing w:line="240" w:lineRule="auto"/>
              <w:jc w:val="right"/>
              <w:rPr>
                <w:rFonts w:cs="Arial"/>
                <w:b/>
                <w:lang w:eastAsia="en-AU"/>
              </w:rPr>
            </w:pPr>
            <w:r>
              <w:rPr>
                <w:rFonts w:cs="Arial"/>
                <w:b/>
                <w:bCs/>
              </w:rPr>
              <w:t>47</w:t>
            </w:r>
          </w:p>
        </w:tc>
      </w:tr>
      <w:tr w:rsidR="000E0895" w:rsidRPr="00650B45" w14:paraId="4D04E998"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569E8DA1" w14:textId="77777777" w:rsidR="000E0895" w:rsidRDefault="000E0895" w:rsidP="000E0895">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shd w:val="clear" w:color="auto" w:fill="auto"/>
            <w:vAlign w:val="center"/>
          </w:tcPr>
          <w:p w14:paraId="1BAC2D8F" w14:textId="2320A479" w:rsidR="000E0895" w:rsidRPr="003D78AF" w:rsidRDefault="000E0895" w:rsidP="000E0895">
            <w:pPr>
              <w:spacing w:line="240" w:lineRule="auto"/>
              <w:jc w:val="right"/>
              <w:rPr>
                <w:rFonts w:cs="Arial"/>
                <w:lang w:eastAsia="en-AU"/>
              </w:rPr>
            </w:pPr>
            <w:r>
              <w:rPr>
                <w:rFonts w:cs="Arial"/>
              </w:rPr>
              <w:t>20</w:t>
            </w:r>
          </w:p>
        </w:tc>
        <w:tc>
          <w:tcPr>
            <w:tcW w:w="850" w:type="dxa"/>
            <w:tcBorders>
              <w:top w:val="nil"/>
              <w:left w:val="nil"/>
              <w:bottom w:val="single" w:sz="4" w:space="0" w:color="auto"/>
              <w:right w:val="single" w:sz="4" w:space="0" w:color="auto"/>
            </w:tcBorders>
            <w:shd w:val="clear" w:color="auto" w:fill="auto"/>
            <w:vAlign w:val="center"/>
          </w:tcPr>
          <w:p w14:paraId="375C9925" w14:textId="36528190" w:rsidR="000E0895" w:rsidRPr="003D78AF" w:rsidRDefault="000E0895" w:rsidP="000E0895">
            <w:pPr>
              <w:spacing w:line="240" w:lineRule="auto"/>
              <w:jc w:val="right"/>
              <w:rPr>
                <w:rFonts w:cs="Arial"/>
                <w:lang w:eastAsia="en-AU"/>
              </w:rPr>
            </w:pPr>
            <w:r>
              <w:rPr>
                <w:rFonts w:cs="Arial"/>
              </w:rPr>
              <w:t>3</w:t>
            </w:r>
          </w:p>
        </w:tc>
        <w:tc>
          <w:tcPr>
            <w:tcW w:w="779" w:type="dxa"/>
            <w:tcBorders>
              <w:top w:val="nil"/>
              <w:left w:val="nil"/>
              <w:bottom w:val="single" w:sz="4" w:space="0" w:color="auto"/>
              <w:right w:val="single" w:sz="4" w:space="0" w:color="auto"/>
            </w:tcBorders>
            <w:vAlign w:val="center"/>
          </w:tcPr>
          <w:p w14:paraId="766C043E" w14:textId="16412F5B" w:rsidR="000E0895" w:rsidRPr="003D78AF" w:rsidRDefault="000E0895" w:rsidP="000E0895">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28EBBCA1" w14:textId="5DC278D1" w:rsidR="000E0895" w:rsidRPr="003D78AF" w:rsidRDefault="000E0895" w:rsidP="000E0895">
            <w:pPr>
              <w:spacing w:line="240" w:lineRule="auto"/>
              <w:jc w:val="right"/>
              <w:rPr>
                <w:rFonts w:cs="Arial"/>
                <w:lang w:eastAsia="en-AU"/>
              </w:rPr>
            </w:pPr>
            <w:r>
              <w:rPr>
                <w:rFonts w:cs="Arial"/>
              </w:rPr>
              <w:t>20</w:t>
            </w:r>
          </w:p>
        </w:tc>
        <w:tc>
          <w:tcPr>
            <w:tcW w:w="706" w:type="dxa"/>
            <w:tcBorders>
              <w:top w:val="nil"/>
              <w:left w:val="nil"/>
              <w:bottom w:val="single" w:sz="4" w:space="0" w:color="auto"/>
              <w:right w:val="single" w:sz="4" w:space="0" w:color="auto"/>
            </w:tcBorders>
            <w:vAlign w:val="center"/>
          </w:tcPr>
          <w:p w14:paraId="76B03AEF" w14:textId="08A1E410" w:rsidR="000E0895" w:rsidRPr="003D78AF" w:rsidRDefault="000E0895" w:rsidP="000E0895">
            <w:pPr>
              <w:spacing w:line="240" w:lineRule="auto"/>
              <w:jc w:val="right"/>
              <w:rPr>
                <w:rFonts w:cs="Arial"/>
                <w:lang w:eastAsia="en-AU"/>
              </w:rPr>
            </w:pPr>
            <w:r>
              <w:rPr>
                <w:rFonts w:cs="Arial"/>
              </w:rPr>
              <w:t>8</w:t>
            </w:r>
          </w:p>
        </w:tc>
        <w:tc>
          <w:tcPr>
            <w:tcW w:w="849" w:type="dxa"/>
            <w:tcBorders>
              <w:top w:val="nil"/>
              <w:left w:val="nil"/>
              <w:bottom w:val="single" w:sz="4" w:space="0" w:color="auto"/>
              <w:right w:val="single" w:sz="4" w:space="0" w:color="auto"/>
            </w:tcBorders>
            <w:vAlign w:val="center"/>
          </w:tcPr>
          <w:p w14:paraId="61D1E9D8" w14:textId="45B6F023" w:rsidR="000E0895" w:rsidRPr="003D78AF" w:rsidRDefault="000E0895" w:rsidP="000E0895">
            <w:pPr>
              <w:spacing w:line="240" w:lineRule="auto"/>
              <w:jc w:val="right"/>
              <w:rPr>
                <w:rFonts w:cs="Arial"/>
                <w:b/>
                <w:lang w:eastAsia="en-AU"/>
              </w:rPr>
            </w:pPr>
            <w:r>
              <w:rPr>
                <w:rFonts w:cs="Arial"/>
                <w:b/>
                <w:bCs/>
              </w:rPr>
              <w:t>51</w:t>
            </w:r>
          </w:p>
        </w:tc>
      </w:tr>
      <w:tr w:rsidR="000E0895" w:rsidRPr="00650B45" w14:paraId="725BA5E1"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0E0895" w:rsidRPr="0040594D" w:rsidRDefault="000E0895" w:rsidP="000E0895">
            <w:pPr>
              <w:spacing w:line="240" w:lineRule="auto"/>
              <w:rPr>
                <w:rFonts w:cs="Arial"/>
                <w:lang w:eastAsia="en-AU"/>
              </w:rPr>
            </w:pPr>
            <w:r w:rsidRPr="00CC2C25">
              <w:rPr>
                <w:rFonts w:cs="Arial"/>
              </w:rPr>
              <w:t>School Attendance notices</w:t>
            </w:r>
          </w:p>
        </w:tc>
        <w:tc>
          <w:tcPr>
            <w:tcW w:w="851" w:type="dxa"/>
            <w:tcBorders>
              <w:top w:val="nil"/>
              <w:left w:val="nil"/>
              <w:bottom w:val="single" w:sz="4" w:space="0" w:color="auto"/>
              <w:right w:val="single" w:sz="4" w:space="0" w:color="auto"/>
            </w:tcBorders>
            <w:shd w:val="clear" w:color="auto" w:fill="auto"/>
            <w:vAlign w:val="center"/>
          </w:tcPr>
          <w:p w14:paraId="341678F9" w14:textId="16273CA5" w:rsidR="000E0895" w:rsidRPr="003D78AF" w:rsidRDefault="000E0895" w:rsidP="000E0895">
            <w:pPr>
              <w:spacing w:line="240" w:lineRule="auto"/>
              <w:jc w:val="right"/>
              <w:rPr>
                <w:rFonts w:cs="Arial"/>
                <w:lang w:eastAsia="en-AU"/>
              </w:rPr>
            </w:pPr>
            <w:r>
              <w:rPr>
                <w:rFonts w:cs="Arial"/>
              </w:rPr>
              <w:t>201</w:t>
            </w:r>
          </w:p>
        </w:tc>
        <w:tc>
          <w:tcPr>
            <w:tcW w:w="850" w:type="dxa"/>
            <w:tcBorders>
              <w:top w:val="nil"/>
              <w:left w:val="nil"/>
              <w:bottom w:val="single" w:sz="4" w:space="0" w:color="auto"/>
              <w:right w:val="single" w:sz="4" w:space="0" w:color="auto"/>
            </w:tcBorders>
            <w:shd w:val="clear" w:color="auto" w:fill="auto"/>
            <w:vAlign w:val="center"/>
          </w:tcPr>
          <w:p w14:paraId="5D2BA765" w14:textId="7A4E35D1" w:rsidR="000E0895" w:rsidRPr="003D78AF" w:rsidRDefault="000E0895" w:rsidP="000E0895">
            <w:pPr>
              <w:spacing w:line="240" w:lineRule="auto"/>
              <w:jc w:val="right"/>
              <w:rPr>
                <w:rFonts w:cs="Arial"/>
                <w:lang w:eastAsia="en-AU"/>
              </w:rPr>
            </w:pPr>
            <w:r>
              <w:rPr>
                <w:rFonts w:cs="Arial"/>
              </w:rPr>
              <w:t>26</w:t>
            </w:r>
          </w:p>
        </w:tc>
        <w:tc>
          <w:tcPr>
            <w:tcW w:w="779" w:type="dxa"/>
            <w:tcBorders>
              <w:top w:val="nil"/>
              <w:left w:val="nil"/>
              <w:bottom w:val="single" w:sz="4" w:space="0" w:color="auto"/>
              <w:right w:val="single" w:sz="4" w:space="0" w:color="auto"/>
            </w:tcBorders>
            <w:vAlign w:val="center"/>
          </w:tcPr>
          <w:p w14:paraId="6EC1BDB5" w14:textId="257395C1" w:rsidR="000E0895" w:rsidRPr="003D78AF" w:rsidRDefault="000E0895" w:rsidP="000E0895">
            <w:pPr>
              <w:spacing w:line="240" w:lineRule="auto"/>
              <w:jc w:val="right"/>
              <w:rPr>
                <w:rFonts w:cs="Arial"/>
                <w:lang w:eastAsia="en-AU"/>
              </w:rPr>
            </w:pPr>
            <w:r>
              <w:rPr>
                <w:rFonts w:cs="Arial"/>
              </w:rPr>
              <w:t>340</w:t>
            </w:r>
          </w:p>
        </w:tc>
        <w:tc>
          <w:tcPr>
            <w:tcW w:w="643" w:type="dxa"/>
            <w:tcBorders>
              <w:top w:val="nil"/>
              <w:left w:val="nil"/>
              <w:bottom w:val="single" w:sz="4" w:space="0" w:color="auto"/>
              <w:right w:val="single" w:sz="4" w:space="0" w:color="auto"/>
            </w:tcBorders>
            <w:vAlign w:val="center"/>
          </w:tcPr>
          <w:p w14:paraId="1997B7CD" w14:textId="5E44C648" w:rsidR="000E0895" w:rsidRPr="003D78AF" w:rsidRDefault="000E0895" w:rsidP="000E0895">
            <w:pPr>
              <w:spacing w:line="240" w:lineRule="auto"/>
              <w:jc w:val="right"/>
              <w:rPr>
                <w:rFonts w:cs="Arial"/>
                <w:lang w:eastAsia="en-AU"/>
              </w:rPr>
            </w:pPr>
            <w:r>
              <w:rPr>
                <w:rFonts w:cs="Arial"/>
              </w:rPr>
              <w:t>152</w:t>
            </w:r>
          </w:p>
        </w:tc>
        <w:tc>
          <w:tcPr>
            <w:tcW w:w="706" w:type="dxa"/>
            <w:tcBorders>
              <w:top w:val="nil"/>
              <w:left w:val="nil"/>
              <w:bottom w:val="single" w:sz="4" w:space="0" w:color="auto"/>
              <w:right w:val="single" w:sz="4" w:space="0" w:color="auto"/>
            </w:tcBorders>
            <w:vAlign w:val="center"/>
          </w:tcPr>
          <w:p w14:paraId="6C72EE70" w14:textId="0F77A8B4" w:rsidR="000E0895" w:rsidRPr="003D78AF" w:rsidRDefault="000E0895" w:rsidP="000E0895">
            <w:pPr>
              <w:spacing w:line="240" w:lineRule="auto"/>
              <w:jc w:val="right"/>
              <w:rPr>
                <w:rFonts w:cs="Arial"/>
                <w:lang w:eastAsia="en-AU"/>
              </w:rPr>
            </w:pPr>
            <w:r>
              <w:rPr>
                <w:rFonts w:cs="Arial"/>
              </w:rPr>
              <w:t>26</w:t>
            </w:r>
          </w:p>
        </w:tc>
        <w:tc>
          <w:tcPr>
            <w:tcW w:w="849" w:type="dxa"/>
            <w:tcBorders>
              <w:top w:val="nil"/>
              <w:left w:val="nil"/>
              <w:bottom w:val="single" w:sz="4" w:space="0" w:color="auto"/>
              <w:right w:val="single" w:sz="4" w:space="0" w:color="auto"/>
            </w:tcBorders>
            <w:vAlign w:val="center"/>
          </w:tcPr>
          <w:p w14:paraId="10323D05" w14:textId="7C8FAE1F" w:rsidR="000E0895" w:rsidRPr="003D78AF" w:rsidRDefault="000E0895" w:rsidP="000E0895">
            <w:pPr>
              <w:spacing w:line="240" w:lineRule="auto"/>
              <w:jc w:val="right"/>
              <w:rPr>
                <w:rFonts w:cs="Arial"/>
                <w:b/>
                <w:lang w:eastAsia="en-AU"/>
              </w:rPr>
            </w:pPr>
            <w:r>
              <w:rPr>
                <w:rFonts w:cs="Arial"/>
                <w:b/>
                <w:bCs/>
              </w:rPr>
              <w:t>745</w:t>
            </w:r>
          </w:p>
        </w:tc>
      </w:tr>
      <w:tr w:rsidR="000E0895" w:rsidRPr="00650B45" w14:paraId="427883C4"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0E0895" w:rsidRPr="0040594D" w:rsidRDefault="000E0895" w:rsidP="000E0895">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shd w:val="clear" w:color="auto" w:fill="auto"/>
            <w:vAlign w:val="center"/>
          </w:tcPr>
          <w:p w14:paraId="784F94EA" w14:textId="2F17C5F6" w:rsidR="000E0895" w:rsidRPr="003D78AF" w:rsidRDefault="000E0895" w:rsidP="000E0895">
            <w:pPr>
              <w:spacing w:line="240" w:lineRule="auto"/>
              <w:jc w:val="right"/>
              <w:rPr>
                <w:rFonts w:cs="Arial"/>
                <w:lang w:eastAsia="en-AU"/>
              </w:rPr>
            </w:pPr>
            <w:r>
              <w:rPr>
                <w:rFonts w:cs="Arial"/>
              </w:rPr>
              <w:t>1</w:t>
            </w:r>
          </w:p>
        </w:tc>
        <w:tc>
          <w:tcPr>
            <w:tcW w:w="850" w:type="dxa"/>
            <w:tcBorders>
              <w:top w:val="nil"/>
              <w:left w:val="nil"/>
              <w:bottom w:val="single" w:sz="4" w:space="0" w:color="auto"/>
              <w:right w:val="single" w:sz="4" w:space="0" w:color="auto"/>
            </w:tcBorders>
            <w:shd w:val="clear" w:color="auto" w:fill="auto"/>
            <w:vAlign w:val="center"/>
          </w:tcPr>
          <w:p w14:paraId="2010BAC3" w14:textId="3E123B05" w:rsidR="000E0895" w:rsidRPr="003D78AF" w:rsidRDefault="000E0895" w:rsidP="000E0895">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3CD99817" w14:textId="5C6F01B0" w:rsidR="000E0895" w:rsidRPr="003D78AF" w:rsidRDefault="000E0895" w:rsidP="000E0895">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02AC8E9D" w14:textId="29A092BB" w:rsidR="000E0895" w:rsidRPr="003D78AF" w:rsidRDefault="000E0895" w:rsidP="000E0895">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30E7D1DC" w14:textId="1029E8F4" w:rsidR="000E0895" w:rsidRPr="003D78AF" w:rsidRDefault="000E0895" w:rsidP="000E0895">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486AC0F0" w14:textId="32DA8406" w:rsidR="000E0895" w:rsidRPr="003D78AF" w:rsidRDefault="000E0895" w:rsidP="000E0895">
            <w:pPr>
              <w:spacing w:line="240" w:lineRule="auto"/>
              <w:jc w:val="right"/>
              <w:rPr>
                <w:rFonts w:cs="Arial"/>
                <w:b/>
                <w:lang w:eastAsia="en-AU"/>
              </w:rPr>
            </w:pPr>
            <w:r>
              <w:rPr>
                <w:rFonts w:cs="Arial"/>
                <w:b/>
                <w:bCs/>
              </w:rPr>
              <w:t>1</w:t>
            </w:r>
          </w:p>
        </w:tc>
      </w:tr>
      <w:tr w:rsidR="000E0895" w:rsidRPr="00650B45" w14:paraId="626FFFAF"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0E0895" w:rsidRPr="00371BE2" w:rsidRDefault="000E0895" w:rsidP="000E0895">
            <w:pPr>
              <w:spacing w:line="240" w:lineRule="auto"/>
              <w:rPr>
                <w:rFonts w:cs="Arial"/>
                <w:lang w:eastAsia="en-AU"/>
              </w:rPr>
            </w:pPr>
            <w:bookmarkStart w:id="18" w:name="_Hlk68592858"/>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shd w:val="clear" w:color="auto" w:fill="auto"/>
            <w:vAlign w:val="center"/>
          </w:tcPr>
          <w:p w14:paraId="221A5FBA" w14:textId="0407BA8B" w:rsidR="000E0895" w:rsidRPr="003D78AF" w:rsidRDefault="000E0895" w:rsidP="000E0895">
            <w:pPr>
              <w:spacing w:line="240" w:lineRule="auto"/>
              <w:jc w:val="right"/>
              <w:rPr>
                <w:rFonts w:cs="Arial"/>
                <w:lang w:eastAsia="en-AU"/>
              </w:rPr>
            </w:pPr>
            <w:r>
              <w:rPr>
                <w:rFonts w:cs="Arial"/>
              </w:rPr>
              <w:t> </w:t>
            </w:r>
          </w:p>
        </w:tc>
        <w:tc>
          <w:tcPr>
            <w:tcW w:w="850" w:type="dxa"/>
            <w:tcBorders>
              <w:top w:val="nil"/>
              <w:left w:val="nil"/>
              <w:bottom w:val="single" w:sz="4" w:space="0" w:color="auto"/>
              <w:right w:val="single" w:sz="4" w:space="0" w:color="auto"/>
            </w:tcBorders>
            <w:shd w:val="clear" w:color="auto" w:fill="auto"/>
            <w:vAlign w:val="center"/>
          </w:tcPr>
          <w:p w14:paraId="68D714D8" w14:textId="378C0A3D" w:rsidR="000E0895" w:rsidRPr="003D78AF" w:rsidRDefault="000E0895" w:rsidP="000E0895">
            <w:pPr>
              <w:spacing w:line="240" w:lineRule="auto"/>
              <w:jc w:val="right"/>
              <w:rPr>
                <w:rFonts w:cs="Arial"/>
                <w:lang w:eastAsia="en-AU"/>
              </w:rPr>
            </w:pPr>
            <w:r>
              <w:rPr>
                <w:rFonts w:cs="Arial"/>
              </w:rPr>
              <w:t> </w:t>
            </w:r>
          </w:p>
        </w:tc>
        <w:tc>
          <w:tcPr>
            <w:tcW w:w="779" w:type="dxa"/>
            <w:tcBorders>
              <w:top w:val="nil"/>
              <w:left w:val="nil"/>
              <w:bottom w:val="single" w:sz="4" w:space="0" w:color="auto"/>
              <w:right w:val="single" w:sz="4" w:space="0" w:color="auto"/>
            </w:tcBorders>
            <w:vAlign w:val="center"/>
          </w:tcPr>
          <w:p w14:paraId="1E479E1A" w14:textId="1271924A" w:rsidR="000E0895" w:rsidRPr="003D78AF" w:rsidRDefault="000E0895" w:rsidP="000E0895">
            <w:pPr>
              <w:spacing w:line="240" w:lineRule="auto"/>
              <w:jc w:val="right"/>
              <w:rPr>
                <w:rFonts w:cs="Arial"/>
                <w:lang w:eastAsia="en-AU"/>
              </w:rPr>
            </w:pPr>
            <w:r>
              <w:rPr>
                <w:rFonts w:cs="Arial"/>
              </w:rPr>
              <w:t> </w:t>
            </w:r>
          </w:p>
        </w:tc>
        <w:tc>
          <w:tcPr>
            <w:tcW w:w="643" w:type="dxa"/>
            <w:tcBorders>
              <w:top w:val="nil"/>
              <w:left w:val="nil"/>
              <w:bottom w:val="single" w:sz="4" w:space="0" w:color="auto"/>
              <w:right w:val="single" w:sz="4" w:space="0" w:color="auto"/>
            </w:tcBorders>
            <w:vAlign w:val="center"/>
          </w:tcPr>
          <w:p w14:paraId="3C891A0C" w14:textId="2A05E957" w:rsidR="000E0895" w:rsidRPr="003D78AF" w:rsidRDefault="000E0895" w:rsidP="000E0895">
            <w:pPr>
              <w:spacing w:line="240" w:lineRule="auto"/>
              <w:jc w:val="right"/>
              <w:rPr>
                <w:rFonts w:cs="Arial"/>
                <w:lang w:eastAsia="en-AU"/>
              </w:rPr>
            </w:pPr>
            <w:r>
              <w:rPr>
                <w:rFonts w:cs="Arial"/>
              </w:rPr>
              <w:t> </w:t>
            </w:r>
          </w:p>
        </w:tc>
        <w:tc>
          <w:tcPr>
            <w:tcW w:w="706" w:type="dxa"/>
            <w:tcBorders>
              <w:top w:val="nil"/>
              <w:left w:val="nil"/>
              <w:bottom w:val="single" w:sz="4" w:space="0" w:color="auto"/>
              <w:right w:val="single" w:sz="4" w:space="0" w:color="auto"/>
            </w:tcBorders>
            <w:vAlign w:val="center"/>
          </w:tcPr>
          <w:p w14:paraId="72B90696" w14:textId="3FD57AE2" w:rsidR="000E0895" w:rsidRPr="003D78AF" w:rsidRDefault="000E0895" w:rsidP="000E0895">
            <w:pPr>
              <w:spacing w:line="240" w:lineRule="auto"/>
              <w:jc w:val="right"/>
              <w:rPr>
                <w:rFonts w:cs="Arial"/>
                <w:lang w:eastAsia="en-AU"/>
              </w:rPr>
            </w:pPr>
            <w:r>
              <w:rPr>
                <w:rFonts w:cs="Arial"/>
              </w:rPr>
              <w:t> </w:t>
            </w:r>
          </w:p>
        </w:tc>
        <w:tc>
          <w:tcPr>
            <w:tcW w:w="849" w:type="dxa"/>
            <w:tcBorders>
              <w:top w:val="nil"/>
              <w:left w:val="nil"/>
              <w:bottom w:val="single" w:sz="4" w:space="0" w:color="auto"/>
              <w:right w:val="single" w:sz="4" w:space="0" w:color="auto"/>
            </w:tcBorders>
            <w:vAlign w:val="center"/>
          </w:tcPr>
          <w:p w14:paraId="3F3EAC97" w14:textId="7BD8067E" w:rsidR="000E0895" w:rsidRPr="003D78AF" w:rsidRDefault="000E0895" w:rsidP="000E0895">
            <w:pPr>
              <w:spacing w:line="240" w:lineRule="auto"/>
              <w:jc w:val="right"/>
              <w:rPr>
                <w:rFonts w:cs="Arial"/>
                <w:b/>
                <w:lang w:eastAsia="en-AU"/>
              </w:rPr>
            </w:pPr>
            <w:r>
              <w:rPr>
                <w:rFonts w:cs="Arial"/>
                <w:b/>
                <w:bCs/>
              </w:rPr>
              <w:t> </w:t>
            </w:r>
          </w:p>
        </w:tc>
      </w:tr>
      <w:bookmarkEnd w:id="18"/>
      <w:tr w:rsidR="000E0895" w:rsidRPr="00650B45" w14:paraId="1804ED43"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3DBFB2B9" w14:textId="5A9B9B27" w:rsidR="000E0895" w:rsidRPr="00371BE2" w:rsidRDefault="000E0895" w:rsidP="000E0895">
            <w:pPr>
              <w:spacing w:line="240" w:lineRule="auto"/>
              <w:rPr>
                <w:rFonts w:cs="Arial"/>
                <w:lang w:eastAsia="en-AU"/>
              </w:rPr>
            </w:pPr>
            <w:r>
              <w:rPr>
                <w:rFonts w:cs="Arial"/>
                <w:lang w:eastAsia="en-AU"/>
              </w:rPr>
              <w:tab/>
              <w:t>Child Concern Reports</w:t>
            </w:r>
          </w:p>
        </w:tc>
        <w:tc>
          <w:tcPr>
            <w:tcW w:w="851" w:type="dxa"/>
            <w:tcBorders>
              <w:top w:val="nil"/>
              <w:left w:val="nil"/>
              <w:bottom w:val="single" w:sz="4" w:space="0" w:color="auto"/>
              <w:right w:val="single" w:sz="4" w:space="0" w:color="auto"/>
            </w:tcBorders>
            <w:shd w:val="clear" w:color="auto" w:fill="auto"/>
            <w:vAlign w:val="center"/>
          </w:tcPr>
          <w:p w14:paraId="7E38485B" w14:textId="297DFA2C" w:rsidR="000E0895" w:rsidRPr="003D78AF" w:rsidRDefault="000E0895" w:rsidP="000E0895">
            <w:pPr>
              <w:spacing w:line="240" w:lineRule="auto"/>
              <w:jc w:val="right"/>
              <w:rPr>
                <w:rFonts w:cs="Arial"/>
              </w:rPr>
            </w:pPr>
            <w:r>
              <w:rPr>
                <w:rFonts w:cs="Arial"/>
              </w:rPr>
              <w:t>20</w:t>
            </w:r>
          </w:p>
        </w:tc>
        <w:tc>
          <w:tcPr>
            <w:tcW w:w="850" w:type="dxa"/>
            <w:tcBorders>
              <w:top w:val="nil"/>
              <w:left w:val="nil"/>
              <w:bottom w:val="single" w:sz="4" w:space="0" w:color="auto"/>
              <w:right w:val="single" w:sz="4" w:space="0" w:color="auto"/>
            </w:tcBorders>
            <w:shd w:val="clear" w:color="auto" w:fill="auto"/>
            <w:vAlign w:val="center"/>
          </w:tcPr>
          <w:p w14:paraId="503CD381" w14:textId="60F34120" w:rsidR="000E0895" w:rsidRPr="003D78AF" w:rsidRDefault="000E0895" w:rsidP="000E0895">
            <w:pPr>
              <w:spacing w:line="240" w:lineRule="auto"/>
              <w:jc w:val="right"/>
              <w:rPr>
                <w:rFonts w:cs="Arial"/>
              </w:rPr>
            </w:pPr>
            <w:r>
              <w:rPr>
                <w:rFonts w:cs="Arial"/>
              </w:rPr>
              <w:t>6</w:t>
            </w:r>
          </w:p>
        </w:tc>
        <w:tc>
          <w:tcPr>
            <w:tcW w:w="779" w:type="dxa"/>
            <w:tcBorders>
              <w:top w:val="nil"/>
              <w:left w:val="nil"/>
              <w:bottom w:val="single" w:sz="4" w:space="0" w:color="auto"/>
              <w:right w:val="single" w:sz="4" w:space="0" w:color="auto"/>
            </w:tcBorders>
            <w:vAlign w:val="center"/>
          </w:tcPr>
          <w:p w14:paraId="488ACCDC" w14:textId="6F164BFA" w:rsidR="000E0895" w:rsidRPr="003D78AF" w:rsidRDefault="000E0895" w:rsidP="000E0895">
            <w:pPr>
              <w:spacing w:line="240" w:lineRule="auto"/>
              <w:jc w:val="right"/>
              <w:rPr>
                <w:rFonts w:cs="Arial"/>
              </w:rPr>
            </w:pPr>
            <w:r>
              <w:rPr>
                <w:rFonts w:cs="Arial"/>
              </w:rPr>
              <w:t>65</w:t>
            </w:r>
          </w:p>
        </w:tc>
        <w:tc>
          <w:tcPr>
            <w:tcW w:w="643" w:type="dxa"/>
            <w:tcBorders>
              <w:top w:val="nil"/>
              <w:left w:val="nil"/>
              <w:bottom w:val="single" w:sz="4" w:space="0" w:color="auto"/>
              <w:right w:val="single" w:sz="4" w:space="0" w:color="auto"/>
            </w:tcBorders>
            <w:vAlign w:val="center"/>
          </w:tcPr>
          <w:p w14:paraId="0FE1FB54" w14:textId="456DB07A" w:rsidR="000E0895" w:rsidRPr="003D78AF" w:rsidRDefault="000E0895" w:rsidP="000E0895">
            <w:pPr>
              <w:spacing w:line="240" w:lineRule="auto"/>
              <w:jc w:val="right"/>
              <w:rPr>
                <w:rFonts w:cs="Arial"/>
              </w:rPr>
            </w:pPr>
            <w:r>
              <w:rPr>
                <w:rFonts w:cs="Arial"/>
              </w:rPr>
              <w:t>24</w:t>
            </w:r>
          </w:p>
        </w:tc>
        <w:tc>
          <w:tcPr>
            <w:tcW w:w="706" w:type="dxa"/>
            <w:tcBorders>
              <w:top w:val="nil"/>
              <w:left w:val="nil"/>
              <w:bottom w:val="single" w:sz="4" w:space="0" w:color="auto"/>
              <w:right w:val="single" w:sz="4" w:space="0" w:color="auto"/>
            </w:tcBorders>
            <w:vAlign w:val="center"/>
          </w:tcPr>
          <w:p w14:paraId="6B736C1A" w14:textId="1C181F80" w:rsidR="000E0895" w:rsidRPr="003D78AF" w:rsidRDefault="000E0895" w:rsidP="000E0895">
            <w:pPr>
              <w:spacing w:line="240" w:lineRule="auto"/>
              <w:jc w:val="right"/>
              <w:rPr>
                <w:rFonts w:cs="Arial"/>
              </w:rPr>
            </w:pPr>
            <w:r>
              <w:rPr>
                <w:rFonts w:cs="Arial"/>
              </w:rPr>
              <w:t>4</w:t>
            </w:r>
          </w:p>
        </w:tc>
        <w:tc>
          <w:tcPr>
            <w:tcW w:w="849" w:type="dxa"/>
            <w:tcBorders>
              <w:top w:val="nil"/>
              <w:left w:val="nil"/>
              <w:bottom w:val="single" w:sz="4" w:space="0" w:color="auto"/>
              <w:right w:val="single" w:sz="4" w:space="0" w:color="auto"/>
            </w:tcBorders>
            <w:vAlign w:val="center"/>
          </w:tcPr>
          <w:p w14:paraId="46071030" w14:textId="647D298B" w:rsidR="000E0895" w:rsidRPr="003D78AF" w:rsidRDefault="000E0895" w:rsidP="000E0895">
            <w:pPr>
              <w:spacing w:line="240" w:lineRule="auto"/>
              <w:jc w:val="right"/>
              <w:rPr>
                <w:rFonts w:cs="Arial"/>
                <w:b/>
                <w:bCs/>
              </w:rPr>
            </w:pPr>
            <w:r>
              <w:rPr>
                <w:rFonts w:cs="Arial"/>
                <w:b/>
                <w:bCs/>
              </w:rPr>
              <w:t>119</w:t>
            </w:r>
          </w:p>
        </w:tc>
      </w:tr>
      <w:tr w:rsidR="000E0895" w:rsidRPr="00650B45" w14:paraId="2A2A6B6B"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4DE3038E" w14:textId="78C5FB05" w:rsidR="000E0895" w:rsidRPr="00371BE2" w:rsidRDefault="000E0895" w:rsidP="000E0895">
            <w:pPr>
              <w:spacing w:line="240" w:lineRule="auto"/>
              <w:rPr>
                <w:rFonts w:cs="Arial"/>
                <w:lang w:eastAsia="en-AU"/>
              </w:rPr>
            </w:pPr>
            <w:r>
              <w:rPr>
                <w:rFonts w:cs="Arial"/>
                <w:lang w:eastAsia="en-AU"/>
              </w:rPr>
              <w:tab/>
              <w:t>Finalised Child Protection Investigations</w:t>
            </w:r>
          </w:p>
        </w:tc>
        <w:tc>
          <w:tcPr>
            <w:tcW w:w="851" w:type="dxa"/>
            <w:tcBorders>
              <w:top w:val="nil"/>
              <w:left w:val="nil"/>
              <w:bottom w:val="single" w:sz="4" w:space="0" w:color="auto"/>
              <w:right w:val="single" w:sz="4" w:space="0" w:color="auto"/>
            </w:tcBorders>
            <w:shd w:val="clear" w:color="auto" w:fill="auto"/>
            <w:vAlign w:val="center"/>
          </w:tcPr>
          <w:p w14:paraId="190C4072" w14:textId="30AFB49B" w:rsidR="000E0895" w:rsidRPr="003D78AF" w:rsidRDefault="000E0895" w:rsidP="000E0895">
            <w:pPr>
              <w:spacing w:line="240" w:lineRule="auto"/>
              <w:jc w:val="right"/>
              <w:rPr>
                <w:rFonts w:cs="Arial"/>
              </w:rPr>
            </w:pPr>
            <w:r>
              <w:rPr>
                <w:rFonts w:cs="Arial"/>
              </w:rPr>
              <w:t>12</w:t>
            </w:r>
          </w:p>
        </w:tc>
        <w:tc>
          <w:tcPr>
            <w:tcW w:w="850" w:type="dxa"/>
            <w:tcBorders>
              <w:top w:val="nil"/>
              <w:left w:val="nil"/>
              <w:bottom w:val="single" w:sz="4" w:space="0" w:color="auto"/>
              <w:right w:val="single" w:sz="4" w:space="0" w:color="auto"/>
            </w:tcBorders>
            <w:shd w:val="clear" w:color="auto" w:fill="auto"/>
            <w:vAlign w:val="center"/>
          </w:tcPr>
          <w:p w14:paraId="0611116F" w14:textId="5FB0627E" w:rsidR="000E0895" w:rsidRPr="003D78AF" w:rsidRDefault="000E0895" w:rsidP="000E0895">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57D695C1" w14:textId="0CBF60DB" w:rsidR="000E0895" w:rsidRPr="003D78AF" w:rsidRDefault="000E0895" w:rsidP="000E0895">
            <w:pPr>
              <w:spacing w:line="240" w:lineRule="auto"/>
              <w:jc w:val="right"/>
              <w:rPr>
                <w:rFonts w:cs="Arial"/>
              </w:rPr>
            </w:pPr>
            <w:r>
              <w:rPr>
                <w:rFonts w:cs="Arial"/>
              </w:rPr>
              <w:t>2</w:t>
            </w:r>
          </w:p>
        </w:tc>
        <w:tc>
          <w:tcPr>
            <w:tcW w:w="643" w:type="dxa"/>
            <w:tcBorders>
              <w:top w:val="nil"/>
              <w:left w:val="nil"/>
              <w:bottom w:val="single" w:sz="4" w:space="0" w:color="auto"/>
              <w:right w:val="single" w:sz="4" w:space="0" w:color="auto"/>
            </w:tcBorders>
            <w:vAlign w:val="center"/>
          </w:tcPr>
          <w:p w14:paraId="5E3C036C" w14:textId="24F3664F" w:rsidR="000E0895" w:rsidRPr="003D78AF" w:rsidRDefault="000E0895" w:rsidP="000E0895">
            <w:pPr>
              <w:spacing w:line="240" w:lineRule="auto"/>
              <w:jc w:val="right"/>
              <w:rPr>
                <w:rFonts w:cs="Arial"/>
              </w:rPr>
            </w:pPr>
            <w:r>
              <w:rPr>
                <w:rFonts w:cs="Arial"/>
              </w:rPr>
              <w:t>13</w:t>
            </w:r>
          </w:p>
        </w:tc>
        <w:tc>
          <w:tcPr>
            <w:tcW w:w="706" w:type="dxa"/>
            <w:tcBorders>
              <w:top w:val="nil"/>
              <w:left w:val="nil"/>
              <w:bottom w:val="single" w:sz="4" w:space="0" w:color="auto"/>
              <w:right w:val="single" w:sz="4" w:space="0" w:color="auto"/>
            </w:tcBorders>
            <w:vAlign w:val="center"/>
          </w:tcPr>
          <w:p w14:paraId="3F5C3F2B" w14:textId="28A8B9BF" w:rsidR="000E0895" w:rsidRPr="003D78AF" w:rsidRDefault="000E0895" w:rsidP="000E0895">
            <w:pPr>
              <w:spacing w:line="240" w:lineRule="auto"/>
              <w:jc w:val="right"/>
              <w:rPr>
                <w:rFonts w:cs="Arial"/>
              </w:rPr>
            </w:pPr>
            <w:r>
              <w:rPr>
                <w:rFonts w:cs="Arial"/>
              </w:rPr>
              <w:t>4</w:t>
            </w:r>
          </w:p>
        </w:tc>
        <w:tc>
          <w:tcPr>
            <w:tcW w:w="849" w:type="dxa"/>
            <w:tcBorders>
              <w:top w:val="nil"/>
              <w:left w:val="nil"/>
              <w:bottom w:val="single" w:sz="4" w:space="0" w:color="auto"/>
              <w:right w:val="single" w:sz="4" w:space="0" w:color="auto"/>
            </w:tcBorders>
            <w:vAlign w:val="center"/>
          </w:tcPr>
          <w:p w14:paraId="50F034E7" w14:textId="6BEA8E14" w:rsidR="000E0895" w:rsidRPr="003D78AF" w:rsidRDefault="000E0895" w:rsidP="000E0895">
            <w:pPr>
              <w:spacing w:line="240" w:lineRule="auto"/>
              <w:jc w:val="right"/>
              <w:rPr>
                <w:rFonts w:cs="Arial"/>
                <w:b/>
                <w:bCs/>
              </w:rPr>
            </w:pPr>
            <w:r>
              <w:rPr>
                <w:rFonts w:cs="Arial"/>
                <w:b/>
                <w:bCs/>
              </w:rPr>
              <w:t>31</w:t>
            </w:r>
          </w:p>
        </w:tc>
      </w:tr>
      <w:tr w:rsidR="000E0895" w:rsidRPr="00650B45" w14:paraId="4C455349"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0E0895" w:rsidRPr="00371BE2" w:rsidRDefault="000E0895" w:rsidP="000E0895">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02AE4B84" w14:textId="2059903A" w:rsidR="000E0895" w:rsidRPr="003D78AF" w:rsidRDefault="000E0895" w:rsidP="000E0895">
            <w:pPr>
              <w:spacing w:line="240" w:lineRule="auto"/>
              <w:jc w:val="right"/>
              <w:rPr>
                <w:rFonts w:cs="Arial"/>
                <w:lang w:eastAsia="en-AU"/>
              </w:rPr>
            </w:pPr>
            <w:r>
              <w:rPr>
                <w:rFonts w:cs="Arial"/>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7393B57B" w14:textId="26FEB765" w:rsidR="000E0895" w:rsidRPr="003D78AF" w:rsidRDefault="000E0895" w:rsidP="000E0895">
            <w:pPr>
              <w:spacing w:line="240" w:lineRule="auto"/>
              <w:jc w:val="right"/>
              <w:rPr>
                <w:rFonts w:cs="Arial"/>
                <w:lang w:eastAsia="en-AU"/>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04A6282D" w14:textId="14CE6B9F" w:rsidR="000E0895" w:rsidRPr="003D78AF" w:rsidRDefault="000E0895" w:rsidP="000E0895">
            <w:pPr>
              <w:spacing w:line="240" w:lineRule="auto"/>
              <w:jc w:val="right"/>
              <w:rPr>
                <w:rFonts w:cs="Arial"/>
                <w:lang w:eastAsia="en-AU"/>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755FED88" w14:textId="4E0362A4" w:rsidR="000E0895" w:rsidRPr="003D78AF" w:rsidRDefault="000E0895" w:rsidP="000E0895">
            <w:pPr>
              <w:spacing w:line="240" w:lineRule="auto"/>
              <w:jc w:val="right"/>
              <w:rPr>
                <w:rFonts w:cs="Arial"/>
                <w:lang w:eastAsia="en-AU"/>
              </w:rPr>
            </w:pPr>
            <w:r>
              <w:rPr>
                <w:rFonts w:cs="Arial"/>
              </w:rPr>
              <w:t>1</w:t>
            </w:r>
          </w:p>
        </w:tc>
        <w:tc>
          <w:tcPr>
            <w:tcW w:w="706" w:type="dxa"/>
            <w:tcBorders>
              <w:top w:val="single" w:sz="4" w:space="0" w:color="auto"/>
              <w:left w:val="nil"/>
              <w:bottom w:val="single" w:sz="4" w:space="0" w:color="auto"/>
              <w:right w:val="single" w:sz="4" w:space="0" w:color="auto"/>
            </w:tcBorders>
            <w:vAlign w:val="center"/>
          </w:tcPr>
          <w:p w14:paraId="7C287A88" w14:textId="72EC0A09" w:rsidR="000E0895" w:rsidRPr="003D78AF" w:rsidRDefault="000E0895" w:rsidP="000E0895">
            <w:pPr>
              <w:spacing w:line="240" w:lineRule="auto"/>
              <w:jc w:val="right"/>
              <w:rPr>
                <w:rFonts w:cs="Arial"/>
                <w:lang w:eastAsia="en-AU"/>
              </w:rPr>
            </w:pPr>
            <w:r>
              <w:rPr>
                <w:rFonts w:cs="Arial"/>
              </w:rPr>
              <w:t>2</w:t>
            </w:r>
          </w:p>
        </w:tc>
        <w:tc>
          <w:tcPr>
            <w:tcW w:w="849" w:type="dxa"/>
            <w:tcBorders>
              <w:top w:val="single" w:sz="4" w:space="0" w:color="auto"/>
              <w:left w:val="nil"/>
              <w:bottom w:val="single" w:sz="4" w:space="0" w:color="auto"/>
              <w:right w:val="single" w:sz="4" w:space="0" w:color="auto"/>
            </w:tcBorders>
            <w:vAlign w:val="center"/>
          </w:tcPr>
          <w:p w14:paraId="37F1A4A0" w14:textId="644A0104" w:rsidR="000E0895" w:rsidRPr="003D78AF" w:rsidRDefault="000E0895" w:rsidP="000E0895">
            <w:pPr>
              <w:spacing w:line="240" w:lineRule="auto"/>
              <w:jc w:val="right"/>
              <w:rPr>
                <w:rFonts w:cs="Arial"/>
                <w:b/>
                <w:lang w:eastAsia="en-AU"/>
              </w:rPr>
            </w:pPr>
            <w:r>
              <w:rPr>
                <w:rFonts w:cs="Arial"/>
                <w:b/>
                <w:bCs/>
              </w:rPr>
              <w:t>6</w:t>
            </w:r>
          </w:p>
        </w:tc>
      </w:tr>
      <w:tr w:rsidR="000E0895" w:rsidRPr="00557E24" w14:paraId="3F20CE90"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0E0895" w:rsidRPr="00371BE2" w:rsidRDefault="000E0895" w:rsidP="000E0895">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76735EFB" w14:textId="0615D923" w:rsidR="000E0895" w:rsidRPr="003D78AF" w:rsidRDefault="000E0895" w:rsidP="000E0895">
            <w:pPr>
              <w:spacing w:line="240" w:lineRule="auto"/>
              <w:jc w:val="right"/>
              <w:rPr>
                <w:rFonts w:cs="Arial"/>
                <w:b/>
                <w:lang w:eastAsia="en-AU"/>
              </w:rPr>
            </w:pPr>
            <w:r>
              <w:rPr>
                <w:rFonts w:cs="Arial"/>
                <w:b/>
                <w:bCs/>
              </w:rPr>
              <w:t>577</w:t>
            </w:r>
          </w:p>
        </w:tc>
        <w:tc>
          <w:tcPr>
            <w:tcW w:w="850" w:type="dxa"/>
            <w:tcBorders>
              <w:top w:val="single" w:sz="4" w:space="0" w:color="auto"/>
              <w:left w:val="nil"/>
              <w:bottom w:val="single" w:sz="4" w:space="0" w:color="auto"/>
              <w:right w:val="single" w:sz="4" w:space="0" w:color="auto"/>
            </w:tcBorders>
            <w:shd w:val="clear" w:color="auto" w:fill="auto"/>
            <w:vAlign w:val="center"/>
          </w:tcPr>
          <w:p w14:paraId="430FC376" w14:textId="0F37CFA9" w:rsidR="000E0895" w:rsidRPr="003D78AF" w:rsidRDefault="000E0895" w:rsidP="000E0895">
            <w:pPr>
              <w:spacing w:line="240" w:lineRule="auto"/>
              <w:jc w:val="right"/>
              <w:rPr>
                <w:rFonts w:cs="Arial"/>
                <w:b/>
                <w:lang w:eastAsia="en-AU"/>
              </w:rPr>
            </w:pPr>
            <w:r>
              <w:rPr>
                <w:rFonts w:cs="Arial"/>
                <w:b/>
                <w:bCs/>
              </w:rPr>
              <w:t>68</w:t>
            </w:r>
          </w:p>
        </w:tc>
        <w:tc>
          <w:tcPr>
            <w:tcW w:w="779" w:type="dxa"/>
            <w:tcBorders>
              <w:top w:val="single" w:sz="4" w:space="0" w:color="auto"/>
              <w:left w:val="nil"/>
              <w:bottom w:val="single" w:sz="4" w:space="0" w:color="auto"/>
              <w:right w:val="single" w:sz="4" w:space="0" w:color="auto"/>
            </w:tcBorders>
            <w:vAlign w:val="center"/>
          </w:tcPr>
          <w:p w14:paraId="4ECA5E82" w14:textId="6B2645DB" w:rsidR="000E0895" w:rsidRPr="003D78AF" w:rsidRDefault="000E0895" w:rsidP="000E0895">
            <w:pPr>
              <w:spacing w:line="240" w:lineRule="auto"/>
              <w:jc w:val="right"/>
              <w:rPr>
                <w:rFonts w:cs="Arial"/>
                <w:b/>
                <w:lang w:eastAsia="en-AU"/>
              </w:rPr>
            </w:pPr>
            <w:r>
              <w:rPr>
                <w:rFonts w:cs="Arial"/>
                <w:b/>
                <w:bCs/>
              </w:rPr>
              <w:t>407</w:t>
            </w:r>
          </w:p>
        </w:tc>
        <w:tc>
          <w:tcPr>
            <w:tcW w:w="643" w:type="dxa"/>
            <w:tcBorders>
              <w:top w:val="single" w:sz="4" w:space="0" w:color="auto"/>
              <w:left w:val="nil"/>
              <w:bottom w:val="single" w:sz="4" w:space="0" w:color="auto"/>
              <w:right w:val="single" w:sz="4" w:space="0" w:color="auto"/>
            </w:tcBorders>
            <w:vAlign w:val="center"/>
          </w:tcPr>
          <w:p w14:paraId="4498767F" w14:textId="3652DCFE" w:rsidR="000E0895" w:rsidRPr="003D78AF" w:rsidRDefault="000E0895" w:rsidP="000E0895">
            <w:pPr>
              <w:spacing w:line="240" w:lineRule="auto"/>
              <w:jc w:val="right"/>
              <w:rPr>
                <w:rFonts w:cs="Arial"/>
                <w:b/>
                <w:lang w:eastAsia="en-AU"/>
              </w:rPr>
            </w:pPr>
            <w:r>
              <w:rPr>
                <w:rFonts w:cs="Arial"/>
                <w:b/>
                <w:bCs/>
              </w:rPr>
              <w:t>317</w:t>
            </w:r>
          </w:p>
        </w:tc>
        <w:tc>
          <w:tcPr>
            <w:tcW w:w="706" w:type="dxa"/>
            <w:tcBorders>
              <w:top w:val="single" w:sz="4" w:space="0" w:color="auto"/>
              <w:left w:val="nil"/>
              <w:bottom w:val="single" w:sz="4" w:space="0" w:color="auto"/>
              <w:right w:val="single" w:sz="4" w:space="0" w:color="auto"/>
            </w:tcBorders>
            <w:vAlign w:val="center"/>
          </w:tcPr>
          <w:p w14:paraId="2806B4BD" w14:textId="23F4CE9F" w:rsidR="000E0895" w:rsidRPr="003D78AF" w:rsidRDefault="000E0895" w:rsidP="000E0895">
            <w:pPr>
              <w:spacing w:line="240" w:lineRule="auto"/>
              <w:jc w:val="right"/>
              <w:rPr>
                <w:rFonts w:cs="Arial"/>
                <w:b/>
                <w:lang w:eastAsia="en-AU"/>
              </w:rPr>
            </w:pPr>
            <w:r>
              <w:rPr>
                <w:rFonts w:cs="Arial"/>
                <w:b/>
                <w:bCs/>
              </w:rPr>
              <w:t>65</w:t>
            </w:r>
          </w:p>
        </w:tc>
        <w:tc>
          <w:tcPr>
            <w:tcW w:w="849" w:type="dxa"/>
            <w:tcBorders>
              <w:top w:val="single" w:sz="4" w:space="0" w:color="auto"/>
              <w:left w:val="nil"/>
              <w:bottom w:val="single" w:sz="4" w:space="0" w:color="auto"/>
              <w:right w:val="single" w:sz="4" w:space="0" w:color="auto"/>
            </w:tcBorders>
            <w:vAlign w:val="center"/>
          </w:tcPr>
          <w:p w14:paraId="24507EE5" w14:textId="01A77525" w:rsidR="000E0895" w:rsidRPr="003D78AF" w:rsidRDefault="000E0895" w:rsidP="000E0895">
            <w:pPr>
              <w:spacing w:line="240" w:lineRule="auto"/>
              <w:jc w:val="right"/>
              <w:rPr>
                <w:rFonts w:cs="Arial"/>
                <w:b/>
                <w:lang w:eastAsia="en-AU"/>
              </w:rPr>
            </w:pPr>
            <w:r>
              <w:rPr>
                <w:rFonts w:cs="Arial"/>
                <w:b/>
                <w:bCs/>
              </w:rPr>
              <w:t>1434</w:t>
            </w:r>
          </w:p>
        </w:tc>
      </w:tr>
    </w:tbl>
    <w:p w14:paraId="68A14D11" w14:textId="77777777" w:rsidR="00557E24" w:rsidRPr="003362C2" w:rsidRDefault="00557E24" w:rsidP="003362C2">
      <w:pPr>
        <w:tabs>
          <w:tab w:val="left" w:pos="1134"/>
        </w:tabs>
        <w:ind w:left="-142" w:right="-425"/>
        <w:jc w:val="both"/>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6A98137B" w14:textId="42F255C6"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 xml:space="preserve">Aurukun </w:t>
      </w:r>
      <w:r w:rsidR="00322C7B" w:rsidRPr="00106853">
        <w:rPr>
          <w:rFonts w:ascii="Verdana" w:hAnsi="Verdana" w:cs="Arial"/>
          <w:sz w:val="20"/>
          <w:szCs w:val="20"/>
        </w:rPr>
        <w:t xml:space="preserve">received </w:t>
      </w:r>
      <w:r w:rsidR="000E5FE8">
        <w:rPr>
          <w:rFonts w:ascii="Verdana" w:hAnsi="Verdana" w:cs="Arial"/>
          <w:sz w:val="20"/>
          <w:szCs w:val="20"/>
        </w:rPr>
        <w:t>577</w:t>
      </w:r>
      <w:r w:rsidR="000E5FE8" w:rsidRPr="00106853">
        <w:rPr>
          <w:rFonts w:ascii="Verdana" w:hAnsi="Verdana" w:cs="Arial"/>
          <w:sz w:val="20"/>
          <w:szCs w:val="20"/>
        </w:rPr>
        <w:t xml:space="preserve"> </w:t>
      </w:r>
      <w:r w:rsidRPr="00106853">
        <w:rPr>
          <w:rFonts w:ascii="Verdana" w:hAnsi="Verdana" w:cs="Arial"/>
          <w:sz w:val="20"/>
          <w:szCs w:val="20"/>
        </w:rPr>
        <w:t>notices</w:t>
      </w:r>
      <w:r w:rsidR="00FF69E4" w:rsidRPr="00106853">
        <w:rPr>
          <w:rFonts w:ascii="Verdana" w:hAnsi="Verdana" w:cs="Arial"/>
          <w:sz w:val="20"/>
          <w:szCs w:val="20"/>
        </w:rPr>
        <w:t xml:space="preserve"> relating to </w:t>
      </w:r>
      <w:r w:rsidR="005A3341">
        <w:rPr>
          <w:rFonts w:ascii="Verdana" w:hAnsi="Verdana" w:cs="Arial"/>
          <w:sz w:val="20"/>
          <w:szCs w:val="20"/>
        </w:rPr>
        <w:t>2</w:t>
      </w:r>
      <w:r w:rsidR="00EF3263">
        <w:rPr>
          <w:rFonts w:ascii="Verdana" w:hAnsi="Verdana" w:cs="Arial"/>
          <w:sz w:val="20"/>
          <w:szCs w:val="20"/>
        </w:rPr>
        <w:t>57</w:t>
      </w:r>
      <w:r w:rsidR="005A3341" w:rsidRPr="00106853">
        <w:rPr>
          <w:rFonts w:ascii="Verdana" w:hAnsi="Verdana" w:cs="Arial"/>
          <w:sz w:val="20"/>
          <w:szCs w:val="20"/>
        </w:rPr>
        <w:t xml:space="preserve"> </w:t>
      </w:r>
      <w:r w:rsidR="00FF69E4"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5A3341">
        <w:rPr>
          <w:rFonts w:ascii="Verdana" w:hAnsi="Verdana" w:cs="Arial"/>
          <w:sz w:val="20"/>
          <w:szCs w:val="20"/>
        </w:rPr>
        <w:t>15</w:t>
      </w:r>
      <w:r w:rsidR="000E5FE8">
        <w:rPr>
          <w:rFonts w:ascii="Verdana" w:hAnsi="Verdana" w:cs="Arial"/>
          <w:sz w:val="20"/>
          <w:szCs w:val="20"/>
        </w:rPr>
        <w:t>9</w:t>
      </w:r>
      <w:r w:rsidR="005A3341" w:rsidRPr="00106853">
        <w:rPr>
          <w:rFonts w:ascii="Verdana" w:hAnsi="Verdana" w:cs="Arial"/>
          <w:sz w:val="20"/>
          <w:szCs w:val="20"/>
        </w:rPr>
        <w:t xml:space="preserve"> </w:t>
      </w:r>
      <w:r w:rsidR="00490D4B" w:rsidRPr="00106853">
        <w:rPr>
          <w:rFonts w:ascii="Verdana" w:hAnsi="Verdana" w:cs="Arial"/>
          <w:sz w:val="20"/>
          <w:szCs w:val="20"/>
        </w:rPr>
        <w:t>female</w:t>
      </w:r>
      <w:r w:rsidR="004D219E" w:rsidRPr="00106853">
        <w:rPr>
          <w:rFonts w:ascii="Verdana" w:hAnsi="Verdana" w:cs="Arial"/>
          <w:sz w:val="20"/>
          <w:szCs w:val="20"/>
        </w:rPr>
        <w:t xml:space="preserve"> and </w:t>
      </w:r>
      <w:r w:rsidR="000E5FE8">
        <w:rPr>
          <w:rFonts w:ascii="Verdana" w:hAnsi="Verdana" w:cs="Arial"/>
          <w:sz w:val="20"/>
          <w:szCs w:val="20"/>
        </w:rPr>
        <w:t>98</w:t>
      </w:r>
      <w:r w:rsidR="000E5FE8"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6730507D" w14:textId="10D7EAD3"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 xml:space="preserve">Coen </w:t>
      </w:r>
      <w:r w:rsidR="00322C7B" w:rsidRPr="00106853">
        <w:rPr>
          <w:rFonts w:ascii="Verdana" w:hAnsi="Verdana" w:cs="Arial"/>
          <w:sz w:val="20"/>
          <w:szCs w:val="20"/>
        </w:rPr>
        <w:t xml:space="preserve">received </w:t>
      </w:r>
      <w:r w:rsidR="000E5FE8">
        <w:rPr>
          <w:rFonts w:ascii="Verdana" w:hAnsi="Verdana" w:cs="Arial"/>
          <w:sz w:val="20"/>
          <w:szCs w:val="20"/>
        </w:rPr>
        <w:t>68</w:t>
      </w:r>
      <w:r w:rsidR="000E5FE8"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0E5FE8">
        <w:rPr>
          <w:rFonts w:ascii="Verdana" w:hAnsi="Verdana" w:cs="Arial"/>
          <w:sz w:val="20"/>
          <w:szCs w:val="20"/>
        </w:rPr>
        <w:t>33</w:t>
      </w:r>
      <w:r w:rsidR="000E5FE8"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5A3341">
        <w:rPr>
          <w:rFonts w:ascii="Verdana" w:hAnsi="Verdana" w:cs="Arial"/>
          <w:sz w:val="20"/>
          <w:szCs w:val="20"/>
        </w:rPr>
        <w:t>1</w:t>
      </w:r>
      <w:r w:rsidR="000E5FE8">
        <w:rPr>
          <w:rFonts w:ascii="Verdana" w:hAnsi="Verdana" w:cs="Arial"/>
          <w:sz w:val="20"/>
          <w:szCs w:val="20"/>
        </w:rPr>
        <w:t>9</w:t>
      </w:r>
      <w:r w:rsidR="00763792"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0E5FE8">
        <w:rPr>
          <w:rFonts w:ascii="Verdana" w:hAnsi="Verdana" w:cs="Arial"/>
          <w:sz w:val="20"/>
          <w:szCs w:val="20"/>
        </w:rPr>
        <w:t>14</w:t>
      </w:r>
      <w:r w:rsidR="005A3341"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438CC073" w14:textId="70568D7B"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Doomadgee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0E5FE8">
        <w:rPr>
          <w:rFonts w:ascii="Verdana" w:hAnsi="Verdana" w:cs="Arial"/>
          <w:sz w:val="20"/>
          <w:szCs w:val="20"/>
        </w:rPr>
        <w:t>407</w:t>
      </w:r>
      <w:r w:rsidR="000E5FE8"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5A3341">
        <w:rPr>
          <w:rFonts w:ascii="Verdana" w:hAnsi="Verdana" w:cs="Arial"/>
          <w:sz w:val="20"/>
          <w:szCs w:val="20"/>
        </w:rPr>
        <w:t>2</w:t>
      </w:r>
      <w:r w:rsidR="000E5FE8">
        <w:rPr>
          <w:rFonts w:ascii="Verdana" w:hAnsi="Verdana" w:cs="Arial"/>
          <w:sz w:val="20"/>
          <w:szCs w:val="20"/>
        </w:rPr>
        <w:t>24</w:t>
      </w:r>
      <w:r w:rsidR="005A3341"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5A3341">
        <w:rPr>
          <w:rFonts w:ascii="Verdana" w:hAnsi="Verdana" w:cs="Arial"/>
          <w:sz w:val="20"/>
          <w:szCs w:val="20"/>
        </w:rPr>
        <w:t>16</w:t>
      </w:r>
      <w:r w:rsidR="000E5FE8">
        <w:rPr>
          <w:rFonts w:ascii="Verdana" w:hAnsi="Verdana" w:cs="Arial"/>
          <w:sz w:val="20"/>
          <w:szCs w:val="20"/>
        </w:rPr>
        <w:t>3</w:t>
      </w:r>
      <w:r w:rsidR="005A3341"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0E5FE8">
        <w:rPr>
          <w:rFonts w:ascii="Verdana" w:hAnsi="Verdana" w:cs="Arial"/>
          <w:sz w:val="20"/>
          <w:szCs w:val="20"/>
        </w:rPr>
        <w:t>61</w:t>
      </w:r>
      <w:r w:rsidR="000E5FE8"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09BFCAFB" w14:textId="67616F83"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Hope Vale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0E5FE8">
        <w:rPr>
          <w:rFonts w:ascii="Verdana" w:hAnsi="Verdana" w:cs="Arial"/>
          <w:sz w:val="20"/>
          <w:szCs w:val="20"/>
        </w:rPr>
        <w:t>317</w:t>
      </w:r>
      <w:r w:rsidR="000E5FE8"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5A3341">
        <w:rPr>
          <w:rFonts w:ascii="Verdana" w:hAnsi="Verdana" w:cs="Arial"/>
          <w:sz w:val="20"/>
          <w:szCs w:val="20"/>
        </w:rPr>
        <w:t>1</w:t>
      </w:r>
      <w:r w:rsidR="000E5FE8">
        <w:rPr>
          <w:rFonts w:ascii="Verdana" w:hAnsi="Verdana" w:cs="Arial"/>
          <w:sz w:val="20"/>
          <w:szCs w:val="20"/>
        </w:rPr>
        <w:t>73</w:t>
      </w:r>
      <w:r w:rsidR="005A3341"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0E5FE8">
        <w:rPr>
          <w:rFonts w:ascii="Verdana" w:hAnsi="Verdana" w:cs="Arial"/>
          <w:sz w:val="20"/>
          <w:szCs w:val="20"/>
        </w:rPr>
        <w:t>10</w:t>
      </w:r>
      <w:r w:rsidR="005A3341">
        <w:rPr>
          <w:rFonts w:ascii="Verdana" w:hAnsi="Verdana" w:cs="Arial"/>
          <w:sz w:val="20"/>
          <w:szCs w:val="20"/>
        </w:rPr>
        <w:t>2</w:t>
      </w:r>
      <w:r w:rsidR="005A3341"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0E5FE8">
        <w:rPr>
          <w:rFonts w:ascii="Verdana" w:hAnsi="Verdana" w:cs="Arial"/>
          <w:sz w:val="20"/>
          <w:szCs w:val="20"/>
        </w:rPr>
        <w:t>71</w:t>
      </w:r>
      <w:r w:rsidR="000E5FE8"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53DCC243" w14:textId="3C359EA1" w:rsidR="00F80FC4" w:rsidRPr="00106853" w:rsidRDefault="00214C68" w:rsidP="00D552BE">
      <w:pPr>
        <w:pStyle w:val="ListParagraph"/>
        <w:numPr>
          <w:ilvl w:val="0"/>
          <w:numId w:val="8"/>
        </w:numPr>
        <w:ind w:left="284" w:right="-425" w:hanging="357"/>
        <w:jc w:val="both"/>
        <w:rPr>
          <w:rFonts w:cs="Arial"/>
          <w:b/>
        </w:rPr>
      </w:pPr>
      <w:r w:rsidRPr="00106853">
        <w:rPr>
          <w:rFonts w:ascii="Verdana" w:hAnsi="Verdana" w:cs="Arial"/>
          <w:sz w:val="20"/>
          <w:szCs w:val="20"/>
        </w:rPr>
        <w:t>Mossman Gorge</w:t>
      </w:r>
      <w:r w:rsidR="00322C7B" w:rsidRPr="00106853">
        <w:rPr>
          <w:rFonts w:ascii="Verdana" w:hAnsi="Verdana" w:cs="Arial"/>
          <w:sz w:val="20"/>
          <w:szCs w:val="20"/>
        </w:rPr>
        <w:t xml:space="preserve"> received </w:t>
      </w:r>
      <w:r w:rsidR="000E5FE8">
        <w:rPr>
          <w:rFonts w:ascii="Verdana" w:hAnsi="Verdana" w:cs="Arial"/>
          <w:sz w:val="20"/>
          <w:szCs w:val="20"/>
        </w:rPr>
        <w:t>6</w:t>
      </w:r>
      <w:r w:rsidR="000E7C1E">
        <w:rPr>
          <w:rFonts w:ascii="Verdana" w:hAnsi="Verdana" w:cs="Arial"/>
          <w:sz w:val="20"/>
          <w:szCs w:val="20"/>
        </w:rPr>
        <w:t>5</w:t>
      </w:r>
      <w:r w:rsidR="000E7C1E"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0E5FE8">
        <w:rPr>
          <w:rFonts w:ascii="Verdana" w:hAnsi="Verdana" w:cs="Arial"/>
          <w:sz w:val="20"/>
          <w:szCs w:val="20"/>
        </w:rPr>
        <w:t>34</w:t>
      </w:r>
      <w:r w:rsidR="000E5FE8"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0E5FE8">
        <w:rPr>
          <w:rFonts w:ascii="Verdana" w:hAnsi="Verdana" w:cs="Arial"/>
          <w:sz w:val="20"/>
          <w:szCs w:val="20"/>
        </w:rPr>
        <w:t>20</w:t>
      </w:r>
      <w:r w:rsidR="000E5FE8"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0E5FE8">
        <w:rPr>
          <w:rFonts w:ascii="Verdana" w:hAnsi="Verdana" w:cs="Arial"/>
          <w:sz w:val="20"/>
          <w:szCs w:val="20"/>
        </w:rPr>
        <w:t>14</w:t>
      </w:r>
      <w:r w:rsidR="005A3341"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r w:rsidR="00490D4B" w:rsidRPr="00106853">
        <w:rPr>
          <w:rFonts w:ascii="Verdana" w:hAnsi="Verdana" w:cs="Arial"/>
          <w:sz w:val="20"/>
          <w:szCs w:val="20"/>
        </w:rPr>
        <w:t>.</w:t>
      </w:r>
    </w:p>
    <w:p w14:paraId="48607A65" w14:textId="77777777" w:rsidR="00322A26" w:rsidRDefault="00322A26" w:rsidP="005A5B78">
      <w:pPr>
        <w:ind w:left="-142" w:right="-425"/>
        <w:jc w:val="both"/>
        <w:rPr>
          <w:rFonts w:cs="Arial"/>
        </w:rPr>
      </w:pPr>
    </w:p>
    <w:p w14:paraId="5E52C06C" w14:textId="7DFECB51" w:rsidR="00893877" w:rsidRDefault="00893877" w:rsidP="00893877">
      <w:pPr>
        <w:ind w:left="-142" w:right="-425"/>
        <w:jc w:val="both"/>
        <w:rPr>
          <w:rFonts w:cs="Arial"/>
        </w:rPr>
      </w:pPr>
      <w:r>
        <w:rPr>
          <w:rFonts w:cs="Arial"/>
        </w:rPr>
        <w:t xml:space="preserve">For quarter </w:t>
      </w:r>
      <w:r w:rsidR="003E5FF1">
        <w:rPr>
          <w:rFonts w:cs="Arial"/>
        </w:rPr>
        <w:t>6</w:t>
      </w:r>
      <w:r w:rsidR="00EE7CC7">
        <w:rPr>
          <w:rFonts w:cs="Arial"/>
        </w:rPr>
        <w:t>1</w:t>
      </w:r>
      <w:r>
        <w:rPr>
          <w:rFonts w:cs="Arial"/>
        </w:rPr>
        <w:t>, 4</w:t>
      </w:r>
      <w:r w:rsidR="000E5FE8">
        <w:rPr>
          <w:rFonts w:cs="Arial"/>
        </w:rPr>
        <w:t>9</w:t>
      </w:r>
      <w:r w:rsidR="00DD36DF">
        <w:rPr>
          <w:rFonts w:cs="Arial"/>
        </w:rPr>
        <w:t>%</w:t>
      </w:r>
      <w:r>
        <w:rPr>
          <w:rFonts w:cs="Arial"/>
        </w:rPr>
        <w:t xml:space="preserve"> </w:t>
      </w:r>
      <w:r w:rsidRPr="004A208F">
        <w:rPr>
          <w:rFonts w:cs="Arial"/>
        </w:rPr>
        <w:t xml:space="preserve">of clients received more than one notice. Frequently this illustrates multiple child school absences for the one family, or multiple Magistrates Court notices relating to one incident. </w:t>
      </w:r>
      <w:r>
        <w:rPr>
          <w:rFonts w:cs="Arial"/>
        </w:rPr>
        <w:t xml:space="preserve">This may also be suggestive of the complexity of behaviours experienced by a significant proportion of our clients. </w:t>
      </w:r>
      <w:r w:rsidRPr="004A208F">
        <w:rPr>
          <w:rFonts w:cs="Arial"/>
        </w:rPr>
        <w:t xml:space="preserve">Conversely, </w:t>
      </w:r>
      <w:r>
        <w:rPr>
          <w:rFonts w:cs="Arial"/>
        </w:rPr>
        <w:t>it is important to note the majority of FRC clients (5</w:t>
      </w:r>
      <w:r w:rsidR="000E5FE8">
        <w:rPr>
          <w:rFonts w:cs="Arial"/>
        </w:rPr>
        <w:t>1</w:t>
      </w:r>
      <w:r w:rsidR="00DD36DF">
        <w:rPr>
          <w:rFonts w:cs="Arial"/>
        </w:rPr>
        <w:t>%</w:t>
      </w:r>
      <w:r>
        <w:rPr>
          <w:rFonts w:cs="Arial"/>
        </w:rPr>
        <w:t>)</w:t>
      </w:r>
      <w:r w:rsidRPr="004A208F">
        <w:rPr>
          <w:rFonts w:cs="Arial"/>
        </w:rPr>
        <w:t xml:space="preserve"> have received only one notice</w:t>
      </w:r>
      <w:r>
        <w:rPr>
          <w:rFonts w:cs="Arial"/>
        </w:rPr>
        <w:t xml:space="preserve"> during the reporting period. </w:t>
      </w:r>
      <w:r w:rsidR="005A3341">
        <w:rPr>
          <w:rFonts w:cs="Arial"/>
        </w:rPr>
        <w:t>Thirty-</w:t>
      </w:r>
      <w:r w:rsidR="000E5FE8">
        <w:rPr>
          <w:rFonts w:cs="Arial"/>
        </w:rPr>
        <w:t xml:space="preserve">four </w:t>
      </w:r>
      <w:r w:rsidRPr="00626560">
        <w:rPr>
          <w:rFonts w:cs="Arial"/>
        </w:rPr>
        <w:t>new</w:t>
      </w:r>
      <w:r>
        <w:rPr>
          <w:rFonts w:cs="Arial"/>
        </w:rPr>
        <w:t xml:space="preserve"> clients were added to the Commission’s database during the quarter.</w:t>
      </w:r>
    </w:p>
    <w:p w14:paraId="57CAA822" w14:textId="77777777" w:rsidR="003362C2" w:rsidRDefault="003362C2">
      <w:pPr>
        <w:spacing w:line="240" w:lineRule="auto"/>
        <w:rPr>
          <w:rFonts w:cs="Arial"/>
        </w:rPr>
      </w:pPr>
      <w:r>
        <w:rPr>
          <w:rFonts w:cs="Arial"/>
        </w:rPr>
        <w:br w:type="page"/>
      </w:r>
    </w:p>
    <w:p w14:paraId="326AC90C" w14:textId="74CC2C41" w:rsidR="005A5B78" w:rsidRPr="0071779E" w:rsidRDefault="00224573" w:rsidP="0071779E">
      <w:pPr>
        <w:spacing w:after="120" w:line="240" w:lineRule="auto"/>
        <w:ind w:left="-142" w:right="-425"/>
        <w:rPr>
          <w:bCs/>
          <w:sz w:val="16"/>
          <w:szCs w:val="16"/>
        </w:rPr>
      </w:pPr>
      <w:r w:rsidRPr="003362C2">
        <w:rPr>
          <w:b/>
          <w:sz w:val="16"/>
          <w:szCs w:val="16"/>
        </w:rPr>
        <w:lastRenderedPageBreak/>
        <w:t>Table 10</w:t>
      </w:r>
      <w:r w:rsidR="005A5B78" w:rsidRPr="003362C2">
        <w:rPr>
          <w:b/>
          <w:sz w:val="16"/>
          <w:szCs w:val="16"/>
        </w:rPr>
        <w:t xml:space="preserve">: </w:t>
      </w:r>
      <w:r w:rsidR="00CF12D1" w:rsidRPr="0071779E">
        <w:rPr>
          <w:bCs/>
          <w:sz w:val="16"/>
          <w:szCs w:val="16"/>
        </w:rPr>
        <w:t>Notices i</w:t>
      </w:r>
      <w:r w:rsidR="005A5B78" w:rsidRPr="0071779E">
        <w:rPr>
          <w:bCs/>
          <w:sz w:val="16"/>
          <w:szCs w:val="16"/>
        </w:rPr>
        <w:t xml:space="preserve">n jurisdiction by </w:t>
      </w:r>
      <w:r w:rsidR="003C76D8" w:rsidRPr="0071779E">
        <w:rPr>
          <w:bCs/>
          <w:sz w:val="16"/>
          <w:szCs w:val="16"/>
        </w:rPr>
        <w:t>type</w:t>
      </w:r>
      <w:r w:rsidR="005A5B78" w:rsidRPr="0071779E">
        <w:rPr>
          <w:bCs/>
          <w:sz w:val="16"/>
          <w:szCs w:val="16"/>
        </w:rPr>
        <w:t xml:space="preserve"> and quarter </w:t>
      </w:r>
      <w:r w:rsidR="007B7E78" w:rsidRPr="0071779E">
        <w:rPr>
          <w:bCs/>
          <w:sz w:val="16"/>
          <w:szCs w:val="16"/>
        </w:rPr>
        <w:t xml:space="preserve">1 </w:t>
      </w:r>
      <w:r w:rsidR="000850EB" w:rsidRPr="0071779E">
        <w:rPr>
          <w:bCs/>
          <w:sz w:val="16"/>
          <w:szCs w:val="16"/>
        </w:rPr>
        <w:t xml:space="preserve">July </w:t>
      </w:r>
      <w:r w:rsidR="003C708C" w:rsidRPr="0071779E">
        <w:rPr>
          <w:bCs/>
          <w:sz w:val="16"/>
          <w:szCs w:val="16"/>
        </w:rPr>
        <w:t>2022</w:t>
      </w:r>
      <w:r w:rsidR="00A41820" w:rsidRPr="0071779E">
        <w:rPr>
          <w:bCs/>
          <w:sz w:val="16"/>
          <w:szCs w:val="16"/>
        </w:rPr>
        <w:t xml:space="preserve"> to </w:t>
      </w:r>
      <w:r w:rsidR="007B7E78" w:rsidRPr="0071779E">
        <w:rPr>
          <w:bCs/>
          <w:sz w:val="16"/>
          <w:szCs w:val="16"/>
        </w:rPr>
        <w:t>3</w:t>
      </w:r>
      <w:r w:rsidR="003E5FF1" w:rsidRPr="0071779E">
        <w:rPr>
          <w:bCs/>
          <w:sz w:val="16"/>
          <w:szCs w:val="16"/>
        </w:rPr>
        <w:t xml:space="preserve">0 </w:t>
      </w:r>
      <w:r w:rsidR="000850EB" w:rsidRPr="0071779E">
        <w:rPr>
          <w:bCs/>
          <w:sz w:val="16"/>
          <w:szCs w:val="16"/>
        </w:rPr>
        <w:t xml:space="preserve">September </w:t>
      </w:r>
      <w:r w:rsidR="00984BBB" w:rsidRPr="0071779E">
        <w:rPr>
          <w:bCs/>
          <w:sz w:val="16"/>
          <w:szCs w:val="16"/>
        </w:rPr>
        <w:t>2023</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224573" w:rsidRPr="0093030B" w14:paraId="0400D6A2" w14:textId="77777777" w:rsidTr="0010294B">
        <w:trPr>
          <w:trHeight w:val="480"/>
        </w:trPr>
        <w:tc>
          <w:tcPr>
            <w:tcW w:w="3460" w:type="dxa"/>
            <w:tcBorders>
              <w:top w:val="single" w:sz="4" w:space="0" w:color="auto"/>
              <w:left w:val="single" w:sz="4" w:space="0" w:color="auto"/>
              <w:bottom w:val="single" w:sz="4" w:space="0" w:color="auto"/>
              <w:right w:val="single" w:sz="4" w:space="0" w:color="auto"/>
            </w:tcBorders>
            <w:hideMark/>
          </w:tcPr>
          <w:p w14:paraId="08AFAFA1" w14:textId="77777777" w:rsidR="00224573" w:rsidRPr="0093030B" w:rsidRDefault="00224573" w:rsidP="0010294B">
            <w:pPr>
              <w:pStyle w:val="TableText"/>
              <w:ind w:left="49"/>
              <w:rPr>
                <w:b/>
                <w:lang w:eastAsia="en-AU"/>
              </w:rPr>
            </w:pPr>
            <w:bookmarkStart w:id="19" w:name="_Hlk158965504"/>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56F17A38" w14:textId="77777777" w:rsidR="00224573" w:rsidRDefault="00224573" w:rsidP="0010294B">
            <w:pPr>
              <w:pStyle w:val="TableText"/>
              <w:jc w:val="right"/>
              <w:rPr>
                <w:b/>
                <w:lang w:eastAsia="en-AU"/>
              </w:rPr>
            </w:pPr>
            <w:r>
              <w:rPr>
                <w:b/>
                <w:lang w:eastAsia="en-AU"/>
              </w:rPr>
              <w:t>Qtr 57</w:t>
            </w:r>
          </w:p>
        </w:tc>
        <w:tc>
          <w:tcPr>
            <w:tcW w:w="1012" w:type="dxa"/>
            <w:tcBorders>
              <w:top w:val="single" w:sz="4" w:space="0" w:color="auto"/>
              <w:left w:val="nil"/>
              <w:bottom w:val="single" w:sz="4" w:space="0" w:color="auto"/>
              <w:right w:val="single" w:sz="4" w:space="0" w:color="auto"/>
            </w:tcBorders>
          </w:tcPr>
          <w:p w14:paraId="08EAA22B" w14:textId="77777777" w:rsidR="00224573" w:rsidRDefault="00224573" w:rsidP="0010294B">
            <w:pPr>
              <w:pStyle w:val="TableText"/>
              <w:jc w:val="right"/>
              <w:rPr>
                <w:b/>
                <w:lang w:eastAsia="en-AU"/>
              </w:rPr>
            </w:pPr>
            <w:r>
              <w:rPr>
                <w:b/>
                <w:lang w:eastAsia="en-AU"/>
              </w:rPr>
              <w:t>Qtr 58</w:t>
            </w:r>
          </w:p>
        </w:tc>
        <w:tc>
          <w:tcPr>
            <w:tcW w:w="1012" w:type="dxa"/>
            <w:tcBorders>
              <w:top w:val="single" w:sz="4" w:space="0" w:color="auto"/>
              <w:left w:val="nil"/>
              <w:bottom w:val="single" w:sz="4" w:space="0" w:color="auto"/>
              <w:right w:val="single" w:sz="4" w:space="0" w:color="auto"/>
            </w:tcBorders>
          </w:tcPr>
          <w:p w14:paraId="2C5C0DB6" w14:textId="77777777" w:rsidR="00224573" w:rsidRDefault="00224573" w:rsidP="0010294B">
            <w:pPr>
              <w:pStyle w:val="TableText"/>
              <w:jc w:val="right"/>
              <w:rPr>
                <w:b/>
                <w:lang w:eastAsia="en-AU"/>
              </w:rPr>
            </w:pPr>
            <w:r>
              <w:rPr>
                <w:b/>
                <w:lang w:eastAsia="en-AU"/>
              </w:rPr>
              <w:t>Qtr 59</w:t>
            </w:r>
          </w:p>
        </w:tc>
        <w:tc>
          <w:tcPr>
            <w:tcW w:w="1012" w:type="dxa"/>
            <w:tcBorders>
              <w:top w:val="single" w:sz="4" w:space="0" w:color="auto"/>
              <w:left w:val="nil"/>
              <w:bottom w:val="single" w:sz="4" w:space="0" w:color="auto"/>
              <w:right w:val="single" w:sz="4" w:space="0" w:color="auto"/>
            </w:tcBorders>
          </w:tcPr>
          <w:p w14:paraId="6286BA89" w14:textId="77777777" w:rsidR="00224573" w:rsidRDefault="00224573" w:rsidP="0010294B">
            <w:pPr>
              <w:pStyle w:val="TableText"/>
              <w:jc w:val="right"/>
              <w:rPr>
                <w:b/>
                <w:lang w:eastAsia="en-AU"/>
              </w:rPr>
            </w:pPr>
            <w:r>
              <w:rPr>
                <w:b/>
                <w:lang w:eastAsia="en-AU"/>
              </w:rPr>
              <w:t>Qtr 60</w:t>
            </w:r>
          </w:p>
        </w:tc>
        <w:tc>
          <w:tcPr>
            <w:tcW w:w="1012" w:type="dxa"/>
            <w:tcBorders>
              <w:top w:val="single" w:sz="4" w:space="0" w:color="auto"/>
              <w:left w:val="nil"/>
              <w:bottom w:val="single" w:sz="4" w:space="0" w:color="auto"/>
              <w:right w:val="single" w:sz="4" w:space="0" w:color="auto"/>
            </w:tcBorders>
          </w:tcPr>
          <w:p w14:paraId="65AEF52E" w14:textId="77777777" w:rsidR="00224573" w:rsidRDefault="00224573" w:rsidP="0010294B">
            <w:pPr>
              <w:pStyle w:val="TableText"/>
              <w:jc w:val="right"/>
              <w:rPr>
                <w:b/>
                <w:lang w:eastAsia="en-AU"/>
              </w:rPr>
            </w:pPr>
            <w:r>
              <w:rPr>
                <w:rFonts w:cs="Arial"/>
                <w:b/>
                <w:bCs/>
              </w:rPr>
              <w:t>Qtr 61</w:t>
            </w:r>
          </w:p>
        </w:tc>
      </w:tr>
      <w:tr w:rsidR="00224573" w:rsidRPr="0093030B" w14:paraId="01BEDD2F"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2F36AE10" w14:textId="77777777" w:rsidR="00224573" w:rsidRDefault="00224573" w:rsidP="0010294B">
            <w:pPr>
              <w:pStyle w:val="TableText"/>
              <w:ind w:left="49"/>
              <w:rPr>
                <w:lang w:eastAsia="en-AU"/>
              </w:rPr>
            </w:pPr>
            <w:r>
              <w:rPr>
                <w:lang w:eastAsia="en-AU"/>
              </w:rPr>
              <w:t>Supreme Court</w:t>
            </w:r>
          </w:p>
        </w:tc>
        <w:tc>
          <w:tcPr>
            <w:tcW w:w="1012" w:type="dxa"/>
            <w:tcBorders>
              <w:top w:val="nil"/>
              <w:left w:val="nil"/>
              <w:bottom w:val="single" w:sz="4" w:space="0" w:color="auto"/>
              <w:right w:val="single" w:sz="4" w:space="0" w:color="auto"/>
            </w:tcBorders>
          </w:tcPr>
          <w:p w14:paraId="5FC071E7" w14:textId="77777777" w:rsidR="00224573" w:rsidRDefault="00224573" w:rsidP="0010294B">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74DE9FCE" w14:textId="77777777" w:rsidR="00224573" w:rsidRDefault="00224573" w:rsidP="0010294B">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1BA58977" w14:textId="77777777" w:rsidR="00224573" w:rsidRDefault="00224573" w:rsidP="0010294B">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389755CD" w14:textId="77777777" w:rsidR="00224573" w:rsidRDefault="00224573" w:rsidP="0010294B">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20C35C76" w14:textId="77777777" w:rsidR="00224573" w:rsidRDefault="00224573" w:rsidP="0010294B">
            <w:pPr>
              <w:jc w:val="right"/>
              <w:rPr>
                <w:rFonts w:cs="Arial"/>
              </w:rPr>
            </w:pPr>
            <w:r>
              <w:rPr>
                <w:rFonts w:cs="Arial"/>
              </w:rPr>
              <w:t>0</w:t>
            </w:r>
          </w:p>
        </w:tc>
      </w:tr>
      <w:tr w:rsidR="00224573" w:rsidRPr="0093030B" w14:paraId="254647D5"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1237FE0A" w14:textId="77777777" w:rsidR="00224573" w:rsidRPr="0093030B" w:rsidRDefault="00224573" w:rsidP="0010294B">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09196E53" w14:textId="77777777" w:rsidR="00224573" w:rsidRDefault="00224573" w:rsidP="0010294B">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2FAA2279" w14:textId="77777777" w:rsidR="00224573" w:rsidRDefault="00224573" w:rsidP="0010294B">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2CF937E7" w14:textId="77777777" w:rsidR="00224573" w:rsidRDefault="00224573" w:rsidP="0010294B">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6FE25861" w14:textId="77777777" w:rsidR="00224573" w:rsidRDefault="00224573" w:rsidP="0010294B">
            <w:pPr>
              <w:jc w:val="right"/>
              <w:rPr>
                <w:rFonts w:cs="Arial"/>
              </w:rPr>
            </w:pPr>
            <w:r>
              <w:rPr>
                <w:rFonts w:cs="Arial"/>
              </w:rPr>
              <w:t>6</w:t>
            </w:r>
          </w:p>
        </w:tc>
        <w:tc>
          <w:tcPr>
            <w:tcW w:w="1012" w:type="dxa"/>
            <w:tcBorders>
              <w:top w:val="nil"/>
              <w:left w:val="nil"/>
              <w:bottom w:val="single" w:sz="4" w:space="0" w:color="auto"/>
              <w:right w:val="single" w:sz="4" w:space="0" w:color="auto"/>
            </w:tcBorders>
          </w:tcPr>
          <w:p w14:paraId="59657BAB" w14:textId="77777777" w:rsidR="00224573" w:rsidRDefault="00224573" w:rsidP="0010294B">
            <w:pPr>
              <w:jc w:val="right"/>
              <w:rPr>
                <w:rFonts w:cs="Arial"/>
              </w:rPr>
            </w:pPr>
            <w:r>
              <w:rPr>
                <w:rFonts w:cs="Arial"/>
              </w:rPr>
              <w:t>2</w:t>
            </w:r>
          </w:p>
        </w:tc>
      </w:tr>
      <w:tr w:rsidR="00224573" w:rsidRPr="0093030B" w14:paraId="2BD629CC"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hideMark/>
          </w:tcPr>
          <w:p w14:paraId="143E81C3" w14:textId="77777777" w:rsidR="00224573" w:rsidRPr="0093030B" w:rsidRDefault="00224573" w:rsidP="0010294B">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3D04BEFA" w14:textId="77777777" w:rsidR="00224573" w:rsidRDefault="00224573" w:rsidP="0010294B">
            <w:pPr>
              <w:jc w:val="right"/>
              <w:rPr>
                <w:rFonts w:cs="Arial"/>
              </w:rPr>
            </w:pPr>
            <w:r>
              <w:rPr>
                <w:rFonts w:cs="Arial"/>
              </w:rPr>
              <w:t>333</w:t>
            </w:r>
          </w:p>
        </w:tc>
        <w:tc>
          <w:tcPr>
            <w:tcW w:w="1012" w:type="dxa"/>
            <w:tcBorders>
              <w:top w:val="nil"/>
              <w:left w:val="nil"/>
              <w:bottom w:val="single" w:sz="4" w:space="0" w:color="auto"/>
              <w:right w:val="single" w:sz="4" w:space="0" w:color="auto"/>
            </w:tcBorders>
          </w:tcPr>
          <w:p w14:paraId="7A1F4BF1" w14:textId="77777777" w:rsidR="00224573" w:rsidRDefault="00224573" w:rsidP="0010294B">
            <w:pPr>
              <w:jc w:val="right"/>
              <w:rPr>
                <w:rFonts w:cs="Arial"/>
              </w:rPr>
            </w:pPr>
            <w:r>
              <w:rPr>
                <w:rFonts w:cs="Arial"/>
              </w:rPr>
              <w:t>269</w:t>
            </w:r>
          </w:p>
        </w:tc>
        <w:tc>
          <w:tcPr>
            <w:tcW w:w="1012" w:type="dxa"/>
            <w:tcBorders>
              <w:top w:val="nil"/>
              <w:left w:val="nil"/>
              <w:bottom w:val="single" w:sz="4" w:space="0" w:color="auto"/>
              <w:right w:val="single" w:sz="4" w:space="0" w:color="auto"/>
            </w:tcBorders>
          </w:tcPr>
          <w:p w14:paraId="1DB15590" w14:textId="77777777" w:rsidR="00224573" w:rsidRDefault="00224573" w:rsidP="0010294B">
            <w:pPr>
              <w:jc w:val="right"/>
              <w:rPr>
                <w:rFonts w:cs="Arial"/>
              </w:rPr>
            </w:pPr>
            <w:r>
              <w:rPr>
                <w:rFonts w:cs="Arial"/>
              </w:rPr>
              <w:t>554</w:t>
            </w:r>
          </w:p>
        </w:tc>
        <w:tc>
          <w:tcPr>
            <w:tcW w:w="1012" w:type="dxa"/>
            <w:tcBorders>
              <w:top w:val="nil"/>
              <w:left w:val="nil"/>
              <w:bottom w:val="single" w:sz="4" w:space="0" w:color="auto"/>
              <w:right w:val="single" w:sz="4" w:space="0" w:color="auto"/>
            </w:tcBorders>
          </w:tcPr>
          <w:p w14:paraId="372C3647" w14:textId="77777777" w:rsidR="00224573" w:rsidRDefault="00224573" w:rsidP="0010294B">
            <w:pPr>
              <w:jc w:val="right"/>
              <w:rPr>
                <w:rFonts w:cs="Arial"/>
              </w:rPr>
            </w:pPr>
            <w:r>
              <w:rPr>
                <w:rFonts w:cs="Arial"/>
              </w:rPr>
              <w:t>416</w:t>
            </w:r>
          </w:p>
        </w:tc>
        <w:tc>
          <w:tcPr>
            <w:tcW w:w="1012" w:type="dxa"/>
            <w:tcBorders>
              <w:top w:val="nil"/>
              <w:left w:val="nil"/>
              <w:bottom w:val="single" w:sz="4" w:space="0" w:color="auto"/>
              <w:right w:val="single" w:sz="4" w:space="0" w:color="auto"/>
            </w:tcBorders>
          </w:tcPr>
          <w:p w14:paraId="362B07C7" w14:textId="77777777" w:rsidR="00224573" w:rsidRDefault="00224573" w:rsidP="0010294B">
            <w:pPr>
              <w:jc w:val="right"/>
              <w:rPr>
                <w:rFonts w:cs="Arial"/>
              </w:rPr>
            </w:pPr>
            <w:r>
              <w:rPr>
                <w:rFonts w:cs="Arial"/>
              </w:rPr>
              <w:t>432</w:t>
            </w:r>
          </w:p>
        </w:tc>
      </w:tr>
      <w:tr w:rsidR="00224573" w:rsidRPr="0093030B" w14:paraId="5F9FF4E2"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520E3C0B" w14:textId="77777777" w:rsidR="00224573" w:rsidRPr="0093030B" w:rsidRDefault="00224573" w:rsidP="0010294B">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07225009" w14:textId="77777777" w:rsidR="00224573" w:rsidRDefault="00224573" w:rsidP="0010294B">
            <w:pPr>
              <w:jc w:val="right"/>
              <w:rPr>
                <w:rFonts w:cs="Arial"/>
              </w:rPr>
            </w:pPr>
            <w:r>
              <w:rPr>
                <w:rFonts w:cs="Arial"/>
              </w:rPr>
              <w:t>34</w:t>
            </w:r>
          </w:p>
        </w:tc>
        <w:tc>
          <w:tcPr>
            <w:tcW w:w="1012" w:type="dxa"/>
            <w:tcBorders>
              <w:top w:val="nil"/>
              <w:left w:val="nil"/>
              <w:bottom w:val="single" w:sz="4" w:space="0" w:color="auto"/>
              <w:right w:val="single" w:sz="4" w:space="0" w:color="auto"/>
            </w:tcBorders>
          </w:tcPr>
          <w:p w14:paraId="4A651B2C" w14:textId="77777777" w:rsidR="00224573" w:rsidRDefault="00224573" w:rsidP="0010294B">
            <w:pPr>
              <w:jc w:val="right"/>
              <w:rPr>
                <w:rFonts w:cs="Arial"/>
              </w:rPr>
            </w:pPr>
            <w:r>
              <w:rPr>
                <w:rFonts w:cs="Arial"/>
              </w:rPr>
              <w:t>41</w:t>
            </w:r>
          </w:p>
        </w:tc>
        <w:tc>
          <w:tcPr>
            <w:tcW w:w="1012" w:type="dxa"/>
            <w:tcBorders>
              <w:top w:val="nil"/>
              <w:left w:val="nil"/>
              <w:bottom w:val="single" w:sz="4" w:space="0" w:color="auto"/>
              <w:right w:val="single" w:sz="4" w:space="0" w:color="auto"/>
            </w:tcBorders>
          </w:tcPr>
          <w:p w14:paraId="23D03FC7" w14:textId="77777777" w:rsidR="00224573" w:rsidRDefault="00224573" w:rsidP="0010294B">
            <w:pPr>
              <w:jc w:val="right"/>
              <w:rPr>
                <w:rFonts w:cs="Arial"/>
              </w:rPr>
            </w:pPr>
            <w:r>
              <w:rPr>
                <w:rFonts w:cs="Arial"/>
              </w:rPr>
              <w:t>80</w:t>
            </w:r>
          </w:p>
        </w:tc>
        <w:tc>
          <w:tcPr>
            <w:tcW w:w="1012" w:type="dxa"/>
            <w:tcBorders>
              <w:top w:val="nil"/>
              <w:left w:val="nil"/>
              <w:bottom w:val="single" w:sz="4" w:space="0" w:color="auto"/>
              <w:right w:val="single" w:sz="4" w:space="0" w:color="auto"/>
            </w:tcBorders>
          </w:tcPr>
          <w:p w14:paraId="072B7223" w14:textId="77777777" w:rsidR="00224573" w:rsidRDefault="00224573" w:rsidP="0010294B">
            <w:pPr>
              <w:jc w:val="right"/>
              <w:rPr>
                <w:rFonts w:cs="Arial"/>
              </w:rPr>
            </w:pPr>
            <w:r>
              <w:rPr>
                <w:rFonts w:cs="Arial"/>
              </w:rPr>
              <w:t>44</w:t>
            </w:r>
          </w:p>
        </w:tc>
        <w:tc>
          <w:tcPr>
            <w:tcW w:w="1012" w:type="dxa"/>
            <w:tcBorders>
              <w:top w:val="nil"/>
              <w:left w:val="nil"/>
              <w:bottom w:val="single" w:sz="4" w:space="0" w:color="auto"/>
              <w:right w:val="single" w:sz="4" w:space="0" w:color="auto"/>
            </w:tcBorders>
          </w:tcPr>
          <w:p w14:paraId="28C66F13" w14:textId="77777777" w:rsidR="00224573" w:rsidRDefault="00224573" w:rsidP="0010294B">
            <w:pPr>
              <w:jc w:val="right"/>
              <w:rPr>
                <w:rFonts w:cs="Arial"/>
              </w:rPr>
            </w:pPr>
            <w:r>
              <w:rPr>
                <w:rFonts w:cs="Arial"/>
              </w:rPr>
              <w:t>47</w:t>
            </w:r>
          </w:p>
        </w:tc>
      </w:tr>
      <w:tr w:rsidR="00224573" w:rsidRPr="0093030B" w14:paraId="449C203A"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168258CC" w14:textId="77777777" w:rsidR="00224573" w:rsidRPr="0093030B" w:rsidRDefault="00224573" w:rsidP="0010294B">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219543A8" w14:textId="77777777" w:rsidR="00224573" w:rsidRDefault="00224573" w:rsidP="0010294B">
            <w:pPr>
              <w:jc w:val="right"/>
              <w:rPr>
                <w:rFonts w:cs="Arial"/>
              </w:rPr>
            </w:pPr>
            <w:r>
              <w:rPr>
                <w:rFonts w:cs="Arial"/>
              </w:rPr>
              <w:t>43</w:t>
            </w:r>
          </w:p>
        </w:tc>
        <w:tc>
          <w:tcPr>
            <w:tcW w:w="1012" w:type="dxa"/>
            <w:tcBorders>
              <w:top w:val="nil"/>
              <w:left w:val="nil"/>
              <w:bottom w:val="single" w:sz="4" w:space="0" w:color="auto"/>
              <w:right w:val="single" w:sz="4" w:space="0" w:color="auto"/>
            </w:tcBorders>
          </w:tcPr>
          <w:p w14:paraId="76514AB0" w14:textId="77777777" w:rsidR="00224573" w:rsidRDefault="00224573" w:rsidP="0010294B">
            <w:pPr>
              <w:jc w:val="right"/>
              <w:rPr>
                <w:rFonts w:cs="Arial"/>
              </w:rPr>
            </w:pPr>
            <w:r>
              <w:rPr>
                <w:rFonts w:cs="Arial"/>
              </w:rPr>
              <w:t>80</w:t>
            </w:r>
          </w:p>
        </w:tc>
        <w:tc>
          <w:tcPr>
            <w:tcW w:w="1012" w:type="dxa"/>
            <w:tcBorders>
              <w:top w:val="nil"/>
              <w:left w:val="nil"/>
              <w:bottom w:val="single" w:sz="4" w:space="0" w:color="auto"/>
              <w:right w:val="single" w:sz="4" w:space="0" w:color="auto"/>
            </w:tcBorders>
          </w:tcPr>
          <w:p w14:paraId="27AB26CB" w14:textId="77777777" w:rsidR="00224573" w:rsidRDefault="00224573" w:rsidP="0010294B">
            <w:pPr>
              <w:jc w:val="right"/>
              <w:rPr>
                <w:rFonts w:cs="Arial"/>
              </w:rPr>
            </w:pPr>
            <w:r>
              <w:rPr>
                <w:rFonts w:cs="Arial"/>
              </w:rPr>
              <w:t>104</w:t>
            </w:r>
          </w:p>
        </w:tc>
        <w:tc>
          <w:tcPr>
            <w:tcW w:w="1012" w:type="dxa"/>
            <w:tcBorders>
              <w:top w:val="nil"/>
              <w:left w:val="nil"/>
              <w:bottom w:val="single" w:sz="4" w:space="0" w:color="auto"/>
              <w:right w:val="single" w:sz="4" w:space="0" w:color="auto"/>
            </w:tcBorders>
          </w:tcPr>
          <w:p w14:paraId="6BFC001A" w14:textId="77777777" w:rsidR="00224573" w:rsidRDefault="00224573" w:rsidP="0010294B">
            <w:pPr>
              <w:jc w:val="right"/>
              <w:rPr>
                <w:rFonts w:cs="Arial"/>
              </w:rPr>
            </w:pPr>
            <w:r>
              <w:rPr>
                <w:rFonts w:cs="Arial"/>
              </w:rPr>
              <w:t>70</w:t>
            </w:r>
          </w:p>
        </w:tc>
        <w:tc>
          <w:tcPr>
            <w:tcW w:w="1012" w:type="dxa"/>
            <w:tcBorders>
              <w:top w:val="nil"/>
              <w:left w:val="nil"/>
              <w:bottom w:val="single" w:sz="4" w:space="0" w:color="auto"/>
              <w:right w:val="single" w:sz="4" w:space="0" w:color="auto"/>
            </w:tcBorders>
          </w:tcPr>
          <w:p w14:paraId="3D9CD4CA" w14:textId="77777777" w:rsidR="00224573" w:rsidRDefault="00224573" w:rsidP="0010294B">
            <w:pPr>
              <w:jc w:val="right"/>
              <w:rPr>
                <w:rFonts w:cs="Arial"/>
              </w:rPr>
            </w:pPr>
            <w:r>
              <w:rPr>
                <w:rFonts w:cs="Arial"/>
              </w:rPr>
              <w:t>51</w:t>
            </w:r>
          </w:p>
        </w:tc>
      </w:tr>
      <w:tr w:rsidR="00224573" w:rsidRPr="0093030B" w14:paraId="2CAAA329"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hideMark/>
          </w:tcPr>
          <w:p w14:paraId="348D188E" w14:textId="77777777" w:rsidR="00224573" w:rsidRPr="0093030B" w:rsidRDefault="00224573" w:rsidP="0010294B">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23F3BE01" w14:textId="77777777" w:rsidR="00224573" w:rsidRDefault="00224573" w:rsidP="0010294B">
            <w:pPr>
              <w:jc w:val="right"/>
              <w:rPr>
                <w:rFonts w:cs="Arial"/>
              </w:rPr>
            </w:pPr>
            <w:r>
              <w:rPr>
                <w:rFonts w:cs="Arial"/>
              </w:rPr>
              <w:t>539</w:t>
            </w:r>
          </w:p>
        </w:tc>
        <w:tc>
          <w:tcPr>
            <w:tcW w:w="1012" w:type="dxa"/>
            <w:tcBorders>
              <w:top w:val="nil"/>
              <w:left w:val="nil"/>
              <w:bottom w:val="single" w:sz="4" w:space="0" w:color="auto"/>
              <w:right w:val="single" w:sz="4" w:space="0" w:color="auto"/>
            </w:tcBorders>
          </w:tcPr>
          <w:p w14:paraId="58CCEB9A" w14:textId="77777777" w:rsidR="00224573" w:rsidRDefault="00224573" w:rsidP="0010294B">
            <w:pPr>
              <w:jc w:val="right"/>
              <w:rPr>
                <w:rFonts w:cs="Arial"/>
              </w:rPr>
            </w:pPr>
            <w:r>
              <w:rPr>
                <w:rFonts w:cs="Arial"/>
              </w:rPr>
              <w:t>731</w:t>
            </w:r>
          </w:p>
        </w:tc>
        <w:tc>
          <w:tcPr>
            <w:tcW w:w="1012" w:type="dxa"/>
            <w:tcBorders>
              <w:top w:val="nil"/>
              <w:left w:val="nil"/>
              <w:bottom w:val="single" w:sz="4" w:space="0" w:color="auto"/>
              <w:right w:val="single" w:sz="4" w:space="0" w:color="auto"/>
            </w:tcBorders>
          </w:tcPr>
          <w:p w14:paraId="48775879" w14:textId="77777777" w:rsidR="00224573" w:rsidRDefault="00224573" w:rsidP="0010294B">
            <w:pPr>
              <w:jc w:val="right"/>
              <w:rPr>
                <w:rFonts w:cs="Arial"/>
              </w:rPr>
            </w:pPr>
            <w:r>
              <w:rPr>
                <w:rFonts w:cs="Arial"/>
              </w:rPr>
              <w:t>751</w:t>
            </w:r>
          </w:p>
        </w:tc>
        <w:tc>
          <w:tcPr>
            <w:tcW w:w="1012" w:type="dxa"/>
            <w:tcBorders>
              <w:top w:val="nil"/>
              <w:left w:val="nil"/>
              <w:bottom w:val="single" w:sz="4" w:space="0" w:color="auto"/>
              <w:right w:val="single" w:sz="4" w:space="0" w:color="auto"/>
            </w:tcBorders>
          </w:tcPr>
          <w:p w14:paraId="2589F885" w14:textId="77777777" w:rsidR="00224573" w:rsidRDefault="00224573" w:rsidP="0010294B">
            <w:pPr>
              <w:jc w:val="right"/>
              <w:rPr>
                <w:rFonts w:cs="Arial"/>
              </w:rPr>
            </w:pPr>
            <w:r>
              <w:rPr>
                <w:rFonts w:cs="Arial"/>
              </w:rPr>
              <w:t>737</w:t>
            </w:r>
          </w:p>
        </w:tc>
        <w:tc>
          <w:tcPr>
            <w:tcW w:w="1012" w:type="dxa"/>
            <w:tcBorders>
              <w:top w:val="nil"/>
              <w:left w:val="nil"/>
              <w:bottom w:val="single" w:sz="4" w:space="0" w:color="auto"/>
              <w:right w:val="single" w:sz="4" w:space="0" w:color="auto"/>
            </w:tcBorders>
          </w:tcPr>
          <w:p w14:paraId="390FC2A2" w14:textId="77777777" w:rsidR="00224573" w:rsidRDefault="00224573" w:rsidP="0010294B">
            <w:pPr>
              <w:jc w:val="right"/>
              <w:rPr>
                <w:rFonts w:cs="Arial"/>
              </w:rPr>
            </w:pPr>
            <w:r>
              <w:rPr>
                <w:rFonts w:cs="Arial"/>
              </w:rPr>
              <w:t>745</w:t>
            </w:r>
          </w:p>
        </w:tc>
      </w:tr>
      <w:tr w:rsidR="00224573" w:rsidRPr="0093030B" w14:paraId="7D19B11A"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29421B5C" w14:textId="77777777" w:rsidR="00224573" w:rsidRPr="0093030B" w:rsidRDefault="00224573" w:rsidP="0010294B">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68206C7D" w14:textId="77777777" w:rsidR="00224573" w:rsidRDefault="00224573" w:rsidP="0010294B">
            <w:pPr>
              <w:jc w:val="right"/>
              <w:rPr>
                <w:rFonts w:cs="Arial"/>
              </w:rPr>
            </w:pPr>
            <w:r>
              <w:rPr>
                <w:rFonts w:cs="Arial"/>
              </w:rPr>
              <w:t>19</w:t>
            </w:r>
          </w:p>
        </w:tc>
        <w:tc>
          <w:tcPr>
            <w:tcW w:w="1012" w:type="dxa"/>
            <w:tcBorders>
              <w:top w:val="nil"/>
              <w:left w:val="nil"/>
              <w:bottom w:val="single" w:sz="4" w:space="0" w:color="auto"/>
              <w:right w:val="single" w:sz="4" w:space="0" w:color="auto"/>
            </w:tcBorders>
          </w:tcPr>
          <w:p w14:paraId="3EEEEFF8" w14:textId="77777777" w:rsidR="00224573" w:rsidRDefault="00224573" w:rsidP="0010294B">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6F78E0E5" w14:textId="77777777" w:rsidR="00224573" w:rsidRDefault="00224573" w:rsidP="0010294B">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0B58AF4D" w14:textId="77777777" w:rsidR="00224573" w:rsidRDefault="00224573" w:rsidP="0010294B">
            <w:pPr>
              <w:jc w:val="right"/>
              <w:rPr>
                <w:rFonts w:cs="Arial"/>
              </w:rPr>
            </w:pPr>
            <w:r>
              <w:rPr>
                <w:rFonts w:cs="Arial"/>
              </w:rPr>
              <w:t>8</w:t>
            </w:r>
          </w:p>
        </w:tc>
        <w:tc>
          <w:tcPr>
            <w:tcW w:w="1012" w:type="dxa"/>
            <w:tcBorders>
              <w:top w:val="nil"/>
              <w:left w:val="nil"/>
              <w:bottom w:val="single" w:sz="4" w:space="0" w:color="auto"/>
              <w:right w:val="single" w:sz="4" w:space="0" w:color="auto"/>
            </w:tcBorders>
          </w:tcPr>
          <w:p w14:paraId="6449C50F" w14:textId="77777777" w:rsidR="00224573" w:rsidRDefault="00224573" w:rsidP="0010294B">
            <w:pPr>
              <w:jc w:val="right"/>
              <w:rPr>
                <w:rFonts w:cs="Arial"/>
              </w:rPr>
            </w:pPr>
            <w:r>
              <w:rPr>
                <w:rFonts w:cs="Arial"/>
              </w:rPr>
              <w:t>1</w:t>
            </w:r>
          </w:p>
        </w:tc>
      </w:tr>
      <w:tr w:rsidR="00224573" w:rsidRPr="0093030B" w14:paraId="7E90B662"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hideMark/>
          </w:tcPr>
          <w:p w14:paraId="5DAC3EC9" w14:textId="77777777" w:rsidR="00224573" w:rsidRPr="0093030B" w:rsidRDefault="00224573" w:rsidP="0010294B">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33F1871A" w14:textId="77777777" w:rsidR="00224573" w:rsidRDefault="00224573" w:rsidP="0010294B">
            <w:pPr>
              <w:jc w:val="right"/>
              <w:rPr>
                <w:rFonts w:cs="Arial"/>
              </w:rPr>
            </w:pPr>
            <w:r>
              <w:rPr>
                <w:rFonts w:cs="Arial"/>
              </w:rPr>
              <w:t>85</w:t>
            </w:r>
          </w:p>
        </w:tc>
        <w:tc>
          <w:tcPr>
            <w:tcW w:w="1012" w:type="dxa"/>
            <w:tcBorders>
              <w:top w:val="nil"/>
              <w:left w:val="nil"/>
              <w:bottom w:val="single" w:sz="4" w:space="0" w:color="auto"/>
              <w:right w:val="single" w:sz="4" w:space="0" w:color="auto"/>
            </w:tcBorders>
          </w:tcPr>
          <w:p w14:paraId="53D8C15E" w14:textId="77777777" w:rsidR="00224573" w:rsidRDefault="00224573" w:rsidP="0010294B">
            <w:pPr>
              <w:jc w:val="right"/>
              <w:rPr>
                <w:rFonts w:cs="Arial"/>
              </w:rPr>
            </w:pPr>
            <w:r>
              <w:rPr>
                <w:rFonts w:cs="Arial"/>
              </w:rPr>
              <w:t>93</w:t>
            </w:r>
          </w:p>
        </w:tc>
        <w:tc>
          <w:tcPr>
            <w:tcW w:w="1012" w:type="dxa"/>
            <w:tcBorders>
              <w:top w:val="nil"/>
              <w:left w:val="nil"/>
              <w:bottom w:val="single" w:sz="4" w:space="0" w:color="auto"/>
              <w:right w:val="single" w:sz="4" w:space="0" w:color="auto"/>
            </w:tcBorders>
          </w:tcPr>
          <w:p w14:paraId="3D7F1395" w14:textId="77777777" w:rsidR="00224573" w:rsidRDefault="00224573" w:rsidP="0010294B">
            <w:pPr>
              <w:jc w:val="right"/>
              <w:rPr>
                <w:rFonts w:cs="Arial"/>
              </w:rPr>
            </w:pPr>
            <w:r>
              <w:rPr>
                <w:rFonts w:cs="Arial"/>
              </w:rPr>
              <w:t>117</w:t>
            </w:r>
          </w:p>
        </w:tc>
        <w:tc>
          <w:tcPr>
            <w:tcW w:w="1012" w:type="dxa"/>
            <w:tcBorders>
              <w:top w:val="nil"/>
              <w:left w:val="nil"/>
              <w:bottom w:val="single" w:sz="4" w:space="0" w:color="auto"/>
              <w:right w:val="single" w:sz="4" w:space="0" w:color="auto"/>
            </w:tcBorders>
          </w:tcPr>
          <w:p w14:paraId="4F1F0C33" w14:textId="77777777" w:rsidR="00224573" w:rsidRDefault="00224573" w:rsidP="0010294B">
            <w:pPr>
              <w:jc w:val="right"/>
              <w:rPr>
                <w:rFonts w:cs="Arial"/>
              </w:rPr>
            </w:pPr>
            <w:r>
              <w:rPr>
                <w:rFonts w:cs="Arial"/>
              </w:rPr>
              <w:t>125</w:t>
            </w:r>
          </w:p>
        </w:tc>
        <w:tc>
          <w:tcPr>
            <w:tcW w:w="1012" w:type="dxa"/>
            <w:tcBorders>
              <w:top w:val="nil"/>
              <w:left w:val="nil"/>
              <w:bottom w:val="single" w:sz="4" w:space="0" w:color="auto"/>
              <w:right w:val="single" w:sz="4" w:space="0" w:color="auto"/>
            </w:tcBorders>
          </w:tcPr>
          <w:p w14:paraId="7523EEE5" w14:textId="77777777" w:rsidR="00224573" w:rsidRDefault="00224573" w:rsidP="0010294B">
            <w:pPr>
              <w:jc w:val="right"/>
              <w:rPr>
                <w:rFonts w:cs="Arial"/>
              </w:rPr>
            </w:pPr>
            <w:r>
              <w:rPr>
                <w:rFonts w:cs="Arial"/>
              </w:rPr>
              <w:t>150</w:t>
            </w:r>
          </w:p>
        </w:tc>
      </w:tr>
      <w:tr w:rsidR="00224573" w:rsidRPr="0093030B" w14:paraId="0258A10F"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hideMark/>
          </w:tcPr>
          <w:p w14:paraId="10B1BCB9" w14:textId="77777777" w:rsidR="00224573" w:rsidRPr="0093030B" w:rsidRDefault="00224573" w:rsidP="0010294B">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0DA1C713" w14:textId="77777777" w:rsidR="00224573" w:rsidRDefault="00224573" w:rsidP="0010294B">
            <w:pPr>
              <w:jc w:val="right"/>
              <w:rPr>
                <w:rFonts w:cs="Arial"/>
              </w:rPr>
            </w:pPr>
            <w:r>
              <w:rPr>
                <w:rFonts w:cs="Arial"/>
              </w:rPr>
              <w:t>7</w:t>
            </w:r>
          </w:p>
        </w:tc>
        <w:tc>
          <w:tcPr>
            <w:tcW w:w="1012" w:type="dxa"/>
            <w:tcBorders>
              <w:top w:val="nil"/>
              <w:left w:val="nil"/>
              <w:bottom w:val="single" w:sz="4" w:space="0" w:color="auto"/>
              <w:right w:val="single" w:sz="4" w:space="0" w:color="auto"/>
            </w:tcBorders>
          </w:tcPr>
          <w:p w14:paraId="125ECA6B" w14:textId="77777777" w:rsidR="00224573" w:rsidRDefault="00224573" w:rsidP="0010294B">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59882C48" w14:textId="77777777" w:rsidR="00224573" w:rsidRDefault="00224573" w:rsidP="0010294B">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5817B5F3" w14:textId="77777777" w:rsidR="00224573" w:rsidRDefault="00224573" w:rsidP="0010294B">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20AC056B" w14:textId="77777777" w:rsidR="00224573" w:rsidRDefault="00224573" w:rsidP="0010294B">
            <w:pPr>
              <w:jc w:val="right"/>
              <w:rPr>
                <w:rFonts w:cs="Arial"/>
              </w:rPr>
            </w:pPr>
            <w:r>
              <w:rPr>
                <w:rFonts w:cs="Arial"/>
              </w:rPr>
              <w:t>6</w:t>
            </w:r>
          </w:p>
        </w:tc>
      </w:tr>
      <w:tr w:rsidR="00224573" w:rsidRPr="0093030B" w14:paraId="5C4F29C3" w14:textId="77777777" w:rsidTr="0010294B">
        <w:trPr>
          <w:trHeight w:val="255"/>
        </w:trPr>
        <w:tc>
          <w:tcPr>
            <w:tcW w:w="3460" w:type="dxa"/>
            <w:tcBorders>
              <w:top w:val="nil"/>
              <w:left w:val="single" w:sz="4" w:space="0" w:color="auto"/>
              <w:bottom w:val="single" w:sz="4" w:space="0" w:color="auto"/>
              <w:right w:val="single" w:sz="4" w:space="0" w:color="auto"/>
            </w:tcBorders>
            <w:noWrap/>
            <w:hideMark/>
          </w:tcPr>
          <w:p w14:paraId="1D275EFE" w14:textId="77777777" w:rsidR="00224573" w:rsidRPr="0093030B" w:rsidRDefault="00224573" w:rsidP="0010294B">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0A740601" w14:textId="77777777" w:rsidR="00224573" w:rsidRDefault="00224573" w:rsidP="0010294B">
            <w:pPr>
              <w:jc w:val="right"/>
              <w:rPr>
                <w:rFonts w:cs="Arial"/>
                <w:b/>
                <w:bCs/>
              </w:rPr>
            </w:pPr>
            <w:r>
              <w:rPr>
                <w:rFonts w:cs="Arial"/>
                <w:b/>
                <w:bCs/>
              </w:rPr>
              <w:t>1070</w:t>
            </w:r>
          </w:p>
        </w:tc>
        <w:tc>
          <w:tcPr>
            <w:tcW w:w="1012" w:type="dxa"/>
            <w:tcBorders>
              <w:top w:val="nil"/>
              <w:left w:val="nil"/>
              <w:bottom w:val="single" w:sz="4" w:space="0" w:color="auto"/>
              <w:right w:val="single" w:sz="4" w:space="0" w:color="auto"/>
            </w:tcBorders>
          </w:tcPr>
          <w:p w14:paraId="201702AC" w14:textId="77777777" w:rsidR="00224573" w:rsidRDefault="00224573" w:rsidP="0010294B">
            <w:pPr>
              <w:jc w:val="right"/>
              <w:rPr>
                <w:rFonts w:cs="Arial"/>
                <w:b/>
                <w:bCs/>
              </w:rPr>
            </w:pPr>
            <w:r>
              <w:rPr>
                <w:rFonts w:cs="Arial"/>
                <w:b/>
                <w:bCs/>
              </w:rPr>
              <w:t>1221</w:t>
            </w:r>
          </w:p>
        </w:tc>
        <w:tc>
          <w:tcPr>
            <w:tcW w:w="1012" w:type="dxa"/>
            <w:tcBorders>
              <w:top w:val="nil"/>
              <w:left w:val="nil"/>
              <w:bottom w:val="single" w:sz="4" w:space="0" w:color="auto"/>
              <w:right w:val="single" w:sz="4" w:space="0" w:color="auto"/>
            </w:tcBorders>
          </w:tcPr>
          <w:p w14:paraId="2DCE3DB4" w14:textId="77777777" w:rsidR="00224573" w:rsidRDefault="00224573" w:rsidP="0010294B">
            <w:pPr>
              <w:jc w:val="right"/>
              <w:rPr>
                <w:rFonts w:cs="Arial"/>
                <w:b/>
                <w:bCs/>
              </w:rPr>
            </w:pPr>
            <w:r>
              <w:rPr>
                <w:rFonts w:cs="Arial"/>
                <w:b/>
                <w:bCs/>
              </w:rPr>
              <w:t>1614</w:t>
            </w:r>
          </w:p>
        </w:tc>
        <w:tc>
          <w:tcPr>
            <w:tcW w:w="1012" w:type="dxa"/>
            <w:tcBorders>
              <w:top w:val="nil"/>
              <w:left w:val="nil"/>
              <w:bottom w:val="single" w:sz="4" w:space="0" w:color="auto"/>
              <w:right w:val="single" w:sz="4" w:space="0" w:color="auto"/>
            </w:tcBorders>
          </w:tcPr>
          <w:p w14:paraId="5C21E53A" w14:textId="77777777" w:rsidR="00224573" w:rsidRDefault="00224573" w:rsidP="0010294B">
            <w:pPr>
              <w:jc w:val="right"/>
              <w:rPr>
                <w:rFonts w:cs="Arial"/>
                <w:b/>
                <w:bCs/>
              </w:rPr>
            </w:pPr>
            <w:r>
              <w:rPr>
                <w:rFonts w:cs="Arial"/>
                <w:b/>
                <w:bCs/>
              </w:rPr>
              <w:t>1408</w:t>
            </w:r>
          </w:p>
        </w:tc>
        <w:tc>
          <w:tcPr>
            <w:tcW w:w="1012" w:type="dxa"/>
            <w:tcBorders>
              <w:top w:val="nil"/>
              <w:left w:val="nil"/>
              <w:bottom w:val="single" w:sz="4" w:space="0" w:color="auto"/>
              <w:right w:val="single" w:sz="4" w:space="0" w:color="auto"/>
            </w:tcBorders>
          </w:tcPr>
          <w:p w14:paraId="1B63BCD0" w14:textId="77777777" w:rsidR="00224573" w:rsidRDefault="00224573" w:rsidP="0010294B">
            <w:pPr>
              <w:jc w:val="right"/>
              <w:rPr>
                <w:rFonts w:cs="Arial"/>
                <w:b/>
                <w:bCs/>
              </w:rPr>
            </w:pPr>
            <w:r>
              <w:rPr>
                <w:rFonts w:cs="Arial"/>
                <w:b/>
                <w:bCs/>
              </w:rPr>
              <w:t>1434</w:t>
            </w:r>
          </w:p>
        </w:tc>
      </w:tr>
      <w:bookmarkEnd w:id="19"/>
    </w:tbl>
    <w:p w14:paraId="7CA6F375" w14:textId="1352221F" w:rsidR="00B93017" w:rsidRPr="0071779E" w:rsidRDefault="00B93017" w:rsidP="0071779E">
      <w:pPr>
        <w:ind w:left="-142" w:right="-425"/>
        <w:jc w:val="both"/>
        <w:rPr>
          <w:rFonts w:cs="Arial"/>
        </w:rPr>
      </w:pPr>
    </w:p>
    <w:p w14:paraId="2BD6D481" w14:textId="37EF7370" w:rsidR="005A5B78" w:rsidRDefault="00224573" w:rsidP="005A5B78">
      <w:pPr>
        <w:ind w:left="-142" w:right="-425"/>
        <w:rPr>
          <w:rFonts w:cs="Arial"/>
          <w:sz w:val="16"/>
          <w:szCs w:val="16"/>
        </w:rPr>
      </w:pPr>
      <w:r>
        <w:rPr>
          <w:rFonts w:cs="Arial"/>
          <w:b/>
          <w:sz w:val="16"/>
          <w:szCs w:val="16"/>
        </w:rPr>
        <w:t>Table 11</w:t>
      </w:r>
      <w:r w:rsidR="005A5B78" w:rsidRPr="00860212">
        <w:rPr>
          <w:rFonts w:cs="Arial"/>
          <w:b/>
          <w:sz w:val="16"/>
          <w:szCs w:val="16"/>
        </w:rPr>
        <w:t xml:space="preserve">: </w:t>
      </w:r>
      <w:r w:rsidR="00CF12D1">
        <w:rPr>
          <w:rFonts w:cs="Arial"/>
          <w:sz w:val="16"/>
          <w:szCs w:val="16"/>
        </w:rPr>
        <w:t>Notices i</w:t>
      </w:r>
      <w:r w:rsidR="005A5B78" w:rsidRPr="00D24CB4">
        <w:rPr>
          <w:rFonts w:cs="Arial"/>
          <w:sz w:val="16"/>
          <w:szCs w:val="16"/>
        </w:rPr>
        <w:t>n jurisdiction</w:t>
      </w:r>
      <w:r w:rsidR="005A5B78">
        <w:rPr>
          <w:rFonts w:cs="Arial"/>
          <w:b/>
          <w:sz w:val="16"/>
          <w:szCs w:val="16"/>
        </w:rPr>
        <w:t xml:space="preserve"> </w:t>
      </w:r>
      <w:r w:rsidR="005A5B78" w:rsidRPr="00901D09">
        <w:rPr>
          <w:rFonts w:cs="Arial"/>
          <w:sz w:val="16"/>
          <w:szCs w:val="16"/>
        </w:rPr>
        <w:t xml:space="preserve">by community and quarter </w:t>
      </w:r>
      <w:r w:rsidR="007B7E78">
        <w:rPr>
          <w:rFonts w:cs="Arial"/>
          <w:sz w:val="16"/>
          <w:szCs w:val="16"/>
        </w:rPr>
        <w:t xml:space="preserve">1 </w:t>
      </w:r>
      <w:r w:rsidR="000850EB">
        <w:rPr>
          <w:rFonts w:cs="Arial"/>
          <w:sz w:val="16"/>
          <w:szCs w:val="16"/>
        </w:rPr>
        <w:t xml:space="preserve">July </w:t>
      </w:r>
      <w:r w:rsidR="003C708C">
        <w:rPr>
          <w:rFonts w:cs="Arial"/>
          <w:sz w:val="16"/>
          <w:szCs w:val="16"/>
        </w:rPr>
        <w:t>2022</w:t>
      </w:r>
      <w:r w:rsidR="00A41820">
        <w:rPr>
          <w:rFonts w:cs="Arial"/>
          <w:sz w:val="16"/>
          <w:szCs w:val="16"/>
        </w:rPr>
        <w:t xml:space="preserve"> to </w:t>
      </w:r>
      <w:r w:rsidR="007B7E78">
        <w:rPr>
          <w:rFonts w:cs="Arial"/>
          <w:sz w:val="16"/>
          <w:szCs w:val="16"/>
        </w:rPr>
        <w:t>3</w:t>
      </w:r>
      <w:r w:rsidR="003E5FF1">
        <w:rPr>
          <w:rFonts w:cs="Arial"/>
          <w:sz w:val="16"/>
          <w:szCs w:val="16"/>
        </w:rPr>
        <w:t xml:space="preserve">0 </w:t>
      </w:r>
      <w:r w:rsidR="000850EB">
        <w:rPr>
          <w:rFonts w:cs="Arial"/>
          <w:sz w:val="16"/>
          <w:szCs w:val="16"/>
        </w:rPr>
        <w:t xml:space="preserve">September </w:t>
      </w:r>
      <w:r w:rsidR="00984BBB">
        <w:rPr>
          <w:rFonts w:cs="Arial"/>
          <w:sz w:val="16"/>
          <w:szCs w:val="16"/>
        </w:rPr>
        <w:t>2023</w:t>
      </w:r>
    </w:p>
    <w:p w14:paraId="7FBEA4B8" w14:textId="77777777" w:rsidR="00224573" w:rsidRDefault="00224573" w:rsidP="005A5B78">
      <w:pPr>
        <w:ind w:left="-142" w:right="-425"/>
        <w:rPr>
          <w:rFonts w:cs="Arial"/>
          <w:sz w:val="16"/>
          <w:szCs w:val="16"/>
        </w:rPr>
      </w:pP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224573" w:rsidRPr="0093030B" w14:paraId="12EE79C7" w14:textId="77777777" w:rsidTr="0010294B">
        <w:trPr>
          <w:trHeight w:val="480"/>
        </w:trPr>
        <w:tc>
          <w:tcPr>
            <w:tcW w:w="3460" w:type="dxa"/>
            <w:tcBorders>
              <w:top w:val="single" w:sz="4" w:space="0" w:color="auto"/>
              <w:left w:val="single" w:sz="4" w:space="0" w:color="auto"/>
              <w:bottom w:val="single" w:sz="4" w:space="0" w:color="auto"/>
              <w:right w:val="single" w:sz="4" w:space="0" w:color="auto"/>
            </w:tcBorders>
            <w:hideMark/>
          </w:tcPr>
          <w:p w14:paraId="3B3B0464" w14:textId="77777777" w:rsidR="00224573" w:rsidRPr="0093030B" w:rsidRDefault="00224573" w:rsidP="0010294B">
            <w:pPr>
              <w:pStyle w:val="TableText"/>
              <w:ind w:left="49"/>
              <w:rPr>
                <w:b/>
                <w:lang w:eastAsia="en-AU"/>
              </w:rPr>
            </w:pPr>
            <w:bookmarkStart w:id="20" w:name="_Hlk158965784"/>
            <w:r>
              <w:rPr>
                <w:b/>
                <w:lang w:eastAsia="en-AU"/>
              </w:rPr>
              <w:t>Community</w:t>
            </w:r>
          </w:p>
        </w:tc>
        <w:tc>
          <w:tcPr>
            <w:tcW w:w="1012" w:type="dxa"/>
            <w:tcBorders>
              <w:top w:val="single" w:sz="4" w:space="0" w:color="auto"/>
              <w:left w:val="nil"/>
              <w:bottom w:val="single" w:sz="4" w:space="0" w:color="auto"/>
              <w:right w:val="single" w:sz="4" w:space="0" w:color="auto"/>
            </w:tcBorders>
          </w:tcPr>
          <w:p w14:paraId="622447AF" w14:textId="77777777" w:rsidR="00224573" w:rsidRDefault="00224573" w:rsidP="0010294B">
            <w:pPr>
              <w:pStyle w:val="TableText"/>
              <w:jc w:val="right"/>
              <w:rPr>
                <w:b/>
                <w:lang w:eastAsia="en-AU"/>
              </w:rPr>
            </w:pPr>
            <w:r>
              <w:rPr>
                <w:b/>
                <w:lang w:eastAsia="en-AU"/>
              </w:rPr>
              <w:t>Qtr 57</w:t>
            </w:r>
          </w:p>
        </w:tc>
        <w:tc>
          <w:tcPr>
            <w:tcW w:w="1012" w:type="dxa"/>
            <w:tcBorders>
              <w:top w:val="single" w:sz="4" w:space="0" w:color="auto"/>
              <w:left w:val="nil"/>
              <w:bottom w:val="single" w:sz="4" w:space="0" w:color="auto"/>
              <w:right w:val="single" w:sz="4" w:space="0" w:color="auto"/>
            </w:tcBorders>
          </w:tcPr>
          <w:p w14:paraId="24DEED8D" w14:textId="77777777" w:rsidR="00224573" w:rsidRDefault="00224573" w:rsidP="0010294B">
            <w:pPr>
              <w:pStyle w:val="TableText"/>
              <w:jc w:val="right"/>
              <w:rPr>
                <w:b/>
                <w:lang w:eastAsia="en-AU"/>
              </w:rPr>
            </w:pPr>
            <w:r>
              <w:rPr>
                <w:b/>
                <w:lang w:eastAsia="en-AU"/>
              </w:rPr>
              <w:t>Qtr 58</w:t>
            </w:r>
          </w:p>
        </w:tc>
        <w:tc>
          <w:tcPr>
            <w:tcW w:w="1012" w:type="dxa"/>
            <w:tcBorders>
              <w:top w:val="single" w:sz="4" w:space="0" w:color="auto"/>
              <w:left w:val="nil"/>
              <w:bottom w:val="single" w:sz="4" w:space="0" w:color="auto"/>
              <w:right w:val="single" w:sz="4" w:space="0" w:color="auto"/>
            </w:tcBorders>
          </w:tcPr>
          <w:p w14:paraId="174C000F" w14:textId="77777777" w:rsidR="00224573" w:rsidRDefault="00224573" w:rsidP="0010294B">
            <w:pPr>
              <w:pStyle w:val="TableText"/>
              <w:jc w:val="right"/>
              <w:rPr>
                <w:b/>
                <w:lang w:eastAsia="en-AU"/>
              </w:rPr>
            </w:pPr>
            <w:r>
              <w:rPr>
                <w:b/>
                <w:lang w:eastAsia="en-AU"/>
              </w:rPr>
              <w:t>Qtr 59</w:t>
            </w:r>
          </w:p>
        </w:tc>
        <w:tc>
          <w:tcPr>
            <w:tcW w:w="1012" w:type="dxa"/>
            <w:tcBorders>
              <w:top w:val="single" w:sz="4" w:space="0" w:color="auto"/>
              <w:left w:val="nil"/>
              <w:bottom w:val="single" w:sz="4" w:space="0" w:color="auto"/>
              <w:right w:val="single" w:sz="4" w:space="0" w:color="auto"/>
            </w:tcBorders>
          </w:tcPr>
          <w:p w14:paraId="59AAFE03" w14:textId="77777777" w:rsidR="00224573" w:rsidRDefault="00224573" w:rsidP="0010294B">
            <w:pPr>
              <w:pStyle w:val="TableText"/>
              <w:jc w:val="right"/>
              <w:rPr>
                <w:b/>
                <w:lang w:eastAsia="en-AU"/>
              </w:rPr>
            </w:pPr>
            <w:r>
              <w:rPr>
                <w:rFonts w:cs="Arial"/>
                <w:b/>
                <w:bCs/>
              </w:rPr>
              <w:t>Qtr 60</w:t>
            </w:r>
          </w:p>
        </w:tc>
        <w:tc>
          <w:tcPr>
            <w:tcW w:w="1012" w:type="dxa"/>
            <w:tcBorders>
              <w:top w:val="single" w:sz="4" w:space="0" w:color="auto"/>
              <w:left w:val="nil"/>
              <w:bottom w:val="single" w:sz="4" w:space="0" w:color="auto"/>
              <w:right w:val="single" w:sz="4" w:space="0" w:color="auto"/>
            </w:tcBorders>
          </w:tcPr>
          <w:p w14:paraId="0FDFACA2" w14:textId="77777777" w:rsidR="00224573" w:rsidRDefault="00224573" w:rsidP="0010294B">
            <w:pPr>
              <w:pStyle w:val="TableText"/>
              <w:jc w:val="right"/>
              <w:rPr>
                <w:rFonts w:cs="Arial"/>
                <w:b/>
                <w:bCs/>
              </w:rPr>
            </w:pPr>
            <w:r>
              <w:rPr>
                <w:rFonts w:cs="Arial"/>
                <w:b/>
                <w:bCs/>
              </w:rPr>
              <w:t>Qtr 61</w:t>
            </w:r>
          </w:p>
        </w:tc>
      </w:tr>
      <w:tr w:rsidR="00224573" w:rsidRPr="0093030B" w14:paraId="1F6D812B"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61C2803D" w14:textId="77777777" w:rsidR="00224573" w:rsidRPr="0093030B" w:rsidRDefault="00224573" w:rsidP="0010294B">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7DBE7FCB" w14:textId="77777777" w:rsidR="00224573" w:rsidRDefault="00224573" w:rsidP="0010294B">
            <w:pPr>
              <w:jc w:val="right"/>
              <w:rPr>
                <w:rFonts w:cs="Arial"/>
              </w:rPr>
            </w:pPr>
            <w:r>
              <w:rPr>
                <w:rFonts w:cs="Arial"/>
              </w:rPr>
              <w:t>387</w:t>
            </w:r>
          </w:p>
        </w:tc>
        <w:tc>
          <w:tcPr>
            <w:tcW w:w="1012" w:type="dxa"/>
            <w:tcBorders>
              <w:top w:val="nil"/>
              <w:left w:val="nil"/>
              <w:bottom w:val="single" w:sz="4" w:space="0" w:color="auto"/>
              <w:right w:val="single" w:sz="4" w:space="0" w:color="auto"/>
            </w:tcBorders>
          </w:tcPr>
          <w:p w14:paraId="10399492" w14:textId="77777777" w:rsidR="00224573" w:rsidRDefault="00224573" w:rsidP="0010294B">
            <w:pPr>
              <w:jc w:val="right"/>
              <w:rPr>
                <w:rFonts w:cs="Arial"/>
              </w:rPr>
            </w:pPr>
            <w:r>
              <w:rPr>
                <w:rFonts w:cs="Arial"/>
              </w:rPr>
              <w:t>382</w:t>
            </w:r>
          </w:p>
        </w:tc>
        <w:tc>
          <w:tcPr>
            <w:tcW w:w="1012" w:type="dxa"/>
            <w:tcBorders>
              <w:top w:val="nil"/>
              <w:left w:val="nil"/>
              <w:bottom w:val="single" w:sz="4" w:space="0" w:color="auto"/>
              <w:right w:val="single" w:sz="4" w:space="0" w:color="auto"/>
            </w:tcBorders>
          </w:tcPr>
          <w:p w14:paraId="0C056867" w14:textId="77777777" w:rsidR="00224573" w:rsidRDefault="00224573" w:rsidP="0010294B">
            <w:pPr>
              <w:jc w:val="right"/>
              <w:rPr>
                <w:rFonts w:cs="Arial"/>
              </w:rPr>
            </w:pPr>
            <w:r>
              <w:rPr>
                <w:rFonts w:cs="Arial"/>
              </w:rPr>
              <w:t>807</w:t>
            </w:r>
          </w:p>
        </w:tc>
        <w:tc>
          <w:tcPr>
            <w:tcW w:w="1012" w:type="dxa"/>
            <w:tcBorders>
              <w:top w:val="nil"/>
              <w:left w:val="nil"/>
              <w:bottom w:val="single" w:sz="4" w:space="0" w:color="auto"/>
              <w:right w:val="single" w:sz="4" w:space="0" w:color="auto"/>
            </w:tcBorders>
          </w:tcPr>
          <w:p w14:paraId="4682F635" w14:textId="77777777" w:rsidR="00224573" w:rsidRDefault="00224573" w:rsidP="0010294B">
            <w:pPr>
              <w:jc w:val="right"/>
              <w:rPr>
                <w:rFonts w:cs="Arial"/>
              </w:rPr>
            </w:pPr>
            <w:r>
              <w:rPr>
                <w:rFonts w:cs="Arial"/>
              </w:rPr>
              <w:t>645</w:t>
            </w:r>
          </w:p>
        </w:tc>
        <w:tc>
          <w:tcPr>
            <w:tcW w:w="1012" w:type="dxa"/>
            <w:tcBorders>
              <w:top w:val="nil"/>
              <w:left w:val="nil"/>
              <w:bottom w:val="single" w:sz="4" w:space="0" w:color="auto"/>
              <w:right w:val="single" w:sz="4" w:space="0" w:color="auto"/>
            </w:tcBorders>
          </w:tcPr>
          <w:p w14:paraId="292C3156" w14:textId="77777777" w:rsidR="00224573" w:rsidRDefault="00224573" w:rsidP="0010294B">
            <w:pPr>
              <w:jc w:val="right"/>
              <w:rPr>
                <w:rFonts w:cs="Arial"/>
              </w:rPr>
            </w:pPr>
            <w:r>
              <w:rPr>
                <w:rFonts w:cs="Arial"/>
              </w:rPr>
              <w:t>577</w:t>
            </w:r>
          </w:p>
        </w:tc>
      </w:tr>
      <w:tr w:rsidR="00224573" w:rsidRPr="0093030B" w14:paraId="3EBF9A6E"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hideMark/>
          </w:tcPr>
          <w:p w14:paraId="470108B1" w14:textId="77777777" w:rsidR="00224573" w:rsidRPr="0093030B" w:rsidRDefault="00224573" w:rsidP="0010294B">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0DB73F60" w14:textId="77777777" w:rsidR="00224573" w:rsidRDefault="00224573" w:rsidP="0010294B">
            <w:pPr>
              <w:jc w:val="right"/>
              <w:rPr>
                <w:rFonts w:cs="Arial"/>
              </w:rPr>
            </w:pPr>
            <w:r>
              <w:rPr>
                <w:rFonts w:cs="Arial"/>
              </w:rPr>
              <w:t>22</w:t>
            </w:r>
          </w:p>
        </w:tc>
        <w:tc>
          <w:tcPr>
            <w:tcW w:w="1012" w:type="dxa"/>
            <w:tcBorders>
              <w:top w:val="nil"/>
              <w:left w:val="nil"/>
              <w:bottom w:val="single" w:sz="4" w:space="0" w:color="auto"/>
              <w:right w:val="single" w:sz="4" w:space="0" w:color="auto"/>
            </w:tcBorders>
          </w:tcPr>
          <w:p w14:paraId="4A070DE1" w14:textId="77777777" w:rsidR="00224573" w:rsidRDefault="00224573" w:rsidP="0010294B">
            <w:pPr>
              <w:jc w:val="right"/>
              <w:rPr>
                <w:rFonts w:cs="Arial"/>
              </w:rPr>
            </w:pPr>
            <w:r>
              <w:rPr>
                <w:rFonts w:cs="Arial"/>
              </w:rPr>
              <w:t>62</w:t>
            </w:r>
          </w:p>
        </w:tc>
        <w:tc>
          <w:tcPr>
            <w:tcW w:w="1012" w:type="dxa"/>
            <w:tcBorders>
              <w:top w:val="nil"/>
              <w:left w:val="nil"/>
              <w:bottom w:val="single" w:sz="4" w:space="0" w:color="auto"/>
              <w:right w:val="single" w:sz="4" w:space="0" w:color="auto"/>
            </w:tcBorders>
          </w:tcPr>
          <w:p w14:paraId="0BAC5FEF" w14:textId="77777777" w:rsidR="00224573" w:rsidRDefault="00224573" w:rsidP="0010294B">
            <w:pPr>
              <w:jc w:val="right"/>
              <w:rPr>
                <w:rFonts w:cs="Arial"/>
              </w:rPr>
            </w:pPr>
            <w:r>
              <w:rPr>
                <w:rFonts w:cs="Arial"/>
              </w:rPr>
              <w:t>36</w:t>
            </w:r>
          </w:p>
        </w:tc>
        <w:tc>
          <w:tcPr>
            <w:tcW w:w="1012" w:type="dxa"/>
            <w:tcBorders>
              <w:top w:val="nil"/>
              <w:left w:val="nil"/>
              <w:bottom w:val="single" w:sz="4" w:space="0" w:color="auto"/>
              <w:right w:val="single" w:sz="4" w:space="0" w:color="auto"/>
            </w:tcBorders>
          </w:tcPr>
          <w:p w14:paraId="6EE91C94" w14:textId="77777777" w:rsidR="00224573" w:rsidRDefault="00224573" w:rsidP="0010294B">
            <w:pPr>
              <w:jc w:val="right"/>
              <w:rPr>
                <w:rFonts w:cs="Arial"/>
              </w:rPr>
            </w:pPr>
            <w:r>
              <w:rPr>
                <w:rFonts w:cs="Arial"/>
              </w:rPr>
              <w:t>24</w:t>
            </w:r>
          </w:p>
        </w:tc>
        <w:tc>
          <w:tcPr>
            <w:tcW w:w="1012" w:type="dxa"/>
            <w:tcBorders>
              <w:top w:val="nil"/>
              <w:left w:val="nil"/>
              <w:bottom w:val="single" w:sz="4" w:space="0" w:color="auto"/>
              <w:right w:val="single" w:sz="4" w:space="0" w:color="auto"/>
            </w:tcBorders>
          </w:tcPr>
          <w:p w14:paraId="7FFA41EA" w14:textId="77777777" w:rsidR="00224573" w:rsidRDefault="00224573" w:rsidP="0010294B">
            <w:pPr>
              <w:jc w:val="right"/>
              <w:rPr>
                <w:rFonts w:cs="Arial"/>
              </w:rPr>
            </w:pPr>
            <w:r>
              <w:rPr>
                <w:rFonts w:cs="Arial"/>
              </w:rPr>
              <w:t>68</w:t>
            </w:r>
          </w:p>
        </w:tc>
      </w:tr>
      <w:tr w:rsidR="00224573" w:rsidRPr="0093030B" w14:paraId="6BE94862"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57944181" w14:textId="77777777" w:rsidR="00224573" w:rsidRPr="0093030B" w:rsidRDefault="00224573" w:rsidP="0010294B">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6DA1E001" w14:textId="77777777" w:rsidR="00224573" w:rsidRDefault="00224573" w:rsidP="0010294B">
            <w:pPr>
              <w:jc w:val="right"/>
              <w:rPr>
                <w:rFonts w:cs="Arial"/>
              </w:rPr>
            </w:pPr>
            <w:r>
              <w:rPr>
                <w:rFonts w:cs="Arial"/>
              </w:rPr>
              <w:t>385</w:t>
            </w:r>
          </w:p>
        </w:tc>
        <w:tc>
          <w:tcPr>
            <w:tcW w:w="1012" w:type="dxa"/>
            <w:tcBorders>
              <w:top w:val="nil"/>
              <w:left w:val="nil"/>
              <w:bottom w:val="single" w:sz="4" w:space="0" w:color="auto"/>
              <w:right w:val="single" w:sz="4" w:space="0" w:color="auto"/>
            </w:tcBorders>
          </w:tcPr>
          <w:p w14:paraId="761B8703" w14:textId="77777777" w:rsidR="00224573" w:rsidRDefault="00224573" w:rsidP="0010294B">
            <w:pPr>
              <w:jc w:val="right"/>
              <w:rPr>
                <w:rFonts w:cs="Arial"/>
              </w:rPr>
            </w:pPr>
            <w:r>
              <w:rPr>
                <w:rFonts w:cs="Arial"/>
              </w:rPr>
              <w:t>440</w:t>
            </w:r>
          </w:p>
        </w:tc>
        <w:tc>
          <w:tcPr>
            <w:tcW w:w="1012" w:type="dxa"/>
            <w:tcBorders>
              <w:top w:val="nil"/>
              <w:left w:val="nil"/>
              <w:bottom w:val="single" w:sz="4" w:space="0" w:color="auto"/>
              <w:right w:val="single" w:sz="4" w:space="0" w:color="auto"/>
            </w:tcBorders>
          </w:tcPr>
          <w:p w14:paraId="191779A6" w14:textId="77777777" w:rsidR="00224573" w:rsidRDefault="00224573" w:rsidP="0010294B">
            <w:pPr>
              <w:jc w:val="right"/>
              <w:rPr>
                <w:rFonts w:cs="Arial"/>
              </w:rPr>
            </w:pPr>
            <w:r>
              <w:rPr>
                <w:rFonts w:cs="Arial"/>
              </w:rPr>
              <w:t>391</w:t>
            </w:r>
          </w:p>
        </w:tc>
        <w:tc>
          <w:tcPr>
            <w:tcW w:w="1012" w:type="dxa"/>
            <w:tcBorders>
              <w:top w:val="nil"/>
              <w:left w:val="nil"/>
              <w:bottom w:val="single" w:sz="4" w:space="0" w:color="auto"/>
              <w:right w:val="single" w:sz="4" w:space="0" w:color="auto"/>
            </w:tcBorders>
          </w:tcPr>
          <w:p w14:paraId="34A29D03" w14:textId="77777777" w:rsidR="00224573" w:rsidRDefault="00224573" w:rsidP="0010294B">
            <w:pPr>
              <w:jc w:val="right"/>
              <w:rPr>
                <w:rFonts w:cs="Arial"/>
              </w:rPr>
            </w:pPr>
            <w:r>
              <w:rPr>
                <w:rFonts w:cs="Arial"/>
              </w:rPr>
              <w:t>417</w:t>
            </w:r>
          </w:p>
        </w:tc>
        <w:tc>
          <w:tcPr>
            <w:tcW w:w="1012" w:type="dxa"/>
            <w:tcBorders>
              <w:top w:val="nil"/>
              <w:left w:val="nil"/>
              <w:bottom w:val="single" w:sz="4" w:space="0" w:color="auto"/>
              <w:right w:val="single" w:sz="4" w:space="0" w:color="auto"/>
            </w:tcBorders>
          </w:tcPr>
          <w:p w14:paraId="5D6E4F69" w14:textId="77777777" w:rsidR="00224573" w:rsidRDefault="00224573" w:rsidP="0010294B">
            <w:pPr>
              <w:jc w:val="right"/>
              <w:rPr>
                <w:rFonts w:cs="Arial"/>
              </w:rPr>
            </w:pPr>
            <w:r>
              <w:rPr>
                <w:rFonts w:cs="Arial"/>
              </w:rPr>
              <w:t>407</w:t>
            </w:r>
          </w:p>
        </w:tc>
      </w:tr>
      <w:tr w:rsidR="00224573" w:rsidRPr="0093030B" w14:paraId="4A8BC3BF"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tcPr>
          <w:p w14:paraId="6F8ABE40" w14:textId="77777777" w:rsidR="00224573" w:rsidRPr="0093030B" w:rsidRDefault="00224573" w:rsidP="0010294B">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38B197C2" w14:textId="77777777" w:rsidR="00224573" w:rsidRDefault="00224573" w:rsidP="0010294B">
            <w:pPr>
              <w:jc w:val="right"/>
              <w:rPr>
                <w:rFonts w:cs="Arial"/>
              </w:rPr>
            </w:pPr>
            <w:r>
              <w:rPr>
                <w:rFonts w:cs="Arial"/>
              </w:rPr>
              <w:t>206</w:t>
            </w:r>
          </w:p>
        </w:tc>
        <w:tc>
          <w:tcPr>
            <w:tcW w:w="1012" w:type="dxa"/>
            <w:tcBorders>
              <w:top w:val="nil"/>
              <w:left w:val="nil"/>
              <w:bottom w:val="single" w:sz="4" w:space="0" w:color="auto"/>
              <w:right w:val="single" w:sz="4" w:space="0" w:color="auto"/>
            </w:tcBorders>
          </w:tcPr>
          <w:p w14:paraId="1017C6B8" w14:textId="77777777" w:rsidR="00224573" w:rsidRDefault="00224573" w:rsidP="0010294B">
            <w:pPr>
              <w:jc w:val="right"/>
              <w:rPr>
                <w:rFonts w:cs="Arial"/>
              </w:rPr>
            </w:pPr>
            <w:r>
              <w:rPr>
                <w:rFonts w:cs="Arial"/>
              </w:rPr>
              <w:t>255</w:t>
            </w:r>
          </w:p>
        </w:tc>
        <w:tc>
          <w:tcPr>
            <w:tcW w:w="1012" w:type="dxa"/>
            <w:tcBorders>
              <w:top w:val="nil"/>
              <w:left w:val="nil"/>
              <w:bottom w:val="single" w:sz="4" w:space="0" w:color="auto"/>
              <w:right w:val="single" w:sz="4" w:space="0" w:color="auto"/>
            </w:tcBorders>
          </w:tcPr>
          <w:p w14:paraId="7B2F4121" w14:textId="77777777" w:rsidR="00224573" w:rsidRDefault="00224573" w:rsidP="0010294B">
            <w:pPr>
              <w:jc w:val="right"/>
              <w:rPr>
                <w:rFonts w:cs="Arial"/>
              </w:rPr>
            </w:pPr>
            <w:r>
              <w:rPr>
                <w:rFonts w:cs="Arial"/>
              </w:rPr>
              <w:t>313</w:t>
            </w:r>
          </w:p>
        </w:tc>
        <w:tc>
          <w:tcPr>
            <w:tcW w:w="1012" w:type="dxa"/>
            <w:tcBorders>
              <w:top w:val="nil"/>
              <w:left w:val="nil"/>
              <w:bottom w:val="single" w:sz="4" w:space="0" w:color="auto"/>
              <w:right w:val="single" w:sz="4" w:space="0" w:color="auto"/>
            </w:tcBorders>
          </w:tcPr>
          <w:p w14:paraId="5EE28958" w14:textId="77777777" w:rsidR="00224573" w:rsidRDefault="00224573" w:rsidP="0010294B">
            <w:pPr>
              <w:jc w:val="right"/>
              <w:rPr>
                <w:rFonts w:cs="Arial"/>
              </w:rPr>
            </w:pPr>
            <w:r>
              <w:rPr>
                <w:rFonts w:cs="Arial"/>
              </w:rPr>
              <w:t>267</w:t>
            </w:r>
          </w:p>
        </w:tc>
        <w:tc>
          <w:tcPr>
            <w:tcW w:w="1012" w:type="dxa"/>
            <w:tcBorders>
              <w:top w:val="nil"/>
              <w:left w:val="nil"/>
              <w:bottom w:val="single" w:sz="4" w:space="0" w:color="auto"/>
              <w:right w:val="single" w:sz="4" w:space="0" w:color="auto"/>
            </w:tcBorders>
          </w:tcPr>
          <w:p w14:paraId="33BBE6A3" w14:textId="77777777" w:rsidR="00224573" w:rsidRDefault="00224573" w:rsidP="0010294B">
            <w:pPr>
              <w:jc w:val="right"/>
              <w:rPr>
                <w:rFonts w:cs="Arial"/>
              </w:rPr>
            </w:pPr>
            <w:r>
              <w:rPr>
                <w:rFonts w:cs="Arial"/>
              </w:rPr>
              <w:t>317</w:t>
            </w:r>
          </w:p>
        </w:tc>
      </w:tr>
      <w:tr w:rsidR="00224573" w:rsidRPr="0093030B" w14:paraId="35449F0E" w14:textId="77777777" w:rsidTr="0010294B">
        <w:trPr>
          <w:trHeight w:val="255"/>
        </w:trPr>
        <w:tc>
          <w:tcPr>
            <w:tcW w:w="3460" w:type="dxa"/>
            <w:tcBorders>
              <w:top w:val="nil"/>
              <w:left w:val="single" w:sz="4" w:space="0" w:color="auto"/>
              <w:bottom w:val="single" w:sz="4" w:space="0" w:color="auto"/>
              <w:right w:val="single" w:sz="4" w:space="0" w:color="auto"/>
            </w:tcBorders>
            <w:noWrap/>
            <w:vAlign w:val="bottom"/>
            <w:hideMark/>
          </w:tcPr>
          <w:p w14:paraId="6EE149A1" w14:textId="77777777" w:rsidR="00224573" w:rsidRPr="0093030B" w:rsidRDefault="00224573" w:rsidP="0010294B">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53D29E1F" w14:textId="77777777" w:rsidR="00224573" w:rsidRDefault="00224573" w:rsidP="0010294B">
            <w:pPr>
              <w:jc w:val="right"/>
              <w:rPr>
                <w:rFonts w:cs="Arial"/>
              </w:rPr>
            </w:pPr>
            <w:r>
              <w:rPr>
                <w:rFonts w:cs="Arial"/>
              </w:rPr>
              <w:t>70</w:t>
            </w:r>
          </w:p>
        </w:tc>
        <w:tc>
          <w:tcPr>
            <w:tcW w:w="1012" w:type="dxa"/>
            <w:tcBorders>
              <w:top w:val="nil"/>
              <w:left w:val="nil"/>
              <w:bottom w:val="single" w:sz="4" w:space="0" w:color="auto"/>
              <w:right w:val="single" w:sz="4" w:space="0" w:color="auto"/>
            </w:tcBorders>
          </w:tcPr>
          <w:p w14:paraId="5208F62F" w14:textId="77777777" w:rsidR="00224573" w:rsidRDefault="00224573" w:rsidP="0010294B">
            <w:pPr>
              <w:jc w:val="right"/>
              <w:rPr>
                <w:rFonts w:cs="Arial"/>
              </w:rPr>
            </w:pPr>
            <w:r>
              <w:rPr>
                <w:rFonts w:cs="Arial"/>
              </w:rPr>
              <w:t>82</w:t>
            </w:r>
          </w:p>
        </w:tc>
        <w:tc>
          <w:tcPr>
            <w:tcW w:w="1012" w:type="dxa"/>
            <w:tcBorders>
              <w:top w:val="nil"/>
              <w:left w:val="nil"/>
              <w:bottom w:val="single" w:sz="4" w:space="0" w:color="auto"/>
              <w:right w:val="single" w:sz="4" w:space="0" w:color="auto"/>
            </w:tcBorders>
          </w:tcPr>
          <w:p w14:paraId="3CD94AA2" w14:textId="77777777" w:rsidR="00224573" w:rsidRDefault="00224573" w:rsidP="0010294B">
            <w:pPr>
              <w:jc w:val="right"/>
              <w:rPr>
                <w:rFonts w:cs="Arial"/>
              </w:rPr>
            </w:pPr>
            <w:r>
              <w:rPr>
                <w:rFonts w:cs="Arial"/>
              </w:rPr>
              <w:t>67</w:t>
            </w:r>
          </w:p>
        </w:tc>
        <w:tc>
          <w:tcPr>
            <w:tcW w:w="1012" w:type="dxa"/>
            <w:tcBorders>
              <w:top w:val="nil"/>
              <w:left w:val="nil"/>
              <w:bottom w:val="single" w:sz="4" w:space="0" w:color="auto"/>
              <w:right w:val="single" w:sz="4" w:space="0" w:color="auto"/>
            </w:tcBorders>
          </w:tcPr>
          <w:p w14:paraId="7710EF5B" w14:textId="77777777" w:rsidR="00224573" w:rsidRDefault="00224573" w:rsidP="0010294B">
            <w:pPr>
              <w:jc w:val="right"/>
              <w:rPr>
                <w:rFonts w:cs="Arial"/>
              </w:rPr>
            </w:pPr>
            <w:r>
              <w:rPr>
                <w:rFonts w:cs="Arial"/>
              </w:rPr>
              <w:t>55</w:t>
            </w:r>
          </w:p>
        </w:tc>
        <w:tc>
          <w:tcPr>
            <w:tcW w:w="1012" w:type="dxa"/>
            <w:tcBorders>
              <w:top w:val="nil"/>
              <w:left w:val="nil"/>
              <w:bottom w:val="single" w:sz="4" w:space="0" w:color="auto"/>
              <w:right w:val="single" w:sz="4" w:space="0" w:color="auto"/>
            </w:tcBorders>
          </w:tcPr>
          <w:p w14:paraId="5FBB7356" w14:textId="77777777" w:rsidR="00224573" w:rsidRDefault="00224573" w:rsidP="0010294B">
            <w:pPr>
              <w:jc w:val="right"/>
              <w:rPr>
                <w:rFonts w:cs="Arial"/>
              </w:rPr>
            </w:pPr>
            <w:r>
              <w:rPr>
                <w:rFonts w:cs="Arial"/>
              </w:rPr>
              <w:t>65</w:t>
            </w:r>
          </w:p>
        </w:tc>
      </w:tr>
      <w:tr w:rsidR="00224573" w:rsidRPr="0093030B" w14:paraId="52DCAA72" w14:textId="77777777" w:rsidTr="0010294B">
        <w:trPr>
          <w:trHeight w:val="255"/>
        </w:trPr>
        <w:tc>
          <w:tcPr>
            <w:tcW w:w="3460" w:type="dxa"/>
            <w:tcBorders>
              <w:top w:val="nil"/>
              <w:left w:val="single" w:sz="4" w:space="0" w:color="auto"/>
              <w:bottom w:val="single" w:sz="4" w:space="0" w:color="auto"/>
              <w:right w:val="single" w:sz="4" w:space="0" w:color="auto"/>
            </w:tcBorders>
            <w:noWrap/>
            <w:hideMark/>
          </w:tcPr>
          <w:p w14:paraId="2496BCBF" w14:textId="77777777" w:rsidR="00224573" w:rsidRPr="0093030B" w:rsidRDefault="00224573" w:rsidP="0010294B">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45D3AB00" w14:textId="77777777" w:rsidR="00224573" w:rsidRDefault="00224573" w:rsidP="0010294B">
            <w:pPr>
              <w:jc w:val="right"/>
              <w:rPr>
                <w:rFonts w:cs="Arial"/>
                <w:b/>
                <w:bCs/>
              </w:rPr>
            </w:pPr>
            <w:r>
              <w:rPr>
                <w:rFonts w:cs="Arial"/>
                <w:b/>
                <w:bCs/>
              </w:rPr>
              <w:t>1070</w:t>
            </w:r>
          </w:p>
        </w:tc>
        <w:tc>
          <w:tcPr>
            <w:tcW w:w="1012" w:type="dxa"/>
            <w:tcBorders>
              <w:top w:val="nil"/>
              <w:left w:val="nil"/>
              <w:bottom w:val="single" w:sz="4" w:space="0" w:color="auto"/>
              <w:right w:val="single" w:sz="4" w:space="0" w:color="auto"/>
            </w:tcBorders>
          </w:tcPr>
          <w:p w14:paraId="64540101" w14:textId="77777777" w:rsidR="00224573" w:rsidRDefault="00224573" w:rsidP="0010294B">
            <w:pPr>
              <w:jc w:val="right"/>
              <w:rPr>
                <w:rFonts w:cs="Arial"/>
                <w:b/>
                <w:bCs/>
              </w:rPr>
            </w:pPr>
            <w:r>
              <w:rPr>
                <w:rFonts w:cs="Arial"/>
                <w:b/>
                <w:bCs/>
              </w:rPr>
              <w:t>1221</w:t>
            </w:r>
          </w:p>
        </w:tc>
        <w:tc>
          <w:tcPr>
            <w:tcW w:w="1012" w:type="dxa"/>
            <w:tcBorders>
              <w:top w:val="nil"/>
              <w:left w:val="nil"/>
              <w:bottom w:val="single" w:sz="4" w:space="0" w:color="auto"/>
              <w:right w:val="single" w:sz="4" w:space="0" w:color="auto"/>
            </w:tcBorders>
          </w:tcPr>
          <w:p w14:paraId="05B773AF" w14:textId="77777777" w:rsidR="00224573" w:rsidRDefault="00224573" w:rsidP="0010294B">
            <w:pPr>
              <w:jc w:val="right"/>
              <w:rPr>
                <w:rFonts w:cs="Arial"/>
                <w:b/>
                <w:bCs/>
              </w:rPr>
            </w:pPr>
            <w:r>
              <w:rPr>
                <w:rFonts w:cs="Arial"/>
                <w:b/>
                <w:bCs/>
              </w:rPr>
              <w:t>1614</w:t>
            </w:r>
          </w:p>
        </w:tc>
        <w:tc>
          <w:tcPr>
            <w:tcW w:w="1012" w:type="dxa"/>
            <w:tcBorders>
              <w:top w:val="nil"/>
              <w:left w:val="nil"/>
              <w:bottom w:val="single" w:sz="4" w:space="0" w:color="auto"/>
              <w:right w:val="single" w:sz="4" w:space="0" w:color="auto"/>
            </w:tcBorders>
          </w:tcPr>
          <w:p w14:paraId="69DDBEC3" w14:textId="77777777" w:rsidR="00224573" w:rsidRDefault="00224573" w:rsidP="0010294B">
            <w:pPr>
              <w:jc w:val="right"/>
              <w:rPr>
                <w:rFonts w:cs="Arial"/>
                <w:b/>
                <w:bCs/>
              </w:rPr>
            </w:pPr>
            <w:r>
              <w:rPr>
                <w:rFonts w:cs="Arial"/>
                <w:b/>
                <w:bCs/>
              </w:rPr>
              <w:t>1408</w:t>
            </w:r>
          </w:p>
        </w:tc>
        <w:tc>
          <w:tcPr>
            <w:tcW w:w="1012" w:type="dxa"/>
            <w:tcBorders>
              <w:top w:val="nil"/>
              <w:left w:val="nil"/>
              <w:bottom w:val="single" w:sz="4" w:space="0" w:color="auto"/>
              <w:right w:val="single" w:sz="4" w:space="0" w:color="auto"/>
            </w:tcBorders>
          </w:tcPr>
          <w:p w14:paraId="7AEC35E6" w14:textId="77777777" w:rsidR="00224573" w:rsidRDefault="00224573" w:rsidP="0010294B">
            <w:pPr>
              <w:jc w:val="right"/>
              <w:rPr>
                <w:rFonts w:cs="Arial"/>
                <w:b/>
                <w:bCs/>
              </w:rPr>
            </w:pPr>
            <w:r>
              <w:rPr>
                <w:rFonts w:cs="Arial"/>
                <w:b/>
                <w:bCs/>
              </w:rPr>
              <w:t>1434</w:t>
            </w:r>
          </w:p>
        </w:tc>
      </w:tr>
      <w:bookmarkEnd w:id="20"/>
    </w:tbl>
    <w:p w14:paraId="024725A0" w14:textId="42A4E646" w:rsidR="004D5B34" w:rsidRPr="0071779E" w:rsidRDefault="004D5B34" w:rsidP="0071779E">
      <w:pPr>
        <w:ind w:left="-142" w:right="-425"/>
        <w:jc w:val="both"/>
        <w:rPr>
          <w:rFonts w:cs="Arial"/>
        </w:rPr>
      </w:pPr>
    </w:p>
    <w:p w14:paraId="5D53EAA0" w14:textId="249BA64A" w:rsidR="005A5B78" w:rsidRPr="00143FBB" w:rsidRDefault="005A5B78" w:rsidP="00F034B6">
      <w:pPr>
        <w:pStyle w:val="Heading2"/>
      </w:pPr>
      <w:r w:rsidRPr="00143FBB">
        <w:t>Conferences</w:t>
      </w:r>
    </w:p>
    <w:p w14:paraId="775CD6DC" w14:textId="2B58022D" w:rsidR="00DD1B0A" w:rsidRDefault="001C4411" w:rsidP="00CB1032">
      <w:pPr>
        <w:ind w:left="-142" w:right="-425"/>
        <w:jc w:val="both"/>
      </w:pPr>
      <w:r>
        <w:rPr>
          <w:rFonts w:cs="Arial"/>
        </w:rPr>
        <w:t xml:space="preserve">In quarter </w:t>
      </w:r>
      <w:r w:rsidR="00362DE8">
        <w:rPr>
          <w:rFonts w:cs="Arial"/>
        </w:rPr>
        <w:t>6</w:t>
      </w:r>
      <w:r w:rsidR="00EE7CC7">
        <w:rPr>
          <w:rFonts w:cs="Arial"/>
        </w:rPr>
        <w:t>1</w:t>
      </w:r>
      <w:r w:rsidR="00362DE8">
        <w:rPr>
          <w:rFonts w:cs="Arial"/>
        </w:rPr>
        <w:t xml:space="preserve"> </w:t>
      </w:r>
      <w:r w:rsidR="00EE2E22">
        <w:rPr>
          <w:rFonts w:cs="Arial"/>
        </w:rPr>
        <w:t>228</w:t>
      </w:r>
      <w:r w:rsidR="00CB7115">
        <w:rPr>
          <w:rFonts w:cs="Arial"/>
        </w:rPr>
        <w:t xml:space="preserve"> </w:t>
      </w:r>
      <w:r w:rsidRPr="00213E4C">
        <w:rPr>
          <w:rFonts w:cs="Arial"/>
        </w:rPr>
        <w:t>conferences</w:t>
      </w:r>
      <w:r w:rsidRPr="0081647B">
        <w:rPr>
          <w:rStyle w:val="FootnoteReference"/>
        </w:rPr>
        <w:footnoteReference w:id="10"/>
      </w:r>
      <w:r>
        <w:rPr>
          <w:rFonts w:cs="Arial"/>
        </w:rPr>
        <w:t xml:space="preserve"> were</w:t>
      </w:r>
      <w:r w:rsidR="00562176">
        <w:rPr>
          <w:rFonts w:cs="Arial"/>
        </w:rPr>
        <w:t xml:space="preserve"> </w:t>
      </w:r>
      <w:r w:rsidR="00A46793" w:rsidRPr="0098569F">
        <w:rPr>
          <w:rFonts w:cs="Arial"/>
        </w:rPr>
        <w:t xml:space="preserve">held </w:t>
      </w:r>
      <w:r w:rsidR="00A46793">
        <w:rPr>
          <w:rFonts w:cs="Arial"/>
        </w:rPr>
        <w:t xml:space="preserve">across the five communities </w:t>
      </w:r>
      <w:r w:rsidR="00E44EBF">
        <w:rPr>
          <w:rFonts w:cs="Arial"/>
        </w:rPr>
        <w:t>(</w:t>
      </w:r>
      <w:r w:rsidR="0051235F">
        <w:rPr>
          <w:rFonts w:cs="Arial"/>
        </w:rPr>
        <w:t xml:space="preserve">relating to </w:t>
      </w:r>
      <w:r w:rsidR="00CB7115">
        <w:rPr>
          <w:rFonts w:cs="Arial"/>
        </w:rPr>
        <w:t xml:space="preserve">184 </w:t>
      </w:r>
      <w:r w:rsidR="0051235F">
        <w:rPr>
          <w:rFonts w:cs="Arial"/>
        </w:rPr>
        <w:t>clients</w:t>
      </w:r>
      <w:r w:rsidR="00FC76B8">
        <w:rPr>
          <w:rFonts w:cs="Arial"/>
        </w:rPr>
        <w:t xml:space="preserve"> </w:t>
      </w:r>
      <w:r w:rsidR="00A8670D">
        <w:rPr>
          <w:rFonts w:cs="Arial"/>
        </w:rPr>
        <w:t>served to attend conference</w:t>
      </w:r>
      <w:r w:rsidR="00E44EBF">
        <w:rPr>
          <w:rFonts w:cs="Arial"/>
        </w:rPr>
        <w:t>)</w:t>
      </w:r>
      <w:r w:rsidR="008637A3">
        <w:rPr>
          <w:rFonts w:cs="Arial"/>
        </w:rPr>
        <w:t>.</w:t>
      </w:r>
      <w:r w:rsidR="00CB1032">
        <w:rPr>
          <w:rFonts w:cs="Arial"/>
        </w:rPr>
        <w:t xml:space="preserve"> </w:t>
      </w:r>
      <w:r w:rsidR="00803D0A">
        <w:t xml:space="preserve">Attendance at conference </w:t>
      </w:r>
      <w:r w:rsidR="00CB7115">
        <w:t xml:space="preserve">decreased </w:t>
      </w:r>
      <w:r w:rsidR="00803D0A">
        <w:t xml:space="preserve">from </w:t>
      </w:r>
      <w:r w:rsidR="00CB7115">
        <w:t>70.4</w:t>
      </w:r>
      <w:r w:rsidR="00DD36DF">
        <w:rPr>
          <w:rFonts w:cs="Arial"/>
        </w:rPr>
        <w:t>%</w:t>
      </w:r>
      <w:r w:rsidR="00FC7C1D">
        <w:rPr>
          <w:rFonts w:cs="Arial"/>
        </w:rPr>
        <w:t xml:space="preserve"> </w:t>
      </w:r>
      <w:r w:rsidR="00803D0A">
        <w:t xml:space="preserve">in quarter </w:t>
      </w:r>
      <w:r w:rsidR="00CB7115">
        <w:t xml:space="preserve">60 </w:t>
      </w:r>
      <w:r w:rsidR="00803D0A">
        <w:t xml:space="preserve">to </w:t>
      </w:r>
      <w:r w:rsidR="00CB7115">
        <w:t>59.6</w:t>
      </w:r>
      <w:r w:rsidR="00DD36DF">
        <w:rPr>
          <w:rFonts w:cs="Arial"/>
        </w:rPr>
        <w:t>%</w:t>
      </w:r>
      <w:r w:rsidR="00FC7C1D">
        <w:rPr>
          <w:rFonts w:cs="Arial"/>
        </w:rPr>
        <w:t xml:space="preserve"> </w:t>
      </w:r>
      <w:r w:rsidR="00803D0A">
        <w:t xml:space="preserve">in quarter </w:t>
      </w:r>
      <w:r w:rsidR="00362DE8">
        <w:t>6</w:t>
      </w:r>
      <w:r w:rsidR="00EE7CC7">
        <w:t>1</w:t>
      </w:r>
      <w:r w:rsidR="008637A3">
        <w:t>.</w:t>
      </w:r>
    </w:p>
    <w:p w14:paraId="3945DDA5" w14:textId="167DB5DE" w:rsidR="00D70D59" w:rsidRDefault="00D70D59" w:rsidP="0071779E">
      <w:pPr>
        <w:ind w:left="-142" w:right="-425"/>
        <w:jc w:val="both"/>
        <w:rPr>
          <w:rFonts w:cs="Arial"/>
        </w:rPr>
      </w:pPr>
    </w:p>
    <w:p w14:paraId="4854E399" w14:textId="3450B006" w:rsidR="005A5B78" w:rsidRDefault="00224573" w:rsidP="005A5B78">
      <w:pPr>
        <w:widowControl w:val="0"/>
        <w:tabs>
          <w:tab w:val="left" w:pos="4203"/>
        </w:tabs>
        <w:spacing w:line="240" w:lineRule="auto"/>
        <w:ind w:left="-142"/>
        <w:jc w:val="both"/>
        <w:rPr>
          <w:rFonts w:cs="Arial"/>
          <w:sz w:val="16"/>
          <w:szCs w:val="16"/>
        </w:rPr>
      </w:pPr>
      <w:r>
        <w:rPr>
          <w:rFonts w:cs="Arial"/>
          <w:b/>
          <w:sz w:val="16"/>
          <w:szCs w:val="16"/>
        </w:rPr>
        <w:t>Table 12</w:t>
      </w:r>
      <w:r w:rsidR="005A5B78" w:rsidRPr="00122C57">
        <w:rPr>
          <w:rFonts w:cs="Arial"/>
          <w:b/>
          <w:sz w:val="16"/>
          <w:szCs w:val="16"/>
        </w:rPr>
        <w:t>:</w:t>
      </w:r>
      <w:r w:rsidR="005A5B78" w:rsidRPr="00122C57">
        <w:rPr>
          <w:rFonts w:cs="Arial"/>
          <w:sz w:val="16"/>
          <w:szCs w:val="16"/>
        </w:rPr>
        <w:t xml:space="preserve"> Conferences by community and quarter </w:t>
      </w:r>
      <w:r w:rsidR="007B7E78">
        <w:rPr>
          <w:rFonts w:cs="Arial"/>
          <w:sz w:val="16"/>
          <w:szCs w:val="16"/>
        </w:rPr>
        <w:t xml:space="preserve">1 </w:t>
      </w:r>
      <w:r w:rsidR="000850EB">
        <w:rPr>
          <w:rFonts w:cs="Arial"/>
          <w:sz w:val="16"/>
          <w:szCs w:val="16"/>
        </w:rPr>
        <w:t xml:space="preserve">July </w:t>
      </w:r>
      <w:r w:rsidR="003C708C">
        <w:rPr>
          <w:rFonts w:cs="Arial"/>
          <w:sz w:val="16"/>
          <w:szCs w:val="16"/>
        </w:rPr>
        <w:t xml:space="preserve">2022 </w:t>
      </w:r>
      <w:r w:rsidR="00A41820">
        <w:rPr>
          <w:rFonts w:cs="Arial"/>
          <w:sz w:val="16"/>
          <w:szCs w:val="16"/>
        </w:rPr>
        <w:t xml:space="preserve">to </w:t>
      </w:r>
      <w:r w:rsidR="007B7E78">
        <w:rPr>
          <w:rFonts w:cs="Arial"/>
          <w:sz w:val="16"/>
          <w:szCs w:val="16"/>
        </w:rPr>
        <w:t>3</w:t>
      </w:r>
      <w:r w:rsidR="00362DE8">
        <w:rPr>
          <w:rFonts w:cs="Arial"/>
          <w:sz w:val="16"/>
          <w:szCs w:val="16"/>
        </w:rPr>
        <w:t xml:space="preserve">0 </w:t>
      </w:r>
      <w:r w:rsidR="000850EB">
        <w:rPr>
          <w:rFonts w:cs="Arial"/>
          <w:sz w:val="16"/>
          <w:szCs w:val="16"/>
        </w:rPr>
        <w:t xml:space="preserve">September </w:t>
      </w:r>
      <w:r w:rsidR="00984BBB">
        <w:rPr>
          <w:rFonts w:cs="Arial"/>
          <w:sz w:val="16"/>
          <w:szCs w:val="16"/>
        </w:rPr>
        <w:t>2023</w:t>
      </w:r>
    </w:p>
    <w:p w14:paraId="4FA6B545" w14:textId="77777777" w:rsidR="00224573" w:rsidRPr="0071779E" w:rsidRDefault="00224573" w:rsidP="005A5B78">
      <w:pPr>
        <w:widowControl w:val="0"/>
        <w:tabs>
          <w:tab w:val="left" w:pos="4203"/>
        </w:tabs>
        <w:spacing w:line="240" w:lineRule="auto"/>
        <w:ind w:left="-142"/>
        <w:jc w:val="both"/>
        <w:rPr>
          <w:rFonts w:cs="Arial"/>
          <w:bCs/>
          <w:highlight w:val="yellow"/>
        </w:rPr>
      </w:pPr>
    </w:p>
    <w:tbl>
      <w:tblPr>
        <w:tblW w:w="6880" w:type="dxa"/>
        <w:tblInd w:w="93" w:type="dxa"/>
        <w:tblLook w:val="04A0" w:firstRow="1" w:lastRow="0" w:firstColumn="1" w:lastColumn="0" w:noHBand="0" w:noVBand="1"/>
      </w:tblPr>
      <w:tblGrid>
        <w:gridCol w:w="2080"/>
        <w:gridCol w:w="960"/>
        <w:gridCol w:w="960"/>
        <w:gridCol w:w="960"/>
        <w:gridCol w:w="960"/>
        <w:gridCol w:w="960"/>
      </w:tblGrid>
      <w:tr w:rsidR="00224573" w:rsidRPr="00C5395B" w14:paraId="6DE98D0D" w14:textId="77777777" w:rsidTr="0010294B">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44DAA2AF" w14:textId="77777777" w:rsidR="00224573" w:rsidRPr="00C5395B" w:rsidRDefault="00224573" w:rsidP="0010294B">
            <w:pPr>
              <w:pStyle w:val="TableText"/>
              <w:rPr>
                <w:b/>
                <w:lang w:eastAsia="en-AU"/>
              </w:rPr>
            </w:pPr>
            <w:bookmarkStart w:id="21" w:name="_Hlk158965956"/>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129FDFEE" w14:textId="77777777" w:rsidR="00224573" w:rsidRDefault="00224573" w:rsidP="0010294B">
            <w:pPr>
              <w:pStyle w:val="TableText"/>
              <w:jc w:val="right"/>
              <w:rPr>
                <w:b/>
                <w:lang w:eastAsia="en-AU"/>
              </w:rPr>
            </w:pPr>
            <w:r>
              <w:rPr>
                <w:b/>
                <w:lang w:eastAsia="en-AU"/>
              </w:rPr>
              <w:t>Qtr 57</w:t>
            </w:r>
          </w:p>
        </w:tc>
        <w:tc>
          <w:tcPr>
            <w:tcW w:w="960" w:type="dxa"/>
            <w:tcBorders>
              <w:top w:val="single" w:sz="4" w:space="0" w:color="auto"/>
              <w:left w:val="nil"/>
              <w:bottom w:val="single" w:sz="4" w:space="0" w:color="auto"/>
              <w:right w:val="single" w:sz="4" w:space="0" w:color="auto"/>
            </w:tcBorders>
          </w:tcPr>
          <w:p w14:paraId="1A5E6476" w14:textId="77777777" w:rsidR="00224573" w:rsidRDefault="00224573" w:rsidP="0010294B">
            <w:pPr>
              <w:pStyle w:val="TableText"/>
              <w:jc w:val="right"/>
              <w:rPr>
                <w:b/>
                <w:lang w:eastAsia="en-AU"/>
              </w:rPr>
            </w:pPr>
            <w:r>
              <w:rPr>
                <w:b/>
                <w:lang w:eastAsia="en-AU"/>
              </w:rPr>
              <w:t>Qtr 58</w:t>
            </w:r>
          </w:p>
        </w:tc>
        <w:tc>
          <w:tcPr>
            <w:tcW w:w="960" w:type="dxa"/>
            <w:tcBorders>
              <w:top w:val="single" w:sz="4" w:space="0" w:color="auto"/>
              <w:left w:val="nil"/>
              <w:bottom w:val="single" w:sz="4" w:space="0" w:color="auto"/>
              <w:right w:val="single" w:sz="4" w:space="0" w:color="auto"/>
            </w:tcBorders>
          </w:tcPr>
          <w:p w14:paraId="3240C2C8" w14:textId="77777777" w:rsidR="00224573" w:rsidRDefault="00224573" w:rsidP="0010294B">
            <w:pPr>
              <w:pStyle w:val="TableText"/>
              <w:jc w:val="right"/>
              <w:rPr>
                <w:b/>
                <w:lang w:eastAsia="en-AU"/>
              </w:rPr>
            </w:pPr>
            <w:r>
              <w:rPr>
                <w:b/>
                <w:lang w:eastAsia="en-AU"/>
              </w:rPr>
              <w:t>Qtr 59</w:t>
            </w:r>
          </w:p>
        </w:tc>
        <w:tc>
          <w:tcPr>
            <w:tcW w:w="960" w:type="dxa"/>
            <w:tcBorders>
              <w:top w:val="single" w:sz="4" w:space="0" w:color="auto"/>
              <w:left w:val="nil"/>
              <w:bottom w:val="single" w:sz="4" w:space="0" w:color="auto"/>
              <w:right w:val="single" w:sz="4" w:space="0" w:color="auto"/>
            </w:tcBorders>
          </w:tcPr>
          <w:p w14:paraId="797D4A2B" w14:textId="77777777" w:rsidR="00224573" w:rsidRDefault="00224573" w:rsidP="0010294B">
            <w:pPr>
              <w:pStyle w:val="TableText"/>
              <w:jc w:val="right"/>
              <w:rPr>
                <w:b/>
                <w:lang w:eastAsia="en-AU"/>
              </w:rPr>
            </w:pPr>
            <w:r w:rsidRPr="00BA518C">
              <w:rPr>
                <w:b/>
                <w:lang w:eastAsia="en-AU"/>
              </w:rPr>
              <w:t>Qtr 60</w:t>
            </w:r>
          </w:p>
        </w:tc>
        <w:tc>
          <w:tcPr>
            <w:tcW w:w="960" w:type="dxa"/>
            <w:tcBorders>
              <w:top w:val="single" w:sz="4" w:space="0" w:color="auto"/>
              <w:left w:val="nil"/>
              <w:bottom w:val="single" w:sz="4" w:space="0" w:color="auto"/>
              <w:right w:val="single" w:sz="4" w:space="0" w:color="auto"/>
            </w:tcBorders>
          </w:tcPr>
          <w:p w14:paraId="569359D1" w14:textId="77777777" w:rsidR="00224573" w:rsidRPr="00BA518C" w:rsidRDefault="00224573" w:rsidP="0010294B">
            <w:pPr>
              <w:pStyle w:val="TableText"/>
              <w:jc w:val="right"/>
              <w:rPr>
                <w:b/>
                <w:lang w:eastAsia="en-AU"/>
              </w:rPr>
            </w:pPr>
            <w:r w:rsidRPr="00BA518C">
              <w:rPr>
                <w:b/>
                <w:lang w:eastAsia="en-AU"/>
              </w:rPr>
              <w:t>Qtr 61</w:t>
            </w:r>
          </w:p>
        </w:tc>
      </w:tr>
      <w:tr w:rsidR="00224573" w:rsidRPr="00C5395B" w14:paraId="59AB86AF" w14:textId="77777777" w:rsidTr="0010294B">
        <w:trPr>
          <w:trHeight w:val="255"/>
        </w:trPr>
        <w:tc>
          <w:tcPr>
            <w:tcW w:w="2080" w:type="dxa"/>
            <w:tcBorders>
              <w:top w:val="nil"/>
              <w:left w:val="single" w:sz="4" w:space="0" w:color="auto"/>
              <w:bottom w:val="single" w:sz="4" w:space="0" w:color="auto"/>
              <w:right w:val="single" w:sz="4" w:space="0" w:color="auto"/>
            </w:tcBorders>
            <w:noWrap/>
            <w:hideMark/>
          </w:tcPr>
          <w:p w14:paraId="33D51BAB" w14:textId="77777777" w:rsidR="00224573" w:rsidRPr="00C5395B" w:rsidRDefault="00224573" w:rsidP="0010294B">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119330FC" w14:textId="77777777" w:rsidR="00224573" w:rsidRDefault="00224573" w:rsidP="0010294B">
            <w:pPr>
              <w:jc w:val="right"/>
              <w:rPr>
                <w:rFonts w:cs="Arial"/>
              </w:rPr>
            </w:pPr>
            <w:r>
              <w:rPr>
                <w:rFonts w:cs="Arial"/>
              </w:rPr>
              <w:t>94</w:t>
            </w:r>
          </w:p>
        </w:tc>
        <w:tc>
          <w:tcPr>
            <w:tcW w:w="960" w:type="dxa"/>
            <w:tcBorders>
              <w:top w:val="nil"/>
              <w:left w:val="nil"/>
              <w:bottom w:val="single" w:sz="4" w:space="0" w:color="auto"/>
              <w:right w:val="single" w:sz="4" w:space="0" w:color="auto"/>
            </w:tcBorders>
          </w:tcPr>
          <w:p w14:paraId="56CB006C" w14:textId="77777777" w:rsidR="00224573" w:rsidRDefault="00224573" w:rsidP="0010294B">
            <w:pPr>
              <w:jc w:val="right"/>
              <w:rPr>
                <w:rFonts w:cs="Arial"/>
              </w:rPr>
            </w:pPr>
            <w:r>
              <w:rPr>
                <w:rFonts w:cs="Arial"/>
              </w:rPr>
              <w:t>121</w:t>
            </w:r>
          </w:p>
        </w:tc>
        <w:tc>
          <w:tcPr>
            <w:tcW w:w="960" w:type="dxa"/>
            <w:tcBorders>
              <w:top w:val="nil"/>
              <w:left w:val="nil"/>
              <w:bottom w:val="single" w:sz="4" w:space="0" w:color="auto"/>
              <w:right w:val="single" w:sz="4" w:space="0" w:color="auto"/>
            </w:tcBorders>
          </w:tcPr>
          <w:p w14:paraId="44DC1703" w14:textId="77777777" w:rsidR="00224573" w:rsidRDefault="00224573" w:rsidP="0010294B">
            <w:pPr>
              <w:jc w:val="right"/>
              <w:rPr>
                <w:rFonts w:cs="Arial"/>
              </w:rPr>
            </w:pPr>
            <w:r>
              <w:rPr>
                <w:rFonts w:cs="Arial"/>
              </w:rPr>
              <w:t>125</w:t>
            </w:r>
          </w:p>
        </w:tc>
        <w:tc>
          <w:tcPr>
            <w:tcW w:w="960" w:type="dxa"/>
            <w:tcBorders>
              <w:top w:val="nil"/>
              <w:left w:val="nil"/>
              <w:bottom w:val="single" w:sz="4" w:space="0" w:color="auto"/>
              <w:right w:val="single" w:sz="4" w:space="0" w:color="auto"/>
            </w:tcBorders>
          </w:tcPr>
          <w:p w14:paraId="4A6B9785" w14:textId="77777777" w:rsidR="00224573" w:rsidRDefault="00224573" w:rsidP="0010294B">
            <w:pPr>
              <w:jc w:val="right"/>
              <w:rPr>
                <w:rFonts w:cs="Arial"/>
              </w:rPr>
            </w:pPr>
            <w:r>
              <w:rPr>
                <w:rFonts w:cs="Arial"/>
              </w:rPr>
              <w:t>88</w:t>
            </w:r>
          </w:p>
        </w:tc>
        <w:tc>
          <w:tcPr>
            <w:tcW w:w="960" w:type="dxa"/>
            <w:tcBorders>
              <w:top w:val="nil"/>
              <w:left w:val="nil"/>
              <w:bottom w:val="single" w:sz="4" w:space="0" w:color="auto"/>
              <w:right w:val="single" w:sz="4" w:space="0" w:color="auto"/>
            </w:tcBorders>
          </w:tcPr>
          <w:p w14:paraId="1CA0A375" w14:textId="77777777" w:rsidR="00224573" w:rsidRDefault="00224573" w:rsidP="0010294B">
            <w:pPr>
              <w:jc w:val="right"/>
              <w:rPr>
                <w:rFonts w:cs="Arial"/>
              </w:rPr>
            </w:pPr>
            <w:r>
              <w:rPr>
                <w:rFonts w:cs="Arial"/>
              </w:rPr>
              <w:t>88</w:t>
            </w:r>
          </w:p>
        </w:tc>
      </w:tr>
      <w:tr w:rsidR="00224573" w:rsidRPr="00C5395B" w14:paraId="47A38B8E" w14:textId="77777777" w:rsidTr="0010294B">
        <w:trPr>
          <w:trHeight w:val="255"/>
        </w:trPr>
        <w:tc>
          <w:tcPr>
            <w:tcW w:w="2080" w:type="dxa"/>
            <w:tcBorders>
              <w:top w:val="nil"/>
              <w:left w:val="single" w:sz="4" w:space="0" w:color="auto"/>
              <w:bottom w:val="single" w:sz="4" w:space="0" w:color="auto"/>
              <w:right w:val="single" w:sz="4" w:space="0" w:color="auto"/>
            </w:tcBorders>
            <w:noWrap/>
            <w:hideMark/>
          </w:tcPr>
          <w:p w14:paraId="245AD6D8" w14:textId="77777777" w:rsidR="00224573" w:rsidRPr="00C5395B" w:rsidRDefault="00224573" w:rsidP="0010294B">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4BF0EC31" w14:textId="77777777" w:rsidR="00224573" w:rsidRDefault="00224573"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4A1F7D4" w14:textId="77777777" w:rsidR="00224573" w:rsidRDefault="00224573" w:rsidP="0010294B">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04AD6CAA" w14:textId="77777777" w:rsidR="00224573" w:rsidRDefault="00224573" w:rsidP="0010294B">
            <w:pPr>
              <w:jc w:val="right"/>
              <w:rPr>
                <w:rFonts w:cs="Arial"/>
              </w:rPr>
            </w:pPr>
            <w:r>
              <w:rPr>
                <w:rFonts w:cs="Arial"/>
              </w:rPr>
              <w:t>15</w:t>
            </w:r>
          </w:p>
        </w:tc>
        <w:tc>
          <w:tcPr>
            <w:tcW w:w="960" w:type="dxa"/>
            <w:tcBorders>
              <w:top w:val="nil"/>
              <w:left w:val="nil"/>
              <w:bottom w:val="single" w:sz="4" w:space="0" w:color="auto"/>
              <w:right w:val="single" w:sz="4" w:space="0" w:color="auto"/>
            </w:tcBorders>
          </w:tcPr>
          <w:p w14:paraId="0C2E77EC" w14:textId="77777777" w:rsidR="00224573" w:rsidRDefault="00224573" w:rsidP="0010294B">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6DBB5B1E" w14:textId="77777777" w:rsidR="00224573" w:rsidRDefault="00224573" w:rsidP="0010294B">
            <w:pPr>
              <w:jc w:val="right"/>
              <w:rPr>
                <w:rFonts w:cs="Arial"/>
              </w:rPr>
            </w:pPr>
            <w:r>
              <w:rPr>
                <w:rFonts w:cs="Arial"/>
              </w:rPr>
              <w:t>8</w:t>
            </w:r>
          </w:p>
        </w:tc>
      </w:tr>
      <w:tr w:rsidR="00224573" w:rsidRPr="00C5395B" w14:paraId="6D34A44E" w14:textId="77777777" w:rsidTr="0010294B">
        <w:trPr>
          <w:trHeight w:val="255"/>
        </w:trPr>
        <w:tc>
          <w:tcPr>
            <w:tcW w:w="2080" w:type="dxa"/>
            <w:tcBorders>
              <w:top w:val="nil"/>
              <w:left w:val="single" w:sz="4" w:space="0" w:color="auto"/>
              <w:bottom w:val="single" w:sz="4" w:space="0" w:color="auto"/>
              <w:right w:val="single" w:sz="4" w:space="0" w:color="auto"/>
            </w:tcBorders>
            <w:noWrap/>
          </w:tcPr>
          <w:p w14:paraId="682D9196" w14:textId="77777777" w:rsidR="00224573" w:rsidRPr="00C5395B" w:rsidRDefault="00224573" w:rsidP="0010294B">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373720E0" w14:textId="77777777" w:rsidR="00224573" w:rsidRDefault="00224573" w:rsidP="0010294B">
            <w:pPr>
              <w:jc w:val="right"/>
              <w:rPr>
                <w:rFonts w:cs="Arial"/>
              </w:rPr>
            </w:pPr>
            <w:r>
              <w:rPr>
                <w:rFonts w:cs="Arial"/>
              </w:rPr>
              <w:t>94</w:t>
            </w:r>
          </w:p>
        </w:tc>
        <w:tc>
          <w:tcPr>
            <w:tcW w:w="960" w:type="dxa"/>
            <w:tcBorders>
              <w:top w:val="nil"/>
              <w:left w:val="nil"/>
              <w:bottom w:val="single" w:sz="4" w:space="0" w:color="auto"/>
              <w:right w:val="single" w:sz="4" w:space="0" w:color="auto"/>
            </w:tcBorders>
          </w:tcPr>
          <w:p w14:paraId="58F5151A" w14:textId="77777777" w:rsidR="00224573" w:rsidRDefault="00224573" w:rsidP="0010294B">
            <w:pPr>
              <w:jc w:val="right"/>
              <w:rPr>
                <w:rFonts w:cs="Arial"/>
              </w:rPr>
            </w:pPr>
            <w:r>
              <w:rPr>
                <w:rFonts w:cs="Arial"/>
              </w:rPr>
              <w:t>114</w:t>
            </w:r>
          </w:p>
        </w:tc>
        <w:tc>
          <w:tcPr>
            <w:tcW w:w="960" w:type="dxa"/>
            <w:tcBorders>
              <w:top w:val="nil"/>
              <w:left w:val="nil"/>
              <w:bottom w:val="single" w:sz="4" w:space="0" w:color="auto"/>
              <w:right w:val="single" w:sz="4" w:space="0" w:color="auto"/>
            </w:tcBorders>
          </w:tcPr>
          <w:p w14:paraId="4D377D95" w14:textId="77777777" w:rsidR="00224573" w:rsidRDefault="00224573" w:rsidP="0010294B">
            <w:pPr>
              <w:jc w:val="right"/>
              <w:rPr>
                <w:rFonts w:cs="Arial"/>
              </w:rPr>
            </w:pPr>
            <w:r>
              <w:rPr>
                <w:rFonts w:cs="Arial"/>
              </w:rPr>
              <w:t>85</w:t>
            </w:r>
          </w:p>
        </w:tc>
        <w:tc>
          <w:tcPr>
            <w:tcW w:w="960" w:type="dxa"/>
            <w:tcBorders>
              <w:top w:val="nil"/>
              <w:left w:val="nil"/>
              <w:bottom w:val="single" w:sz="4" w:space="0" w:color="auto"/>
              <w:right w:val="single" w:sz="4" w:space="0" w:color="auto"/>
            </w:tcBorders>
          </w:tcPr>
          <w:p w14:paraId="64D98F9F" w14:textId="77777777" w:rsidR="00224573" w:rsidRDefault="00224573" w:rsidP="0010294B">
            <w:pPr>
              <w:jc w:val="right"/>
              <w:rPr>
                <w:rFonts w:cs="Arial"/>
              </w:rPr>
            </w:pPr>
            <w:r>
              <w:rPr>
                <w:rFonts w:cs="Arial"/>
              </w:rPr>
              <w:t>84</w:t>
            </w:r>
          </w:p>
        </w:tc>
        <w:tc>
          <w:tcPr>
            <w:tcW w:w="960" w:type="dxa"/>
            <w:tcBorders>
              <w:top w:val="nil"/>
              <w:left w:val="nil"/>
              <w:bottom w:val="single" w:sz="4" w:space="0" w:color="auto"/>
              <w:right w:val="single" w:sz="4" w:space="0" w:color="auto"/>
            </w:tcBorders>
          </w:tcPr>
          <w:p w14:paraId="0967C671" w14:textId="77777777" w:rsidR="00224573" w:rsidRDefault="00224573" w:rsidP="0010294B">
            <w:pPr>
              <w:jc w:val="right"/>
              <w:rPr>
                <w:rFonts w:cs="Arial"/>
              </w:rPr>
            </w:pPr>
            <w:r>
              <w:rPr>
                <w:rFonts w:cs="Arial"/>
              </w:rPr>
              <w:t>88</w:t>
            </w:r>
          </w:p>
        </w:tc>
      </w:tr>
      <w:tr w:rsidR="00224573" w:rsidRPr="00C5395B" w14:paraId="63508AFE" w14:textId="77777777" w:rsidTr="0010294B">
        <w:trPr>
          <w:trHeight w:val="255"/>
        </w:trPr>
        <w:tc>
          <w:tcPr>
            <w:tcW w:w="2080" w:type="dxa"/>
            <w:tcBorders>
              <w:top w:val="nil"/>
              <w:left w:val="single" w:sz="4" w:space="0" w:color="auto"/>
              <w:bottom w:val="single" w:sz="4" w:space="0" w:color="auto"/>
              <w:right w:val="single" w:sz="4" w:space="0" w:color="auto"/>
            </w:tcBorders>
            <w:noWrap/>
            <w:hideMark/>
          </w:tcPr>
          <w:p w14:paraId="17903A93" w14:textId="77777777" w:rsidR="00224573" w:rsidRPr="00C5395B" w:rsidRDefault="00224573" w:rsidP="0010294B">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1323E528" w14:textId="77777777" w:rsidR="00224573" w:rsidRDefault="00224573" w:rsidP="0010294B">
            <w:pPr>
              <w:jc w:val="right"/>
              <w:rPr>
                <w:rFonts w:cs="Arial"/>
              </w:rPr>
            </w:pPr>
            <w:r>
              <w:rPr>
                <w:rFonts w:cs="Arial"/>
              </w:rPr>
              <w:t>80</w:t>
            </w:r>
          </w:p>
        </w:tc>
        <w:tc>
          <w:tcPr>
            <w:tcW w:w="960" w:type="dxa"/>
            <w:tcBorders>
              <w:top w:val="nil"/>
              <w:left w:val="nil"/>
              <w:bottom w:val="single" w:sz="4" w:space="0" w:color="auto"/>
              <w:right w:val="single" w:sz="4" w:space="0" w:color="auto"/>
            </w:tcBorders>
          </w:tcPr>
          <w:p w14:paraId="631AFB82" w14:textId="77777777" w:rsidR="00224573" w:rsidRDefault="00224573" w:rsidP="0010294B">
            <w:pPr>
              <w:jc w:val="right"/>
              <w:rPr>
                <w:rFonts w:cs="Arial"/>
              </w:rPr>
            </w:pPr>
            <w:r>
              <w:rPr>
                <w:rFonts w:cs="Arial"/>
              </w:rPr>
              <w:t>40</w:t>
            </w:r>
          </w:p>
        </w:tc>
        <w:tc>
          <w:tcPr>
            <w:tcW w:w="960" w:type="dxa"/>
            <w:tcBorders>
              <w:top w:val="nil"/>
              <w:left w:val="nil"/>
              <w:bottom w:val="single" w:sz="4" w:space="0" w:color="auto"/>
              <w:right w:val="single" w:sz="4" w:space="0" w:color="auto"/>
            </w:tcBorders>
          </w:tcPr>
          <w:p w14:paraId="1D2F8B1C" w14:textId="77777777" w:rsidR="00224573" w:rsidRDefault="00224573" w:rsidP="0010294B">
            <w:pPr>
              <w:jc w:val="right"/>
              <w:rPr>
                <w:rFonts w:cs="Arial"/>
              </w:rPr>
            </w:pPr>
            <w:r>
              <w:rPr>
                <w:rFonts w:cs="Arial"/>
              </w:rPr>
              <w:t>31</w:t>
            </w:r>
          </w:p>
        </w:tc>
        <w:tc>
          <w:tcPr>
            <w:tcW w:w="960" w:type="dxa"/>
            <w:tcBorders>
              <w:top w:val="nil"/>
              <w:left w:val="nil"/>
              <w:bottom w:val="single" w:sz="4" w:space="0" w:color="auto"/>
              <w:right w:val="single" w:sz="4" w:space="0" w:color="auto"/>
            </w:tcBorders>
          </w:tcPr>
          <w:p w14:paraId="43F885B1" w14:textId="77777777" w:rsidR="00224573" w:rsidRDefault="00224573" w:rsidP="0010294B">
            <w:pPr>
              <w:jc w:val="right"/>
              <w:rPr>
                <w:rFonts w:cs="Arial"/>
              </w:rPr>
            </w:pPr>
            <w:r>
              <w:rPr>
                <w:rFonts w:cs="Arial"/>
              </w:rPr>
              <w:t>45</w:t>
            </w:r>
          </w:p>
        </w:tc>
        <w:tc>
          <w:tcPr>
            <w:tcW w:w="960" w:type="dxa"/>
            <w:tcBorders>
              <w:top w:val="nil"/>
              <w:left w:val="nil"/>
              <w:bottom w:val="single" w:sz="4" w:space="0" w:color="auto"/>
              <w:right w:val="single" w:sz="4" w:space="0" w:color="auto"/>
            </w:tcBorders>
          </w:tcPr>
          <w:p w14:paraId="302DACF2" w14:textId="77777777" w:rsidR="00224573" w:rsidRDefault="00224573" w:rsidP="0010294B">
            <w:pPr>
              <w:jc w:val="right"/>
              <w:rPr>
                <w:rFonts w:cs="Arial"/>
              </w:rPr>
            </w:pPr>
            <w:r>
              <w:rPr>
                <w:rFonts w:cs="Arial"/>
              </w:rPr>
              <w:t>31</w:t>
            </w:r>
          </w:p>
        </w:tc>
      </w:tr>
      <w:tr w:rsidR="00224573" w:rsidRPr="00C5395B" w14:paraId="5702017B" w14:textId="77777777" w:rsidTr="0010294B">
        <w:trPr>
          <w:trHeight w:val="255"/>
        </w:trPr>
        <w:tc>
          <w:tcPr>
            <w:tcW w:w="2080" w:type="dxa"/>
            <w:tcBorders>
              <w:top w:val="nil"/>
              <w:left w:val="single" w:sz="4" w:space="0" w:color="auto"/>
              <w:bottom w:val="single" w:sz="4" w:space="0" w:color="auto"/>
              <w:right w:val="single" w:sz="4" w:space="0" w:color="auto"/>
            </w:tcBorders>
            <w:noWrap/>
            <w:hideMark/>
          </w:tcPr>
          <w:p w14:paraId="23F10C44" w14:textId="77777777" w:rsidR="00224573" w:rsidRPr="00C5395B" w:rsidRDefault="00224573" w:rsidP="0010294B">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717045F2" w14:textId="77777777" w:rsidR="00224573" w:rsidRDefault="00224573" w:rsidP="0010294B">
            <w:pPr>
              <w:jc w:val="right"/>
              <w:rPr>
                <w:rFonts w:cs="Arial"/>
              </w:rPr>
            </w:pPr>
            <w:r>
              <w:rPr>
                <w:rFonts w:cs="Arial"/>
              </w:rPr>
              <w:t>28</w:t>
            </w:r>
          </w:p>
        </w:tc>
        <w:tc>
          <w:tcPr>
            <w:tcW w:w="960" w:type="dxa"/>
            <w:tcBorders>
              <w:top w:val="nil"/>
              <w:left w:val="nil"/>
              <w:bottom w:val="single" w:sz="4" w:space="0" w:color="auto"/>
              <w:right w:val="single" w:sz="4" w:space="0" w:color="auto"/>
            </w:tcBorders>
          </w:tcPr>
          <w:p w14:paraId="7B384C6C" w14:textId="77777777" w:rsidR="00224573" w:rsidRDefault="00224573" w:rsidP="0010294B">
            <w:pPr>
              <w:jc w:val="right"/>
              <w:rPr>
                <w:rFonts w:cs="Arial"/>
              </w:rPr>
            </w:pPr>
            <w:r>
              <w:rPr>
                <w:rFonts w:cs="Arial"/>
              </w:rPr>
              <w:t>31</w:t>
            </w:r>
          </w:p>
        </w:tc>
        <w:tc>
          <w:tcPr>
            <w:tcW w:w="960" w:type="dxa"/>
            <w:tcBorders>
              <w:top w:val="nil"/>
              <w:left w:val="nil"/>
              <w:bottom w:val="single" w:sz="4" w:space="0" w:color="auto"/>
              <w:right w:val="single" w:sz="4" w:space="0" w:color="auto"/>
            </w:tcBorders>
          </w:tcPr>
          <w:p w14:paraId="39D8C0A6" w14:textId="77777777" w:rsidR="00224573" w:rsidRDefault="00224573" w:rsidP="0010294B">
            <w:pPr>
              <w:jc w:val="right"/>
              <w:rPr>
                <w:rFonts w:cs="Arial"/>
              </w:rPr>
            </w:pPr>
            <w:r>
              <w:rPr>
                <w:rFonts w:cs="Arial"/>
              </w:rPr>
              <w:t>22</w:t>
            </w:r>
          </w:p>
        </w:tc>
        <w:tc>
          <w:tcPr>
            <w:tcW w:w="960" w:type="dxa"/>
            <w:tcBorders>
              <w:top w:val="nil"/>
              <w:left w:val="nil"/>
              <w:bottom w:val="single" w:sz="4" w:space="0" w:color="auto"/>
              <w:right w:val="single" w:sz="4" w:space="0" w:color="auto"/>
            </w:tcBorders>
          </w:tcPr>
          <w:p w14:paraId="4B636C0F" w14:textId="77777777" w:rsidR="00224573" w:rsidRDefault="00224573" w:rsidP="0010294B">
            <w:pPr>
              <w:jc w:val="right"/>
              <w:rPr>
                <w:rFonts w:cs="Arial"/>
              </w:rPr>
            </w:pPr>
            <w:r>
              <w:rPr>
                <w:rFonts w:cs="Arial"/>
              </w:rPr>
              <w:t>26</w:t>
            </w:r>
          </w:p>
        </w:tc>
        <w:tc>
          <w:tcPr>
            <w:tcW w:w="960" w:type="dxa"/>
            <w:tcBorders>
              <w:top w:val="nil"/>
              <w:left w:val="nil"/>
              <w:bottom w:val="single" w:sz="4" w:space="0" w:color="auto"/>
              <w:right w:val="single" w:sz="4" w:space="0" w:color="auto"/>
            </w:tcBorders>
          </w:tcPr>
          <w:p w14:paraId="4035476D" w14:textId="77777777" w:rsidR="00224573" w:rsidRDefault="00224573" w:rsidP="0010294B">
            <w:pPr>
              <w:jc w:val="right"/>
              <w:rPr>
                <w:rFonts w:cs="Arial"/>
              </w:rPr>
            </w:pPr>
            <w:r>
              <w:rPr>
                <w:rFonts w:cs="Arial"/>
              </w:rPr>
              <w:t>13</w:t>
            </w:r>
          </w:p>
        </w:tc>
      </w:tr>
      <w:tr w:rsidR="00224573" w:rsidRPr="00C5395B" w14:paraId="45A7F59D" w14:textId="77777777" w:rsidTr="0010294B">
        <w:trPr>
          <w:trHeight w:val="255"/>
        </w:trPr>
        <w:tc>
          <w:tcPr>
            <w:tcW w:w="2080" w:type="dxa"/>
            <w:tcBorders>
              <w:top w:val="nil"/>
              <w:left w:val="single" w:sz="4" w:space="0" w:color="auto"/>
              <w:bottom w:val="single" w:sz="4" w:space="0" w:color="auto"/>
              <w:right w:val="single" w:sz="4" w:space="0" w:color="auto"/>
            </w:tcBorders>
            <w:noWrap/>
            <w:hideMark/>
          </w:tcPr>
          <w:p w14:paraId="02FFA035" w14:textId="77777777" w:rsidR="00224573" w:rsidRPr="00C5395B" w:rsidRDefault="00224573" w:rsidP="0010294B">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23B1C089" w14:textId="77777777" w:rsidR="00224573" w:rsidRDefault="00224573" w:rsidP="0010294B">
            <w:pPr>
              <w:jc w:val="right"/>
              <w:rPr>
                <w:rFonts w:cs="Arial"/>
                <w:b/>
                <w:bCs/>
              </w:rPr>
            </w:pPr>
            <w:r>
              <w:rPr>
                <w:rFonts w:cs="Arial"/>
                <w:b/>
                <w:bCs/>
              </w:rPr>
              <w:t>296</w:t>
            </w:r>
          </w:p>
        </w:tc>
        <w:tc>
          <w:tcPr>
            <w:tcW w:w="960" w:type="dxa"/>
            <w:tcBorders>
              <w:top w:val="nil"/>
              <w:left w:val="nil"/>
              <w:bottom w:val="single" w:sz="4" w:space="0" w:color="auto"/>
              <w:right w:val="single" w:sz="4" w:space="0" w:color="auto"/>
            </w:tcBorders>
          </w:tcPr>
          <w:p w14:paraId="753412D9" w14:textId="77777777" w:rsidR="00224573" w:rsidRDefault="00224573" w:rsidP="0010294B">
            <w:pPr>
              <w:jc w:val="right"/>
              <w:rPr>
                <w:rFonts w:cs="Arial"/>
                <w:b/>
                <w:bCs/>
              </w:rPr>
            </w:pPr>
            <w:r>
              <w:rPr>
                <w:rFonts w:cs="Arial"/>
                <w:b/>
                <w:bCs/>
              </w:rPr>
              <w:t>313</w:t>
            </w:r>
          </w:p>
        </w:tc>
        <w:tc>
          <w:tcPr>
            <w:tcW w:w="960" w:type="dxa"/>
            <w:tcBorders>
              <w:top w:val="nil"/>
              <w:left w:val="nil"/>
              <w:bottom w:val="single" w:sz="4" w:space="0" w:color="auto"/>
              <w:right w:val="single" w:sz="4" w:space="0" w:color="auto"/>
            </w:tcBorders>
          </w:tcPr>
          <w:p w14:paraId="69C3FFD2" w14:textId="77777777" w:rsidR="00224573" w:rsidRDefault="00224573" w:rsidP="0010294B">
            <w:pPr>
              <w:jc w:val="right"/>
              <w:rPr>
                <w:rFonts w:cs="Arial"/>
                <w:b/>
                <w:bCs/>
              </w:rPr>
            </w:pPr>
            <w:r>
              <w:rPr>
                <w:rFonts w:cs="Arial"/>
                <w:b/>
                <w:bCs/>
              </w:rPr>
              <w:t>278</w:t>
            </w:r>
          </w:p>
        </w:tc>
        <w:tc>
          <w:tcPr>
            <w:tcW w:w="960" w:type="dxa"/>
            <w:tcBorders>
              <w:top w:val="nil"/>
              <w:left w:val="nil"/>
              <w:bottom w:val="single" w:sz="4" w:space="0" w:color="auto"/>
              <w:right w:val="single" w:sz="4" w:space="0" w:color="auto"/>
            </w:tcBorders>
          </w:tcPr>
          <w:p w14:paraId="1F3A1832" w14:textId="77777777" w:rsidR="00224573" w:rsidRDefault="00224573" w:rsidP="0010294B">
            <w:pPr>
              <w:jc w:val="right"/>
              <w:rPr>
                <w:rFonts w:cs="Arial"/>
                <w:b/>
                <w:bCs/>
              </w:rPr>
            </w:pPr>
            <w:r>
              <w:rPr>
                <w:rFonts w:cs="Arial"/>
                <w:b/>
                <w:bCs/>
              </w:rPr>
              <w:t>250</w:t>
            </w:r>
          </w:p>
        </w:tc>
        <w:tc>
          <w:tcPr>
            <w:tcW w:w="960" w:type="dxa"/>
            <w:tcBorders>
              <w:top w:val="nil"/>
              <w:left w:val="nil"/>
              <w:bottom w:val="single" w:sz="4" w:space="0" w:color="auto"/>
              <w:right w:val="single" w:sz="4" w:space="0" w:color="auto"/>
            </w:tcBorders>
          </w:tcPr>
          <w:p w14:paraId="12BF0824" w14:textId="77777777" w:rsidR="00224573" w:rsidRDefault="00224573" w:rsidP="0010294B">
            <w:pPr>
              <w:jc w:val="right"/>
              <w:rPr>
                <w:rFonts w:cs="Arial"/>
                <w:b/>
                <w:bCs/>
              </w:rPr>
            </w:pPr>
            <w:r>
              <w:rPr>
                <w:rFonts w:cs="Arial"/>
                <w:b/>
                <w:bCs/>
              </w:rPr>
              <w:t>228</w:t>
            </w:r>
          </w:p>
        </w:tc>
      </w:tr>
      <w:bookmarkEnd w:id="21"/>
    </w:tbl>
    <w:p w14:paraId="7BAC4A8E" w14:textId="77777777" w:rsidR="005A5B78" w:rsidRPr="0071779E" w:rsidRDefault="005A5B78" w:rsidP="0071779E">
      <w:pPr>
        <w:widowControl w:val="0"/>
        <w:tabs>
          <w:tab w:val="left" w:pos="4203"/>
        </w:tabs>
        <w:spacing w:line="240" w:lineRule="auto"/>
        <w:ind w:left="-142"/>
        <w:jc w:val="both"/>
        <w:rPr>
          <w:rFonts w:cs="Arial"/>
          <w:bCs/>
          <w:highlight w:val="yellow"/>
        </w:rPr>
      </w:pPr>
    </w:p>
    <w:p w14:paraId="7BAE3B75" w14:textId="0EC2B52B" w:rsidR="005A5B78" w:rsidRPr="002D4651" w:rsidRDefault="005A5B78" w:rsidP="00F034B6">
      <w:pPr>
        <w:pStyle w:val="Heading2"/>
      </w:pPr>
      <w:r w:rsidRPr="002D4651">
        <w:t>Referrals</w:t>
      </w:r>
      <w:r w:rsidR="00334F4D">
        <w:t xml:space="preserve"> </w:t>
      </w:r>
      <w:r w:rsidR="009C639D">
        <w:t>from</w:t>
      </w:r>
      <w:r w:rsidR="00334F4D">
        <w:t xml:space="preserve"> </w:t>
      </w:r>
      <w:r w:rsidR="00F20A3E">
        <w:t>‘</w:t>
      </w:r>
      <w:r w:rsidR="00DF741D">
        <w:t>Family Responsibilities</w:t>
      </w:r>
      <w:r w:rsidR="00F20A3E">
        <w:t>’</w:t>
      </w:r>
      <w:r w:rsidR="00DF741D">
        <w:t xml:space="preserve"> Agreements</w:t>
      </w:r>
      <w:r w:rsidR="00334F4D">
        <w:t xml:space="preserve"> and </w:t>
      </w:r>
      <w:r w:rsidR="00DF741D">
        <w:t>Orders</w:t>
      </w:r>
    </w:p>
    <w:p w14:paraId="417F98D8" w14:textId="6E31FB58" w:rsidR="00C872F0" w:rsidRDefault="006F3F88" w:rsidP="00964A63">
      <w:pPr>
        <w:ind w:left="-142" w:right="-425"/>
        <w:jc w:val="both"/>
        <w:rPr>
          <w:rFonts w:cs="Arial"/>
        </w:rPr>
      </w:pPr>
      <w:r>
        <w:rPr>
          <w:rFonts w:cs="Arial"/>
        </w:rPr>
        <w:t xml:space="preserve">A total of </w:t>
      </w:r>
      <w:r w:rsidR="00F330AF">
        <w:rPr>
          <w:rFonts w:cs="Arial"/>
        </w:rPr>
        <w:t xml:space="preserve">92 </w:t>
      </w:r>
      <w:r w:rsidR="00281AAC">
        <w:rPr>
          <w:rFonts w:cs="Arial"/>
        </w:rPr>
        <w:t>r</w:t>
      </w:r>
      <w:r w:rsidR="005A5B78" w:rsidRPr="00B70DEE">
        <w:rPr>
          <w:rFonts w:cs="Arial"/>
        </w:rPr>
        <w:t xml:space="preserve">eferrals </w:t>
      </w:r>
      <w:r w:rsidR="0059795D">
        <w:rPr>
          <w:rFonts w:cs="Arial"/>
        </w:rPr>
        <w:t>(</w:t>
      </w:r>
      <w:r w:rsidR="001E5AFF" w:rsidRPr="00B70DEE">
        <w:rPr>
          <w:rFonts w:cs="Arial"/>
        </w:rPr>
        <w:t xml:space="preserve">to service providers </w:t>
      </w:r>
      <w:r w:rsidR="002B5D5C">
        <w:t xml:space="preserve">from </w:t>
      </w:r>
      <w:r w:rsidR="00F20A3E">
        <w:t>‘</w:t>
      </w:r>
      <w:r w:rsidR="001B3F63">
        <w:t>Family Responsibilities</w:t>
      </w:r>
      <w:r w:rsidR="00F20A3E">
        <w:t>’</w:t>
      </w:r>
      <w:r w:rsidR="001B3F63">
        <w:t xml:space="preserve"> Agreements</w:t>
      </w:r>
      <w:r w:rsidR="0073625C">
        <w:t xml:space="preserve"> (FRAs)</w:t>
      </w:r>
      <w:r w:rsidR="001B3F63">
        <w:t xml:space="preserve"> and</w:t>
      </w:r>
      <w:r w:rsidR="001B3F63" w:rsidRPr="003573E3">
        <w:t xml:space="preserve"> Orders</w:t>
      </w:r>
      <w:r w:rsidR="0059795D">
        <w:t>)</w:t>
      </w:r>
      <w:r w:rsidR="002B5D5C" w:rsidRPr="003573E3">
        <w:rPr>
          <w:rFonts w:cs="Arial"/>
        </w:rPr>
        <w:t xml:space="preserve"> </w:t>
      </w:r>
      <w:r w:rsidR="001E5AFF" w:rsidRPr="003573E3">
        <w:rPr>
          <w:rFonts w:cs="Arial"/>
        </w:rPr>
        <w:t xml:space="preserve">relating to </w:t>
      </w:r>
      <w:r w:rsidR="00F330AF">
        <w:rPr>
          <w:rFonts w:cs="Arial"/>
        </w:rPr>
        <w:t>73</w:t>
      </w:r>
      <w:r w:rsidR="00F330AF" w:rsidRPr="003573E3">
        <w:rPr>
          <w:rFonts w:cs="Arial"/>
        </w:rPr>
        <w:t xml:space="preserve"> </w:t>
      </w:r>
      <w:r w:rsidR="001E5AFF" w:rsidRPr="003573E3">
        <w:rPr>
          <w:rFonts w:cs="Arial"/>
        </w:rPr>
        <w:t xml:space="preserve">clients </w:t>
      </w:r>
      <w:r>
        <w:rPr>
          <w:rFonts w:cs="Arial"/>
        </w:rPr>
        <w:t xml:space="preserve">were made in quarter </w:t>
      </w:r>
      <w:r w:rsidR="00362DE8">
        <w:rPr>
          <w:rFonts w:cs="Arial"/>
        </w:rPr>
        <w:t>6</w:t>
      </w:r>
      <w:r w:rsidR="00EE7CC7">
        <w:rPr>
          <w:rFonts w:cs="Arial"/>
        </w:rPr>
        <w:t>1</w:t>
      </w:r>
      <w:r w:rsidR="001266C1" w:rsidRPr="00C75E8D">
        <w:rPr>
          <w:rFonts w:cs="Arial"/>
        </w:rPr>
        <w:t>.</w:t>
      </w:r>
      <w:r w:rsidR="00C75E8D" w:rsidRPr="00C75E8D">
        <w:rPr>
          <w:rFonts w:cs="Arial"/>
        </w:rPr>
        <w:t xml:space="preserve"> The Local Commissioners continue to raise concerns regarding the availability of appropriate perpetrator intervention programs suitable for client referrals so community members can be supported to address </w:t>
      </w:r>
      <w:r w:rsidR="00C75E8D">
        <w:rPr>
          <w:rFonts w:cs="Arial"/>
        </w:rPr>
        <w:t>domestic violence</w:t>
      </w:r>
      <w:r w:rsidR="00C75E8D" w:rsidRPr="00C75E8D">
        <w:rPr>
          <w:rFonts w:cs="Arial"/>
        </w:rPr>
        <w:t xml:space="preserve"> behaviours. The broader social impacts of domestic and family violence are set out in </w:t>
      </w:r>
      <w:r w:rsidR="00C75E8D" w:rsidRPr="00C75E8D">
        <w:t xml:space="preserve">Table </w:t>
      </w:r>
      <w:r w:rsidR="00F61DB6">
        <w:t>3</w:t>
      </w:r>
      <w:r w:rsidR="00C75E8D" w:rsidRPr="00C75E8D">
        <w:t xml:space="preserve"> with </w:t>
      </w:r>
      <w:r w:rsidR="00C75E8D">
        <w:t xml:space="preserve">an </w:t>
      </w:r>
      <w:r w:rsidR="00C75E8D" w:rsidRPr="00C75E8D">
        <w:t>analysis illustrating the nexus between Court convictions and domestic violence orders/breaches with school attendance issues and to a lesser degree child safety issues.</w:t>
      </w:r>
    </w:p>
    <w:p w14:paraId="6A11405C" w14:textId="4DDCA328" w:rsidR="00742C7E" w:rsidRPr="0071779E" w:rsidRDefault="00742C7E" w:rsidP="00695B67">
      <w:pPr>
        <w:tabs>
          <w:tab w:val="left" w:pos="0"/>
        </w:tabs>
        <w:ind w:left="426" w:right="-425" w:hanging="568"/>
        <w:jc w:val="both"/>
        <w:rPr>
          <w:rFonts w:cs="Arial"/>
          <w:bCs/>
        </w:rPr>
      </w:pPr>
    </w:p>
    <w:p w14:paraId="385382D9" w14:textId="3E9AA5EF" w:rsidR="00695B67" w:rsidRDefault="00224573" w:rsidP="00695B67">
      <w:pPr>
        <w:tabs>
          <w:tab w:val="left" w:pos="0"/>
        </w:tabs>
        <w:ind w:left="426" w:right="-425" w:hanging="568"/>
        <w:jc w:val="both"/>
        <w:rPr>
          <w:rFonts w:cs="Arial"/>
          <w:sz w:val="16"/>
          <w:szCs w:val="16"/>
        </w:rPr>
      </w:pPr>
      <w:r>
        <w:rPr>
          <w:rFonts w:cs="Arial"/>
          <w:b/>
          <w:sz w:val="16"/>
          <w:szCs w:val="16"/>
        </w:rPr>
        <w:lastRenderedPageBreak/>
        <w:t>Table 13</w:t>
      </w:r>
      <w:r w:rsidR="005A5B78" w:rsidRPr="004063DB">
        <w:rPr>
          <w:rFonts w:cs="Arial"/>
          <w:b/>
          <w:sz w:val="16"/>
          <w:szCs w:val="16"/>
        </w:rPr>
        <w:t xml:space="preserve">: </w:t>
      </w:r>
      <w:r w:rsidR="001B457C">
        <w:rPr>
          <w:rFonts w:cs="Arial"/>
          <w:sz w:val="16"/>
          <w:szCs w:val="16"/>
        </w:rPr>
        <w:t>Referrals</w:t>
      </w:r>
      <w:r w:rsidR="005A5B78" w:rsidRPr="0053018A">
        <w:rPr>
          <w:rFonts w:cs="Arial"/>
          <w:sz w:val="16"/>
          <w:szCs w:val="16"/>
        </w:rPr>
        <w:t xml:space="preserve"> </w:t>
      </w:r>
      <w:r w:rsidR="005A5B78">
        <w:rPr>
          <w:rFonts w:cs="Arial"/>
          <w:sz w:val="16"/>
          <w:szCs w:val="16"/>
        </w:rPr>
        <w:t xml:space="preserve">by </w:t>
      </w:r>
      <w:r w:rsidR="00773AE5">
        <w:rPr>
          <w:rFonts w:cs="Arial"/>
          <w:sz w:val="16"/>
          <w:szCs w:val="16"/>
        </w:rPr>
        <w:t>community</w:t>
      </w:r>
      <w:r w:rsidR="005A5B78">
        <w:rPr>
          <w:rFonts w:cs="Arial"/>
          <w:sz w:val="16"/>
          <w:szCs w:val="16"/>
        </w:rPr>
        <w:t xml:space="preserve"> and quarter </w:t>
      </w:r>
      <w:r w:rsidR="007B7E78">
        <w:rPr>
          <w:rFonts w:cs="Arial"/>
          <w:sz w:val="16"/>
          <w:szCs w:val="16"/>
        </w:rPr>
        <w:t xml:space="preserve">1 </w:t>
      </w:r>
      <w:r w:rsidR="000850EB">
        <w:rPr>
          <w:rFonts w:cs="Arial"/>
          <w:sz w:val="16"/>
          <w:szCs w:val="16"/>
        </w:rPr>
        <w:t xml:space="preserve">July </w:t>
      </w:r>
      <w:r w:rsidR="003C708C">
        <w:rPr>
          <w:rFonts w:cs="Arial"/>
          <w:sz w:val="16"/>
          <w:szCs w:val="16"/>
        </w:rPr>
        <w:t xml:space="preserve">2022 </w:t>
      </w:r>
      <w:r w:rsidR="00AD4E9A">
        <w:rPr>
          <w:rFonts w:cs="Arial"/>
          <w:sz w:val="16"/>
          <w:szCs w:val="16"/>
        </w:rPr>
        <w:t xml:space="preserve">to </w:t>
      </w:r>
      <w:r w:rsidR="007B7E78">
        <w:rPr>
          <w:rFonts w:cs="Arial"/>
          <w:sz w:val="16"/>
          <w:szCs w:val="16"/>
        </w:rPr>
        <w:t>3</w:t>
      </w:r>
      <w:r w:rsidR="00362DE8">
        <w:rPr>
          <w:rFonts w:cs="Arial"/>
          <w:sz w:val="16"/>
          <w:szCs w:val="16"/>
        </w:rPr>
        <w:t xml:space="preserve">0 </w:t>
      </w:r>
      <w:r w:rsidR="000850EB">
        <w:rPr>
          <w:rFonts w:cs="Arial"/>
          <w:sz w:val="16"/>
          <w:szCs w:val="16"/>
        </w:rPr>
        <w:t xml:space="preserve">September </w:t>
      </w:r>
      <w:r w:rsidR="00984BBB">
        <w:rPr>
          <w:rFonts w:cs="Arial"/>
          <w:sz w:val="16"/>
          <w:szCs w:val="16"/>
        </w:rPr>
        <w:t>2023</w:t>
      </w:r>
    </w:p>
    <w:p w14:paraId="604EA46A" w14:textId="77777777" w:rsidR="00224573" w:rsidRPr="0070366B" w:rsidRDefault="00224573" w:rsidP="00695B67">
      <w:pPr>
        <w:tabs>
          <w:tab w:val="left" w:pos="0"/>
        </w:tabs>
        <w:ind w:left="426" w:right="-425" w:hanging="568"/>
        <w:jc w:val="both"/>
        <w:rPr>
          <w:rFonts w:cs="Arial"/>
        </w:rPr>
      </w:pPr>
    </w:p>
    <w:tbl>
      <w:tblPr>
        <w:tblW w:w="6994" w:type="dxa"/>
        <w:tblInd w:w="93" w:type="dxa"/>
        <w:tblLook w:val="04A0" w:firstRow="1" w:lastRow="0" w:firstColumn="1" w:lastColumn="0" w:noHBand="0" w:noVBand="1"/>
      </w:tblPr>
      <w:tblGrid>
        <w:gridCol w:w="2029"/>
        <w:gridCol w:w="993"/>
        <w:gridCol w:w="993"/>
        <w:gridCol w:w="993"/>
        <w:gridCol w:w="993"/>
        <w:gridCol w:w="993"/>
      </w:tblGrid>
      <w:tr w:rsidR="00224573" w:rsidRPr="00C5395B" w14:paraId="76FCA3F3" w14:textId="77777777" w:rsidTr="0010294B">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611B5FAA" w14:textId="77777777" w:rsidR="00224573" w:rsidRPr="00C5395B" w:rsidRDefault="00224573" w:rsidP="0010294B">
            <w:pPr>
              <w:pStyle w:val="TableText"/>
              <w:rPr>
                <w:b/>
                <w:lang w:eastAsia="en-AU"/>
              </w:rPr>
            </w:pPr>
            <w:bookmarkStart w:id="22" w:name="_Hlk158966103"/>
            <w:r w:rsidRPr="00C5395B">
              <w:rPr>
                <w:b/>
                <w:lang w:eastAsia="en-AU"/>
              </w:rPr>
              <w:t>Community</w:t>
            </w:r>
          </w:p>
        </w:tc>
        <w:tc>
          <w:tcPr>
            <w:tcW w:w="993" w:type="dxa"/>
            <w:tcBorders>
              <w:top w:val="single" w:sz="4" w:space="0" w:color="auto"/>
              <w:left w:val="nil"/>
              <w:bottom w:val="single" w:sz="4" w:space="0" w:color="auto"/>
              <w:right w:val="single" w:sz="4" w:space="0" w:color="auto"/>
            </w:tcBorders>
          </w:tcPr>
          <w:p w14:paraId="7231F863" w14:textId="77777777" w:rsidR="00224573" w:rsidRDefault="00224573" w:rsidP="0010294B">
            <w:pPr>
              <w:pStyle w:val="TableText"/>
              <w:jc w:val="right"/>
              <w:rPr>
                <w:b/>
                <w:lang w:eastAsia="en-AU"/>
              </w:rPr>
            </w:pPr>
            <w:r>
              <w:rPr>
                <w:b/>
                <w:lang w:eastAsia="en-AU"/>
              </w:rPr>
              <w:t>Qtr 57</w:t>
            </w:r>
          </w:p>
        </w:tc>
        <w:tc>
          <w:tcPr>
            <w:tcW w:w="993" w:type="dxa"/>
            <w:tcBorders>
              <w:top w:val="single" w:sz="4" w:space="0" w:color="auto"/>
              <w:left w:val="nil"/>
              <w:bottom w:val="single" w:sz="4" w:space="0" w:color="auto"/>
              <w:right w:val="single" w:sz="4" w:space="0" w:color="auto"/>
            </w:tcBorders>
          </w:tcPr>
          <w:p w14:paraId="0212E2EF" w14:textId="77777777" w:rsidR="00224573" w:rsidRDefault="00224573" w:rsidP="0010294B">
            <w:pPr>
              <w:pStyle w:val="TableText"/>
              <w:jc w:val="right"/>
              <w:rPr>
                <w:b/>
                <w:lang w:eastAsia="en-AU"/>
              </w:rPr>
            </w:pPr>
            <w:r>
              <w:rPr>
                <w:b/>
                <w:lang w:eastAsia="en-AU"/>
              </w:rPr>
              <w:t>Qtr 58</w:t>
            </w:r>
          </w:p>
        </w:tc>
        <w:tc>
          <w:tcPr>
            <w:tcW w:w="993" w:type="dxa"/>
            <w:tcBorders>
              <w:top w:val="single" w:sz="4" w:space="0" w:color="auto"/>
              <w:left w:val="nil"/>
              <w:bottom w:val="single" w:sz="4" w:space="0" w:color="auto"/>
              <w:right w:val="single" w:sz="4" w:space="0" w:color="auto"/>
            </w:tcBorders>
          </w:tcPr>
          <w:p w14:paraId="29988CC5" w14:textId="77777777" w:rsidR="00224573" w:rsidRDefault="00224573" w:rsidP="0010294B">
            <w:pPr>
              <w:pStyle w:val="TableText"/>
              <w:jc w:val="right"/>
              <w:rPr>
                <w:b/>
                <w:lang w:eastAsia="en-AU"/>
              </w:rPr>
            </w:pPr>
            <w:r>
              <w:rPr>
                <w:b/>
                <w:lang w:eastAsia="en-AU"/>
              </w:rPr>
              <w:t>Qtr 59</w:t>
            </w:r>
          </w:p>
        </w:tc>
        <w:tc>
          <w:tcPr>
            <w:tcW w:w="993" w:type="dxa"/>
            <w:tcBorders>
              <w:top w:val="single" w:sz="4" w:space="0" w:color="auto"/>
              <w:left w:val="nil"/>
              <w:bottom w:val="single" w:sz="4" w:space="0" w:color="auto"/>
              <w:right w:val="single" w:sz="4" w:space="0" w:color="auto"/>
            </w:tcBorders>
          </w:tcPr>
          <w:p w14:paraId="5C5D1FE8" w14:textId="77777777" w:rsidR="00224573" w:rsidRDefault="00224573" w:rsidP="0010294B">
            <w:pPr>
              <w:pStyle w:val="TableText"/>
              <w:jc w:val="right"/>
              <w:rPr>
                <w:b/>
                <w:lang w:eastAsia="en-AU"/>
              </w:rPr>
            </w:pPr>
            <w:r w:rsidRPr="00BA518C">
              <w:rPr>
                <w:b/>
                <w:lang w:eastAsia="en-AU"/>
              </w:rPr>
              <w:t>Qtr 60</w:t>
            </w:r>
          </w:p>
        </w:tc>
        <w:tc>
          <w:tcPr>
            <w:tcW w:w="993" w:type="dxa"/>
            <w:tcBorders>
              <w:top w:val="single" w:sz="4" w:space="0" w:color="auto"/>
              <w:left w:val="nil"/>
              <w:bottom w:val="single" w:sz="4" w:space="0" w:color="auto"/>
              <w:right w:val="single" w:sz="4" w:space="0" w:color="auto"/>
            </w:tcBorders>
          </w:tcPr>
          <w:p w14:paraId="7B9DFCEA" w14:textId="77777777" w:rsidR="00224573" w:rsidRPr="00BA518C" w:rsidRDefault="00224573" w:rsidP="0010294B">
            <w:pPr>
              <w:pStyle w:val="TableText"/>
              <w:jc w:val="right"/>
              <w:rPr>
                <w:b/>
                <w:lang w:eastAsia="en-AU"/>
              </w:rPr>
            </w:pPr>
            <w:r w:rsidRPr="00BA518C">
              <w:rPr>
                <w:b/>
                <w:lang w:eastAsia="en-AU"/>
              </w:rPr>
              <w:t>Qtr 61</w:t>
            </w:r>
          </w:p>
        </w:tc>
      </w:tr>
      <w:tr w:rsidR="00224573" w:rsidRPr="00C5395B" w14:paraId="79304AB7" w14:textId="77777777" w:rsidTr="0010294B">
        <w:trPr>
          <w:trHeight w:val="255"/>
        </w:trPr>
        <w:tc>
          <w:tcPr>
            <w:tcW w:w="2029" w:type="dxa"/>
            <w:tcBorders>
              <w:top w:val="nil"/>
              <w:left w:val="single" w:sz="4" w:space="0" w:color="auto"/>
              <w:bottom w:val="single" w:sz="4" w:space="0" w:color="auto"/>
              <w:right w:val="single" w:sz="4" w:space="0" w:color="auto"/>
            </w:tcBorders>
            <w:noWrap/>
            <w:hideMark/>
          </w:tcPr>
          <w:p w14:paraId="552AA6B9" w14:textId="77777777" w:rsidR="00224573" w:rsidRPr="00C5395B" w:rsidRDefault="00224573" w:rsidP="0010294B">
            <w:pPr>
              <w:pStyle w:val="TableText"/>
              <w:rPr>
                <w:lang w:eastAsia="en-AU"/>
              </w:rPr>
            </w:pPr>
            <w:r w:rsidRPr="00C5395B">
              <w:rPr>
                <w:lang w:eastAsia="en-AU"/>
              </w:rPr>
              <w:t>Aurukun</w:t>
            </w:r>
          </w:p>
        </w:tc>
        <w:tc>
          <w:tcPr>
            <w:tcW w:w="993" w:type="dxa"/>
            <w:tcBorders>
              <w:top w:val="nil"/>
              <w:left w:val="nil"/>
              <w:bottom w:val="single" w:sz="4" w:space="0" w:color="auto"/>
              <w:right w:val="single" w:sz="4" w:space="0" w:color="auto"/>
            </w:tcBorders>
          </w:tcPr>
          <w:p w14:paraId="604AF460" w14:textId="77777777" w:rsidR="00224573" w:rsidRDefault="00224573" w:rsidP="0010294B">
            <w:pPr>
              <w:jc w:val="right"/>
              <w:rPr>
                <w:rFonts w:cs="Arial"/>
              </w:rPr>
            </w:pPr>
            <w:r>
              <w:rPr>
                <w:rFonts w:cs="Arial"/>
              </w:rPr>
              <w:t>35</w:t>
            </w:r>
          </w:p>
        </w:tc>
        <w:tc>
          <w:tcPr>
            <w:tcW w:w="993" w:type="dxa"/>
            <w:tcBorders>
              <w:top w:val="nil"/>
              <w:left w:val="nil"/>
              <w:bottom w:val="single" w:sz="4" w:space="0" w:color="auto"/>
              <w:right w:val="single" w:sz="4" w:space="0" w:color="auto"/>
            </w:tcBorders>
          </w:tcPr>
          <w:p w14:paraId="368DF9AB" w14:textId="77777777" w:rsidR="00224573" w:rsidRDefault="00224573" w:rsidP="0010294B">
            <w:pPr>
              <w:jc w:val="right"/>
              <w:rPr>
                <w:rFonts w:cs="Arial"/>
              </w:rPr>
            </w:pPr>
            <w:r>
              <w:rPr>
                <w:rFonts w:cs="Arial"/>
              </w:rPr>
              <w:t>82</w:t>
            </w:r>
          </w:p>
        </w:tc>
        <w:tc>
          <w:tcPr>
            <w:tcW w:w="993" w:type="dxa"/>
            <w:tcBorders>
              <w:top w:val="nil"/>
              <w:left w:val="nil"/>
              <w:bottom w:val="single" w:sz="4" w:space="0" w:color="auto"/>
              <w:right w:val="single" w:sz="4" w:space="0" w:color="auto"/>
            </w:tcBorders>
          </w:tcPr>
          <w:p w14:paraId="7FAFD315" w14:textId="77777777" w:rsidR="00224573" w:rsidRDefault="00224573" w:rsidP="0010294B">
            <w:pPr>
              <w:jc w:val="right"/>
              <w:rPr>
                <w:rFonts w:cs="Arial"/>
              </w:rPr>
            </w:pPr>
            <w:r>
              <w:rPr>
                <w:rFonts w:cs="Arial"/>
              </w:rPr>
              <w:t>48</w:t>
            </w:r>
          </w:p>
        </w:tc>
        <w:tc>
          <w:tcPr>
            <w:tcW w:w="993" w:type="dxa"/>
            <w:tcBorders>
              <w:top w:val="nil"/>
              <w:left w:val="nil"/>
              <w:bottom w:val="single" w:sz="4" w:space="0" w:color="auto"/>
              <w:right w:val="single" w:sz="4" w:space="0" w:color="auto"/>
            </w:tcBorders>
          </w:tcPr>
          <w:p w14:paraId="1741D527" w14:textId="77777777" w:rsidR="00224573" w:rsidRDefault="00224573" w:rsidP="0010294B">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539AEAD8" w14:textId="77777777" w:rsidR="00224573" w:rsidRDefault="00224573" w:rsidP="0010294B">
            <w:pPr>
              <w:jc w:val="right"/>
              <w:rPr>
                <w:rFonts w:cs="Arial"/>
              </w:rPr>
            </w:pPr>
            <w:r>
              <w:rPr>
                <w:rFonts w:cs="Arial"/>
              </w:rPr>
              <w:t>38</w:t>
            </w:r>
          </w:p>
        </w:tc>
      </w:tr>
      <w:tr w:rsidR="00224573" w:rsidRPr="00C5395B" w14:paraId="687BD1B6" w14:textId="77777777" w:rsidTr="0010294B">
        <w:trPr>
          <w:trHeight w:val="255"/>
        </w:trPr>
        <w:tc>
          <w:tcPr>
            <w:tcW w:w="2029" w:type="dxa"/>
            <w:tcBorders>
              <w:top w:val="nil"/>
              <w:left w:val="single" w:sz="4" w:space="0" w:color="auto"/>
              <w:bottom w:val="single" w:sz="4" w:space="0" w:color="auto"/>
              <w:right w:val="single" w:sz="4" w:space="0" w:color="auto"/>
            </w:tcBorders>
            <w:noWrap/>
            <w:hideMark/>
          </w:tcPr>
          <w:p w14:paraId="4CAF3E0C" w14:textId="77777777" w:rsidR="00224573" w:rsidRPr="00C5395B" w:rsidRDefault="00224573" w:rsidP="0010294B">
            <w:pPr>
              <w:pStyle w:val="TableText"/>
              <w:rPr>
                <w:lang w:eastAsia="en-AU"/>
              </w:rPr>
            </w:pPr>
            <w:r w:rsidRPr="00C5395B">
              <w:rPr>
                <w:lang w:eastAsia="en-AU"/>
              </w:rPr>
              <w:t>Coen</w:t>
            </w:r>
          </w:p>
        </w:tc>
        <w:tc>
          <w:tcPr>
            <w:tcW w:w="993" w:type="dxa"/>
            <w:tcBorders>
              <w:top w:val="nil"/>
              <w:left w:val="nil"/>
              <w:bottom w:val="single" w:sz="4" w:space="0" w:color="auto"/>
              <w:right w:val="single" w:sz="4" w:space="0" w:color="auto"/>
            </w:tcBorders>
          </w:tcPr>
          <w:p w14:paraId="79EC3E07" w14:textId="77777777" w:rsidR="00224573" w:rsidRDefault="00224573" w:rsidP="0010294B">
            <w:pPr>
              <w:jc w:val="right"/>
              <w:rPr>
                <w:rFonts w:cs="Arial"/>
              </w:rPr>
            </w:pPr>
            <w:r>
              <w:rPr>
                <w:rFonts w:cs="Arial"/>
              </w:rPr>
              <w:t>0</w:t>
            </w:r>
          </w:p>
        </w:tc>
        <w:tc>
          <w:tcPr>
            <w:tcW w:w="993" w:type="dxa"/>
            <w:tcBorders>
              <w:top w:val="nil"/>
              <w:left w:val="nil"/>
              <w:bottom w:val="single" w:sz="4" w:space="0" w:color="auto"/>
              <w:right w:val="single" w:sz="4" w:space="0" w:color="auto"/>
            </w:tcBorders>
          </w:tcPr>
          <w:p w14:paraId="7714936B" w14:textId="77777777" w:rsidR="00224573" w:rsidRDefault="00224573" w:rsidP="0010294B">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6B6859E4" w14:textId="77777777" w:rsidR="00224573" w:rsidRDefault="00224573" w:rsidP="0010294B">
            <w:pPr>
              <w:jc w:val="right"/>
              <w:rPr>
                <w:rFonts w:cs="Arial"/>
              </w:rPr>
            </w:pPr>
            <w:r>
              <w:rPr>
                <w:rFonts w:cs="Arial"/>
              </w:rPr>
              <w:t>12</w:t>
            </w:r>
          </w:p>
        </w:tc>
        <w:tc>
          <w:tcPr>
            <w:tcW w:w="993" w:type="dxa"/>
            <w:tcBorders>
              <w:top w:val="nil"/>
              <w:left w:val="nil"/>
              <w:bottom w:val="single" w:sz="4" w:space="0" w:color="auto"/>
              <w:right w:val="single" w:sz="4" w:space="0" w:color="auto"/>
            </w:tcBorders>
          </w:tcPr>
          <w:p w14:paraId="1D4D80EF" w14:textId="77777777" w:rsidR="00224573" w:rsidRDefault="00224573" w:rsidP="0010294B">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4158031A" w14:textId="77777777" w:rsidR="00224573" w:rsidRDefault="00224573" w:rsidP="0010294B">
            <w:pPr>
              <w:jc w:val="right"/>
              <w:rPr>
                <w:rFonts w:cs="Arial"/>
              </w:rPr>
            </w:pPr>
            <w:r>
              <w:rPr>
                <w:rFonts w:cs="Arial"/>
              </w:rPr>
              <w:t>6</w:t>
            </w:r>
          </w:p>
        </w:tc>
      </w:tr>
      <w:tr w:rsidR="00224573" w:rsidRPr="00C5395B" w14:paraId="15FFF409" w14:textId="77777777" w:rsidTr="0010294B">
        <w:trPr>
          <w:trHeight w:val="255"/>
        </w:trPr>
        <w:tc>
          <w:tcPr>
            <w:tcW w:w="2029" w:type="dxa"/>
            <w:tcBorders>
              <w:top w:val="nil"/>
              <w:left w:val="single" w:sz="4" w:space="0" w:color="auto"/>
              <w:bottom w:val="single" w:sz="4" w:space="0" w:color="auto"/>
              <w:right w:val="single" w:sz="4" w:space="0" w:color="auto"/>
            </w:tcBorders>
            <w:noWrap/>
          </w:tcPr>
          <w:p w14:paraId="71292814" w14:textId="77777777" w:rsidR="00224573" w:rsidRPr="00C5395B" w:rsidRDefault="00224573" w:rsidP="0010294B">
            <w:pPr>
              <w:pStyle w:val="TableText"/>
              <w:rPr>
                <w:lang w:eastAsia="en-AU"/>
              </w:rPr>
            </w:pPr>
            <w:r>
              <w:rPr>
                <w:lang w:eastAsia="en-AU"/>
              </w:rPr>
              <w:t>Doomadgee</w:t>
            </w:r>
          </w:p>
        </w:tc>
        <w:tc>
          <w:tcPr>
            <w:tcW w:w="993" w:type="dxa"/>
            <w:tcBorders>
              <w:top w:val="nil"/>
              <w:left w:val="nil"/>
              <w:bottom w:val="single" w:sz="4" w:space="0" w:color="auto"/>
              <w:right w:val="single" w:sz="4" w:space="0" w:color="auto"/>
            </w:tcBorders>
          </w:tcPr>
          <w:p w14:paraId="52F375DC" w14:textId="77777777" w:rsidR="00224573" w:rsidRDefault="00224573" w:rsidP="0010294B">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60FD56A8" w14:textId="77777777" w:rsidR="00224573" w:rsidRDefault="00224573" w:rsidP="0010294B">
            <w:pPr>
              <w:jc w:val="right"/>
              <w:rPr>
                <w:rFonts w:cs="Arial"/>
              </w:rPr>
            </w:pPr>
            <w:r>
              <w:rPr>
                <w:rFonts w:cs="Arial"/>
              </w:rPr>
              <w:t>41</w:t>
            </w:r>
          </w:p>
        </w:tc>
        <w:tc>
          <w:tcPr>
            <w:tcW w:w="993" w:type="dxa"/>
            <w:tcBorders>
              <w:top w:val="nil"/>
              <w:left w:val="nil"/>
              <w:bottom w:val="single" w:sz="4" w:space="0" w:color="auto"/>
              <w:right w:val="single" w:sz="4" w:space="0" w:color="auto"/>
            </w:tcBorders>
          </w:tcPr>
          <w:p w14:paraId="71F24DC9" w14:textId="77777777" w:rsidR="00224573" w:rsidRDefault="00224573" w:rsidP="0010294B">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779F014A" w14:textId="77777777" w:rsidR="00224573" w:rsidRDefault="00224573" w:rsidP="0010294B">
            <w:pPr>
              <w:jc w:val="right"/>
              <w:rPr>
                <w:rFonts w:cs="Arial"/>
              </w:rPr>
            </w:pPr>
            <w:r>
              <w:rPr>
                <w:rFonts w:cs="Arial"/>
              </w:rPr>
              <w:t>47</w:t>
            </w:r>
          </w:p>
        </w:tc>
        <w:tc>
          <w:tcPr>
            <w:tcW w:w="993" w:type="dxa"/>
            <w:tcBorders>
              <w:top w:val="nil"/>
              <w:left w:val="nil"/>
              <w:bottom w:val="single" w:sz="4" w:space="0" w:color="auto"/>
              <w:right w:val="single" w:sz="4" w:space="0" w:color="auto"/>
            </w:tcBorders>
          </w:tcPr>
          <w:p w14:paraId="2A017C07" w14:textId="77777777" w:rsidR="00224573" w:rsidRDefault="00224573" w:rsidP="0010294B">
            <w:pPr>
              <w:jc w:val="right"/>
              <w:rPr>
                <w:rFonts w:cs="Arial"/>
              </w:rPr>
            </w:pPr>
            <w:r>
              <w:rPr>
                <w:rFonts w:cs="Arial"/>
              </w:rPr>
              <w:t>32</w:t>
            </w:r>
          </w:p>
        </w:tc>
      </w:tr>
      <w:tr w:rsidR="00224573" w:rsidRPr="00C5395B" w14:paraId="7A1429C0" w14:textId="77777777" w:rsidTr="0010294B">
        <w:trPr>
          <w:trHeight w:val="255"/>
        </w:trPr>
        <w:tc>
          <w:tcPr>
            <w:tcW w:w="2029" w:type="dxa"/>
            <w:tcBorders>
              <w:top w:val="nil"/>
              <w:left w:val="single" w:sz="4" w:space="0" w:color="auto"/>
              <w:bottom w:val="single" w:sz="4" w:space="0" w:color="auto"/>
              <w:right w:val="single" w:sz="4" w:space="0" w:color="auto"/>
            </w:tcBorders>
            <w:noWrap/>
          </w:tcPr>
          <w:p w14:paraId="1741A86E" w14:textId="77777777" w:rsidR="00224573" w:rsidRPr="00C5395B" w:rsidRDefault="00224573" w:rsidP="0010294B">
            <w:pPr>
              <w:pStyle w:val="TableText"/>
              <w:rPr>
                <w:lang w:eastAsia="en-AU"/>
              </w:rPr>
            </w:pPr>
            <w:r>
              <w:rPr>
                <w:lang w:eastAsia="en-AU"/>
              </w:rPr>
              <w:t>Hope Vale</w:t>
            </w:r>
          </w:p>
        </w:tc>
        <w:tc>
          <w:tcPr>
            <w:tcW w:w="993" w:type="dxa"/>
            <w:tcBorders>
              <w:top w:val="nil"/>
              <w:left w:val="nil"/>
              <w:bottom w:val="single" w:sz="4" w:space="0" w:color="auto"/>
              <w:right w:val="single" w:sz="4" w:space="0" w:color="auto"/>
            </w:tcBorders>
          </w:tcPr>
          <w:p w14:paraId="4CE74F6A" w14:textId="77777777" w:rsidR="00224573" w:rsidRDefault="00224573" w:rsidP="0010294B">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60DE6BF9" w14:textId="77777777" w:rsidR="00224573" w:rsidRDefault="00224573" w:rsidP="0010294B">
            <w:pPr>
              <w:jc w:val="right"/>
              <w:rPr>
                <w:rFonts w:cs="Arial"/>
              </w:rPr>
            </w:pPr>
            <w:r>
              <w:rPr>
                <w:rFonts w:cs="Arial"/>
              </w:rPr>
              <w:t>12</w:t>
            </w:r>
          </w:p>
        </w:tc>
        <w:tc>
          <w:tcPr>
            <w:tcW w:w="993" w:type="dxa"/>
            <w:tcBorders>
              <w:top w:val="nil"/>
              <w:left w:val="nil"/>
              <w:bottom w:val="single" w:sz="4" w:space="0" w:color="auto"/>
              <w:right w:val="single" w:sz="4" w:space="0" w:color="auto"/>
            </w:tcBorders>
          </w:tcPr>
          <w:p w14:paraId="4FE120D3" w14:textId="77777777" w:rsidR="00224573" w:rsidRDefault="00224573" w:rsidP="0010294B">
            <w:pPr>
              <w:jc w:val="right"/>
              <w:rPr>
                <w:rFonts w:cs="Arial"/>
              </w:rPr>
            </w:pPr>
            <w:r>
              <w:rPr>
                <w:rFonts w:cs="Arial"/>
              </w:rPr>
              <w:t>8</w:t>
            </w:r>
          </w:p>
        </w:tc>
        <w:tc>
          <w:tcPr>
            <w:tcW w:w="993" w:type="dxa"/>
            <w:tcBorders>
              <w:top w:val="nil"/>
              <w:left w:val="nil"/>
              <w:bottom w:val="single" w:sz="4" w:space="0" w:color="auto"/>
              <w:right w:val="single" w:sz="4" w:space="0" w:color="auto"/>
            </w:tcBorders>
          </w:tcPr>
          <w:p w14:paraId="0AB511AD" w14:textId="77777777" w:rsidR="00224573" w:rsidRDefault="00224573" w:rsidP="0010294B">
            <w:pPr>
              <w:jc w:val="right"/>
              <w:rPr>
                <w:rFonts w:cs="Arial"/>
              </w:rPr>
            </w:pPr>
            <w:r>
              <w:rPr>
                <w:rFonts w:cs="Arial"/>
              </w:rPr>
              <w:t>15</w:t>
            </w:r>
          </w:p>
        </w:tc>
        <w:tc>
          <w:tcPr>
            <w:tcW w:w="993" w:type="dxa"/>
            <w:tcBorders>
              <w:top w:val="nil"/>
              <w:left w:val="nil"/>
              <w:bottom w:val="single" w:sz="4" w:space="0" w:color="auto"/>
              <w:right w:val="single" w:sz="4" w:space="0" w:color="auto"/>
            </w:tcBorders>
          </w:tcPr>
          <w:p w14:paraId="5F73D736" w14:textId="77777777" w:rsidR="00224573" w:rsidRDefault="00224573" w:rsidP="0010294B">
            <w:pPr>
              <w:jc w:val="right"/>
              <w:rPr>
                <w:rFonts w:cs="Arial"/>
              </w:rPr>
            </w:pPr>
            <w:r>
              <w:rPr>
                <w:rFonts w:cs="Arial"/>
              </w:rPr>
              <w:t>11</w:t>
            </w:r>
          </w:p>
        </w:tc>
      </w:tr>
      <w:tr w:rsidR="00224573" w:rsidRPr="00C5395B" w14:paraId="7C31D569" w14:textId="77777777" w:rsidTr="0010294B">
        <w:trPr>
          <w:trHeight w:val="255"/>
        </w:trPr>
        <w:tc>
          <w:tcPr>
            <w:tcW w:w="2029" w:type="dxa"/>
            <w:tcBorders>
              <w:top w:val="nil"/>
              <w:left w:val="single" w:sz="4" w:space="0" w:color="auto"/>
              <w:bottom w:val="single" w:sz="4" w:space="0" w:color="auto"/>
              <w:right w:val="single" w:sz="4" w:space="0" w:color="auto"/>
            </w:tcBorders>
            <w:noWrap/>
            <w:hideMark/>
          </w:tcPr>
          <w:p w14:paraId="7292A39B" w14:textId="77777777" w:rsidR="00224573" w:rsidRPr="00C5395B" w:rsidRDefault="00224573" w:rsidP="0010294B">
            <w:pPr>
              <w:pStyle w:val="TableText"/>
              <w:rPr>
                <w:lang w:eastAsia="en-AU"/>
              </w:rPr>
            </w:pPr>
            <w:r w:rsidRPr="00C5395B">
              <w:rPr>
                <w:lang w:eastAsia="en-AU"/>
              </w:rPr>
              <w:t>Mossman Gorge</w:t>
            </w:r>
          </w:p>
        </w:tc>
        <w:tc>
          <w:tcPr>
            <w:tcW w:w="993" w:type="dxa"/>
            <w:tcBorders>
              <w:top w:val="nil"/>
              <w:left w:val="nil"/>
              <w:bottom w:val="single" w:sz="4" w:space="0" w:color="auto"/>
              <w:right w:val="single" w:sz="4" w:space="0" w:color="auto"/>
            </w:tcBorders>
          </w:tcPr>
          <w:p w14:paraId="7E9B710F" w14:textId="77777777" w:rsidR="00224573" w:rsidRDefault="00224573" w:rsidP="0010294B">
            <w:pPr>
              <w:jc w:val="right"/>
              <w:rPr>
                <w:rFonts w:cs="Arial"/>
              </w:rPr>
            </w:pPr>
            <w:r>
              <w:rPr>
                <w:rFonts w:cs="Arial"/>
              </w:rPr>
              <w:t>17</w:t>
            </w:r>
          </w:p>
        </w:tc>
        <w:tc>
          <w:tcPr>
            <w:tcW w:w="993" w:type="dxa"/>
            <w:tcBorders>
              <w:top w:val="nil"/>
              <w:left w:val="nil"/>
              <w:bottom w:val="single" w:sz="4" w:space="0" w:color="auto"/>
              <w:right w:val="single" w:sz="4" w:space="0" w:color="auto"/>
            </w:tcBorders>
          </w:tcPr>
          <w:p w14:paraId="2C4D411D" w14:textId="77777777" w:rsidR="00224573" w:rsidRDefault="00224573" w:rsidP="0010294B">
            <w:pPr>
              <w:jc w:val="right"/>
              <w:rPr>
                <w:rFonts w:cs="Arial"/>
              </w:rPr>
            </w:pPr>
            <w:r>
              <w:rPr>
                <w:rFonts w:cs="Arial"/>
              </w:rPr>
              <w:t>13</w:t>
            </w:r>
          </w:p>
        </w:tc>
        <w:tc>
          <w:tcPr>
            <w:tcW w:w="993" w:type="dxa"/>
            <w:tcBorders>
              <w:top w:val="nil"/>
              <w:left w:val="nil"/>
              <w:bottom w:val="single" w:sz="4" w:space="0" w:color="auto"/>
              <w:right w:val="single" w:sz="4" w:space="0" w:color="auto"/>
            </w:tcBorders>
          </w:tcPr>
          <w:p w14:paraId="2AC7C855" w14:textId="77777777" w:rsidR="00224573" w:rsidRDefault="00224573" w:rsidP="0010294B">
            <w:pPr>
              <w:jc w:val="right"/>
              <w:rPr>
                <w:rFonts w:cs="Arial"/>
              </w:rPr>
            </w:pPr>
            <w:r>
              <w:rPr>
                <w:rFonts w:cs="Arial"/>
              </w:rPr>
              <w:t>16</w:t>
            </w:r>
          </w:p>
        </w:tc>
        <w:tc>
          <w:tcPr>
            <w:tcW w:w="993" w:type="dxa"/>
            <w:tcBorders>
              <w:top w:val="nil"/>
              <w:left w:val="nil"/>
              <w:bottom w:val="single" w:sz="4" w:space="0" w:color="auto"/>
              <w:right w:val="single" w:sz="4" w:space="0" w:color="auto"/>
            </w:tcBorders>
          </w:tcPr>
          <w:p w14:paraId="4D5D33B4" w14:textId="77777777" w:rsidR="00224573" w:rsidRDefault="00224573" w:rsidP="0010294B">
            <w:pPr>
              <w:jc w:val="right"/>
              <w:rPr>
                <w:rFonts w:cs="Arial"/>
              </w:rPr>
            </w:pPr>
            <w:r>
              <w:rPr>
                <w:rFonts w:cs="Arial"/>
              </w:rPr>
              <w:t>14</w:t>
            </w:r>
          </w:p>
        </w:tc>
        <w:tc>
          <w:tcPr>
            <w:tcW w:w="993" w:type="dxa"/>
            <w:tcBorders>
              <w:top w:val="nil"/>
              <w:left w:val="nil"/>
              <w:bottom w:val="single" w:sz="4" w:space="0" w:color="auto"/>
              <w:right w:val="single" w:sz="4" w:space="0" w:color="auto"/>
            </w:tcBorders>
          </w:tcPr>
          <w:p w14:paraId="0B955D88" w14:textId="77777777" w:rsidR="00224573" w:rsidRDefault="00224573" w:rsidP="0010294B">
            <w:pPr>
              <w:jc w:val="right"/>
              <w:rPr>
                <w:rFonts w:cs="Arial"/>
              </w:rPr>
            </w:pPr>
            <w:r>
              <w:rPr>
                <w:rFonts w:cs="Arial"/>
              </w:rPr>
              <w:t>5</w:t>
            </w:r>
          </w:p>
        </w:tc>
      </w:tr>
      <w:tr w:rsidR="00224573" w:rsidRPr="00C5395B" w14:paraId="3700CD48" w14:textId="77777777" w:rsidTr="0010294B">
        <w:trPr>
          <w:trHeight w:val="255"/>
        </w:trPr>
        <w:tc>
          <w:tcPr>
            <w:tcW w:w="2029" w:type="dxa"/>
            <w:tcBorders>
              <w:top w:val="nil"/>
              <w:left w:val="single" w:sz="4" w:space="0" w:color="auto"/>
              <w:bottom w:val="single" w:sz="4" w:space="0" w:color="auto"/>
              <w:right w:val="single" w:sz="4" w:space="0" w:color="auto"/>
            </w:tcBorders>
            <w:noWrap/>
            <w:hideMark/>
          </w:tcPr>
          <w:p w14:paraId="1ED52764" w14:textId="77777777" w:rsidR="00224573" w:rsidRPr="00C5395B" w:rsidRDefault="00224573" w:rsidP="0010294B">
            <w:pPr>
              <w:pStyle w:val="TableText"/>
              <w:rPr>
                <w:b/>
                <w:lang w:eastAsia="en-AU"/>
              </w:rPr>
            </w:pPr>
            <w:r w:rsidRPr="00C5395B">
              <w:rPr>
                <w:b/>
                <w:lang w:eastAsia="en-AU"/>
              </w:rPr>
              <w:t>TOTAL</w:t>
            </w:r>
          </w:p>
        </w:tc>
        <w:tc>
          <w:tcPr>
            <w:tcW w:w="993" w:type="dxa"/>
            <w:tcBorders>
              <w:top w:val="nil"/>
              <w:left w:val="nil"/>
              <w:bottom w:val="single" w:sz="4" w:space="0" w:color="auto"/>
              <w:right w:val="single" w:sz="4" w:space="0" w:color="auto"/>
            </w:tcBorders>
          </w:tcPr>
          <w:p w14:paraId="7254DFBF" w14:textId="77777777" w:rsidR="00224573" w:rsidRDefault="00224573" w:rsidP="0010294B">
            <w:pPr>
              <w:jc w:val="right"/>
              <w:rPr>
                <w:rFonts w:cs="Arial"/>
                <w:b/>
                <w:bCs/>
              </w:rPr>
            </w:pPr>
            <w:r>
              <w:rPr>
                <w:rFonts w:cs="Arial"/>
                <w:b/>
                <w:bCs/>
              </w:rPr>
              <w:t>116</w:t>
            </w:r>
          </w:p>
        </w:tc>
        <w:tc>
          <w:tcPr>
            <w:tcW w:w="993" w:type="dxa"/>
            <w:tcBorders>
              <w:top w:val="nil"/>
              <w:left w:val="nil"/>
              <w:bottom w:val="single" w:sz="4" w:space="0" w:color="auto"/>
              <w:right w:val="single" w:sz="4" w:space="0" w:color="auto"/>
            </w:tcBorders>
          </w:tcPr>
          <w:p w14:paraId="3D1899F9" w14:textId="77777777" w:rsidR="00224573" w:rsidRDefault="00224573" w:rsidP="0010294B">
            <w:pPr>
              <w:jc w:val="right"/>
              <w:rPr>
                <w:rFonts w:cs="Arial"/>
                <w:b/>
                <w:bCs/>
              </w:rPr>
            </w:pPr>
            <w:r>
              <w:rPr>
                <w:rFonts w:cs="Arial"/>
                <w:b/>
                <w:bCs/>
              </w:rPr>
              <w:t>154</w:t>
            </w:r>
          </w:p>
        </w:tc>
        <w:tc>
          <w:tcPr>
            <w:tcW w:w="993" w:type="dxa"/>
            <w:tcBorders>
              <w:top w:val="nil"/>
              <w:left w:val="nil"/>
              <w:bottom w:val="single" w:sz="4" w:space="0" w:color="auto"/>
              <w:right w:val="single" w:sz="4" w:space="0" w:color="auto"/>
            </w:tcBorders>
          </w:tcPr>
          <w:p w14:paraId="73D7BB66" w14:textId="77777777" w:rsidR="00224573" w:rsidRDefault="00224573" w:rsidP="0010294B">
            <w:pPr>
              <w:jc w:val="right"/>
              <w:rPr>
                <w:rFonts w:cs="Arial"/>
                <w:b/>
                <w:bCs/>
              </w:rPr>
            </w:pPr>
            <w:r>
              <w:rPr>
                <w:rFonts w:cs="Arial"/>
                <w:b/>
                <w:bCs/>
              </w:rPr>
              <w:t>116</w:t>
            </w:r>
          </w:p>
        </w:tc>
        <w:tc>
          <w:tcPr>
            <w:tcW w:w="993" w:type="dxa"/>
            <w:tcBorders>
              <w:top w:val="nil"/>
              <w:left w:val="nil"/>
              <w:bottom w:val="single" w:sz="4" w:space="0" w:color="auto"/>
              <w:right w:val="single" w:sz="4" w:space="0" w:color="auto"/>
            </w:tcBorders>
          </w:tcPr>
          <w:p w14:paraId="363D1F02" w14:textId="77777777" w:rsidR="00224573" w:rsidRDefault="00224573" w:rsidP="0010294B">
            <w:pPr>
              <w:jc w:val="right"/>
              <w:rPr>
                <w:rFonts w:cs="Arial"/>
                <w:b/>
                <w:bCs/>
              </w:rPr>
            </w:pPr>
            <w:r>
              <w:rPr>
                <w:rFonts w:cs="Arial"/>
                <w:b/>
                <w:bCs/>
              </w:rPr>
              <w:t>113</w:t>
            </w:r>
          </w:p>
        </w:tc>
        <w:tc>
          <w:tcPr>
            <w:tcW w:w="993" w:type="dxa"/>
            <w:tcBorders>
              <w:top w:val="nil"/>
              <w:left w:val="nil"/>
              <w:bottom w:val="single" w:sz="4" w:space="0" w:color="auto"/>
              <w:right w:val="single" w:sz="4" w:space="0" w:color="auto"/>
            </w:tcBorders>
          </w:tcPr>
          <w:p w14:paraId="61DB5961" w14:textId="77777777" w:rsidR="00224573" w:rsidRDefault="00224573" w:rsidP="0010294B">
            <w:pPr>
              <w:jc w:val="right"/>
              <w:rPr>
                <w:rFonts w:cs="Arial"/>
                <w:b/>
                <w:bCs/>
              </w:rPr>
            </w:pPr>
            <w:r>
              <w:rPr>
                <w:rFonts w:cs="Arial"/>
                <w:b/>
                <w:bCs/>
              </w:rPr>
              <w:t>92</w:t>
            </w:r>
          </w:p>
        </w:tc>
      </w:tr>
      <w:bookmarkEnd w:id="22"/>
    </w:tbl>
    <w:p w14:paraId="149B243F" w14:textId="77777777" w:rsidR="009C6D45" w:rsidRPr="009C6D45" w:rsidRDefault="009C6D45" w:rsidP="0070366B">
      <w:pPr>
        <w:tabs>
          <w:tab w:val="left" w:pos="0"/>
        </w:tabs>
        <w:ind w:left="426" w:right="-425" w:hanging="568"/>
        <w:jc w:val="both"/>
        <w:rPr>
          <w:rFonts w:cs="Arial"/>
        </w:rPr>
      </w:pPr>
    </w:p>
    <w:p w14:paraId="3DA4D471" w14:textId="3D83B91D" w:rsidR="005A5B78" w:rsidRDefault="005A5B78" w:rsidP="00F034B6">
      <w:pPr>
        <w:pStyle w:val="Heading2"/>
      </w:pPr>
      <w:r w:rsidRPr="00876C0B">
        <w:t>Conditional Income Management</w:t>
      </w:r>
      <w:r w:rsidR="001654E8">
        <w:t xml:space="preserve"> </w:t>
      </w:r>
      <w:r w:rsidR="004C48FC">
        <w:t xml:space="preserve">from </w:t>
      </w:r>
      <w:r w:rsidR="004B5151">
        <w:t>‘</w:t>
      </w:r>
      <w:r w:rsidR="001654E8">
        <w:t>Family Responsibilities</w:t>
      </w:r>
      <w:r w:rsidR="004B5151">
        <w:t>’</w:t>
      </w:r>
      <w:r w:rsidR="001654E8">
        <w:t xml:space="preserve"> Agreements and Orders</w:t>
      </w:r>
    </w:p>
    <w:p w14:paraId="35CB991A" w14:textId="25DFD407" w:rsidR="00BE44FF" w:rsidRPr="0070366B" w:rsidRDefault="00BE44FF" w:rsidP="0070366B">
      <w:pPr>
        <w:tabs>
          <w:tab w:val="left" w:pos="0"/>
        </w:tabs>
        <w:ind w:left="426" w:right="-425" w:hanging="568"/>
        <w:jc w:val="both"/>
        <w:rPr>
          <w:rFonts w:cs="Arial"/>
        </w:rPr>
      </w:pPr>
    </w:p>
    <w:p w14:paraId="5EBD54F5" w14:textId="358DB89B" w:rsidR="00BE44FF" w:rsidRDefault="00224573" w:rsidP="00BE44FF">
      <w:pPr>
        <w:tabs>
          <w:tab w:val="left" w:pos="0"/>
        </w:tabs>
        <w:ind w:left="426" w:right="-425" w:hanging="568"/>
        <w:jc w:val="both"/>
        <w:rPr>
          <w:rFonts w:cs="Arial"/>
          <w:sz w:val="16"/>
          <w:szCs w:val="16"/>
        </w:rPr>
      </w:pPr>
      <w:r>
        <w:rPr>
          <w:rFonts w:cs="Arial"/>
          <w:b/>
          <w:sz w:val="16"/>
          <w:szCs w:val="16"/>
        </w:rPr>
        <w:t>Table 14</w:t>
      </w:r>
      <w:r w:rsidR="00BE44FF" w:rsidRPr="005A620F">
        <w:rPr>
          <w:rFonts w:cs="Arial"/>
          <w:b/>
          <w:sz w:val="16"/>
          <w:szCs w:val="16"/>
        </w:rPr>
        <w:t xml:space="preserve">: </w:t>
      </w:r>
      <w:r w:rsidR="00BE44FF">
        <w:rPr>
          <w:rFonts w:cs="Arial"/>
          <w:sz w:val="16"/>
          <w:szCs w:val="16"/>
        </w:rPr>
        <w:t>Conditional income m</w:t>
      </w:r>
      <w:r w:rsidR="00BE44FF" w:rsidRPr="005A620F">
        <w:rPr>
          <w:rFonts w:cs="Arial"/>
          <w:sz w:val="16"/>
          <w:szCs w:val="16"/>
        </w:rPr>
        <w:t xml:space="preserve">anagement </w:t>
      </w:r>
      <w:r w:rsidR="00BE44FF">
        <w:rPr>
          <w:rFonts w:cs="Arial"/>
          <w:sz w:val="16"/>
          <w:szCs w:val="16"/>
        </w:rPr>
        <w:t xml:space="preserve">by community and quarter 1 </w:t>
      </w:r>
      <w:r w:rsidR="000850EB">
        <w:rPr>
          <w:rFonts w:cs="Arial"/>
          <w:sz w:val="16"/>
          <w:szCs w:val="16"/>
        </w:rPr>
        <w:t xml:space="preserve">July </w:t>
      </w:r>
      <w:r w:rsidR="00BE44FF">
        <w:rPr>
          <w:rFonts w:cs="Arial"/>
          <w:sz w:val="16"/>
          <w:szCs w:val="16"/>
        </w:rPr>
        <w:t xml:space="preserve">2022 to 30 </w:t>
      </w:r>
      <w:r w:rsidR="000850EB">
        <w:rPr>
          <w:rFonts w:cs="Arial"/>
          <w:sz w:val="16"/>
          <w:szCs w:val="16"/>
        </w:rPr>
        <w:t xml:space="preserve">September </w:t>
      </w:r>
      <w:r w:rsidR="00BE44FF">
        <w:rPr>
          <w:rFonts w:cs="Arial"/>
          <w:sz w:val="16"/>
          <w:szCs w:val="16"/>
        </w:rPr>
        <w:t>2023</w:t>
      </w:r>
    </w:p>
    <w:p w14:paraId="4C124604" w14:textId="77777777" w:rsidR="00BE44FF" w:rsidRDefault="00BE44FF" w:rsidP="0059763E">
      <w:pPr>
        <w:ind w:left="-142" w:right="-425"/>
        <w:jc w:val="both"/>
        <w:rPr>
          <w:rFonts w:cs="Arial"/>
          <w:lang w:val="en-GB"/>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224573" w:rsidRPr="00C5395B" w14:paraId="435A8493" w14:textId="77777777" w:rsidTr="0010294B">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5695232D" w14:textId="77777777" w:rsidR="00224573" w:rsidRPr="00C5395B" w:rsidRDefault="00224573" w:rsidP="0010294B">
            <w:pPr>
              <w:pStyle w:val="TableText"/>
              <w:ind w:left="49"/>
              <w:rPr>
                <w:b/>
                <w:lang w:eastAsia="en-AU"/>
              </w:rPr>
            </w:pPr>
            <w:bookmarkStart w:id="23" w:name="_Hlk158966292"/>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327347C5" w14:textId="77777777" w:rsidR="00224573" w:rsidRDefault="00224573" w:rsidP="0010294B">
            <w:pPr>
              <w:pStyle w:val="TableText"/>
              <w:jc w:val="right"/>
              <w:rPr>
                <w:b/>
                <w:lang w:eastAsia="en-AU"/>
              </w:rPr>
            </w:pPr>
            <w:r>
              <w:rPr>
                <w:b/>
                <w:lang w:eastAsia="en-AU"/>
              </w:rPr>
              <w:t>Qtr 57</w:t>
            </w:r>
          </w:p>
        </w:tc>
        <w:tc>
          <w:tcPr>
            <w:tcW w:w="960" w:type="dxa"/>
            <w:tcBorders>
              <w:top w:val="single" w:sz="4" w:space="0" w:color="auto"/>
              <w:left w:val="nil"/>
              <w:bottom w:val="single" w:sz="4" w:space="0" w:color="auto"/>
              <w:right w:val="single" w:sz="4" w:space="0" w:color="auto"/>
            </w:tcBorders>
          </w:tcPr>
          <w:p w14:paraId="0B9522EB" w14:textId="77777777" w:rsidR="00224573" w:rsidRDefault="00224573" w:rsidP="0010294B">
            <w:pPr>
              <w:pStyle w:val="TableText"/>
              <w:jc w:val="right"/>
              <w:rPr>
                <w:b/>
                <w:lang w:eastAsia="en-AU"/>
              </w:rPr>
            </w:pPr>
            <w:r>
              <w:rPr>
                <w:b/>
                <w:lang w:eastAsia="en-AU"/>
              </w:rPr>
              <w:t>Qtr 58</w:t>
            </w:r>
          </w:p>
        </w:tc>
        <w:tc>
          <w:tcPr>
            <w:tcW w:w="960" w:type="dxa"/>
            <w:tcBorders>
              <w:top w:val="single" w:sz="4" w:space="0" w:color="auto"/>
              <w:left w:val="nil"/>
              <w:bottom w:val="single" w:sz="4" w:space="0" w:color="auto"/>
              <w:right w:val="single" w:sz="4" w:space="0" w:color="auto"/>
            </w:tcBorders>
          </w:tcPr>
          <w:p w14:paraId="73693662" w14:textId="77777777" w:rsidR="00224573" w:rsidRDefault="00224573" w:rsidP="0010294B">
            <w:pPr>
              <w:pStyle w:val="TableText"/>
              <w:jc w:val="right"/>
              <w:rPr>
                <w:b/>
                <w:lang w:eastAsia="en-AU"/>
              </w:rPr>
            </w:pPr>
            <w:r>
              <w:rPr>
                <w:b/>
                <w:lang w:eastAsia="en-AU"/>
              </w:rPr>
              <w:t>Qtr 59</w:t>
            </w:r>
          </w:p>
        </w:tc>
        <w:tc>
          <w:tcPr>
            <w:tcW w:w="960" w:type="dxa"/>
            <w:tcBorders>
              <w:top w:val="single" w:sz="4" w:space="0" w:color="auto"/>
              <w:left w:val="nil"/>
              <w:bottom w:val="single" w:sz="4" w:space="0" w:color="auto"/>
              <w:right w:val="single" w:sz="4" w:space="0" w:color="auto"/>
            </w:tcBorders>
          </w:tcPr>
          <w:p w14:paraId="26584377" w14:textId="77777777" w:rsidR="00224573" w:rsidRDefault="00224573" w:rsidP="0010294B">
            <w:pPr>
              <w:pStyle w:val="TableText"/>
              <w:jc w:val="right"/>
              <w:rPr>
                <w:b/>
                <w:lang w:eastAsia="en-AU"/>
              </w:rPr>
            </w:pPr>
            <w:r w:rsidRPr="00BA518C">
              <w:rPr>
                <w:b/>
                <w:lang w:eastAsia="en-AU"/>
              </w:rPr>
              <w:t>Qtr 60</w:t>
            </w:r>
          </w:p>
        </w:tc>
        <w:tc>
          <w:tcPr>
            <w:tcW w:w="960" w:type="dxa"/>
            <w:tcBorders>
              <w:top w:val="single" w:sz="4" w:space="0" w:color="auto"/>
              <w:left w:val="nil"/>
              <w:bottom w:val="single" w:sz="4" w:space="0" w:color="auto"/>
              <w:right w:val="single" w:sz="4" w:space="0" w:color="auto"/>
            </w:tcBorders>
          </w:tcPr>
          <w:p w14:paraId="2320FB6F" w14:textId="77777777" w:rsidR="00224573" w:rsidRPr="00BA518C" w:rsidRDefault="00224573" w:rsidP="0010294B">
            <w:pPr>
              <w:pStyle w:val="TableText"/>
              <w:jc w:val="right"/>
              <w:rPr>
                <w:b/>
                <w:lang w:eastAsia="en-AU"/>
              </w:rPr>
            </w:pPr>
            <w:r w:rsidRPr="00BA518C">
              <w:rPr>
                <w:b/>
                <w:lang w:eastAsia="en-AU"/>
              </w:rPr>
              <w:t>Qtr 61</w:t>
            </w:r>
          </w:p>
        </w:tc>
      </w:tr>
      <w:tr w:rsidR="00224573" w:rsidRPr="00C5395B" w14:paraId="1E2D7CB4"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029CDE89" w14:textId="77777777" w:rsidR="00224573" w:rsidRPr="00C5395B" w:rsidRDefault="00224573" w:rsidP="0010294B">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5711ED28" w14:textId="77777777" w:rsidR="00224573" w:rsidRDefault="00224573" w:rsidP="0010294B">
            <w:pPr>
              <w:jc w:val="right"/>
              <w:rPr>
                <w:rFonts w:cs="Arial"/>
              </w:rPr>
            </w:pPr>
            <w:r>
              <w:rPr>
                <w:rFonts w:cs="Arial"/>
              </w:rPr>
              <w:t>9</w:t>
            </w:r>
          </w:p>
        </w:tc>
        <w:tc>
          <w:tcPr>
            <w:tcW w:w="960" w:type="dxa"/>
            <w:tcBorders>
              <w:top w:val="nil"/>
              <w:left w:val="nil"/>
              <w:bottom w:val="single" w:sz="4" w:space="0" w:color="auto"/>
              <w:right w:val="single" w:sz="4" w:space="0" w:color="auto"/>
            </w:tcBorders>
          </w:tcPr>
          <w:p w14:paraId="65C40AFF" w14:textId="77777777" w:rsidR="00224573" w:rsidRDefault="00224573" w:rsidP="0010294B">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2CE6C5F5" w14:textId="77777777" w:rsidR="00224573" w:rsidRDefault="00224573" w:rsidP="0010294B">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2C45225E" w14:textId="77777777" w:rsidR="00224573" w:rsidRDefault="00224573" w:rsidP="0010294B">
            <w:pPr>
              <w:jc w:val="right"/>
              <w:rPr>
                <w:rFonts w:cs="Arial"/>
              </w:rPr>
            </w:pPr>
            <w:r>
              <w:rPr>
                <w:rFonts w:cs="Arial"/>
              </w:rPr>
              <w:t>8</w:t>
            </w:r>
          </w:p>
        </w:tc>
        <w:tc>
          <w:tcPr>
            <w:tcW w:w="960" w:type="dxa"/>
            <w:tcBorders>
              <w:top w:val="nil"/>
              <w:left w:val="nil"/>
              <w:bottom w:val="single" w:sz="4" w:space="0" w:color="auto"/>
              <w:right w:val="single" w:sz="4" w:space="0" w:color="auto"/>
            </w:tcBorders>
          </w:tcPr>
          <w:p w14:paraId="73444C3C" w14:textId="77777777" w:rsidR="00224573" w:rsidRDefault="00224573" w:rsidP="0010294B">
            <w:pPr>
              <w:jc w:val="right"/>
              <w:rPr>
                <w:rFonts w:cs="Arial"/>
              </w:rPr>
            </w:pPr>
            <w:r>
              <w:rPr>
                <w:rFonts w:cs="Arial"/>
              </w:rPr>
              <w:t>5</w:t>
            </w:r>
          </w:p>
        </w:tc>
      </w:tr>
      <w:tr w:rsidR="00224573" w:rsidRPr="00C5395B" w14:paraId="4142B279"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5215D63D" w14:textId="77777777" w:rsidR="00224573" w:rsidRPr="00C5395B" w:rsidRDefault="00224573" w:rsidP="0010294B">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2AC8BBA0" w14:textId="77777777" w:rsidR="00224573" w:rsidRDefault="00224573"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1D2BE51" w14:textId="77777777" w:rsidR="00224573" w:rsidRDefault="00224573"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CDC176C" w14:textId="77777777" w:rsidR="00224573" w:rsidRDefault="00224573"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27B5696" w14:textId="77777777" w:rsidR="00224573" w:rsidRDefault="00224573"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30B595DB" w14:textId="77777777" w:rsidR="00224573" w:rsidRDefault="00224573" w:rsidP="0010294B">
            <w:pPr>
              <w:jc w:val="right"/>
              <w:rPr>
                <w:rFonts w:cs="Arial"/>
              </w:rPr>
            </w:pPr>
            <w:r>
              <w:rPr>
                <w:rFonts w:cs="Arial"/>
              </w:rPr>
              <w:t>0</w:t>
            </w:r>
          </w:p>
        </w:tc>
      </w:tr>
      <w:tr w:rsidR="00224573" w:rsidRPr="00C5395B" w14:paraId="674EB461" w14:textId="77777777" w:rsidTr="0010294B">
        <w:trPr>
          <w:trHeight w:val="255"/>
        </w:trPr>
        <w:tc>
          <w:tcPr>
            <w:tcW w:w="2040" w:type="dxa"/>
            <w:tcBorders>
              <w:top w:val="nil"/>
              <w:left w:val="single" w:sz="4" w:space="0" w:color="auto"/>
              <w:bottom w:val="single" w:sz="4" w:space="0" w:color="auto"/>
              <w:right w:val="single" w:sz="4" w:space="0" w:color="auto"/>
            </w:tcBorders>
            <w:noWrap/>
          </w:tcPr>
          <w:p w14:paraId="36C5A379" w14:textId="77777777" w:rsidR="00224573" w:rsidRPr="00C5395B" w:rsidRDefault="00224573" w:rsidP="0010294B">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571D38CA" w14:textId="77777777" w:rsidR="00224573" w:rsidRDefault="00224573"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17188370" w14:textId="77777777" w:rsidR="00224573" w:rsidRDefault="00224573" w:rsidP="0010294B">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2277224D" w14:textId="77777777" w:rsidR="00224573" w:rsidRDefault="00224573" w:rsidP="0010294B">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4F6BA9CE" w14:textId="77777777" w:rsidR="00224573" w:rsidRDefault="00224573"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705E28C3" w14:textId="77777777" w:rsidR="00224573" w:rsidRDefault="00224573" w:rsidP="0010294B">
            <w:pPr>
              <w:jc w:val="right"/>
              <w:rPr>
                <w:rFonts w:cs="Arial"/>
              </w:rPr>
            </w:pPr>
            <w:r>
              <w:rPr>
                <w:rFonts w:cs="Arial"/>
              </w:rPr>
              <w:t>6</w:t>
            </w:r>
          </w:p>
        </w:tc>
      </w:tr>
      <w:tr w:rsidR="00224573" w:rsidRPr="00C5395B" w14:paraId="524BA07C"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516ACAAC" w14:textId="77777777" w:rsidR="00224573" w:rsidRPr="00C5395B" w:rsidRDefault="00224573" w:rsidP="0010294B">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08EE15BC" w14:textId="77777777" w:rsidR="00224573" w:rsidRDefault="00224573"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30C47A54" w14:textId="77777777" w:rsidR="00224573" w:rsidRDefault="00224573"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7C95C8B8" w14:textId="77777777" w:rsidR="00224573" w:rsidRDefault="00224573"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94243BE" w14:textId="77777777" w:rsidR="00224573" w:rsidRDefault="00224573" w:rsidP="0010294B">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1E2D7E1B" w14:textId="77777777" w:rsidR="00224573" w:rsidRDefault="00224573" w:rsidP="0010294B">
            <w:pPr>
              <w:jc w:val="right"/>
              <w:rPr>
                <w:rFonts w:cs="Arial"/>
              </w:rPr>
            </w:pPr>
            <w:r>
              <w:rPr>
                <w:rFonts w:cs="Arial"/>
              </w:rPr>
              <w:t>2</w:t>
            </w:r>
          </w:p>
        </w:tc>
      </w:tr>
      <w:tr w:rsidR="00224573" w:rsidRPr="00C5395B" w14:paraId="304A26AF"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3A58843F" w14:textId="77777777" w:rsidR="00224573" w:rsidRPr="00C5395B" w:rsidRDefault="00224573" w:rsidP="0010294B">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70D63E80" w14:textId="77777777" w:rsidR="00224573" w:rsidRDefault="00224573"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62897A1" w14:textId="77777777" w:rsidR="00224573" w:rsidRDefault="00224573"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3E4DE151" w14:textId="77777777" w:rsidR="00224573" w:rsidRDefault="00224573"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4CC9B47F" w14:textId="77777777" w:rsidR="00224573" w:rsidRDefault="00224573" w:rsidP="0010294B">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711E3E55" w14:textId="77777777" w:rsidR="00224573" w:rsidRDefault="00224573" w:rsidP="0010294B">
            <w:pPr>
              <w:jc w:val="right"/>
              <w:rPr>
                <w:rFonts w:cs="Arial"/>
              </w:rPr>
            </w:pPr>
            <w:r>
              <w:rPr>
                <w:rFonts w:cs="Arial"/>
              </w:rPr>
              <w:t>0</w:t>
            </w:r>
          </w:p>
        </w:tc>
      </w:tr>
      <w:tr w:rsidR="00224573" w:rsidRPr="00C5395B" w14:paraId="02063E48"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27BADF51" w14:textId="77777777" w:rsidR="00224573" w:rsidRPr="00C5395B" w:rsidRDefault="00224573" w:rsidP="0010294B">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4715F4CD" w14:textId="77777777" w:rsidR="00224573" w:rsidRDefault="00224573" w:rsidP="0010294B">
            <w:pPr>
              <w:jc w:val="right"/>
              <w:rPr>
                <w:rFonts w:cs="Arial"/>
                <w:b/>
                <w:bCs/>
              </w:rPr>
            </w:pPr>
            <w:r>
              <w:rPr>
                <w:rFonts w:cs="Arial"/>
                <w:b/>
                <w:bCs/>
              </w:rPr>
              <w:t>13</w:t>
            </w:r>
          </w:p>
        </w:tc>
        <w:tc>
          <w:tcPr>
            <w:tcW w:w="960" w:type="dxa"/>
            <w:tcBorders>
              <w:top w:val="nil"/>
              <w:left w:val="nil"/>
              <w:bottom w:val="single" w:sz="4" w:space="0" w:color="auto"/>
              <w:right w:val="single" w:sz="4" w:space="0" w:color="auto"/>
            </w:tcBorders>
          </w:tcPr>
          <w:p w14:paraId="305D362A" w14:textId="77777777" w:rsidR="00224573" w:rsidRDefault="00224573" w:rsidP="0010294B">
            <w:pPr>
              <w:jc w:val="right"/>
              <w:rPr>
                <w:rFonts w:cs="Arial"/>
                <w:b/>
                <w:bCs/>
              </w:rPr>
            </w:pPr>
            <w:r>
              <w:rPr>
                <w:rFonts w:cs="Arial"/>
                <w:b/>
                <w:bCs/>
              </w:rPr>
              <w:t>21</w:t>
            </w:r>
          </w:p>
        </w:tc>
        <w:tc>
          <w:tcPr>
            <w:tcW w:w="960" w:type="dxa"/>
            <w:tcBorders>
              <w:top w:val="nil"/>
              <w:left w:val="nil"/>
              <w:bottom w:val="single" w:sz="4" w:space="0" w:color="auto"/>
              <w:right w:val="single" w:sz="4" w:space="0" w:color="auto"/>
            </w:tcBorders>
          </w:tcPr>
          <w:p w14:paraId="02F3ACFF" w14:textId="77777777" w:rsidR="00224573" w:rsidRDefault="00224573" w:rsidP="0010294B">
            <w:pPr>
              <w:jc w:val="right"/>
              <w:rPr>
                <w:rFonts w:cs="Arial"/>
                <w:b/>
                <w:bCs/>
              </w:rPr>
            </w:pPr>
            <w:r>
              <w:rPr>
                <w:rFonts w:cs="Arial"/>
                <w:b/>
                <w:bCs/>
              </w:rPr>
              <w:t>13</w:t>
            </w:r>
          </w:p>
        </w:tc>
        <w:tc>
          <w:tcPr>
            <w:tcW w:w="960" w:type="dxa"/>
            <w:tcBorders>
              <w:top w:val="nil"/>
              <w:left w:val="nil"/>
              <w:bottom w:val="single" w:sz="4" w:space="0" w:color="auto"/>
              <w:right w:val="single" w:sz="4" w:space="0" w:color="auto"/>
            </w:tcBorders>
          </w:tcPr>
          <w:p w14:paraId="59406DE7" w14:textId="77777777" w:rsidR="00224573" w:rsidRDefault="00224573" w:rsidP="0010294B">
            <w:pPr>
              <w:jc w:val="right"/>
              <w:rPr>
                <w:rFonts w:cs="Arial"/>
                <w:b/>
                <w:bCs/>
              </w:rPr>
            </w:pPr>
            <w:r>
              <w:rPr>
                <w:rFonts w:cs="Arial"/>
                <w:b/>
                <w:bCs/>
              </w:rPr>
              <w:t>17</w:t>
            </w:r>
          </w:p>
        </w:tc>
        <w:tc>
          <w:tcPr>
            <w:tcW w:w="960" w:type="dxa"/>
            <w:tcBorders>
              <w:top w:val="nil"/>
              <w:left w:val="nil"/>
              <w:bottom w:val="single" w:sz="4" w:space="0" w:color="auto"/>
              <w:right w:val="single" w:sz="4" w:space="0" w:color="auto"/>
            </w:tcBorders>
          </w:tcPr>
          <w:p w14:paraId="17C52AC3" w14:textId="77777777" w:rsidR="00224573" w:rsidRDefault="00224573" w:rsidP="0010294B">
            <w:pPr>
              <w:jc w:val="right"/>
              <w:rPr>
                <w:rFonts w:cs="Arial"/>
                <w:b/>
                <w:bCs/>
              </w:rPr>
            </w:pPr>
            <w:r>
              <w:rPr>
                <w:rFonts w:cs="Arial"/>
                <w:b/>
                <w:bCs/>
              </w:rPr>
              <w:t>13</w:t>
            </w:r>
          </w:p>
        </w:tc>
      </w:tr>
      <w:bookmarkEnd w:id="23"/>
    </w:tbl>
    <w:p w14:paraId="56F6D6A4" w14:textId="77777777" w:rsidR="00224573" w:rsidRDefault="00224573" w:rsidP="0059763E">
      <w:pPr>
        <w:ind w:left="-142" w:right="-425"/>
        <w:jc w:val="both"/>
        <w:rPr>
          <w:rFonts w:cs="Arial"/>
          <w:lang w:val="en-GB"/>
        </w:rPr>
      </w:pPr>
    </w:p>
    <w:p w14:paraId="7776CF22" w14:textId="0384C93D" w:rsidR="005A5B78" w:rsidRDefault="00DD2557" w:rsidP="0059763E">
      <w:pPr>
        <w:ind w:left="-142" w:right="-425"/>
        <w:jc w:val="both"/>
        <w:rPr>
          <w:rFonts w:cs="Arial"/>
        </w:rPr>
      </w:pPr>
      <w:r w:rsidRPr="00DD2557">
        <w:rPr>
          <w:rFonts w:cs="Arial"/>
          <w:lang w:val="en-GB"/>
        </w:rPr>
        <w:t xml:space="preserve">Local Commissioners continue to use Conditional Income Management (CIM) as a decision of last </w:t>
      </w:r>
      <w:r w:rsidRPr="00F859DE">
        <w:rPr>
          <w:rFonts w:cs="Arial"/>
          <w:lang w:val="en-GB"/>
        </w:rPr>
        <w:t xml:space="preserve">resort. </w:t>
      </w:r>
      <w:r w:rsidR="00FE3120">
        <w:rPr>
          <w:rFonts w:cs="Arial"/>
        </w:rPr>
        <w:t xml:space="preserve">A total of </w:t>
      </w:r>
      <w:r w:rsidR="00DA5161">
        <w:rPr>
          <w:rFonts w:cs="Arial"/>
        </w:rPr>
        <w:t>1</w:t>
      </w:r>
      <w:r w:rsidR="00BB0B26">
        <w:rPr>
          <w:rFonts w:cs="Arial"/>
        </w:rPr>
        <w:t>3</w:t>
      </w:r>
      <w:r w:rsidR="00DA5161">
        <w:rPr>
          <w:rFonts w:cs="Arial"/>
        </w:rPr>
        <w:t xml:space="preserve"> </w:t>
      </w:r>
      <w:r w:rsidR="007F0C96">
        <w:rPr>
          <w:rFonts w:cs="Arial"/>
        </w:rPr>
        <w:t>new</w:t>
      </w:r>
      <w:r w:rsidR="00C4793F" w:rsidRPr="00306884">
        <w:rPr>
          <w:rFonts w:cs="Arial"/>
        </w:rPr>
        <w:t xml:space="preserve"> </w:t>
      </w:r>
      <w:r w:rsidR="005A5B78" w:rsidRPr="00306884">
        <w:rPr>
          <w:rFonts w:cs="Arial"/>
        </w:rPr>
        <w:t>CIMs</w:t>
      </w:r>
      <w:r w:rsidR="008875CF">
        <w:rPr>
          <w:rFonts w:cs="Arial"/>
        </w:rPr>
        <w:t xml:space="preserve"> </w:t>
      </w:r>
      <w:r w:rsidR="00EA0435">
        <w:rPr>
          <w:rFonts w:cs="Arial"/>
        </w:rPr>
        <w:t xml:space="preserve">(orders) </w:t>
      </w:r>
      <w:r w:rsidR="001E59F8">
        <w:rPr>
          <w:rFonts w:cs="Arial"/>
        </w:rPr>
        <w:t>relating to</w:t>
      </w:r>
      <w:r w:rsidR="00CD2E78">
        <w:rPr>
          <w:rFonts w:cs="Arial"/>
        </w:rPr>
        <w:t xml:space="preserve"> </w:t>
      </w:r>
      <w:r w:rsidR="00DA5161">
        <w:rPr>
          <w:rFonts w:cs="Arial"/>
        </w:rPr>
        <w:t>1</w:t>
      </w:r>
      <w:r w:rsidR="00BB0B26">
        <w:rPr>
          <w:rFonts w:cs="Arial"/>
        </w:rPr>
        <w:t>3</w:t>
      </w:r>
      <w:r w:rsidR="00DA5161">
        <w:rPr>
          <w:rFonts w:cs="Arial"/>
        </w:rPr>
        <w:t xml:space="preserve"> </w:t>
      </w:r>
      <w:r w:rsidR="00645C02">
        <w:rPr>
          <w:rFonts w:cs="Arial"/>
        </w:rPr>
        <w:t>clients</w:t>
      </w:r>
      <w:r w:rsidR="00B76924">
        <w:rPr>
          <w:rFonts w:cs="Arial"/>
        </w:rPr>
        <w:t xml:space="preserve"> </w:t>
      </w:r>
      <w:r w:rsidR="005A5B78" w:rsidRPr="00306884">
        <w:rPr>
          <w:rFonts w:cs="Arial"/>
        </w:rPr>
        <w:t xml:space="preserve">were made in </w:t>
      </w:r>
      <w:r w:rsidR="00856C85">
        <w:rPr>
          <w:rFonts w:cs="Arial"/>
        </w:rPr>
        <w:t xml:space="preserve">quarter </w:t>
      </w:r>
      <w:r w:rsidR="00D74542">
        <w:rPr>
          <w:rFonts w:cs="Arial"/>
        </w:rPr>
        <w:t>6</w:t>
      </w:r>
      <w:r w:rsidR="00EE7CC7">
        <w:rPr>
          <w:rFonts w:cs="Arial"/>
        </w:rPr>
        <w:t>1</w:t>
      </w:r>
      <w:r w:rsidR="00D74542">
        <w:rPr>
          <w:rFonts w:cs="Arial"/>
        </w:rPr>
        <w:t xml:space="preserve"> </w:t>
      </w:r>
      <w:r w:rsidR="00953CCD">
        <w:rPr>
          <w:rFonts w:cs="Arial"/>
        </w:rPr>
        <w:t xml:space="preserve">with </w:t>
      </w:r>
      <w:r w:rsidR="00BB0B26">
        <w:rPr>
          <w:rFonts w:cs="Arial"/>
        </w:rPr>
        <w:t>54</w:t>
      </w:r>
      <w:r w:rsidR="00C71432">
        <w:rPr>
          <w:rFonts w:cs="Arial"/>
        </w:rPr>
        <w:t xml:space="preserve">% </w:t>
      </w:r>
      <w:r w:rsidR="00953CCD">
        <w:rPr>
          <w:rFonts w:cs="Arial"/>
        </w:rPr>
        <w:t xml:space="preserve">set at </w:t>
      </w:r>
      <w:r w:rsidR="00BB0B26">
        <w:rPr>
          <w:rFonts w:cs="Arial"/>
        </w:rPr>
        <w:t>75</w:t>
      </w:r>
      <w:r w:rsidR="00DD36DF">
        <w:rPr>
          <w:rFonts w:cs="Arial"/>
        </w:rPr>
        <w:t>%</w:t>
      </w:r>
      <w:r w:rsidR="00276E4B">
        <w:rPr>
          <w:rFonts w:cs="Arial"/>
        </w:rPr>
        <w:t xml:space="preserve"> </w:t>
      </w:r>
      <w:r w:rsidR="00953CCD">
        <w:rPr>
          <w:rFonts w:cs="Arial"/>
        </w:rPr>
        <w:t xml:space="preserve">quarantining of welfare payments (see </w:t>
      </w:r>
      <w:r w:rsidR="00BA518C">
        <w:rPr>
          <w:rFonts w:cs="Arial"/>
        </w:rPr>
        <w:t>table 17</w:t>
      </w:r>
      <w:r w:rsidR="00953CCD">
        <w:rPr>
          <w:rFonts w:cs="Arial"/>
        </w:rPr>
        <w:t xml:space="preserve">) and </w:t>
      </w:r>
      <w:r w:rsidR="00BB0B26">
        <w:rPr>
          <w:rFonts w:cs="Arial"/>
        </w:rPr>
        <w:t>100</w:t>
      </w:r>
      <w:r w:rsidR="00DD36DF">
        <w:rPr>
          <w:rFonts w:cs="Arial"/>
        </w:rPr>
        <w:t>%</w:t>
      </w:r>
      <w:r w:rsidR="00953CCD">
        <w:rPr>
          <w:rFonts w:cs="Arial"/>
        </w:rPr>
        <w:t xml:space="preserve"> set for a 6-month duration (see </w:t>
      </w:r>
      <w:r w:rsidR="00BA518C">
        <w:rPr>
          <w:rFonts w:cs="Arial"/>
        </w:rPr>
        <w:t>table 15</w:t>
      </w:r>
      <w:r w:rsidR="00953CCD">
        <w:rPr>
          <w:rFonts w:cs="Arial"/>
        </w:rPr>
        <w:t>).</w:t>
      </w:r>
    </w:p>
    <w:p w14:paraId="718E576E" w14:textId="77777777" w:rsidR="00BA518C" w:rsidRPr="0059763E" w:rsidRDefault="00BA518C" w:rsidP="0059763E">
      <w:pPr>
        <w:ind w:left="-142" w:right="-425"/>
        <w:jc w:val="both"/>
        <w:rPr>
          <w:rFonts w:cs="Arial"/>
          <w:lang w:val="en-GB"/>
        </w:rPr>
      </w:pPr>
    </w:p>
    <w:p w14:paraId="15BC289D" w14:textId="08916CD5" w:rsidR="005A5B78" w:rsidRDefault="005A5B78" w:rsidP="005A5B78">
      <w:pPr>
        <w:ind w:left="-142" w:right="-425"/>
        <w:jc w:val="both"/>
        <w:rPr>
          <w:rFonts w:cs="Arial"/>
        </w:rPr>
      </w:pPr>
      <w:r w:rsidRPr="00C313D5">
        <w:rPr>
          <w:rFonts w:cs="Arial"/>
        </w:rPr>
        <w:t xml:space="preserve">As at </w:t>
      </w:r>
      <w:r w:rsidR="007B7E78">
        <w:rPr>
          <w:rFonts w:cs="Arial"/>
        </w:rPr>
        <w:t>3</w:t>
      </w:r>
      <w:r w:rsidR="00D74542">
        <w:rPr>
          <w:rFonts w:cs="Arial"/>
        </w:rPr>
        <w:t xml:space="preserve">0 </w:t>
      </w:r>
      <w:r w:rsidR="00EB302E">
        <w:rPr>
          <w:rFonts w:cs="Arial"/>
        </w:rPr>
        <w:t xml:space="preserve">September </w:t>
      </w:r>
      <w:r w:rsidR="00984BBB">
        <w:rPr>
          <w:rFonts w:cs="Arial"/>
        </w:rPr>
        <w:t>2023</w:t>
      </w:r>
      <w:r w:rsidRPr="00C313D5">
        <w:rPr>
          <w:rFonts w:cs="Arial"/>
        </w:rPr>
        <w:t xml:space="preserve"> there were </w:t>
      </w:r>
      <w:r w:rsidR="00475E34">
        <w:rPr>
          <w:rFonts w:cs="Arial"/>
        </w:rPr>
        <w:t>32</w:t>
      </w:r>
      <w:r w:rsidR="00475E34" w:rsidRPr="00C313D5">
        <w:rPr>
          <w:rFonts w:cs="Arial"/>
        </w:rPr>
        <w:t xml:space="preserve"> </w:t>
      </w:r>
      <w:r w:rsidRPr="00C313D5">
        <w:rPr>
          <w:rFonts w:cs="Arial"/>
        </w:rPr>
        <w:t xml:space="preserve">clients subject to a </w:t>
      </w:r>
      <w:r w:rsidR="00A20D65" w:rsidRPr="00C313D5">
        <w:rPr>
          <w:rFonts w:cs="Arial"/>
        </w:rPr>
        <w:t>cur</w:t>
      </w:r>
      <w:r w:rsidR="00A20D65" w:rsidRPr="00144D99">
        <w:rPr>
          <w:rFonts w:cs="Arial"/>
        </w:rPr>
        <w:t xml:space="preserve">rent </w:t>
      </w:r>
      <w:r w:rsidRPr="00144D99">
        <w:rPr>
          <w:rFonts w:cs="Arial"/>
        </w:rPr>
        <w:t>CIM</w:t>
      </w:r>
      <w:r w:rsidR="004034AE" w:rsidRPr="00144D99">
        <w:rPr>
          <w:rFonts w:cs="Arial"/>
        </w:rPr>
        <w:t xml:space="preserve"> who were responsible for </w:t>
      </w:r>
      <w:r w:rsidR="00475E34">
        <w:rPr>
          <w:rFonts w:cs="Arial"/>
        </w:rPr>
        <w:t>44</w:t>
      </w:r>
      <w:r w:rsidR="00475E34" w:rsidRPr="00144D99">
        <w:rPr>
          <w:rFonts w:cs="Arial"/>
        </w:rPr>
        <w:t xml:space="preserve"> </w:t>
      </w:r>
      <w:r w:rsidR="004034AE" w:rsidRPr="00144D99">
        <w:rPr>
          <w:rFonts w:cs="Arial"/>
        </w:rPr>
        <w:t>children in their care (</w:t>
      </w:r>
      <w:r w:rsidR="00144D99" w:rsidRPr="00144D99">
        <w:rPr>
          <w:rFonts w:cs="Arial"/>
        </w:rPr>
        <w:t>2</w:t>
      </w:r>
      <w:r w:rsidR="00475E34">
        <w:rPr>
          <w:rFonts w:cs="Arial"/>
        </w:rPr>
        <w:t>4</w:t>
      </w:r>
      <w:r w:rsidR="00144D99" w:rsidRPr="00144D99">
        <w:rPr>
          <w:rFonts w:cs="Arial"/>
        </w:rPr>
        <w:t xml:space="preserve"> </w:t>
      </w:r>
      <w:r w:rsidR="004034AE" w:rsidRPr="00144D99">
        <w:rPr>
          <w:rFonts w:cs="Arial"/>
        </w:rPr>
        <w:t>of whom were school aged children</w:t>
      </w:r>
      <w:r w:rsidR="004573F7" w:rsidRPr="00144D99">
        <w:rPr>
          <w:rFonts w:cs="Arial"/>
        </w:rPr>
        <w:t>)</w:t>
      </w:r>
      <w:r w:rsidR="004034AE" w:rsidRPr="00144D99">
        <w:rPr>
          <w:rFonts w:cs="Arial"/>
        </w:rPr>
        <w:t>.</w:t>
      </w:r>
      <w:r w:rsidR="004034AE">
        <w:rPr>
          <w:rFonts w:cs="Arial"/>
        </w:rPr>
        <w:t xml:space="preserve"> </w:t>
      </w:r>
      <w:r w:rsidR="007E017B">
        <w:rPr>
          <w:rFonts w:cs="Arial"/>
        </w:rPr>
        <w:t>Of</w:t>
      </w:r>
      <w:r w:rsidR="004034AE">
        <w:rPr>
          <w:rFonts w:cs="Arial"/>
        </w:rPr>
        <w:t xml:space="preserve"> the </w:t>
      </w:r>
      <w:r w:rsidR="0019284B">
        <w:rPr>
          <w:rFonts w:cs="Arial"/>
        </w:rPr>
        <w:t xml:space="preserve">32 </w:t>
      </w:r>
      <w:r w:rsidR="004034AE">
        <w:rPr>
          <w:rFonts w:cs="Arial"/>
        </w:rPr>
        <w:t xml:space="preserve">clients </w:t>
      </w:r>
      <w:r w:rsidR="007E017B">
        <w:rPr>
          <w:rFonts w:cs="Arial"/>
        </w:rPr>
        <w:t xml:space="preserve">47% </w:t>
      </w:r>
      <w:r w:rsidR="004034AE">
        <w:rPr>
          <w:rFonts w:cs="Arial"/>
        </w:rPr>
        <w:t xml:space="preserve">were income managed </w:t>
      </w:r>
      <w:bookmarkStart w:id="24" w:name="_Hlk80798728"/>
      <w:r w:rsidR="004573F7">
        <w:rPr>
          <w:rFonts w:cs="Arial"/>
        </w:rPr>
        <w:t xml:space="preserve">at </w:t>
      </w:r>
      <w:r w:rsidR="00984127">
        <w:rPr>
          <w:rFonts w:cs="Arial"/>
        </w:rPr>
        <w:t>60</w:t>
      </w:r>
      <w:r w:rsidR="000A2349">
        <w:rPr>
          <w:rFonts w:cs="Arial"/>
        </w:rPr>
        <w:t>%, 37</w:t>
      </w:r>
      <w:r w:rsidR="00DD36DF">
        <w:rPr>
          <w:rFonts w:cs="Arial"/>
        </w:rPr>
        <w:t>%</w:t>
      </w:r>
      <w:r w:rsidR="000A2349">
        <w:rPr>
          <w:rFonts w:cs="Arial"/>
        </w:rPr>
        <w:t xml:space="preserve"> </w:t>
      </w:r>
      <w:r w:rsidR="007E017B">
        <w:rPr>
          <w:rFonts w:cs="Arial"/>
        </w:rPr>
        <w:t xml:space="preserve">were income managed </w:t>
      </w:r>
      <w:r w:rsidR="000A2349">
        <w:rPr>
          <w:rFonts w:cs="Arial"/>
        </w:rPr>
        <w:t>at 75% and 16</w:t>
      </w:r>
      <w:r w:rsidR="00DD36DF">
        <w:rPr>
          <w:rFonts w:cs="Arial"/>
        </w:rPr>
        <w:t>%</w:t>
      </w:r>
      <w:r w:rsidR="000A2349">
        <w:rPr>
          <w:rFonts w:cs="Arial"/>
        </w:rPr>
        <w:t xml:space="preserve"> </w:t>
      </w:r>
      <w:r w:rsidR="007E017B">
        <w:rPr>
          <w:rFonts w:cs="Arial"/>
        </w:rPr>
        <w:t xml:space="preserve">were income managed </w:t>
      </w:r>
      <w:r w:rsidR="000A2349">
        <w:rPr>
          <w:rFonts w:cs="Arial"/>
        </w:rPr>
        <w:t xml:space="preserve">at 90% </w:t>
      </w:r>
      <w:r w:rsidR="004034AE">
        <w:rPr>
          <w:rFonts w:cs="Arial"/>
        </w:rPr>
        <w:t>whilst duration ranged from</w:t>
      </w:r>
      <w:r w:rsidR="004573F7">
        <w:rPr>
          <w:rFonts w:cs="Arial"/>
        </w:rPr>
        <w:t xml:space="preserve"> </w:t>
      </w:r>
      <w:r w:rsidR="00527F68">
        <w:rPr>
          <w:rFonts w:cs="Arial"/>
        </w:rPr>
        <w:t>81</w:t>
      </w:r>
      <w:r w:rsidR="00DD36DF">
        <w:rPr>
          <w:rFonts w:cs="Arial"/>
        </w:rPr>
        <w:t>%</w:t>
      </w:r>
      <w:r w:rsidR="005177D6">
        <w:rPr>
          <w:rFonts w:cs="Arial"/>
        </w:rPr>
        <w:t xml:space="preserve"> for a 6-month duration</w:t>
      </w:r>
      <w:r w:rsidR="000A2349">
        <w:rPr>
          <w:rFonts w:cs="Arial"/>
        </w:rPr>
        <w:t>, 3</w:t>
      </w:r>
      <w:r w:rsidR="00DD36DF">
        <w:rPr>
          <w:rFonts w:cs="Arial"/>
        </w:rPr>
        <w:t>%</w:t>
      </w:r>
      <w:r w:rsidR="000A2349">
        <w:rPr>
          <w:rFonts w:cs="Arial"/>
        </w:rPr>
        <w:t xml:space="preserve"> for a 9-month duration</w:t>
      </w:r>
      <w:r w:rsidR="001E792B">
        <w:rPr>
          <w:rFonts w:cs="Arial"/>
        </w:rPr>
        <w:t xml:space="preserve"> </w:t>
      </w:r>
      <w:r w:rsidR="00AF3A15">
        <w:rPr>
          <w:rFonts w:cs="Arial"/>
        </w:rPr>
        <w:t xml:space="preserve">and </w:t>
      </w:r>
      <w:r w:rsidR="00B03ADC">
        <w:rPr>
          <w:rFonts w:cs="Arial"/>
        </w:rPr>
        <w:t>1</w:t>
      </w:r>
      <w:r w:rsidR="00527F68">
        <w:rPr>
          <w:rFonts w:cs="Arial"/>
        </w:rPr>
        <w:t>6</w:t>
      </w:r>
      <w:r w:rsidR="00DD36DF">
        <w:rPr>
          <w:rFonts w:cs="Arial"/>
        </w:rPr>
        <w:t>%</w:t>
      </w:r>
      <w:r w:rsidR="001E792B">
        <w:rPr>
          <w:rFonts w:cs="Arial"/>
        </w:rPr>
        <w:t xml:space="preserve"> for </w:t>
      </w:r>
      <w:r w:rsidR="006A1133">
        <w:rPr>
          <w:rFonts w:cs="Arial"/>
        </w:rPr>
        <w:t xml:space="preserve">a </w:t>
      </w:r>
      <w:r w:rsidR="00B03ADC">
        <w:rPr>
          <w:rFonts w:cs="Arial"/>
        </w:rPr>
        <w:t>12</w:t>
      </w:r>
      <w:r w:rsidR="001E792B">
        <w:rPr>
          <w:rFonts w:cs="Arial"/>
        </w:rPr>
        <w:t>-month duration</w:t>
      </w:r>
      <w:r w:rsidR="00CE5828" w:rsidRPr="00C313D5">
        <w:rPr>
          <w:rFonts w:cs="Arial"/>
        </w:rPr>
        <w:t>.</w:t>
      </w:r>
      <w:r w:rsidR="0061573D">
        <w:rPr>
          <w:rFonts w:cs="Arial"/>
        </w:rPr>
        <w:t xml:space="preserve"> </w:t>
      </w:r>
      <w:bookmarkEnd w:id="24"/>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w:t>
      </w:r>
      <w:r w:rsidR="00BE4505">
        <w:rPr>
          <w:rFonts w:cs="Arial"/>
        </w:rPr>
        <w:t xml:space="preserve">amending or ending </w:t>
      </w:r>
      <w:r w:rsidR="00001E8D">
        <w:rPr>
          <w:rFonts w:cs="Arial"/>
        </w:rPr>
        <w:t xml:space="preserve">a </w:t>
      </w:r>
      <w:r>
        <w:rPr>
          <w:rFonts w:cs="Arial"/>
        </w:rPr>
        <w:t>CIM when requested by the client.</w:t>
      </w:r>
    </w:p>
    <w:p w14:paraId="5C00370B" w14:textId="77777777" w:rsidR="00433562" w:rsidRPr="002E156B" w:rsidRDefault="00433562" w:rsidP="002E156B">
      <w:pPr>
        <w:ind w:left="-142" w:right="-425"/>
        <w:jc w:val="both"/>
        <w:rPr>
          <w:rFonts w:cs="Arial"/>
        </w:rPr>
      </w:pPr>
    </w:p>
    <w:p w14:paraId="36B5CDB3" w14:textId="6F3DDB06" w:rsidR="00AC7F6B" w:rsidRPr="002D4651" w:rsidRDefault="00AC7F6B" w:rsidP="00F034B6">
      <w:pPr>
        <w:pStyle w:val="Heading2"/>
      </w:pPr>
      <w:r>
        <w:t>Voluntary self-r</w:t>
      </w:r>
      <w:r w:rsidRPr="002D4651">
        <w:t>eferrals</w:t>
      </w:r>
      <w:r>
        <w:t xml:space="preserve"> from clients to the Commission</w:t>
      </w:r>
    </w:p>
    <w:p w14:paraId="77A10D70" w14:textId="0A92712E" w:rsidR="00AC7F6B" w:rsidRDefault="00AC7F6B" w:rsidP="001D4A2E">
      <w:pPr>
        <w:ind w:left="-142" w:right="-425"/>
        <w:jc w:val="both"/>
        <w:rPr>
          <w:rFonts w:cs="Arial"/>
        </w:rPr>
      </w:pPr>
      <w:r>
        <w:rPr>
          <w:rFonts w:cs="Arial"/>
        </w:rPr>
        <w:t>The FRC Act sets out a process under which a community member can voluntarily seek help from the Commission for a referral to a community support service</w:t>
      </w:r>
      <w:r w:rsidR="00CE115E">
        <w:rPr>
          <w:rFonts w:cs="Arial"/>
        </w:rPr>
        <w:t xml:space="preserve"> through a</w:t>
      </w:r>
      <w:r>
        <w:rPr>
          <w:rFonts w:cs="Arial"/>
        </w:rPr>
        <w:t xml:space="preserve"> </w:t>
      </w:r>
      <w:r w:rsidR="00151D2D">
        <w:rPr>
          <w:rFonts w:cs="Arial"/>
        </w:rPr>
        <w:t>v</w:t>
      </w:r>
      <w:r>
        <w:rPr>
          <w:rFonts w:cs="Arial"/>
        </w:rPr>
        <w:t xml:space="preserve">oluntary </w:t>
      </w:r>
      <w:r w:rsidR="00151D2D">
        <w:rPr>
          <w:rFonts w:cs="Arial"/>
        </w:rPr>
        <w:t>c</w:t>
      </w:r>
      <w:r>
        <w:rPr>
          <w:rFonts w:cs="Arial"/>
        </w:rPr>
        <w:t xml:space="preserve">ase </w:t>
      </w:r>
      <w:r w:rsidR="00151D2D">
        <w:rPr>
          <w:rFonts w:cs="Arial"/>
        </w:rPr>
        <w:t>p</w:t>
      </w:r>
      <w:r>
        <w:rPr>
          <w:rFonts w:cs="Arial"/>
        </w:rPr>
        <w:t>lan</w:t>
      </w:r>
      <w:r w:rsidR="00CE115E">
        <w:rPr>
          <w:rFonts w:cs="Arial"/>
        </w:rPr>
        <w:t xml:space="preserve"> (VCP)</w:t>
      </w:r>
      <w:r>
        <w:rPr>
          <w:rFonts w:cs="Arial"/>
        </w:rPr>
        <w:t xml:space="preserve"> or be subject to voluntary income management</w:t>
      </w:r>
      <w:r w:rsidR="00CE115E">
        <w:rPr>
          <w:rFonts w:cs="Arial"/>
        </w:rPr>
        <w:t xml:space="preserve"> (VIM)</w:t>
      </w:r>
      <w:r>
        <w:rPr>
          <w:rFonts w:cs="Arial"/>
        </w:rPr>
        <w:t xml:space="preserve">. During quarter </w:t>
      </w:r>
      <w:r w:rsidR="00D74542">
        <w:rPr>
          <w:rFonts w:cs="Arial"/>
        </w:rPr>
        <w:t>6</w:t>
      </w:r>
      <w:r w:rsidR="00EE7CC7">
        <w:rPr>
          <w:rFonts w:cs="Arial"/>
        </w:rPr>
        <w:t>1</w:t>
      </w:r>
      <w:r w:rsidR="00F45BD7">
        <w:rPr>
          <w:rFonts w:cs="Arial"/>
        </w:rPr>
        <w:t>,</w:t>
      </w:r>
      <w:r>
        <w:rPr>
          <w:rFonts w:cs="Arial"/>
        </w:rPr>
        <w:t xml:space="preserve"> </w:t>
      </w:r>
      <w:r w:rsidR="000A2349">
        <w:rPr>
          <w:rFonts w:cs="Arial"/>
        </w:rPr>
        <w:t>2</w:t>
      </w:r>
      <w:r w:rsidR="008436DC">
        <w:rPr>
          <w:rFonts w:cs="Arial"/>
        </w:rPr>
        <w:t>7</w:t>
      </w:r>
      <w:r w:rsidR="000A2349">
        <w:rPr>
          <w:rFonts w:cs="Arial"/>
        </w:rPr>
        <w:t xml:space="preserve"> </w:t>
      </w:r>
      <w:r w:rsidR="00CE115E">
        <w:rPr>
          <w:rFonts w:cs="Arial"/>
        </w:rPr>
        <w:t>VCPs</w:t>
      </w:r>
      <w:r w:rsidR="00046CFE">
        <w:rPr>
          <w:rFonts w:cs="Arial"/>
        </w:rPr>
        <w:t xml:space="preserve"> </w:t>
      </w:r>
      <w:r w:rsidR="001838E5">
        <w:rPr>
          <w:rFonts w:cs="Arial"/>
        </w:rPr>
        <w:t xml:space="preserve">were </w:t>
      </w:r>
      <w:r>
        <w:rPr>
          <w:rFonts w:cs="Arial"/>
        </w:rPr>
        <w:t>entered into for</w:t>
      </w:r>
      <w:r w:rsidR="00E8768E">
        <w:rPr>
          <w:rFonts w:cs="Arial"/>
        </w:rPr>
        <w:t xml:space="preserve"> </w:t>
      </w:r>
      <w:r w:rsidR="000A2349">
        <w:rPr>
          <w:rFonts w:cs="Arial"/>
        </w:rPr>
        <w:t>2</w:t>
      </w:r>
      <w:r w:rsidR="008436DC">
        <w:rPr>
          <w:rFonts w:cs="Arial"/>
        </w:rPr>
        <w:t>7</w:t>
      </w:r>
      <w:r w:rsidR="000A2349">
        <w:rPr>
          <w:rFonts w:cs="Arial"/>
        </w:rPr>
        <w:t xml:space="preserve"> </w:t>
      </w:r>
      <w:r>
        <w:rPr>
          <w:rFonts w:cs="Arial"/>
        </w:rPr>
        <w:t>community support services under a case p</w:t>
      </w:r>
      <w:r w:rsidRPr="007F32E2">
        <w:rPr>
          <w:rFonts w:cs="Arial"/>
        </w:rPr>
        <w:t>lan</w:t>
      </w:r>
      <w:r w:rsidR="00B83421">
        <w:rPr>
          <w:rFonts w:cs="Arial"/>
        </w:rPr>
        <w:t xml:space="preserve"> relating to </w:t>
      </w:r>
      <w:r w:rsidR="000A2349">
        <w:rPr>
          <w:rFonts w:cs="Arial"/>
        </w:rPr>
        <w:t>2</w:t>
      </w:r>
      <w:r w:rsidR="008436DC">
        <w:rPr>
          <w:rFonts w:cs="Arial"/>
        </w:rPr>
        <w:t>6</w:t>
      </w:r>
      <w:r w:rsidR="000A2349">
        <w:rPr>
          <w:rFonts w:cs="Arial"/>
        </w:rPr>
        <w:t xml:space="preserve"> </w:t>
      </w:r>
      <w:r w:rsidR="00B83421">
        <w:rPr>
          <w:rFonts w:cs="Arial"/>
        </w:rPr>
        <w:t>clients</w:t>
      </w:r>
      <w:r w:rsidRPr="007F32E2">
        <w:rPr>
          <w:rFonts w:cs="Arial"/>
        </w:rPr>
        <w:t>. Although the number of clients who have engaged with the FRC on a voluntary basis remain small, it is nonetheless consistent with a broader trend of clients – specifically those entering into Family Responsibility Agreements – who are exhibiting a</w:t>
      </w:r>
      <w:r w:rsidR="007F32E2" w:rsidRPr="007F32E2">
        <w:rPr>
          <w:rFonts w:cs="Arial"/>
        </w:rPr>
        <w:t xml:space="preserve"> heightened </w:t>
      </w:r>
      <w:r w:rsidRPr="007F32E2">
        <w:rPr>
          <w:rFonts w:cs="Arial"/>
        </w:rPr>
        <w:t xml:space="preserve">self-awareness of their personal circumstances and are willing to accept assistance from the Commission at the earliest opportunity in the conferencing process. This is discussed in more detail at </w:t>
      </w:r>
      <w:r w:rsidRPr="007F32E2">
        <w:rPr>
          <w:rFonts w:cs="Arial"/>
          <w:i/>
          <w:iCs/>
        </w:rPr>
        <w:t>Interactions during the quarter</w:t>
      </w:r>
      <w:r w:rsidRPr="007F32E2">
        <w:rPr>
          <w:rFonts w:cs="Arial"/>
        </w:rPr>
        <w:t>.</w:t>
      </w:r>
    </w:p>
    <w:p w14:paraId="1A92516A" w14:textId="77777777" w:rsidR="0014353B" w:rsidRPr="00386FF7" w:rsidRDefault="0014353B" w:rsidP="0014353B">
      <w:pPr>
        <w:ind w:left="-142" w:right="-425"/>
        <w:jc w:val="both"/>
        <w:rPr>
          <w:rFonts w:cs="Arial"/>
        </w:rPr>
      </w:pPr>
    </w:p>
    <w:p w14:paraId="21435433" w14:textId="67F0DB95" w:rsidR="00EC3C3E" w:rsidRPr="006524B7" w:rsidRDefault="00D802EF" w:rsidP="00F034B6">
      <w:pPr>
        <w:pStyle w:val="Heading2"/>
      </w:pPr>
      <w:r w:rsidRPr="00113244">
        <w:t>Voluntary</w:t>
      </w:r>
      <w:r w:rsidR="00EC3C3E" w:rsidRPr="00113244">
        <w:t xml:space="preserve"> </w:t>
      </w:r>
      <w:r w:rsidR="00334F4D">
        <w:t>Income Management</w:t>
      </w:r>
    </w:p>
    <w:p w14:paraId="2F01F04F" w14:textId="0216B675" w:rsidR="00D802EF" w:rsidRDefault="00F45BD7" w:rsidP="00F662A4">
      <w:pPr>
        <w:ind w:left="-142" w:right="-425"/>
        <w:jc w:val="both"/>
        <w:rPr>
          <w:rFonts w:cs="Arial"/>
        </w:rPr>
      </w:pPr>
      <w:r>
        <w:rPr>
          <w:rFonts w:cs="Arial"/>
        </w:rPr>
        <w:t>During this reporting period t</w:t>
      </w:r>
      <w:r w:rsidR="00D802EF">
        <w:rPr>
          <w:rFonts w:cs="Arial"/>
        </w:rPr>
        <w:t xml:space="preserve">he Commission </w:t>
      </w:r>
      <w:r w:rsidR="00D802EF" w:rsidRPr="00E772A9">
        <w:rPr>
          <w:rFonts w:cs="Arial"/>
        </w:rPr>
        <w:t xml:space="preserve">processed </w:t>
      </w:r>
      <w:r w:rsidR="000A2349">
        <w:rPr>
          <w:rFonts w:cs="Arial"/>
        </w:rPr>
        <w:t xml:space="preserve">32 </w:t>
      </w:r>
      <w:r w:rsidR="00505E6F">
        <w:rPr>
          <w:rFonts w:cs="Arial"/>
        </w:rPr>
        <w:t>VIM</w:t>
      </w:r>
      <w:r w:rsidR="00D802EF">
        <w:rPr>
          <w:rFonts w:cs="Arial"/>
        </w:rPr>
        <w:t xml:space="preserve"> agreement</w:t>
      </w:r>
      <w:r w:rsidR="00B504D5">
        <w:rPr>
          <w:rFonts w:cs="Arial"/>
        </w:rPr>
        <w:t>s</w:t>
      </w:r>
      <w:r w:rsidR="00D802EF">
        <w:rPr>
          <w:rFonts w:cs="Arial"/>
        </w:rPr>
        <w:t xml:space="preserve"> </w:t>
      </w:r>
      <w:r w:rsidR="000F0D55">
        <w:rPr>
          <w:rFonts w:cs="Arial"/>
        </w:rPr>
        <w:t xml:space="preserve">with </w:t>
      </w:r>
      <w:r w:rsidR="000A2349">
        <w:rPr>
          <w:rFonts w:cs="Arial"/>
        </w:rPr>
        <w:t>81</w:t>
      </w:r>
      <w:r w:rsidR="00B266FC">
        <w:rPr>
          <w:rFonts w:cs="Arial"/>
        </w:rPr>
        <w:t xml:space="preserve">% </w:t>
      </w:r>
      <w:r w:rsidR="004E765A" w:rsidRPr="009C5078">
        <w:rPr>
          <w:rFonts w:cs="Arial"/>
        </w:rPr>
        <w:t xml:space="preserve">of </w:t>
      </w:r>
      <w:r w:rsidR="00F55F12">
        <w:rPr>
          <w:rFonts w:cs="Arial"/>
        </w:rPr>
        <w:t>agreements</w:t>
      </w:r>
      <w:r w:rsidR="004E765A" w:rsidRPr="009C5078">
        <w:rPr>
          <w:rFonts w:cs="Arial"/>
        </w:rPr>
        <w:t xml:space="preserve"> </w:t>
      </w:r>
      <w:r w:rsidR="008E44A0">
        <w:rPr>
          <w:rFonts w:cs="Arial"/>
        </w:rPr>
        <w:t>quarantining</w:t>
      </w:r>
      <w:r w:rsidR="000F0D55" w:rsidRPr="009C5078">
        <w:rPr>
          <w:rFonts w:cs="Arial"/>
        </w:rPr>
        <w:t xml:space="preserve"> 60</w:t>
      </w:r>
      <w:r w:rsidR="00DD36DF">
        <w:rPr>
          <w:rFonts w:cs="Arial"/>
        </w:rPr>
        <w:t>%</w:t>
      </w:r>
      <w:r w:rsidR="000A2349">
        <w:rPr>
          <w:rFonts w:cs="Arial"/>
        </w:rPr>
        <w:t xml:space="preserve"> </w:t>
      </w:r>
      <w:r w:rsidR="004E765A" w:rsidRPr="009C5078">
        <w:rPr>
          <w:rFonts w:cs="Arial"/>
        </w:rPr>
        <w:t>of welfare payments</w:t>
      </w:r>
      <w:r w:rsidR="000F0D55" w:rsidRPr="009C5078">
        <w:rPr>
          <w:rFonts w:cs="Arial"/>
        </w:rPr>
        <w:t xml:space="preserve"> </w:t>
      </w:r>
      <w:r w:rsidR="00AE4A0C" w:rsidRPr="009C5078">
        <w:rPr>
          <w:rFonts w:cs="Arial"/>
        </w:rPr>
        <w:t xml:space="preserve">(see </w:t>
      </w:r>
      <w:r w:rsidR="00BA518C">
        <w:rPr>
          <w:rFonts w:cs="Arial"/>
        </w:rPr>
        <w:t>table 18)</w:t>
      </w:r>
      <w:r w:rsidR="003C0B61">
        <w:rPr>
          <w:rFonts w:cs="Arial"/>
        </w:rPr>
        <w:t xml:space="preserve"> and </w:t>
      </w:r>
      <w:r w:rsidR="00B266FC">
        <w:rPr>
          <w:rFonts w:cs="Arial"/>
        </w:rPr>
        <w:t xml:space="preserve">28% set for both 3 months and 6 months </w:t>
      </w:r>
      <w:r w:rsidR="00B266FC">
        <w:rPr>
          <w:rFonts w:cs="Arial"/>
        </w:rPr>
        <w:lastRenderedPageBreak/>
        <w:t xml:space="preserve">duration and </w:t>
      </w:r>
      <w:r w:rsidR="003C0B61">
        <w:rPr>
          <w:rFonts w:cs="Arial"/>
        </w:rPr>
        <w:t>4</w:t>
      </w:r>
      <w:r w:rsidR="000A2349">
        <w:rPr>
          <w:rFonts w:cs="Arial"/>
        </w:rPr>
        <w:t>4</w:t>
      </w:r>
      <w:r w:rsidR="00B266FC">
        <w:rPr>
          <w:rFonts w:cs="Arial"/>
        </w:rPr>
        <w:t xml:space="preserve">% </w:t>
      </w:r>
      <w:r w:rsidR="003C0B61">
        <w:rPr>
          <w:rFonts w:cs="Arial"/>
        </w:rPr>
        <w:t>set for a duration of 12</w:t>
      </w:r>
      <w:r w:rsidR="00BB129A">
        <w:rPr>
          <w:rFonts w:cs="Arial"/>
        </w:rPr>
        <w:t xml:space="preserve"> months </w:t>
      </w:r>
      <w:r w:rsidR="00AE4A0C" w:rsidRPr="009C5078">
        <w:rPr>
          <w:rFonts w:cs="Arial"/>
        </w:rPr>
        <w:t xml:space="preserve">(see </w:t>
      </w:r>
      <w:r w:rsidR="00BA518C">
        <w:rPr>
          <w:rFonts w:cs="Arial"/>
        </w:rPr>
        <w:t>table 16</w:t>
      </w:r>
      <w:r w:rsidR="00AE4A0C" w:rsidRPr="009C5078">
        <w:rPr>
          <w:rFonts w:cs="Arial"/>
        </w:rPr>
        <w:t>).</w:t>
      </w:r>
      <w:r w:rsidR="005A6206" w:rsidRPr="00246B5A">
        <w:rPr>
          <w:rFonts w:cs="Arial"/>
        </w:rPr>
        <w:t xml:space="preserve"> </w:t>
      </w:r>
      <w:r w:rsidR="00D30730" w:rsidRPr="00246B5A">
        <w:rPr>
          <w:rFonts w:cs="Arial"/>
        </w:rPr>
        <w:t xml:space="preserve">As at </w:t>
      </w:r>
      <w:r w:rsidR="007B7E78">
        <w:rPr>
          <w:rFonts w:cs="Arial"/>
        </w:rPr>
        <w:t>3</w:t>
      </w:r>
      <w:r w:rsidR="00D74542">
        <w:rPr>
          <w:rFonts w:cs="Arial"/>
        </w:rPr>
        <w:t xml:space="preserve">0 </w:t>
      </w:r>
      <w:r w:rsidR="00EB302E">
        <w:rPr>
          <w:rFonts w:cs="Arial"/>
        </w:rPr>
        <w:t xml:space="preserve">September </w:t>
      </w:r>
      <w:r w:rsidR="00984BBB">
        <w:rPr>
          <w:rFonts w:cs="Arial"/>
        </w:rPr>
        <w:t>2023</w:t>
      </w:r>
      <w:r w:rsidR="00D30730" w:rsidRPr="00246B5A">
        <w:rPr>
          <w:rFonts w:cs="Arial"/>
        </w:rPr>
        <w:t xml:space="preserve"> there were </w:t>
      </w:r>
      <w:r w:rsidR="003C0B61">
        <w:rPr>
          <w:rFonts w:cs="Arial"/>
        </w:rPr>
        <w:t>6</w:t>
      </w:r>
      <w:r w:rsidR="000A2349">
        <w:rPr>
          <w:rFonts w:cs="Arial"/>
        </w:rPr>
        <w:t>2</w:t>
      </w:r>
      <w:r w:rsidR="003C0B61" w:rsidRPr="00246B5A">
        <w:rPr>
          <w:rFonts w:cs="Arial"/>
        </w:rPr>
        <w:t xml:space="preserve"> </w:t>
      </w:r>
      <w:r w:rsidR="00D30730" w:rsidRPr="00246B5A">
        <w:rPr>
          <w:rFonts w:cs="Arial"/>
        </w:rPr>
        <w:t xml:space="preserve">clients on a </w:t>
      </w:r>
      <w:r w:rsidR="00D30730" w:rsidRPr="00144D99">
        <w:rPr>
          <w:rFonts w:cs="Arial"/>
        </w:rPr>
        <w:t>current VIM agreement</w:t>
      </w:r>
      <w:r w:rsidR="00BB129A" w:rsidRPr="00144D99">
        <w:rPr>
          <w:rFonts w:cs="Arial"/>
        </w:rPr>
        <w:t xml:space="preserve"> </w:t>
      </w:r>
      <w:r w:rsidR="00BB129A" w:rsidRPr="00144D99">
        <w:t xml:space="preserve">who had </w:t>
      </w:r>
      <w:r w:rsidR="00144D99" w:rsidRPr="00144D99">
        <w:t>5</w:t>
      </w:r>
      <w:r w:rsidR="000A2349">
        <w:t>5</w:t>
      </w:r>
      <w:r w:rsidR="007C4564" w:rsidRPr="00144D99">
        <w:t xml:space="preserve"> </w:t>
      </w:r>
      <w:r w:rsidR="00BB129A" w:rsidRPr="00144D99">
        <w:t>children in their care (</w:t>
      </w:r>
      <w:r w:rsidR="00144D99" w:rsidRPr="00144D99">
        <w:t>3</w:t>
      </w:r>
      <w:r w:rsidR="000A2349">
        <w:t>3</w:t>
      </w:r>
      <w:r w:rsidR="00144D99" w:rsidRPr="00144D99">
        <w:t xml:space="preserve"> </w:t>
      </w:r>
      <w:r w:rsidR="00BB129A" w:rsidRPr="00144D99">
        <w:t>of whom were school aged children)</w:t>
      </w:r>
      <w:r w:rsidR="007847CF" w:rsidRPr="00144D99">
        <w:rPr>
          <w:rFonts w:cs="Arial"/>
        </w:rPr>
        <w:t>.</w:t>
      </w:r>
    </w:p>
    <w:p w14:paraId="45432E30" w14:textId="1B99792C" w:rsidR="006B6030" w:rsidRDefault="006B6030" w:rsidP="005A02C1">
      <w:pPr>
        <w:ind w:left="-142" w:right="-425"/>
        <w:jc w:val="both"/>
        <w:rPr>
          <w:rFonts w:cs="Arial"/>
        </w:rPr>
      </w:pPr>
    </w:p>
    <w:p w14:paraId="1087AFFD" w14:textId="2AF58B59" w:rsidR="003833F9" w:rsidRPr="005212BC" w:rsidRDefault="003833F9" w:rsidP="003833F9">
      <w:pPr>
        <w:ind w:left="-142" w:right="-425"/>
        <w:jc w:val="both"/>
        <w:rPr>
          <w:rFonts w:cs="Arial"/>
          <w:b/>
          <w:bCs/>
        </w:rPr>
      </w:pPr>
      <w:r w:rsidRPr="005212BC">
        <w:rPr>
          <w:rFonts w:cs="Arial"/>
          <w:b/>
          <w:bCs/>
        </w:rPr>
        <w:t xml:space="preserve">Status of </w:t>
      </w:r>
      <w:r w:rsidR="003C0B61">
        <w:rPr>
          <w:rFonts w:cs="Arial"/>
          <w:b/>
          <w:bCs/>
        </w:rPr>
        <w:t>the SmartCard</w:t>
      </w:r>
      <w:r w:rsidR="003C0B61" w:rsidRPr="005212BC">
        <w:rPr>
          <w:rFonts w:cs="Arial"/>
          <w:b/>
          <w:bCs/>
        </w:rPr>
        <w:t xml:space="preserve"> </w:t>
      </w:r>
      <w:r w:rsidRPr="005212BC">
        <w:rPr>
          <w:rFonts w:cs="Arial"/>
          <w:b/>
          <w:bCs/>
        </w:rPr>
        <w:t xml:space="preserve">in FRC Communities for quarter </w:t>
      </w:r>
      <w:r w:rsidR="00C7225E">
        <w:rPr>
          <w:rFonts w:cs="Arial"/>
          <w:b/>
          <w:bCs/>
        </w:rPr>
        <w:t>6</w:t>
      </w:r>
      <w:r w:rsidR="00EE7CC7">
        <w:rPr>
          <w:rFonts w:cs="Arial"/>
          <w:b/>
          <w:bCs/>
        </w:rPr>
        <w:t>1</w:t>
      </w:r>
    </w:p>
    <w:p w14:paraId="40773987" w14:textId="4F1B3976" w:rsidR="003833F9" w:rsidRDefault="00D378D7" w:rsidP="003833F9">
      <w:pPr>
        <w:ind w:left="-142" w:right="-425"/>
        <w:jc w:val="both"/>
        <w:rPr>
          <w:rFonts w:cs="Arial"/>
        </w:rPr>
      </w:pPr>
      <w:r>
        <w:rPr>
          <w:rFonts w:cs="Arial"/>
        </w:rPr>
        <w:t>Forty-</w:t>
      </w:r>
      <w:r w:rsidR="00EB302E">
        <w:rPr>
          <w:rFonts w:cs="Arial"/>
        </w:rPr>
        <w:t xml:space="preserve">five </w:t>
      </w:r>
      <w:r w:rsidR="003C0B61">
        <w:rPr>
          <w:rFonts w:cs="Arial"/>
        </w:rPr>
        <w:t>SmartCards</w:t>
      </w:r>
      <w:r w:rsidR="003833F9">
        <w:rPr>
          <w:rFonts w:cs="Arial"/>
        </w:rPr>
        <w:t xml:space="preserve"> </w:t>
      </w:r>
      <w:r w:rsidR="00386ABC">
        <w:rPr>
          <w:rFonts w:cs="Arial"/>
        </w:rPr>
        <w:t>(</w:t>
      </w:r>
      <w:r w:rsidR="00782092">
        <w:rPr>
          <w:rFonts w:cs="Arial"/>
        </w:rPr>
        <w:t>1</w:t>
      </w:r>
      <w:r w:rsidR="00EB302E">
        <w:rPr>
          <w:rFonts w:cs="Arial"/>
        </w:rPr>
        <w:t>3</w:t>
      </w:r>
      <w:r w:rsidR="00782092">
        <w:rPr>
          <w:rFonts w:cs="Arial"/>
        </w:rPr>
        <w:t xml:space="preserve"> </w:t>
      </w:r>
      <w:r w:rsidR="00386ABC">
        <w:rPr>
          <w:rFonts w:cs="Arial"/>
        </w:rPr>
        <w:t xml:space="preserve">for CIM and </w:t>
      </w:r>
      <w:r w:rsidR="00EB302E">
        <w:rPr>
          <w:rFonts w:cs="Arial"/>
        </w:rPr>
        <w:t xml:space="preserve">32 </w:t>
      </w:r>
      <w:r w:rsidR="00386ABC">
        <w:rPr>
          <w:rFonts w:cs="Arial"/>
        </w:rPr>
        <w:t xml:space="preserve">for VIM) </w:t>
      </w:r>
      <w:r w:rsidR="003833F9">
        <w:rPr>
          <w:rFonts w:cs="Arial"/>
        </w:rPr>
        <w:t xml:space="preserve">were processed for the period </w:t>
      </w:r>
      <w:r w:rsidR="007B7E78">
        <w:rPr>
          <w:rFonts w:cs="Arial"/>
        </w:rPr>
        <w:t xml:space="preserve">1 </w:t>
      </w:r>
      <w:r w:rsidR="00EB302E">
        <w:rPr>
          <w:rFonts w:cs="Arial"/>
        </w:rPr>
        <w:t xml:space="preserve">July </w:t>
      </w:r>
      <w:r w:rsidR="00413FAC">
        <w:rPr>
          <w:rFonts w:cs="Arial"/>
        </w:rPr>
        <w:t>2023</w:t>
      </w:r>
      <w:r w:rsidR="003833F9">
        <w:rPr>
          <w:rFonts w:cs="Arial"/>
        </w:rPr>
        <w:t xml:space="preserve"> to </w:t>
      </w:r>
      <w:r w:rsidR="007B7E78">
        <w:rPr>
          <w:rFonts w:cs="Arial"/>
        </w:rPr>
        <w:t>3</w:t>
      </w:r>
      <w:r w:rsidR="00D74542">
        <w:rPr>
          <w:rFonts w:cs="Arial"/>
        </w:rPr>
        <w:t xml:space="preserve">0 </w:t>
      </w:r>
      <w:r w:rsidR="00EB302E">
        <w:rPr>
          <w:rFonts w:cs="Arial"/>
        </w:rPr>
        <w:t xml:space="preserve">September </w:t>
      </w:r>
      <w:r w:rsidR="00984BBB">
        <w:rPr>
          <w:rFonts w:cs="Arial"/>
        </w:rPr>
        <w:t>2023</w:t>
      </w:r>
      <w:r w:rsidR="003833F9">
        <w:rPr>
          <w:rFonts w:cs="Arial"/>
        </w:rPr>
        <w:t xml:space="preserve">, including orders and agreements that were still awaiting Centrelink action as at </w:t>
      </w:r>
      <w:r w:rsidR="00DA70CA">
        <w:rPr>
          <w:rFonts w:cs="Arial"/>
        </w:rPr>
        <w:t>3</w:t>
      </w:r>
      <w:r w:rsidR="00D74542">
        <w:rPr>
          <w:rFonts w:cs="Arial"/>
        </w:rPr>
        <w:t xml:space="preserve">0 </w:t>
      </w:r>
      <w:r w:rsidR="00EB302E">
        <w:rPr>
          <w:rFonts w:cs="Arial"/>
        </w:rPr>
        <w:t>September</w:t>
      </w:r>
      <w:r w:rsidR="003833F9">
        <w:rPr>
          <w:rFonts w:cs="Arial"/>
        </w:rPr>
        <w:t>.</w:t>
      </w:r>
    </w:p>
    <w:p w14:paraId="7C1F0905" w14:textId="77777777" w:rsidR="00CA2638" w:rsidRDefault="00CA2638" w:rsidP="0070366B">
      <w:pPr>
        <w:ind w:left="-142" w:right="-425"/>
        <w:jc w:val="both"/>
        <w:rPr>
          <w:rFonts w:cs="Arial"/>
        </w:rPr>
      </w:pPr>
    </w:p>
    <w:tbl>
      <w:tblPr>
        <w:tblStyle w:val="TableGrid"/>
        <w:tblW w:w="0" w:type="auto"/>
        <w:tblLook w:val="04A0" w:firstRow="1" w:lastRow="0" w:firstColumn="1" w:lastColumn="0" w:noHBand="0" w:noVBand="1"/>
      </w:tblPr>
      <w:tblGrid>
        <w:gridCol w:w="2972"/>
        <w:gridCol w:w="1134"/>
        <w:gridCol w:w="709"/>
        <w:gridCol w:w="2977"/>
        <w:gridCol w:w="1121"/>
      </w:tblGrid>
      <w:tr w:rsidR="00CA2638" w14:paraId="3899F2B8" w14:textId="77777777" w:rsidTr="0010294B">
        <w:trPr>
          <w:trHeight w:val="278"/>
        </w:trPr>
        <w:tc>
          <w:tcPr>
            <w:tcW w:w="4106" w:type="dxa"/>
            <w:gridSpan w:val="2"/>
          </w:tcPr>
          <w:p w14:paraId="4DA9FDAD" w14:textId="77777777" w:rsidR="00CA2638" w:rsidRPr="002C0A49" w:rsidRDefault="00CA2638" w:rsidP="0010294B">
            <w:pPr>
              <w:rPr>
                <w:rFonts w:cs="Arial"/>
                <w:b/>
                <w:bCs/>
                <w:noProof/>
                <w:sz w:val="16"/>
                <w:szCs w:val="16"/>
              </w:rPr>
            </w:pPr>
            <w:bookmarkStart w:id="25" w:name="_Hlk158966812"/>
            <w:r>
              <w:rPr>
                <w:rFonts w:cs="Arial"/>
                <w:b/>
                <w:bCs/>
                <w:noProof/>
                <w:sz w:val="16"/>
                <w:szCs w:val="16"/>
              </w:rPr>
              <w:t>Table</w:t>
            </w:r>
            <w:r w:rsidRPr="00523A30">
              <w:rPr>
                <w:rFonts w:cs="Arial"/>
                <w:b/>
                <w:bCs/>
                <w:noProof/>
                <w:sz w:val="16"/>
                <w:szCs w:val="16"/>
              </w:rPr>
              <w:t xml:space="preserve"> </w:t>
            </w:r>
            <w:r>
              <w:rPr>
                <w:rFonts w:cs="Arial"/>
                <w:b/>
                <w:bCs/>
                <w:noProof/>
                <w:sz w:val="16"/>
                <w:szCs w:val="16"/>
              </w:rPr>
              <w:t>15</w:t>
            </w:r>
            <w:r w:rsidRPr="002C0A49">
              <w:rPr>
                <w:rFonts w:cs="Arial"/>
                <w:b/>
                <w:bCs/>
                <w:noProof/>
                <w:sz w:val="16"/>
                <w:szCs w:val="16"/>
              </w:rPr>
              <w:t>:</w:t>
            </w:r>
            <w:r w:rsidRPr="002C0A49">
              <w:rPr>
                <w:rFonts w:cs="Arial"/>
                <w:noProof/>
                <w:sz w:val="16"/>
                <w:szCs w:val="16"/>
              </w:rPr>
              <w:t xml:space="preserve"> </w:t>
            </w:r>
            <w:r w:rsidRPr="00523A30">
              <w:rPr>
                <w:rFonts w:cs="Arial"/>
                <w:noProof/>
                <w:sz w:val="16"/>
                <w:szCs w:val="16"/>
              </w:rPr>
              <w:t xml:space="preserve">Breakdown of CDC CIMs by duration </w:t>
            </w:r>
            <w:r>
              <w:rPr>
                <w:rFonts w:cs="Arial"/>
                <w:noProof/>
                <w:sz w:val="16"/>
                <w:szCs w:val="16"/>
              </w:rPr>
              <w:t>1 July 2023</w:t>
            </w:r>
            <w:r w:rsidRPr="00523A30">
              <w:rPr>
                <w:rFonts w:cs="Arial"/>
                <w:noProof/>
                <w:sz w:val="16"/>
                <w:szCs w:val="16"/>
              </w:rPr>
              <w:t xml:space="preserve"> – </w:t>
            </w:r>
            <w:r>
              <w:rPr>
                <w:rFonts w:cs="Arial"/>
                <w:noProof/>
                <w:sz w:val="16"/>
                <w:szCs w:val="16"/>
              </w:rPr>
              <w:t>30 September 2023</w:t>
            </w:r>
          </w:p>
        </w:tc>
        <w:tc>
          <w:tcPr>
            <w:tcW w:w="709" w:type="dxa"/>
            <w:tcBorders>
              <w:top w:val="nil"/>
              <w:bottom w:val="nil"/>
            </w:tcBorders>
          </w:tcPr>
          <w:p w14:paraId="0D75AF3E" w14:textId="77777777" w:rsidR="00CA2638" w:rsidRDefault="00CA2638" w:rsidP="0010294B">
            <w:pPr>
              <w:rPr>
                <w:rFonts w:cs="Arial"/>
                <w:b/>
                <w:bCs/>
                <w:noProof/>
                <w:sz w:val="16"/>
                <w:szCs w:val="16"/>
              </w:rPr>
            </w:pPr>
          </w:p>
        </w:tc>
        <w:tc>
          <w:tcPr>
            <w:tcW w:w="4098" w:type="dxa"/>
            <w:gridSpan w:val="2"/>
          </w:tcPr>
          <w:p w14:paraId="76D08562" w14:textId="77777777" w:rsidR="00CA2638" w:rsidRPr="00E33A8C" w:rsidRDefault="00CA2638" w:rsidP="0010294B">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16</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duration </w:t>
            </w:r>
            <w:r>
              <w:rPr>
                <w:rFonts w:cs="Arial"/>
                <w:noProof/>
                <w:sz w:val="16"/>
                <w:szCs w:val="16"/>
              </w:rPr>
              <w:t>1 July 2023</w:t>
            </w:r>
            <w:r w:rsidRPr="00523A30">
              <w:rPr>
                <w:rFonts w:cs="Arial"/>
                <w:noProof/>
                <w:sz w:val="16"/>
                <w:szCs w:val="16"/>
              </w:rPr>
              <w:t xml:space="preserve"> – </w:t>
            </w:r>
            <w:r>
              <w:rPr>
                <w:rFonts w:cs="Arial"/>
                <w:noProof/>
                <w:sz w:val="16"/>
                <w:szCs w:val="16"/>
              </w:rPr>
              <w:t>30 September 2023</w:t>
            </w:r>
          </w:p>
        </w:tc>
      </w:tr>
      <w:tr w:rsidR="00CA2638" w14:paraId="4BB3A23B" w14:textId="77777777" w:rsidTr="0010294B">
        <w:trPr>
          <w:trHeight w:val="278"/>
        </w:trPr>
        <w:tc>
          <w:tcPr>
            <w:tcW w:w="2972" w:type="dxa"/>
            <w:vAlign w:val="center"/>
          </w:tcPr>
          <w:p w14:paraId="050148E6" w14:textId="77777777" w:rsidR="00CA2638" w:rsidRPr="00CB1588" w:rsidRDefault="00CA2638" w:rsidP="0010294B">
            <w:pPr>
              <w:rPr>
                <w:rFonts w:cs="Arial"/>
                <w:b/>
                <w:bCs/>
                <w:noProof/>
              </w:rPr>
            </w:pPr>
            <w:r w:rsidRPr="00CB1588">
              <w:rPr>
                <w:rFonts w:cs="Arial"/>
                <w:b/>
                <w:bCs/>
                <w:noProof/>
              </w:rPr>
              <w:t>CIM Duration</w:t>
            </w:r>
          </w:p>
        </w:tc>
        <w:tc>
          <w:tcPr>
            <w:tcW w:w="1134" w:type="dxa"/>
            <w:vAlign w:val="center"/>
          </w:tcPr>
          <w:p w14:paraId="1D56610B" w14:textId="77777777" w:rsidR="00CA2638" w:rsidRPr="00CB1588" w:rsidRDefault="00CA2638" w:rsidP="0010294B">
            <w:pPr>
              <w:jc w:val="right"/>
              <w:rPr>
                <w:rFonts w:cs="Arial"/>
                <w:b/>
                <w:bCs/>
                <w:noProof/>
              </w:rPr>
            </w:pPr>
            <w:r>
              <w:rPr>
                <w:rFonts w:cs="Arial"/>
                <w:b/>
                <w:bCs/>
                <w:noProof/>
              </w:rPr>
              <w:t xml:space="preserve">% </w:t>
            </w:r>
            <w:r w:rsidRPr="00CB1588">
              <w:rPr>
                <w:rFonts w:cs="Arial"/>
                <w:b/>
                <w:bCs/>
                <w:noProof/>
              </w:rPr>
              <w:t>Split</w:t>
            </w:r>
          </w:p>
        </w:tc>
        <w:tc>
          <w:tcPr>
            <w:tcW w:w="709" w:type="dxa"/>
            <w:tcBorders>
              <w:top w:val="nil"/>
              <w:bottom w:val="nil"/>
            </w:tcBorders>
          </w:tcPr>
          <w:p w14:paraId="15D5B366" w14:textId="77777777" w:rsidR="00CA2638" w:rsidRDefault="00CA2638" w:rsidP="0010294B">
            <w:pPr>
              <w:rPr>
                <w:rFonts w:cs="Arial"/>
                <w:noProof/>
              </w:rPr>
            </w:pPr>
          </w:p>
        </w:tc>
        <w:tc>
          <w:tcPr>
            <w:tcW w:w="2977" w:type="dxa"/>
            <w:vAlign w:val="center"/>
          </w:tcPr>
          <w:p w14:paraId="424FFFB6" w14:textId="77777777" w:rsidR="00CA2638" w:rsidRPr="00CB1588" w:rsidRDefault="00CA2638" w:rsidP="0010294B">
            <w:pPr>
              <w:rPr>
                <w:rFonts w:cs="Arial"/>
                <w:b/>
                <w:bCs/>
                <w:noProof/>
              </w:rPr>
            </w:pPr>
            <w:r w:rsidRPr="00CB1588">
              <w:rPr>
                <w:rFonts w:cs="Arial"/>
                <w:b/>
                <w:bCs/>
                <w:noProof/>
              </w:rPr>
              <w:t>VIM Duration</w:t>
            </w:r>
          </w:p>
        </w:tc>
        <w:tc>
          <w:tcPr>
            <w:tcW w:w="1121" w:type="dxa"/>
            <w:vAlign w:val="center"/>
          </w:tcPr>
          <w:p w14:paraId="1211B0AD" w14:textId="77777777" w:rsidR="00CA2638" w:rsidRPr="001D1C01" w:rsidRDefault="00CA2638" w:rsidP="0010294B">
            <w:pPr>
              <w:jc w:val="right"/>
              <w:rPr>
                <w:rFonts w:cs="Arial"/>
                <w:noProof/>
              </w:rPr>
            </w:pPr>
            <w:r>
              <w:rPr>
                <w:rFonts w:cs="Arial"/>
                <w:b/>
                <w:bCs/>
                <w:noProof/>
              </w:rPr>
              <w:t xml:space="preserve">% </w:t>
            </w:r>
            <w:r w:rsidRPr="00CB1588">
              <w:rPr>
                <w:rFonts w:cs="Arial"/>
                <w:b/>
                <w:bCs/>
                <w:noProof/>
              </w:rPr>
              <w:t>Split</w:t>
            </w:r>
          </w:p>
        </w:tc>
      </w:tr>
      <w:tr w:rsidR="00CA2638" w14:paraId="7D1DF543" w14:textId="77777777" w:rsidTr="0010294B">
        <w:trPr>
          <w:trHeight w:val="278"/>
        </w:trPr>
        <w:tc>
          <w:tcPr>
            <w:tcW w:w="2972" w:type="dxa"/>
            <w:vAlign w:val="center"/>
          </w:tcPr>
          <w:p w14:paraId="456392EA" w14:textId="77777777" w:rsidR="00CA2638" w:rsidRPr="002819D6" w:rsidRDefault="00CA2638" w:rsidP="0010294B">
            <w:pPr>
              <w:rPr>
                <w:rFonts w:cs="Arial"/>
                <w:noProof/>
              </w:rPr>
            </w:pPr>
            <w:r w:rsidRPr="002819D6">
              <w:rPr>
                <w:rFonts w:cs="Arial"/>
                <w:noProof/>
              </w:rPr>
              <w:t>3 months</w:t>
            </w:r>
          </w:p>
        </w:tc>
        <w:tc>
          <w:tcPr>
            <w:tcW w:w="1134" w:type="dxa"/>
            <w:vAlign w:val="center"/>
          </w:tcPr>
          <w:p w14:paraId="180800EA" w14:textId="77777777" w:rsidR="00CA2638" w:rsidRPr="001D1C01" w:rsidRDefault="00CA2638" w:rsidP="0010294B">
            <w:pPr>
              <w:jc w:val="right"/>
              <w:rPr>
                <w:rFonts w:cs="Arial"/>
                <w:noProof/>
              </w:rPr>
            </w:pPr>
            <w:r>
              <w:rPr>
                <w:rFonts w:cs="Arial"/>
                <w:noProof/>
              </w:rPr>
              <w:t>0</w:t>
            </w:r>
            <w:r w:rsidRPr="001D1C01">
              <w:rPr>
                <w:rFonts w:cs="Arial"/>
                <w:noProof/>
              </w:rPr>
              <w:t>%</w:t>
            </w:r>
          </w:p>
        </w:tc>
        <w:tc>
          <w:tcPr>
            <w:tcW w:w="709" w:type="dxa"/>
            <w:tcBorders>
              <w:top w:val="nil"/>
              <w:bottom w:val="nil"/>
            </w:tcBorders>
          </w:tcPr>
          <w:p w14:paraId="0617C5B0" w14:textId="77777777" w:rsidR="00CA2638" w:rsidRDefault="00CA2638" w:rsidP="0010294B">
            <w:pPr>
              <w:rPr>
                <w:rFonts w:cs="Arial"/>
                <w:noProof/>
              </w:rPr>
            </w:pPr>
          </w:p>
        </w:tc>
        <w:tc>
          <w:tcPr>
            <w:tcW w:w="2977" w:type="dxa"/>
            <w:vAlign w:val="center"/>
          </w:tcPr>
          <w:p w14:paraId="590798A6" w14:textId="77777777" w:rsidR="00CA2638" w:rsidRPr="001D1C01" w:rsidRDefault="00CA2638" w:rsidP="0010294B">
            <w:pPr>
              <w:rPr>
                <w:rFonts w:cs="Arial"/>
                <w:noProof/>
              </w:rPr>
            </w:pPr>
            <w:r w:rsidRPr="001D1C01">
              <w:rPr>
                <w:rFonts w:cs="Arial"/>
                <w:noProof/>
              </w:rPr>
              <w:t>3 months</w:t>
            </w:r>
          </w:p>
        </w:tc>
        <w:tc>
          <w:tcPr>
            <w:tcW w:w="1121" w:type="dxa"/>
            <w:vAlign w:val="center"/>
          </w:tcPr>
          <w:p w14:paraId="1377FC7D" w14:textId="77777777" w:rsidR="00CA2638" w:rsidRPr="001D1C01" w:rsidRDefault="00CA2638" w:rsidP="0010294B">
            <w:pPr>
              <w:jc w:val="right"/>
              <w:rPr>
                <w:rFonts w:cs="Arial"/>
                <w:noProof/>
              </w:rPr>
            </w:pPr>
            <w:r>
              <w:rPr>
                <w:rFonts w:cs="Arial"/>
                <w:noProof/>
              </w:rPr>
              <w:t>28</w:t>
            </w:r>
            <w:r w:rsidRPr="001D1C01">
              <w:rPr>
                <w:rFonts w:cs="Arial"/>
                <w:noProof/>
              </w:rPr>
              <w:t>%</w:t>
            </w:r>
          </w:p>
        </w:tc>
      </w:tr>
      <w:tr w:rsidR="00CA2638" w14:paraId="0B6811CA" w14:textId="77777777" w:rsidTr="0010294B">
        <w:trPr>
          <w:trHeight w:val="278"/>
        </w:trPr>
        <w:tc>
          <w:tcPr>
            <w:tcW w:w="2972" w:type="dxa"/>
            <w:vAlign w:val="center"/>
          </w:tcPr>
          <w:p w14:paraId="015711D7" w14:textId="77777777" w:rsidR="00CA2638" w:rsidRPr="002819D6" w:rsidRDefault="00CA2638" w:rsidP="0010294B">
            <w:pPr>
              <w:rPr>
                <w:rFonts w:cs="Arial"/>
                <w:noProof/>
              </w:rPr>
            </w:pPr>
            <w:r w:rsidRPr="002819D6">
              <w:rPr>
                <w:rFonts w:cs="Arial"/>
                <w:noProof/>
              </w:rPr>
              <w:t>6 months</w:t>
            </w:r>
          </w:p>
        </w:tc>
        <w:tc>
          <w:tcPr>
            <w:tcW w:w="1134" w:type="dxa"/>
            <w:vAlign w:val="center"/>
          </w:tcPr>
          <w:p w14:paraId="04541A62" w14:textId="77777777" w:rsidR="00CA2638" w:rsidRPr="001D1C01" w:rsidRDefault="00CA2638" w:rsidP="0010294B">
            <w:pPr>
              <w:jc w:val="right"/>
              <w:rPr>
                <w:rFonts w:cs="Arial"/>
                <w:noProof/>
              </w:rPr>
            </w:pPr>
            <w:r>
              <w:rPr>
                <w:rFonts w:cs="Arial"/>
                <w:noProof/>
              </w:rPr>
              <w:t>100</w:t>
            </w:r>
            <w:r w:rsidRPr="001D1C01">
              <w:rPr>
                <w:rFonts w:cs="Arial"/>
                <w:noProof/>
              </w:rPr>
              <w:t>%</w:t>
            </w:r>
          </w:p>
        </w:tc>
        <w:tc>
          <w:tcPr>
            <w:tcW w:w="709" w:type="dxa"/>
            <w:tcBorders>
              <w:top w:val="nil"/>
              <w:bottom w:val="nil"/>
            </w:tcBorders>
          </w:tcPr>
          <w:p w14:paraId="2984DAB3" w14:textId="77777777" w:rsidR="00CA2638" w:rsidRDefault="00CA2638" w:rsidP="0010294B">
            <w:pPr>
              <w:rPr>
                <w:rFonts w:cs="Arial"/>
                <w:noProof/>
              </w:rPr>
            </w:pPr>
          </w:p>
        </w:tc>
        <w:tc>
          <w:tcPr>
            <w:tcW w:w="2977" w:type="dxa"/>
            <w:vAlign w:val="center"/>
          </w:tcPr>
          <w:p w14:paraId="68C6D3BC" w14:textId="77777777" w:rsidR="00CA2638" w:rsidRPr="001D1C01" w:rsidRDefault="00CA2638" w:rsidP="0010294B">
            <w:pPr>
              <w:rPr>
                <w:rFonts w:cs="Arial"/>
                <w:noProof/>
              </w:rPr>
            </w:pPr>
            <w:r w:rsidRPr="001D1C01">
              <w:rPr>
                <w:rFonts w:cs="Arial"/>
                <w:noProof/>
              </w:rPr>
              <w:t>6 months</w:t>
            </w:r>
          </w:p>
        </w:tc>
        <w:tc>
          <w:tcPr>
            <w:tcW w:w="1121" w:type="dxa"/>
            <w:vAlign w:val="center"/>
          </w:tcPr>
          <w:p w14:paraId="2EB5B185" w14:textId="77777777" w:rsidR="00CA2638" w:rsidRPr="001D1C01" w:rsidRDefault="00CA2638" w:rsidP="0010294B">
            <w:pPr>
              <w:jc w:val="right"/>
              <w:rPr>
                <w:rFonts w:cs="Arial"/>
                <w:noProof/>
              </w:rPr>
            </w:pPr>
            <w:r>
              <w:rPr>
                <w:rFonts w:cs="Arial"/>
                <w:noProof/>
              </w:rPr>
              <w:t>28</w:t>
            </w:r>
            <w:r w:rsidRPr="001D1C01">
              <w:rPr>
                <w:rFonts w:cs="Arial"/>
                <w:noProof/>
              </w:rPr>
              <w:t>%</w:t>
            </w:r>
          </w:p>
        </w:tc>
      </w:tr>
      <w:tr w:rsidR="00CA2638" w14:paraId="154FD234" w14:textId="77777777" w:rsidTr="0010294B">
        <w:trPr>
          <w:trHeight w:val="278"/>
        </w:trPr>
        <w:tc>
          <w:tcPr>
            <w:tcW w:w="2972" w:type="dxa"/>
            <w:vAlign w:val="center"/>
          </w:tcPr>
          <w:p w14:paraId="327F1706" w14:textId="77777777" w:rsidR="00CA2638" w:rsidRPr="002819D6" w:rsidRDefault="00CA2638" w:rsidP="0010294B">
            <w:pPr>
              <w:rPr>
                <w:rFonts w:cs="Arial"/>
                <w:noProof/>
              </w:rPr>
            </w:pPr>
            <w:r w:rsidRPr="002819D6">
              <w:rPr>
                <w:rFonts w:cs="Arial"/>
                <w:noProof/>
              </w:rPr>
              <w:t>9 months</w:t>
            </w:r>
          </w:p>
        </w:tc>
        <w:tc>
          <w:tcPr>
            <w:tcW w:w="1134" w:type="dxa"/>
            <w:vAlign w:val="center"/>
          </w:tcPr>
          <w:p w14:paraId="50A31433" w14:textId="77777777" w:rsidR="00CA2638" w:rsidRPr="001D1C01" w:rsidRDefault="00CA2638" w:rsidP="0010294B">
            <w:pPr>
              <w:jc w:val="right"/>
              <w:rPr>
                <w:rFonts w:cs="Arial"/>
                <w:noProof/>
              </w:rPr>
            </w:pPr>
            <w:r>
              <w:rPr>
                <w:rFonts w:cs="Arial"/>
                <w:noProof/>
              </w:rPr>
              <w:t>0</w:t>
            </w:r>
            <w:r w:rsidRPr="001D1C01">
              <w:rPr>
                <w:rFonts w:cs="Arial"/>
                <w:noProof/>
              </w:rPr>
              <w:t>%</w:t>
            </w:r>
          </w:p>
        </w:tc>
        <w:tc>
          <w:tcPr>
            <w:tcW w:w="709" w:type="dxa"/>
            <w:tcBorders>
              <w:top w:val="nil"/>
              <w:bottom w:val="nil"/>
            </w:tcBorders>
          </w:tcPr>
          <w:p w14:paraId="1B4ACC42" w14:textId="77777777" w:rsidR="00CA2638" w:rsidRDefault="00CA2638" w:rsidP="0010294B">
            <w:pPr>
              <w:rPr>
                <w:rFonts w:cs="Arial"/>
                <w:noProof/>
              </w:rPr>
            </w:pPr>
          </w:p>
        </w:tc>
        <w:tc>
          <w:tcPr>
            <w:tcW w:w="2977" w:type="dxa"/>
            <w:vAlign w:val="center"/>
          </w:tcPr>
          <w:p w14:paraId="1F8AD0C0" w14:textId="77777777" w:rsidR="00CA2638" w:rsidRPr="001D1C01" w:rsidRDefault="00CA2638" w:rsidP="0010294B">
            <w:pPr>
              <w:rPr>
                <w:rFonts w:cs="Arial"/>
                <w:noProof/>
              </w:rPr>
            </w:pPr>
            <w:r w:rsidRPr="001D1C01">
              <w:rPr>
                <w:rFonts w:cs="Arial"/>
                <w:noProof/>
              </w:rPr>
              <w:t>9 months</w:t>
            </w:r>
          </w:p>
        </w:tc>
        <w:tc>
          <w:tcPr>
            <w:tcW w:w="1121" w:type="dxa"/>
            <w:vAlign w:val="center"/>
          </w:tcPr>
          <w:p w14:paraId="2B77283F" w14:textId="77777777" w:rsidR="00CA2638" w:rsidRPr="001D1C01" w:rsidRDefault="00CA2638" w:rsidP="0010294B">
            <w:pPr>
              <w:jc w:val="right"/>
              <w:rPr>
                <w:rFonts w:cs="Arial"/>
                <w:noProof/>
              </w:rPr>
            </w:pPr>
            <w:r>
              <w:rPr>
                <w:rFonts w:cs="Arial"/>
                <w:noProof/>
              </w:rPr>
              <w:t>0</w:t>
            </w:r>
            <w:r w:rsidRPr="001D1C01">
              <w:rPr>
                <w:rFonts w:cs="Arial"/>
                <w:noProof/>
              </w:rPr>
              <w:t>%</w:t>
            </w:r>
          </w:p>
        </w:tc>
      </w:tr>
      <w:tr w:rsidR="00CA2638" w14:paraId="70E67B53" w14:textId="77777777" w:rsidTr="0010294B">
        <w:trPr>
          <w:trHeight w:val="278"/>
        </w:trPr>
        <w:tc>
          <w:tcPr>
            <w:tcW w:w="2972" w:type="dxa"/>
            <w:vAlign w:val="center"/>
          </w:tcPr>
          <w:p w14:paraId="323FDC26" w14:textId="77777777" w:rsidR="00CA2638" w:rsidRDefault="00CA2638" w:rsidP="0010294B">
            <w:pPr>
              <w:rPr>
                <w:rFonts w:cs="Arial"/>
                <w:noProof/>
              </w:rPr>
            </w:pPr>
            <w:r w:rsidRPr="002819D6">
              <w:rPr>
                <w:rFonts w:cs="Arial"/>
                <w:noProof/>
              </w:rPr>
              <w:t>12 months</w:t>
            </w:r>
          </w:p>
        </w:tc>
        <w:tc>
          <w:tcPr>
            <w:tcW w:w="1134" w:type="dxa"/>
            <w:vAlign w:val="center"/>
          </w:tcPr>
          <w:p w14:paraId="56ED6DAD" w14:textId="77777777" w:rsidR="00CA2638" w:rsidRPr="001D1C01" w:rsidRDefault="00CA2638" w:rsidP="0010294B">
            <w:pPr>
              <w:jc w:val="right"/>
              <w:rPr>
                <w:rFonts w:cs="Arial"/>
                <w:noProof/>
              </w:rPr>
            </w:pPr>
            <w:r>
              <w:rPr>
                <w:rFonts w:cs="Arial"/>
                <w:noProof/>
              </w:rPr>
              <w:t>0</w:t>
            </w:r>
            <w:r w:rsidRPr="001D1C01">
              <w:rPr>
                <w:rFonts w:cs="Arial"/>
                <w:noProof/>
              </w:rPr>
              <w:t>%</w:t>
            </w:r>
          </w:p>
        </w:tc>
        <w:tc>
          <w:tcPr>
            <w:tcW w:w="709" w:type="dxa"/>
            <w:tcBorders>
              <w:top w:val="nil"/>
              <w:bottom w:val="nil"/>
            </w:tcBorders>
          </w:tcPr>
          <w:p w14:paraId="6D9577D0" w14:textId="77777777" w:rsidR="00CA2638" w:rsidRDefault="00CA2638" w:rsidP="0010294B">
            <w:pPr>
              <w:rPr>
                <w:rFonts w:cs="Arial"/>
                <w:noProof/>
              </w:rPr>
            </w:pPr>
          </w:p>
        </w:tc>
        <w:tc>
          <w:tcPr>
            <w:tcW w:w="2977" w:type="dxa"/>
            <w:vAlign w:val="center"/>
          </w:tcPr>
          <w:p w14:paraId="1A224AF8" w14:textId="77777777" w:rsidR="00CA2638" w:rsidRDefault="00CA2638" w:rsidP="0010294B">
            <w:pPr>
              <w:rPr>
                <w:rFonts w:cs="Arial"/>
                <w:noProof/>
              </w:rPr>
            </w:pPr>
            <w:r w:rsidRPr="001D1C01">
              <w:rPr>
                <w:rFonts w:cs="Arial"/>
                <w:noProof/>
              </w:rPr>
              <w:t>12 months</w:t>
            </w:r>
          </w:p>
        </w:tc>
        <w:tc>
          <w:tcPr>
            <w:tcW w:w="1121" w:type="dxa"/>
            <w:vAlign w:val="center"/>
          </w:tcPr>
          <w:p w14:paraId="30A2CEDB" w14:textId="77777777" w:rsidR="00CA2638" w:rsidRDefault="00CA2638" w:rsidP="0010294B">
            <w:pPr>
              <w:jc w:val="right"/>
              <w:rPr>
                <w:rFonts w:cs="Arial"/>
                <w:noProof/>
              </w:rPr>
            </w:pPr>
            <w:r>
              <w:rPr>
                <w:rFonts w:cs="Arial"/>
                <w:noProof/>
              </w:rPr>
              <w:t>44</w:t>
            </w:r>
            <w:r w:rsidRPr="001D1C01">
              <w:rPr>
                <w:rFonts w:cs="Arial"/>
                <w:noProof/>
              </w:rPr>
              <w:t>%</w:t>
            </w:r>
          </w:p>
        </w:tc>
      </w:tr>
      <w:tr w:rsidR="00CA2638" w14:paraId="12869611" w14:textId="77777777" w:rsidTr="0010294B">
        <w:trPr>
          <w:trHeight w:val="278"/>
        </w:trPr>
        <w:tc>
          <w:tcPr>
            <w:tcW w:w="2972" w:type="dxa"/>
            <w:vAlign w:val="center"/>
          </w:tcPr>
          <w:p w14:paraId="55162233" w14:textId="77777777" w:rsidR="00CA2638" w:rsidRPr="00065259" w:rsidRDefault="00CA2638" w:rsidP="0010294B">
            <w:pPr>
              <w:rPr>
                <w:rFonts w:cs="Arial"/>
                <w:b/>
                <w:bCs/>
                <w:noProof/>
              </w:rPr>
            </w:pPr>
            <w:r w:rsidRPr="00065259">
              <w:rPr>
                <w:rFonts w:cs="Arial"/>
                <w:b/>
                <w:bCs/>
                <w:noProof/>
              </w:rPr>
              <w:t>Total</w:t>
            </w:r>
          </w:p>
        </w:tc>
        <w:tc>
          <w:tcPr>
            <w:tcW w:w="1134" w:type="dxa"/>
            <w:vAlign w:val="center"/>
          </w:tcPr>
          <w:p w14:paraId="4D2AF2E4" w14:textId="77777777" w:rsidR="00CA2638" w:rsidRPr="00065259" w:rsidRDefault="00CA2638" w:rsidP="0010294B">
            <w:pPr>
              <w:jc w:val="right"/>
              <w:rPr>
                <w:rFonts w:cs="Arial"/>
                <w:b/>
                <w:bCs/>
                <w:noProof/>
              </w:rPr>
            </w:pPr>
            <w:r w:rsidRPr="00065259">
              <w:rPr>
                <w:rFonts w:cs="Arial"/>
                <w:b/>
                <w:bCs/>
                <w:noProof/>
              </w:rPr>
              <w:t>100%</w:t>
            </w:r>
          </w:p>
        </w:tc>
        <w:tc>
          <w:tcPr>
            <w:tcW w:w="709" w:type="dxa"/>
            <w:tcBorders>
              <w:top w:val="nil"/>
              <w:bottom w:val="nil"/>
            </w:tcBorders>
          </w:tcPr>
          <w:p w14:paraId="03B4F20B" w14:textId="77777777" w:rsidR="00CA2638" w:rsidRDefault="00CA2638" w:rsidP="0010294B">
            <w:pPr>
              <w:rPr>
                <w:rFonts w:cs="Arial"/>
                <w:noProof/>
              </w:rPr>
            </w:pPr>
          </w:p>
        </w:tc>
        <w:tc>
          <w:tcPr>
            <w:tcW w:w="2977" w:type="dxa"/>
            <w:vAlign w:val="center"/>
          </w:tcPr>
          <w:p w14:paraId="4FB641F9" w14:textId="77777777" w:rsidR="00CA2638" w:rsidRPr="00065259" w:rsidRDefault="00CA2638" w:rsidP="0010294B">
            <w:pPr>
              <w:rPr>
                <w:rFonts w:cs="Arial"/>
                <w:b/>
                <w:bCs/>
                <w:noProof/>
              </w:rPr>
            </w:pPr>
            <w:r w:rsidRPr="00065259">
              <w:rPr>
                <w:rFonts w:cs="Arial"/>
                <w:b/>
                <w:bCs/>
                <w:noProof/>
              </w:rPr>
              <w:t>Total</w:t>
            </w:r>
          </w:p>
        </w:tc>
        <w:tc>
          <w:tcPr>
            <w:tcW w:w="1121" w:type="dxa"/>
            <w:vAlign w:val="center"/>
          </w:tcPr>
          <w:p w14:paraId="1E0DCD38" w14:textId="77777777" w:rsidR="00CA2638" w:rsidRPr="00065259" w:rsidRDefault="00CA2638" w:rsidP="0010294B">
            <w:pPr>
              <w:jc w:val="right"/>
              <w:rPr>
                <w:rFonts w:cs="Arial"/>
                <w:b/>
                <w:bCs/>
                <w:noProof/>
              </w:rPr>
            </w:pPr>
            <w:r w:rsidRPr="00065259">
              <w:rPr>
                <w:rFonts w:cs="Arial"/>
                <w:b/>
                <w:bCs/>
                <w:noProof/>
              </w:rPr>
              <w:t>100%</w:t>
            </w:r>
          </w:p>
        </w:tc>
      </w:tr>
    </w:tbl>
    <w:p w14:paraId="5037D0E8" w14:textId="77777777" w:rsidR="00CA2638" w:rsidRDefault="00CA2638" w:rsidP="00CA2638">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CA2638" w14:paraId="6FE60DE5" w14:textId="77777777" w:rsidTr="0010294B">
        <w:trPr>
          <w:trHeight w:val="596"/>
        </w:trPr>
        <w:tc>
          <w:tcPr>
            <w:tcW w:w="10060" w:type="dxa"/>
            <w:shd w:val="clear" w:color="auto" w:fill="D9D9D9" w:themeFill="background1" w:themeFillShade="D9"/>
          </w:tcPr>
          <w:p w14:paraId="0856401B" w14:textId="77777777" w:rsidR="00CA2638" w:rsidRPr="00F22E2D" w:rsidRDefault="00CA2638" w:rsidP="0010294B">
            <w:pPr>
              <w:spacing w:line="240" w:lineRule="auto"/>
              <w:jc w:val="both"/>
              <w:rPr>
                <w:rFonts w:cs="Arial"/>
                <w:noProof/>
              </w:rPr>
            </w:pPr>
            <w:r w:rsidRPr="00AC0CBD">
              <w:rPr>
                <w:rFonts w:cs="Arial"/>
                <w:noProof/>
              </w:rPr>
              <w:t xml:space="preserve">Although initially (March 2021) 66% of VIM applications entered into were for a 3-month duration, the VIM chart above </w:t>
            </w:r>
            <w:r>
              <w:rPr>
                <w:rFonts w:cs="Arial"/>
                <w:noProof/>
              </w:rPr>
              <w:t xml:space="preserve">for quarter 61 </w:t>
            </w:r>
            <w:r w:rsidRPr="00AC0CBD">
              <w:rPr>
                <w:rFonts w:cs="Arial"/>
                <w:noProof/>
              </w:rPr>
              <w:t xml:space="preserve">shows that </w:t>
            </w:r>
            <w:r>
              <w:rPr>
                <w:rFonts w:cs="Arial"/>
                <w:noProof/>
              </w:rPr>
              <w:t xml:space="preserve">28% were entered into for both a 3-month duration and </w:t>
            </w:r>
            <w:r w:rsidRPr="00AC0CBD">
              <w:rPr>
                <w:rFonts w:cs="Arial"/>
                <w:noProof/>
              </w:rPr>
              <w:t>a 6-month duration</w:t>
            </w:r>
            <w:r>
              <w:rPr>
                <w:rFonts w:cs="Arial"/>
                <w:noProof/>
              </w:rPr>
              <w:t xml:space="preserve"> with 44</w:t>
            </w:r>
            <w:r w:rsidRPr="00AC0CBD">
              <w:rPr>
                <w:rFonts w:cs="Arial"/>
                <w:noProof/>
              </w:rPr>
              <w:t xml:space="preserve">% </w:t>
            </w:r>
            <w:r>
              <w:rPr>
                <w:rFonts w:cs="Arial"/>
                <w:noProof/>
              </w:rPr>
              <w:t xml:space="preserve">were </w:t>
            </w:r>
            <w:r w:rsidRPr="00AC0CBD">
              <w:rPr>
                <w:rFonts w:cs="Arial"/>
                <w:noProof/>
              </w:rPr>
              <w:t>entered into for a 12-month duration.</w:t>
            </w:r>
          </w:p>
        </w:tc>
      </w:tr>
    </w:tbl>
    <w:p w14:paraId="75C2220C" w14:textId="77777777" w:rsidR="00CA2638" w:rsidRDefault="00CA2638" w:rsidP="0070366B">
      <w:pPr>
        <w:ind w:left="-142" w:right="-425"/>
        <w:jc w:val="both"/>
        <w:rPr>
          <w:rFonts w:cs="Arial"/>
        </w:rPr>
      </w:pPr>
    </w:p>
    <w:tbl>
      <w:tblPr>
        <w:tblStyle w:val="TableGrid"/>
        <w:tblW w:w="8913" w:type="dxa"/>
        <w:tblLook w:val="04A0" w:firstRow="1" w:lastRow="0" w:firstColumn="1" w:lastColumn="0" w:noHBand="0" w:noVBand="1"/>
      </w:tblPr>
      <w:tblGrid>
        <w:gridCol w:w="2972"/>
        <w:gridCol w:w="1134"/>
        <w:gridCol w:w="709"/>
        <w:gridCol w:w="2977"/>
        <w:gridCol w:w="1121"/>
      </w:tblGrid>
      <w:tr w:rsidR="00CA2638" w14:paraId="12922E8C" w14:textId="77777777" w:rsidTr="0010294B">
        <w:trPr>
          <w:trHeight w:val="278"/>
        </w:trPr>
        <w:tc>
          <w:tcPr>
            <w:tcW w:w="4106" w:type="dxa"/>
            <w:gridSpan w:val="2"/>
          </w:tcPr>
          <w:p w14:paraId="62FC8AF1" w14:textId="77777777" w:rsidR="00CA2638" w:rsidRPr="00523A30" w:rsidRDefault="00CA2638" w:rsidP="0010294B">
            <w:pPr>
              <w:rPr>
                <w:rFonts w:cs="Arial"/>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17</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percentage</w:t>
            </w:r>
            <w:r w:rsidRPr="00523A30">
              <w:rPr>
                <w:rFonts w:cs="Arial"/>
                <w:noProof/>
                <w:sz w:val="16"/>
                <w:szCs w:val="16"/>
              </w:rPr>
              <w:t xml:space="preserve"> </w:t>
            </w:r>
            <w:r>
              <w:rPr>
                <w:rFonts w:cs="Arial"/>
                <w:noProof/>
                <w:sz w:val="16"/>
                <w:szCs w:val="16"/>
              </w:rPr>
              <w:t>1 July 2023</w:t>
            </w:r>
            <w:r w:rsidRPr="00523A30">
              <w:rPr>
                <w:rFonts w:cs="Arial"/>
                <w:noProof/>
                <w:sz w:val="16"/>
                <w:szCs w:val="16"/>
              </w:rPr>
              <w:t xml:space="preserve"> – </w:t>
            </w:r>
            <w:r>
              <w:rPr>
                <w:rFonts w:cs="Arial"/>
                <w:noProof/>
                <w:sz w:val="16"/>
                <w:szCs w:val="16"/>
              </w:rPr>
              <w:t>30 September 2023</w:t>
            </w:r>
          </w:p>
        </w:tc>
        <w:tc>
          <w:tcPr>
            <w:tcW w:w="709" w:type="dxa"/>
            <w:tcBorders>
              <w:top w:val="nil"/>
              <w:bottom w:val="nil"/>
            </w:tcBorders>
          </w:tcPr>
          <w:p w14:paraId="0D6B3771" w14:textId="77777777" w:rsidR="00CA2638" w:rsidRDefault="00CA2638" w:rsidP="0010294B">
            <w:pPr>
              <w:rPr>
                <w:rFonts w:cs="Arial"/>
                <w:b/>
                <w:bCs/>
                <w:noProof/>
                <w:sz w:val="16"/>
                <w:szCs w:val="16"/>
              </w:rPr>
            </w:pPr>
          </w:p>
        </w:tc>
        <w:tc>
          <w:tcPr>
            <w:tcW w:w="4098" w:type="dxa"/>
            <w:gridSpan w:val="2"/>
          </w:tcPr>
          <w:p w14:paraId="653A8F23" w14:textId="77777777" w:rsidR="00CA2638" w:rsidRPr="00E33A8C" w:rsidRDefault="00CA2638" w:rsidP="0010294B">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18</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percentage</w:t>
            </w:r>
            <w:r w:rsidRPr="00523A30">
              <w:rPr>
                <w:rFonts w:cs="Arial"/>
                <w:noProof/>
                <w:sz w:val="16"/>
                <w:szCs w:val="16"/>
              </w:rPr>
              <w:t xml:space="preserve"> </w:t>
            </w:r>
            <w:r>
              <w:rPr>
                <w:rFonts w:cs="Arial"/>
                <w:noProof/>
                <w:sz w:val="16"/>
                <w:szCs w:val="16"/>
              </w:rPr>
              <w:t>1 July 2023</w:t>
            </w:r>
            <w:r w:rsidRPr="00523A30">
              <w:rPr>
                <w:rFonts w:cs="Arial"/>
                <w:noProof/>
                <w:sz w:val="16"/>
                <w:szCs w:val="16"/>
              </w:rPr>
              <w:t xml:space="preserve"> – </w:t>
            </w:r>
            <w:r>
              <w:rPr>
                <w:rFonts w:cs="Arial"/>
                <w:noProof/>
                <w:sz w:val="16"/>
                <w:szCs w:val="16"/>
              </w:rPr>
              <w:t>30 September 2023</w:t>
            </w:r>
          </w:p>
        </w:tc>
      </w:tr>
      <w:tr w:rsidR="00CA2638" w14:paraId="551FD0FC" w14:textId="77777777" w:rsidTr="0010294B">
        <w:trPr>
          <w:trHeight w:val="278"/>
        </w:trPr>
        <w:tc>
          <w:tcPr>
            <w:tcW w:w="2972" w:type="dxa"/>
            <w:vAlign w:val="center"/>
          </w:tcPr>
          <w:p w14:paraId="0D107BDE" w14:textId="77777777" w:rsidR="00CA2638" w:rsidRPr="00CB1588" w:rsidRDefault="00CA2638" w:rsidP="0010294B">
            <w:pPr>
              <w:rPr>
                <w:rFonts w:cs="Arial"/>
                <w:b/>
                <w:bCs/>
                <w:noProof/>
              </w:rPr>
            </w:pPr>
            <w:r w:rsidRPr="00CB1588">
              <w:rPr>
                <w:rFonts w:cs="Arial"/>
                <w:b/>
                <w:bCs/>
                <w:noProof/>
              </w:rPr>
              <w:t>CIM Percentage</w:t>
            </w:r>
          </w:p>
        </w:tc>
        <w:tc>
          <w:tcPr>
            <w:tcW w:w="1134" w:type="dxa"/>
            <w:vAlign w:val="center"/>
          </w:tcPr>
          <w:p w14:paraId="4C6CA04E" w14:textId="77777777" w:rsidR="00CA2638" w:rsidRPr="001D1C01" w:rsidRDefault="00CA2638" w:rsidP="0010294B">
            <w:pPr>
              <w:jc w:val="right"/>
              <w:rPr>
                <w:rFonts w:cs="Arial"/>
                <w:noProof/>
              </w:rPr>
            </w:pPr>
            <w:r>
              <w:rPr>
                <w:rFonts w:cs="Arial"/>
                <w:b/>
                <w:bCs/>
                <w:noProof/>
              </w:rPr>
              <w:t xml:space="preserve">% </w:t>
            </w:r>
            <w:r w:rsidRPr="00CB1588">
              <w:rPr>
                <w:rFonts w:cs="Arial"/>
                <w:b/>
                <w:bCs/>
                <w:noProof/>
              </w:rPr>
              <w:t>Split</w:t>
            </w:r>
          </w:p>
        </w:tc>
        <w:tc>
          <w:tcPr>
            <w:tcW w:w="709" w:type="dxa"/>
            <w:tcBorders>
              <w:top w:val="nil"/>
              <w:bottom w:val="nil"/>
            </w:tcBorders>
          </w:tcPr>
          <w:p w14:paraId="7E4EB410" w14:textId="77777777" w:rsidR="00CA2638" w:rsidRDefault="00CA2638" w:rsidP="0010294B">
            <w:pPr>
              <w:rPr>
                <w:rFonts w:cs="Arial"/>
                <w:noProof/>
              </w:rPr>
            </w:pPr>
          </w:p>
        </w:tc>
        <w:tc>
          <w:tcPr>
            <w:tcW w:w="2977" w:type="dxa"/>
            <w:vAlign w:val="center"/>
          </w:tcPr>
          <w:p w14:paraId="2C5EC0F3" w14:textId="77777777" w:rsidR="00CA2638" w:rsidRPr="00CB1588" w:rsidRDefault="00CA2638" w:rsidP="0010294B">
            <w:pPr>
              <w:rPr>
                <w:rFonts w:cs="Arial"/>
                <w:b/>
                <w:bCs/>
                <w:noProof/>
              </w:rPr>
            </w:pPr>
            <w:r w:rsidRPr="00CB1588">
              <w:rPr>
                <w:rFonts w:cs="Arial"/>
                <w:b/>
                <w:bCs/>
                <w:noProof/>
              </w:rPr>
              <w:t>VIM Percentage</w:t>
            </w:r>
          </w:p>
        </w:tc>
        <w:tc>
          <w:tcPr>
            <w:tcW w:w="1121" w:type="dxa"/>
            <w:vAlign w:val="center"/>
          </w:tcPr>
          <w:p w14:paraId="4A1CFCEC" w14:textId="77777777" w:rsidR="00CA2638" w:rsidRPr="001D1C01" w:rsidRDefault="00CA2638" w:rsidP="0010294B">
            <w:pPr>
              <w:jc w:val="right"/>
              <w:rPr>
                <w:rFonts w:cs="Arial"/>
                <w:noProof/>
              </w:rPr>
            </w:pPr>
            <w:r>
              <w:rPr>
                <w:rFonts w:cs="Arial"/>
                <w:b/>
                <w:bCs/>
                <w:noProof/>
              </w:rPr>
              <w:t xml:space="preserve">% </w:t>
            </w:r>
            <w:r w:rsidRPr="00CB1588">
              <w:rPr>
                <w:rFonts w:cs="Arial"/>
                <w:b/>
                <w:bCs/>
                <w:noProof/>
              </w:rPr>
              <w:t>Split</w:t>
            </w:r>
          </w:p>
        </w:tc>
      </w:tr>
      <w:tr w:rsidR="00CA2638" w14:paraId="19B5ED40" w14:textId="77777777" w:rsidTr="0010294B">
        <w:trPr>
          <w:trHeight w:val="278"/>
        </w:trPr>
        <w:tc>
          <w:tcPr>
            <w:tcW w:w="2972" w:type="dxa"/>
            <w:vAlign w:val="center"/>
          </w:tcPr>
          <w:p w14:paraId="40A138ED" w14:textId="77777777" w:rsidR="00CA2638" w:rsidRDefault="00CA2638" w:rsidP="0010294B">
            <w:pPr>
              <w:rPr>
                <w:rFonts w:cs="Arial"/>
                <w:noProof/>
              </w:rPr>
            </w:pPr>
            <w:r>
              <w:rPr>
                <w:rFonts w:cs="Arial"/>
                <w:noProof/>
              </w:rPr>
              <w:t>60 percent</w:t>
            </w:r>
          </w:p>
        </w:tc>
        <w:tc>
          <w:tcPr>
            <w:tcW w:w="1134" w:type="dxa"/>
            <w:vAlign w:val="center"/>
          </w:tcPr>
          <w:p w14:paraId="0411ACB9" w14:textId="77777777" w:rsidR="00CA2638" w:rsidRDefault="00CA2638" w:rsidP="0010294B">
            <w:pPr>
              <w:jc w:val="right"/>
              <w:rPr>
                <w:rFonts w:cs="Arial"/>
                <w:noProof/>
              </w:rPr>
            </w:pPr>
            <w:r>
              <w:rPr>
                <w:rFonts w:cs="Arial"/>
                <w:noProof/>
              </w:rPr>
              <w:t>38</w:t>
            </w:r>
            <w:r w:rsidRPr="001D1C01">
              <w:rPr>
                <w:rFonts w:cs="Arial"/>
                <w:noProof/>
              </w:rPr>
              <w:t>%</w:t>
            </w:r>
          </w:p>
        </w:tc>
        <w:tc>
          <w:tcPr>
            <w:tcW w:w="709" w:type="dxa"/>
            <w:tcBorders>
              <w:top w:val="nil"/>
              <w:bottom w:val="nil"/>
            </w:tcBorders>
          </w:tcPr>
          <w:p w14:paraId="351BF9C4" w14:textId="77777777" w:rsidR="00CA2638" w:rsidRDefault="00CA2638" w:rsidP="0010294B">
            <w:pPr>
              <w:rPr>
                <w:rFonts w:cs="Arial"/>
                <w:noProof/>
              </w:rPr>
            </w:pPr>
          </w:p>
        </w:tc>
        <w:tc>
          <w:tcPr>
            <w:tcW w:w="2977" w:type="dxa"/>
            <w:vAlign w:val="center"/>
          </w:tcPr>
          <w:p w14:paraId="0D49B5C3" w14:textId="77777777" w:rsidR="00CA2638" w:rsidRDefault="00CA2638" w:rsidP="0010294B">
            <w:pPr>
              <w:rPr>
                <w:rFonts w:cs="Arial"/>
                <w:noProof/>
              </w:rPr>
            </w:pPr>
            <w:r>
              <w:rPr>
                <w:rFonts w:cs="Arial"/>
                <w:noProof/>
              </w:rPr>
              <w:t>60 percent</w:t>
            </w:r>
          </w:p>
        </w:tc>
        <w:tc>
          <w:tcPr>
            <w:tcW w:w="1121" w:type="dxa"/>
            <w:vAlign w:val="center"/>
          </w:tcPr>
          <w:p w14:paraId="5FCEC059" w14:textId="77777777" w:rsidR="00CA2638" w:rsidRDefault="00CA2638" w:rsidP="0010294B">
            <w:pPr>
              <w:jc w:val="right"/>
              <w:rPr>
                <w:rFonts w:cs="Arial"/>
                <w:noProof/>
              </w:rPr>
            </w:pPr>
            <w:r>
              <w:rPr>
                <w:rFonts w:cs="Arial"/>
                <w:noProof/>
              </w:rPr>
              <w:t>81</w:t>
            </w:r>
            <w:r w:rsidRPr="001D1C01">
              <w:rPr>
                <w:rFonts w:cs="Arial"/>
                <w:noProof/>
              </w:rPr>
              <w:t>%</w:t>
            </w:r>
          </w:p>
        </w:tc>
      </w:tr>
      <w:tr w:rsidR="00CA2638" w14:paraId="1F0C56AB" w14:textId="77777777" w:rsidTr="0010294B">
        <w:trPr>
          <w:trHeight w:val="278"/>
        </w:trPr>
        <w:tc>
          <w:tcPr>
            <w:tcW w:w="2972" w:type="dxa"/>
            <w:vAlign w:val="center"/>
          </w:tcPr>
          <w:p w14:paraId="735B7EB2" w14:textId="77777777" w:rsidR="00CA2638" w:rsidRPr="002819D6" w:rsidRDefault="00CA2638" w:rsidP="0010294B">
            <w:pPr>
              <w:rPr>
                <w:rFonts w:cs="Arial"/>
                <w:noProof/>
              </w:rPr>
            </w:pPr>
            <w:r>
              <w:rPr>
                <w:rFonts w:cs="Arial"/>
                <w:noProof/>
              </w:rPr>
              <w:t>75 percent</w:t>
            </w:r>
          </w:p>
        </w:tc>
        <w:tc>
          <w:tcPr>
            <w:tcW w:w="1134" w:type="dxa"/>
            <w:vAlign w:val="center"/>
          </w:tcPr>
          <w:p w14:paraId="181879B0" w14:textId="77777777" w:rsidR="00CA2638" w:rsidRPr="001D1C01" w:rsidRDefault="00CA2638" w:rsidP="0010294B">
            <w:pPr>
              <w:jc w:val="right"/>
              <w:rPr>
                <w:rFonts w:cs="Arial"/>
                <w:noProof/>
              </w:rPr>
            </w:pPr>
            <w:r>
              <w:rPr>
                <w:rFonts w:cs="Arial"/>
                <w:noProof/>
              </w:rPr>
              <w:t>54</w:t>
            </w:r>
            <w:r w:rsidRPr="001D1C01">
              <w:rPr>
                <w:rFonts w:cs="Arial"/>
                <w:noProof/>
              </w:rPr>
              <w:t>%</w:t>
            </w:r>
          </w:p>
        </w:tc>
        <w:tc>
          <w:tcPr>
            <w:tcW w:w="709" w:type="dxa"/>
            <w:tcBorders>
              <w:top w:val="nil"/>
              <w:bottom w:val="nil"/>
            </w:tcBorders>
          </w:tcPr>
          <w:p w14:paraId="7E0114B3" w14:textId="77777777" w:rsidR="00CA2638" w:rsidRDefault="00CA2638" w:rsidP="0010294B">
            <w:pPr>
              <w:rPr>
                <w:rFonts w:cs="Arial"/>
                <w:noProof/>
              </w:rPr>
            </w:pPr>
          </w:p>
        </w:tc>
        <w:tc>
          <w:tcPr>
            <w:tcW w:w="2977" w:type="dxa"/>
            <w:vAlign w:val="center"/>
          </w:tcPr>
          <w:p w14:paraId="0A8406F9" w14:textId="77777777" w:rsidR="00CA2638" w:rsidRPr="001D1C01" w:rsidRDefault="00CA2638" w:rsidP="0010294B">
            <w:pPr>
              <w:rPr>
                <w:rFonts w:cs="Arial"/>
                <w:noProof/>
              </w:rPr>
            </w:pPr>
            <w:r>
              <w:rPr>
                <w:rFonts w:cs="Arial"/>
                <w:noProof/>
              </w:rPr>
              <w:t>75 percent</w:t>
            </w:r>
          </w:p>
        </w:tc>
        <w:tc>
          <w:tcPr>
            <w:tcW w:w="1121" w:type="dxa"/>
            <w:vAlign w:val="center"/>
          </w:tcPr>
          <w:p w14:paraId="060C4053" w14:textId="77777777" w:rsidR="00CA2638" w:rsidRPr="001D1C01" w:rsidRDefault="00CA2638" w:rsidP="0010294B">
            <w:pPr>
              <w:jc w:val="right"/>
              <w:rPr>
                <w:rFonts w:cs="Arial"/>
                <w:noProof/>
              </w:rPr>
            </w:pPr>
            <w:r>
              <w:rPr>
                <w:rFonts w:cs="Arial"/>
                <w:noProof/>
              </w:rPr>
              <w:t>13</w:t>
            </w:r>
            <w:r w:rsidRPr="001D1C01">
              <w:rPr>
                <w:rFonts w:cs="Arial"/>
                <w:noProof/>
              </w:rPr>
              <w:t>%</w:t>
            </w:r>
          </w:p>
        </w:tc>
      </w:tr>
      <w:tr w:rsidR="00CA2638" w14:paraId="269AB840" w14:textId="77777777" w:rsidTr="0010294B">
        <w:trPr>
          <w:trHeight w:val="278"/>
        </w:trPr>
        <w:tc>
          <w:tcPr>
            <w:tcW w:w="2972" w:type="dxa"/>
            <w:vAlign w:val="center"/>
          </w:tcPr>
          <w:p w14:paraId="37659F89" w14:textId="77777777" w:rsidR="00CA2638" w:rsidRPr="002819D6" w:rsidRDefault="00CA2638" w:rsidP="0010294B">
            <w:pPr>
              <w:rPr>
                <w:rFonts w:cs="Arial"/>
                <w:noProof/>
              </w:rPr>
            </w:pPr>
            <w:r>
              <w:rPr>
                <w:rFonts w:cs="Arial"/>
                <w:noProof/>
              </w:rPr>
              <w:t>90 percent</w:t>
            </w:r>
          </w:p>
        </w:tc>
        <w:tc>
          <w:tcPr>
            <w:tcW w:w="1134" w:type="dxa"/>
            <w:vAlign w:val="center"/>
          </w:tcPr>
          <w:p w14:paraId="50A61433" w14:textId="77777777" w:rsidR="00CA2638" w:rsidRPr="001D1C01" w:rsidRDefault="00CA2638" w:rsidP="0010294B">
            <w:pPr>
              <w:jc w:val="right"/>
              <w:rPr>
                <w:rFonts w:cs="Arial"/>
                <w:noProof/>
              </w:rPr>
            </w:pPr>
            <w:r>
              <w:rPr>
                <w:rFonts w:cs="Arial"/>
                <w:noProof/>
              </w:rPr>
              <w:t>8</w:t>
            </w:r>
            <w:r w:rsidRPr="001D1C01">
              <w:rPr>
                <w:rFonts w:cs="Arial"/>
                <w:noProof/>
              </w:rPr>
              <w:t>%</w:t>
            </w:r>
          </w:p>
        </w:tc>
        <w:tc>
          <w:tcPr>
            <w:tcW w:w="709" w:type="dxa"/>
            <w:tcBorders>
              <w:top w:val="nil"/>
              <w:bottom w:val="nil"/>
            </w:tcBorders>
          </w:tcPr>
          <w:p w14:paraId="0E61C2AB" w14:textId="77777777" w:rsidR="00CA2638" w:rsidRDefault="00CA2638" w:rsidP="0010294B">
            <w:pPr>
              <w:rPr>
                <w:rFonts w:cs="Arial"/>
                <w:noProof/>
              </w:rPr>
            </w:pPr>
          </w:p>
        </w:tc>
        <w:tc>
          <w:tcPr>
            <w:tcW w:w="2977" w:type="dxa"/>
            <w:vAlign w:val="center"/>
          </w:tcPr>
          <w:p w14:paraId="5775E14D" w14:textId="77777777" w:rsidR="00CA2638" w:rsidRPr="001D1C01" w:rsidRDefault="00CA2638" w:rsidP="0010294B">
            <w:pPr>
              <w:rPr>
                <w:rFonts w:cs="Arial"/>
                <w:noProof/>
              </w:rPr>
            </w:pPr>
            <w:r>
              <w:rPr>
                <w:rFonts w:cs="Arial"/>
                <w:noProof/>
              </w:rPr>
              <w:t>90 percent</w:t>
            </w:r>
          </w:p>
        </w:tc>
        <w:tc>
          <w:tcPr>
            <w:tcW w:w="1121" w:type="dxa"/>
            <w:vAlign w:val="center"/>
          </w:tcPr>
          <w:p w14:paraId="6051363D" w14:textId="77777777" w:rsidR="00CA2638" w:rsidRPr="001D1C01" w:rsidRDefault="00CA2638" w:rsidP="0010294B">
            <w:pPr>
              <w:jc w:val="right"/>
              <w:rPr>
                <w:rFonts w:cs="Arial"/>
                <w:noProof/>
              </w:rPr>
            </w:pPr>
            <w:r>
              <w:rPr>
                <w:rFonts w:cs="Arial"/>
                <w:noProof/>
              </w:rPr>
              <w:t>6</w:t>
            </w:r>
            <w:r w:rsidRPr="001D1C01">
              <w:rPr>
                <w:rFonts w:cs="Arial"/>
                <w:noProof/>
              </w:rPr>
              <w:t>%</w:t>
            </w:r>
          </w:p>
        </w:tc>
      </w:tr>
      <w:tr w:rsidR="00CA2638" w14:paraId="5D3B3E79" w14:textId="77777777" w:rsidTr="0010294B">
        <w:trPr>
          <w:trHeight w:val="278"/>
        </w:trPr>
        <w:tc>
          <w:tcPr>
            <w:tcW w:w="2972" w:type="dxa"/>
            <w:vAlign w:val="center"/>
          </w:tcPr>
          <w:p w14:paraId="189B2CEB" w14:textId="77777777" w:rsidR="00CA2638" w:rsidRPr="00065259" w:rsidRDefault="00CA2638" w:rsidP="0010294B">
            <w:pPr>
              <w:rPr>
                <w:rFonts w:cs="Arial"/>
                <w:b/>
                <w:bCs/>
                <w:noProof/>
              </w:rPr>
            </w:pPr>
            <w:r w:rsidRPr="00065259">
              <w:rPr>
                <w:rFonts w:cs="Arial"/>
                <w:b/>
                <w:bCs/>
                <w:noProof/>
              </w:rPr>
              <w:t>Total</w:t>
            </w:r>
          </w:p>
        </w:tc>
        <w:tc>
          <w:tcPr>
            <w:tcW w:w="1134" w:type="dxa"/>
            <w:vAlign w:val="center"/>
          </w:tcPr>
          <w:p w14:paraId="1416F9A8" w14:textId="77777777" w:rsidR="00CA2638" w:rsidRPr="00065259" w:rsidRDefault="00CA2638" w:rsidP="0010294B">
            <w:pPr>
              <w:jc w:val="right"/>
              <w:rPr>
                <w:rFonts w:cs="Arial"/>
                <w:b/>
                <w:bCs/>
                <w:noProof/>
              </w:rPr>
            </w:pPr>
            <w:r w:rsidRPr="00065259">
              <w:rPr>
                <w:rFonts w:cs="Arial"/>
                <w:b/>
                <w:bCs/>
                <w:noProof/>
              </w:rPr>
              <w:t>100%</w:t>
            </w:r>
          </w:p>
        </w:tc>
        <w:tc>
          <w:tcPr>
            <w:tcW w:w="709" w:type="dxa"/>
            <w:tcBorders>
              <w:top w:val="nil"/>
              <w:bottom w:val="nil"/>
            </w:tcBorders>
          </w:tcPr>
          <w:p w14:paraId="5074640B" w14:textId="77777777" w:rsidR="00CA2638" w:rsidRDefault="00CA2638" w:rsidP="0010294B">
            <w:pPr>
              <w:rPr>
                <w:rFonts w:cs="Arial"/>
                <w:noProof/>
              </w:rPr>
            </w:pPr>
          </w:p>
        </w:tc>
        <w:tc>
          <w:tcPr>
            <w:tcW w:w="2977" w:type="dxa"/>
            <w:vAlign w:val="center"/>
          </w:tcPr>
          <w:p w14:paraId="1C2ED4D0" w14:textId="77777777" w:rsidR="00CA2638" w:rsidRPr="00065259" w:rsidRDefault="00CA2638" w:rsidP="0010294B">
            <w:pPr>
              <w:rPr>
                <w:rFonts w:cs="Arial"/>
                <w:b/>
                <w:bCs/>
                <w:noProof/>
              </w:rPr>
            </w:pPr>
            <w:r w:rsidRPr="00065259">
              <w:rPr>
                <w:rFonts w:cs="Arial"/>
                <w:b/>
                <w:bCs/>
                <w:noProof/>
              </w:rPr>
              <w:t>Total</w:t>
            </w:r>
          </w:p>
        </w:tc>
        <w:tc>
          <w:tcPr>
            <w:tcW w:w="1121" w:type="dxa"/>
            <w:vAlign w:val="center"/>
          </w:tcPr>
          <w:p w14:paraId="4BA6E8BB" w14:textId="77777777" w:rsidR="00CA2638" w:rsidRPr="00065259" w:rsidRDefault="00CA2638" w:rsidP="0010294B">
            <w:pPr>
              <w:jc w:val="right"/>
              <w:rPr>
                <w:rFonts w:cs="Arial"/>
                <w:b/>
                <w:bCs/>
                <w:noProof/>
              </w:rPr>
            </w:pPr>
            <w:r w:rsidRPr="00065259">
              <w:rPr>
                <w:rFonts w:cs="Arial"/>
                <w:b/>
                <w:bCs/>
                <w:noProof/>
              </w:rPr>
              <w:t>100%</w:t>
            </w:r>
          </w:p>
        </w:tc>
      </w:tr>
    </w:tbl>
    <w:p w14:paraId="44D8A16A" w14:textId="77777777" w:rsidR="00CA2638" w:rsidRDefault="00CA2638" w:rsidP="00CA2638">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CA2638" w14:paraId="56EC9FE8" w14:textId="77777777" w:rsidTr="0010294B">
        <w:trPr>
          <w:trHeight w:val="562"/>
        </w:trPr>
        <w:tc>
          <w:tcPr>
            <w:tcW w:w="10060" w:type="dxa"/>
            <w:shd w:val="clear" w:color="auto" w:fill="D9D9D9" w:themeFill="background1" w:themeFillShade="D9"/>
          </w:tcPr>
          <w:p w14:paraId="45B54A35" w14:textId="77777777" w:rsidR="00CA2638" w:rsidRPr="00F22E2D" w:rsidRDefault="00CA2638" w:rsidP="0010294B">
            <w:pPr>
              <w:spacing w:line="240" w:lineRule="auto"/>
              <w:jc w:val="both"/>
              <w:rPr>
                <w:rFonts w:cs="Arial"/>
                <w:noProof/>
              </w:rPr>
            </w:pPr>
            <w:r w:rsidRPr="007A5A38">
              <w:rPr>
                <w:rFonts w:cs="Arial"/>
                <w:noProof/>
              </w:rPr>
              <w:t xml:space="preserve">This quarter saw 38% of CIM orders issued quarantining 60% of </w:t>
            </w:r>
            <w:r>
              <w:rPr>
                <w:rFonts w:cs="Arial"/>
                <w:noProof/>
              </w:rPr>
              <w:t>a client’s</w:t>
            </w:r>
            <w:r w:rsidRPr="007A5A38">
              <w:rPr>
                <w:rFonts w:cs="Arial"/>
                <w:noProof/>
              </w:rPr>
              <w:t xml:space="preserve"> welfare payment, 54% quarantining 75% of </w:t>
            </w:r>
            <w:r>
              <w:rPr>
                <w:rFonts w:cs="Arial"/>
                <w:noProof/>
              </w:rPr>
              <w:t>a client’s</w:t>
            </w:r>
            <w:r w:rsidRPr="007A5A38">
              <w:rPr>
                <w:rFonts w:cs="Arial"/>
                <w:noProof/>
              </w:rPr>
              <w:t xml:space="preserve"> welfare payment and 8% quarantining 90%</w:t>
            </w:r>
            <w:r>
              <w:rPr>
                <w:rFonts w:cs="Arial"/>
                <w:noProof/>
              </w:rPr>
              <w:t xml:space="preserve"> </w:t>
            </w:r>
            <w:r w:rsidRPr="007A5A38">
              <w:rPr>
                <w:rFonts w:cs="Arial"/>
                <w:noProof/>
              </w:rPr>
              <w:t xml:space="preserve">of </w:t>
            </w:r>
            <w:r>
              <w:rPr>
                <w:rFonts w:cs="Arial"/>
                <w:noProof/>
              </w:rPr>
              <w:t>a client’s</w:t>
            </w:r>
            <w:r w:rsidRPr="007A5A38">
              <w:rPr>
                <w:rFonts w:cs="Arial"/>
                <w:noProof/>
              </w:rPr>
              <w:t xml:space="preserve"> welfare payment. The preference by clients to enter into a VIM at 60% remains the popular option with 81% of VIM agreements entered into at 60% for the quarter.</w:t>
            </w:r>
          </w:p>
        </w:tc>
      </w:tr>
      <w:bookmarkEnd w:id="25"/>
    </w:tbl>
    <w:p w14:paraId="7C53BBE8" w14:textId="77777777" w:rsidR="00F5092E" w:rsidRDefault="00F5092E" w:rsidP="0070366B">
      <w:pPr>
        <w:ind w:left="-142" w:right="-425"/>
        <w:jc w:val="both"/>
        <w:rPr>
          <w:rFonts w:cs="Arial"/>
        </w:rPr>
      </w:pPr>
    </w:p>
    <w:p w14:paraId="09FA0CC0" w14:textId="459140F8" w:rsidR="00700320" w:rsidRPr="00B90FF9" w:rsidRDefault="00586B89" w:rsidP="00357BEA">
      <w:pPr>
        <w:ind w:left="-142" w:right="-425"/>
        <w:jc w:val="both"/>
        <w:rPr>
          <w:rFonts w:cs="Arial"/>
        </w:rPr>
      </w:pPr>
      <w:r w:rsidRPr="00B90FF9">
        <w:rPr>
          <w:rFonts w:cs="Arial"/>
        </w:rPr>
        <w:t xml:space="preserve">This quarter female community members </w:t>
      </w:r>
      <w:r w:rsidR="008E6B52" w:rsidRPr="00B90FF9">
        <w:rPr>
          <w:rFonts w:cs="Arial"/>
        </w:rPr>
        <w:t xml:space="preserve">accounted for the majority of CIMs with </w:t>
      </w:r>
      <w:r w:rsidR="00B90FF9" w:rsidRPr="00B90FF9">
        <w:rPr>
          <w:rFonts w:cs="Arial"/>
        </w:rPr>
        <w:t>92</w:t>
      </w:r>
      <w:r w:rsidR="00DD36DF">
        <w:rPr>
          <w:rFonts w:cs="Arial"/>
        </w:rPr>
        <w:t>%</w:t>
      </w:r>
      <w:r w:rsidR="008E6B52" w:rsidRPr="00B90FF9">
        <w:rPr>
          <w:rFonts w:cs="Arial"/>
        </w:rPr>
        <w:t xml:space="preserve"> relating to female clients</w:t>
      </w:r>
      <w:r w:rsidRPr="00B90FF9">
        <w:rPr>
          <w:rFonts w:cs="Arial"/>
        </w:rPr>
        <w:t xml:space="preserve">. </w:t>
      </w:r>
      <w:r w:rsidR="00BF61F1" w:rsidRPr="00B90FF9">
        <w:rPr>
          <w:rFonts w:cs="Arial"/>
        </w:rPr>
        <w:t>No</w:t>
      </w:r>
      <w:r w:rsidR="005A3730" w:rsidRPr="00B90FF9">
        <w:rPr>
          <w:rFonts w:cs="Arial"/>
        </w:rPr>
        <w:t xml:space="preserve"> community member older than </w:t>
      </w:r>
      <w:r w:rsidR="00B90FF9" w:rsidRPr="00B90FF9">
        <w:rPr>
          <w:rFonts w:cs="Arial"/>
        </w:rPr>
        <w:t>5</w:t>
      </w:r>
      <w:r w:rsidR="005A3730" w:rsidRPr="00B90FF9">
        <w:rPr>
          <w:rFonts w:cs="Arial"/>
        </w:rPr>
        <w:t>5 years was conditionally income managed by the FRC during the quarter.</w:t>
      </w:r>
    </w:p>
    <w:p w14:paraId="047CED0F" w14:textId="77777777" w:rsidR="00700320" w:rsidRPr="00B90FF9" w:rsidRDefault="00700320" w:rsidP="00700320">
      <w:pPr>
        <w:ind w:left="-142" w:right="-425"/>
        <w:jc w:val="both"/>
        <w:rPr>
          <w:rFonts w:cs="Arial"/>
        </w:rPr>
      </w:pPr>
    </w:p>
    <w:p w14:paraId="5026F836" w14:textId="6D6F051C" w:rsidR="00700320" w:rsidRPr="00EC4B9A" w:rsidRDefault="00586B89" w:rsidP="00700320">
      <w:pPr>
        <w:ind w:left="-142" w:right="-425"/>
        <w:jc w:val="both"/>
        <w:rPr>
          <w:rFonts w:cs="Arial"/>
        </w:rPr>
      </w:pPr>
      <w:r w:rsidRPr="00B90FF9">
        <w:rPr>
          <w:rFonts w:cs="Arial"/>
        </w:rPr>
        <w:t>T</w:t>
      </w:r>
      <w:r w:rsidR="009D31EC" w:rsidRPr="00B90FF9">
        <w:rPr>
          <w:rFonts w:cs="Arial"/>
        </w:rPr>
        <w:t>he majority of community members voluntarily participating in voluntary income management</w:t>
      </w:r>
      <w:r w:rsidR="00DE66D7" w:rsidRPr="00B90FF9">
        <w:rPr>
          <w:rFonts w:cs="Arial"/>
        </w:rPr>
        <w:t xml:space="preserve"> </w:t>
      </w:r>
      <w:r w:rsidR="00164DEC" w:rsidRPr="00B90FF9">
        <w:rPr>
          <w:rFonts w:cs="Arial"/>
        </w:rPr>
        <w:t xml:space="preserve">this quarter </w:t>
      </w:r>
      <w:r w:rsidR="00A526A0" w:rsidRPr="00B90FF9">
        <w:rPr>
          <w:rFonts w:cs="Arial"/>
        </w:rPr>
        <w:t>were f</w:t>
      </w:r>
      <w:r w:rsidR="000B1E56" w:rsidRPr="00B90FF9">
        <w:rPr>
          <w:rFonts w:cs="Arial"/>
        </w:rPr>
        <w:t xml:space="preserve">rom </w:t>
      </w:r>
      <w:r w:rsidR="00B60CB5" w:rsidRPr="00B90FF9">
        <w:rPr>
          <w:rFonts w:cs="Arial"/>
        </w:rPr>
        <w:t>the 26</w:t>
      </w:r>
      <w:r w:rsidR="00130365" w:rsidRPr="00B90FF9">
        <w:rPr>
          <w:rFonts w:cs="Arial"/>
        </w:rPr>
        <w:t xml:space="preserve"> to </w:t>
      </w:r>
      <w:r w:rsidR="00B60CB5" w:rsidRPr="00B90FF9">
        <w:rPr>
          <w:rFonts w:cs="Arial"/>
        </w:rPr>
        <w:t>35</w:t>
      </w:r>
      <w:r w:rsidR="00EC4B9A" w:rsidRPr="00B90FF9">
        <w:rPr>
          <w:rFonts w:cs="Arial"/>
        </w:rPr>
        <w:t xml:space="preserve"> </w:t>
      </w:r>
      <w:r w:rsidR="00B60CB5" w:rsidRPr="00B90FF9">
        <w:rPr>
          <w:rFonts w:cs="Arial"/>
        </w:rPr>
        <w:t>year age group</w:t>
      </w:r>
      <w:r w:rsidR="005A3730" w:rsidRPr="00B90FF9">
        <w:rPr>
          <w:rFonts w:cs="Arial"/>
        </w:rPr>
        <w:t>.</w:t>
      </w:r>
      <w:r w:rsidR="00FF351C" w:rsidRPr="00B90FF9">
        <w:rPr>
          <w:rFonts w:cs="Arial"/>
        </w:rPr>
        <w:t xml:space="preserve"> </w:t>
      </w:r>
      <w:r w:rsidR="005A3730" w:rsidRPr="00B90FF9">
        <w:rPr>
          <w:rFonts w:cs="Arial"/>
        </w:rPr>
        <w:t>F</w:t>
      </w:r>
      <w:r w:rsidR="00FF351C" w:rsidRPr="00B90FF9">
        <w:rPr>
          <w:rFonts w:cs="Arial"/>
        </w:rPr>
        <w:t>emales account</w:t>
      </w:r>
      <w:r w:rsidR="00A526A0" w:rsidRPr="00B90FF9">
        <w:rPr>
          <w:rFonts w:cs="Arial"/>
        </w:rPr>
        <w:t>ed</w:t>
      </w:r>
      <w:r w:rsidR="00FF351C" w:rsidRPr="00B90FF9">
        <w:rPr>
          <w:rFonts w:cs="Arial"/>
        </w:rPr>
        <w:t xml:space="preserve"> for </w:t>
      </w:r>
      <w:r w:rsidR="00B90FF9" w:rsidRPr="00B90FF9">
        <w:rPr>
          <w:rFonts w:cs="Arial"/>
        </w:rPr>
        <w:t>69</w:t>
      </w:r>
      <w:r w:rsidR="00DD36DF">
        <w:rPr>
          <w:rFonts w:cs="Arial"/>
        </w:rPr>
        <w:t>%</w:t>
      </w:r>
      <w:r w:rsidR="00FF351C" w:rsidRPr="00B90FF9">
        <w:rPr>
          <w:rFonts w:cs="Arial"/>
        </w:rPr>
        <w:t xml:space="preserve"> of </w:t>
      </w:r>
      <w:r w:rsidR="00166D38" w:rsidRPr="00B90FF9">
        <w:rPr>
          <w:rFonts w:cs="Arial"/>
        </w:rPr>
        <w:t xml:space="preserve">the </w:t>
      </w:r>
      <w:r w:rsidR="0042231A" w:rsidRPr="00B90FF9">
        <w:rPr>
          <w:rFonts w:cs="Arial"/>
        </w:rPr>
        <w:t>VIMs. Over</w:t>
      </w:r>
      <w:r w:rsidR="00FF351C" w:rsidRPr="00B90FF9">
        <w:rPr>
          <w:rFonts w:cs="Arial"/>
        </w:rPr>
        <w:t xml:space="preserve">all </w:t>
      </w:r>
      <w:r w:rsidR="0042231A" w:rsidRPr="00B90FF9">
        <w:rPr>
          <w:rFonts w:cs="Arial"/>
        </w:rPr>
        <w:t xml:space="preserve">females accounted for </w:t>
      </w:r>
      <w:r w:rsidR="00B90FF9" w:rsidRPr="00B90FF9">
        <w:rPr>
          <w:rFonts w:cs="Arial"/>
        </w:rPr>
        <w:t>76</w:t>
      </w:r>
      <w:r w:rsidR="00DD36DF">
        <w:rPr>
          <w:rFonts w:cs="Arial"/>
        </w:rPr>
        <w:t>%</w:t>
      </w:r>
      <w:r w:rsidR="0042231A" w:rsidRPr="00B90FF9">
        <w:rPr>
          <w:rFonts w:cs="Arial"/>
        </w:rPr>
        <w:t xml:space="preserve"> of all </w:t>
      </w:r>
      <w:r w:rsidR="0011747F" w:rsidRPr="00B90FF9">
        <w:rPr>
          <w:rFonts w:cs="Arial"/>
        </w:rPr>
        <w:t xml:space="preserve">SmartCards </w:t>
      </w:r>
      <w:r w:rsidR="005A3730" w:rsidRPr="00B90FF9">
        <w:rPr>
          <w:rFonts w:cs="Arial"/>
        </w:rPr>
        <w:t>(voluntary and conditional)</w:t>
      </w:r>
      <w:r w:rsidR="0042231A" w:rsidRPr="00B90FF9">
        <w:rPr>
          <w:rFonts w:cs="Arial"/>
        </w:rPr>
        <w:t xml:space="preserve"> </w:t>
      </w:r>
      <w:r w:rsidR="009122F0" w:rsidRPr="00B90FF9">
        <w:rPr>
          <w:rFonts w:cs="Arial"/>
        </w:rPr>
        <w:t>in</w:t>
      </w:r>
      <w:r w:rsidR="0042231A" w:rsidRPr="00B90FF9">
        <w:rPr>
          <w:rFonts w:cs="Arial"/>
        </w:rPr>
        <w:t xml:space="preserve"> quarter </w:t>
      </w:r>
      <w:r w:rsidR="00897E82" w:rsidRPr="00B90FF9">
        <w:rPr>
          <w:rFonts w:cs="Arial"/>
        </w:rPr>
        <w:t>6</w:t>
      </w:r>
      <w:r w:rsidR="00EE7CC7" w:rsidRPr="00B90FF9">
        <w:rPr>
          <w:rFonts w:cs="Arial"/>
        </w:rPr>
        <w:t>1</w:t>
      </w:r>
      <w:r w:rsidR="009D31EC" w:rsidRPr="00B90FF9">
        <w:rPr>
          <w:rFonts w:cs="Arial"/>
        </w:rPr>
        <w:t>.</w:t>
      </w:r>
    </w:p>
    <w:p w14:paraId="4A3BF326" w14:textId="77777777" w:rsidR="00700320" w:rsidRPr="0011747F" w:rsidRDefault="00700320" w:rsidP="00700320">
      <w:pPr>
        <w:ind w:left="-142" w:right="-425"/>
        <w:jc w:val="both"/>
        <w:rPr>
          <w:rFonts w:cs="Arial"/>
          <w:highlight w:val="yellow"/>
        </w:rPr>
      </w:pPr>
    </w:p>
    <w:p w14:paraId="5C28C434" w14:textId="14D911B1" w:rsidR="009D31EC" w:rsidRDefault="009D31EC" w:rsidP="00700320">
      <w:pPr>
        <w:ind w:left="-142" w:right="-425"/>
        <w:jc w:val="both"/>
        <w:rPr>
          <w:rFonts w:cs="Arial"/>
        </w:rPr>
      </w:pPr>
      <w:r w:rsidRPr="00BD5CF2">
        <w:rPr>
          <w:rFonts w:cs="Arial"/>
        </w:rPr>
        <w:t xml:space="preserve">Reasons for applying for the </w:t>
      </w:r>
      <w:r w:rsidR="0011747F" w:rsidRPr="00BD5CF2">
        <w:rPr>
          <w:rFonts w:cs="Arial"/>
        </w:rPr>
        <w:t xml:space="preserve">SmartCard </w:t>
      </w:r>
      <w:r w:rsidRPr="00BD5CF2">
        <w:rPr>
          <w:rFonts w:cs="Arial"/>
        </w:rPr>
        <w:t xml:space="preserve">were primarily to </w:t>
      </w:r>
      <w:r w:rsidR="00BB3277" w:rsidRPr="00BD5CF2">
        <w:rPr>
          <w:rFonts w:cs="Arial"/>
        </w:rPr>
        <w:t xml:space="preserve">buy food </w:t>
      </w:r>
      <w:r w:rsidR="00132A72" w:rsidRPr="00BD5CF2">
        <w:rPr>
          <w:rFonts w:cs="Arial"/>
        </w:rPr>
        <w:t>(</w:t>
      </w:r>
      <w:r w:rsidR="0039651D">
        <w:rPr>
          <w:rFonts w:cs="Arial"/>
        </w:rPr>
        <w:t>84</w:t>
      </w:r>
      <w:r w:rsidR="00DD36DF">
        <w:rPr>
          <w:rFonts w:cs="Arial"/>
        </w:rPr>
        <w:t>%</w:t>
      </w:r>
      <w:r w:rsidR="00132A72" w:rsidRPr="00BD5CF2">
        <w:rPr>
          <w:rFonts w:cs="Arial"/>
        </w:rPr>
        <w:t xml:space="preserve">), to </w:t>
      </w:r>
      <w:r w:rsidR="00BB3277" w:rsidRPr="00BD5CF2">
        <w:rPr>
          <w:rFonts w:cs="Arial"/>
        </w:rPr>
        <w:t>budget</w:t>
      </w:r>
      <w:r w:rsidR="00DB2CC6" w:rsidRPr="00BD5CF2">
        <w:rPr>
          <w:rFonts w:cs="Arial"/>
        </w:rPr>
        <w:t xml:space="preserve"> </w:t>
      </w:r>
      <w:r w:rsidR="00C06F76" w:rsidRPr="00BD5CF2">
        <w:rPr>
          <w:rFonts w:cs="Arial"/>
        </w:rPr>
        <w:t>(</w:t>
      </w:r>
      <w:r w:rsidR="00BD5CF2" w:rsidRPr="00BD5CF2">
        <w:rPr>
          <w:rFonts w:cs="Arial"/>
        </w:rPr>
        <w:t>6</w:t>
      </w:r>
      <w:r w:rsidR="0039651D">
        <w:rPr>
          <w:rFonts w:cs="Arial"/>
        </w:rPr>
        <w:t>6</w:t>
      </w:r>
      <w:r w:rsidR="00DD36DF">
        <w:rPr>
          <w:rFonts w:cs="Arial"/>
        </w:rPr>
        <w:t>%</w:t>
      </w:r>
      <w:r w:rsidR="00C06F76" w:rsidRPr="00BD5CF2">
        <w:rPr>
          <w:rFonts w:cs="Arial"/>
        </w:rPr>
        <w:t>)</w:t>
      </w:r>
      <w:r w:rsidR="00DB2CC6" w:rsidRPr="00BD5CF2">
        <w:rPr>
          <w:rFonts w:cs="Arial"/>
        </w:rPr>
        <w:t>,</w:t>
      </w:r>
      <w:r w:rsidRPr="00BD5CF2">
        <w:rPr>
          <w:rFonts w:cs="Arial"/>
        </w:rPr>
        <w:t xml:space="preserve"> </w:t>
      </w:r>
      <w:r w:rsidR="0039651D" w:rsidRPr="00BD5CF2">
        <w:rPr>
          <w:rFonts w:cs="Arial"/>
        </w:rPr>
        <w:t>to save for something they needed (</w:t>
      </w:r>
      <w:r w:rsidR="0039651D">
        <w:rPr>
          <w:rFonts w:cs="Arial"/>
        </w:rPr>
        <w:t>59</w:t>
      </w:r>
      <w:r w:rsidR="00DD36DF">
        <w:rPr>
          <w:rFonts w:cs="Arial"/>
        </w:rPr>
        <w:t>%</w:t>
      </w:r>
      <w:r w:rsidR="0039651D" w:rsidRPr="00BD5CF2">
        <w:rPr>
          <w:rFonts w:cs="Arial"/>
        </w:rPr>
        <w:t>)</w:t>
      </w:r>
      <w:r w:rsidR="0039651D">
        <w:rPr>
          <w:rFonts w:cs="Arial"/>
        </w:rPr>
        <w:t xml:space="preserve"> and</w:t>
      </w:r>
      <w:r w:rsidR="0039651D" w:rsidRPr="00BD5CF2">
        <w:rPr>
          <w:rFonts w:cs="Arial"/>
        </w:rPr>
        <w:t xml:space="preserve"> </w:t>
      </w:r>
      <w:r w:rsidR="00BF632F" w:rsidRPr="00BD5CF2">
        <w:rPr>
          <w:rFonts w:cs="Arial"/>
        </w:rPr>
        <w:t>to pay for bills (</w:t>
      </w:r>
      <w:r w:rsidR="00BD5CF2" w:rsidRPr="00BD5CF2">
        <w:rPr>
          <w:rFonts w:cs="Arial"/>
        </w:rPr>
        <w:t>5</w:t>
      </w:r>
      <w:r w:rsidR="0039651D">
        <w:rPr>
          <w:rFonts w:cs="Arial"/>
        </w:rPr>
        <w:t>6</w:t>
      </w:r>
      <w:r w:rsidR="00DD36DF">
        <w:rPr>
          <w:rFonts w:cs="Arial"/>
        </w:rPr>
        <w:t>%</w:t>
      </w:r>
      <w:r w:rsidR="00BF632F" w:rsidRPr="00BD5CF2">
        <w:rPr>
          <w:rFonts w:cs="Arial"/>
        </w:rPr>
        <w:t>)</w:t>
      </w:r>
      <w:r w:rsidRPr="00BD5CF2">
        <w:rPr>
          <w:rFonts w:cs="Arial"/>
        </w:rPr>
        <w:t xml:space="preserve">. </w:t>
      </w:r>
      <w:r w:rsidR="00F966ED" w:rsidRPr="00BD5CF2">
        <w:rPr>
          <w:rFonts w:cs="Arial"/>
        </w:rPr>
        <w:t xml:space="preserve">Circumstances given by voluntary income management participants when applying for the </w:t>
      </w:r>
      <w:r w:rsidR="0011747F" w:rsidRPr="00BD5CF2">
        <w:rPr>
          <w:rFonts w:cs="Arial"/>
        </w:rPr>
        <w:t xml:space="preserve">SmartCard </w:t>
      </w:r>
      <w:r w:rsidR="00F966ED" w:rsidRPr="00BD5CF2">
        <w:rPr>
          <w:rFonts w:cs="Arial"/>
        </w:rPr>
        <w:t>were to support themselves (</w:t>
      </w:r>
      <w:r w:rsidR="0039651D">
        <w:rPr>
          <w:rFonts w:cs="Arial"/>
        </w:rPr>
        <w:t>78</w:t>
      </w:r>
      <w:r w:rsidR="00DD36DF">
        <w:rPr>
          <w:rFonts w:cs="Arial"/>
        </w:rPr>
        <w:t>%</w:t>
      </w:r>
      <w:r w:rsidR="00F966ED" w:rsidRPr="00BD5CF2">
        <w:rPr>
          <w:rFonts w:cs="Arial"/>
        </w:rPr>
        <w:t>)</w:t>
      </w:r>
      <w:r w:rsidR="00132A72" w:rsidRPr="00BD5CF2">
        <w:rPr>
          <w:rFonts w:cs="Arial"/>
        </w:rPr>
        <w:t xml:space="preserve">, </w:t>
      </w:r>
      <w:r w:rsidR="00EC0BE6" w:rsidRPr="00BD5CF2">
        <w:rPr>
          <w:rFonts w:cs="Arial"/>
        </w:rPr>
        <w:t>they</w:t>
      </w:r>
      <w:r w:rsidR="00132A72" w:rsidRPr="00BD5CF2">
        <w:rPr>
          <w:rFonts w:cs="Arial"/>
        </w:rPr>
        <w:t xml:space="preserve"> need</w:t>
      </w:r>
      <w:r w:rsidR="00EC0BE6" w:rsidRPr="00BD5CF2">
        <w:rPr>
          <w:rFonts w:cs="Arial"/>
        </w:rPr>
        <w:t>ed</w:t>
      </w:r>
      <w:r w:rsidR="00132A72" w:rsidRPr="00BD5CF2">
        <w:rPr>
          <w:rFonts w:cs="Arial"/>
        </w:rPr>
        <w:t xml:space="preserve"> to support </w:t>
      </w:r>
      <w:r w:rsidR="00EC0BE6" w:rsidRPr="00BD5CF2">
        <w:rPr>
          <w:rFonts w:cs="Arial"/>
        </w:rPr>
        <w:t>their</w:t>
      </w:r>
      <w:r w:rsidR="00132A72" w:rsidRPr="00BD5CF2">
        <w:rPr>
          <w:rFonts w:cs="Arial"/>
        </w:rPr>
        <w:t xml:space="preserve"> famil</w:t>
      </w:r>
      <w:r w:rsidR="006062B7" w:rsidRPr="00BD5CF2">
        <w:rPr>
          <w:rFonts w:cs="Arial"/>
        </w:rPr>
        <w:t>ies</w:t>
      </w:r>
      <w:r w:rsidR="00132A72" w:rsidRPr="00BD5CF2">
        <w:rPr>
          <w:rFonts w:cs="Arial"/>
        </w:rPr>
        <w:t xml:space="preserve"> (</w:t>
      </w:r>
      <w:r w:rsidR="0039651D">
        <w:rPr>
          <w:rFonts w:cs="Arial"/>
        </w:rPr>
        <w:t>56</w:t>
      </w:r>
      <w:r w:rsidR="00DD36DF">
        <w:rPr>
          <w:rFonts w:cs="Arial"/>
        </w:rPr>
        <w:t>%</w:t>
      </w:r>
      <w:r w:rsidR="00132A72" w:rsidRPr="00BD5CF2">
        <w:rPr>
          <w:rFonts w:cs="Arial"/>
        </w:rPr>
        <w:t>)</w:t>
      </w:r>
      <w:r w:rsidR="0039651D">
        <w:rPr>
          <w:rFonts w:cs="Arial"/>
        </w:rPr>
        <w:t xml:space="preserve">, </w:t>
      </w:r>
      <w:r w:rsidR="0039651D" w:rsidRPr="00BD5CF2">
        <w:rPr>
          <w:rFonts w:cs="Arial"/>
        </w:rPr>
        <w:t>they liked the SmartCard (</w:t>
      </w:r>
      <w:r w:rsidR="0039651D">
        <w:rPr>
          <w:rFonts w:cs="Arial"/>
        </w:rPr>
        <w:t>53</w:t>
      </w:r>
      <w:r w:rsidR="00DD36DF">
        <w:rPr>
          <w:rFonts w:cs="Arial"/>
        </w:rPr>
        <w:t>%</w:t>
      </w:r>
      <w:r w:rsidR="0039651D" w:rsidRPr="00BD5CF2">
        <w:rPr>
          <w:rFonts w:cs="Arial"/>
        </w:rPr>
        <w:t>),</w:t>
      </w:r>
      <w:r w:rsidR="00D6757C" w:rsidRPr="00BD5CF2">
        <w:rPr>
          <w:rFonts w:cs="Arial"/>
        </w:rPr>
        <w:t xml:space="preserve"> and they needed to support their children (</w:t>
      </w:r>
      <w:r w:rsidR="0039651D">
        <w:rPr>
          <w:rFonts w:cs="Arial"/>
        </w:rPr>
        <w:t>44</w:t>
      </w:r>
      <w:r w:rsidR="00DD36DF">
        <w:rPr>
          <w:rFonts w:cs="Arial"/>
        </w:rPr>
        <w:t>%</w:t>
      </w:r>
      <w:r w:rsidR="00D6757C" w:rsidRPr="00BD5CF2">
        <w:rPr>
          <w:rFonts w:cs="Arial"/>
        </w:rPr>
        <w:t>)</w:t>
      </w:r>
      <w:r w:rsidR="00F966ED" w:rsidRPr="00BD5CF2">
        <w:rPr>
          <w:rFonts w:cs="Arial"/>
        </w:rPr>
        <w:t xml:space="preserve">. </w:t>
      </w:r>
      <w:r w:rsidR="00AC37B0" w:rsidRPr="00BD5CF2">
        <w:rPr>
          <w:rFonts w:cs="Arial"/>
        </w:rPr>
        <w:t>Please note</w:t>
      </w:r>
      <w:r w:rsidR="00F12673" w:rsidRPr="00BD5CF2">
        <w:rPr>
          <w:rFonts w:cs="Arial"/>
        </w:rPr>
        <w:t>,</w:t>
      </w:r>
      <w:r w:rsidR="00AC37B0" w:rsidRPr="00BD5CF2">
        <w:rPr>
          <w:rFonts w:cs="Arial"/>
        </w:rPr>
        <w:t xml:space="preserve"> a client may choose one or more options to reflect their individual reasons </w:t>
      </w:r>
      <w:r w:rsidR="00CD64F4" w:rsidRPr="00BD5CF2">
        <w:rPr>
          <w:rFonts w:cs="Arial"/>
        </w:rPr>
        <w:t xml:space="preserve">and circumstances </w:t>
      </w:r>
      <w:r w:rsidR="00764182" w:rsidRPr="00BD5CF2">
        <w:rPr>
          <w:rFonts w:cs="Arial"/>
        </w:rPr>
        <w:t>for participating in voluntary income management</w:t>
      </w:r>
      <w:r w:rsidR="00AC37B0" w:rsidRPr="00BD5CF2">
        <w:rPr>
          <w:rFonts w:cs="Arial"/>
        </w:rPr>
        <w:t>.</w:t>
      </w:r>
    </w:p>
    <w:p w14:paraId="51EBBFC5" w14:textId="63F71033" w:rsidR="0070366B" w:rsidRDefault="0070366B">
      <w:pPr>
        <w:spacing w:line="240" w:lineRule="auto"/>
        <w:rPr>
          <w:rFonts w:cs="Arial"/>
        </w:rPr>
      </w:pPr>
      <w:r>
        <w:rPr>
          <w:rFonts w:cs="Arial"/>
        </w:rPr>
        <w:br w:type="page"/>
      </w:r>
    </w:p>
    <w:tbl>
      <w:tblPr>
        <w:tblStyle w:val="TableGrid"/>
        <w:tblW w:w="9351" w:type="dxa"/>
        <w:tblLayout w:type="fixed"/>
        <w:tblLook w:val="04A0" w:firstRow="1" w:lastRow="0" w:firstColumn="1" w:lastColumn="0" w:noHBand="0" w:noVBand="1"/>
      </w:tblPr>
      <w:tblGrid>
        <w:gridCol w:w="1418"/>
        <w:gridCol w:w="987"/>
        <w:gridCol w:w="1134"/>
        <w:gridCol w:w="851"/>
        <w:gridCol w:w="567"/>
        <w:gridCol w:w="1417"/>
        <w:gridCol w:w="992"/>
        <w:gridCol w:w="1134"/>
        <w:gridCol w:w="851"/>
      </w:tblGrid>
      <w:tr w:rsidR="00CA2638" w14:paraId="1960E1B4" w14:textId="77777777" w:rsidTr="0010294B">
        <w:trPr>
          <w:trHeight w:val="278"/>
        </w:trPr>
        <w:tc>
          <w:tcPr>
            <w:tcW w:w="4390" w:type="dxa"/>
            <w:gridSpan w:val="4"/>
          </w:tcPr>
          <w:p w14:paraId="09576561" w14:textId="77777777" w:rsidR="00CA2638" w:rsidRDefault="00CA2638" w:rsidP="0010294B">
            <w:pPr>
              <w:rPr>
                <w:rFonts w:cs="Arial"/>
                <w:b/>
                <w:bCs/>
                <w:noProof/>
                <w:sz w:val="16"/>
                <w:szCs w:val="16"/>
              </w:rPr>
            </w:pPr>
            <w:bookmarkStart w:id="26" w:name="_Hlk158968117"/>
            <w:r>
              <w:rPr>
                <w:rFonts w:cs="Arial"/>
                <w:b/>
                <w:bCs/>
                <w:noProof/>
                <w:sz w:val="16"/>
                <w:szCs w:val="16"/>
              </w:rPr>
              <w:lastRenderedPageBreak/>
              <w:t>Table</w:t>
            </w:r>
            <w:r w:rsidRPr="00523A30">
              <w:rPr>
                <w:rFonts w:cs="Arial"/>
                <w:b/>
                <w:bCs/>
                <w:noProof/>
                <w:sz w:val="16"/>
                <w:szCs w:val="16"/>
              </w:rPr>
              <w:t xml:space="preserve"> </w:t>
            </w:r>
            <w:r>
              <w:rPr>
                <w:rFonts w:cs="Arial"/>
                <w:b/>
                <w:bCs/>
                <w:noProof/>
                <w:sz w:val="16"/>
                <w:szCs w:val="16"/>
              </w:rPr>
              <w:t>19</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CIMs by age </w:t>
            </w:r>
            <w:r>
              <w:rPr>
                <w:rFonts w:cs="Arial"/>
                <w:noProof/>
                <w:sz w:val="16"/>
                <w:szCs w:val="16"/>
              </w:rPr>
              <w:t>cohorts</w:t>
            </w:r>
            <w:r w:rsidRPr="0056247B">
              <w:rPr>
                <w:rFonts w:cs="Arial"/>
                <w:noProof/>
                <w:sz w:val="16"/>
                <w:szCs w:val="16"/>
              </w:rPr>
              <w:t xml:space="preserve"> </w:t>
            </w:r>
            <w:r>
              <w:rPr>
                <w:rFonts w:cs="Arial"/>
                <w:noProof/>
                <w:sz w:val="16"/>
                <w:szCs w:val="16"/>
              </w:rPr>
              <w:t>and gender 1 July 2023</w:t>
            </w:r>
            <w:r w:rsidRPr="0056247B">
              <w:rPr>
                <w:rFonts w:cs="Arial"/>
                <w:noProof/>
                <w:sz w:val="16"/>
                <w:szCs w:val="16"/>
              </w:rPr>
              <w:t xml:space="preserve"> – </w:t>
            </w:r>
            <w:r>
              <w:rPr>
                <w:rFonts w:cs="Arial"/>
                <w:noProof/>
                <w:sz w:val="16"/>
                <w:szCs w:val="16"/>
              </w:rPr>
              <w:t>30 September 2023</w:t>
            </w:r>
          </w:p>
        </w:tc>
        <w:tc>
          <w:tcPr>
            <w:tcW w:w="567" w:type="dxa"/>
            <w:tcBorders>
              <w:top w:val="nil"/>
              <w:bottom w:val="nil"/>
            </w:tcBorders>
          </w:tcPr>
          <w:p w14:paraId="78D8DF53" w14:textId="77777777" w:rsidR="00CA2638" w:rsidRDefault="00CA2638" w:rsidP="0010294B">
            <w:pPr>
              <w:rPr>
                <w:rFonts w:cs="Arial"/>
                <w:b/>
                <w:bCs/>
                <w:noProof/>
                <w:sz w:val="16"/>
                <w:szCs w:val="16"/>
              </w:rPr>
            </w:pPr>
          </w:p>
        </w:tc>
        <w:tc>
          <w:tcPr>
            <w:tcW w:w="4394" w:type="dxa"/>
            <w:gridSpan w:val="4"/>
          </w:tcPr>
          <w:p w14:paraId="32FC6FFC" w14:textId="77777777" w:rsidR="00CA2638" w:rsidRDefault="00CA2638" w:rsidP="0010294B">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20</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VIMs by age </w:t>
            </w:r>
            <w:r>
              <w:rPr>
                <w:rFonts w:cs="Arial"/>
                <w:noProof/>
                <w:sz w:val="16"/>
                <w:szCs w:val="16"/>
              </w:rPr>
              <w:t>cohorts</w:t>
            </w:r>
            <w:r w:rsidRPr="0056247B">
              <w:rPr>
                <w:rFonts w:cs="Arial"/>
                <w:noProof/>
                <w:sz w:val="16"/>
                <w:szCs w:val="16"/>
              </w:rPr>
              <w:t xml:space="preserve"> </w:t>
            </w:r>
            <w:r>
              <w:rPr>
                <w:rFonts w:cs="Arial"/>
                <w:noProof/>
                <w:sz w:val="16"/>
                <w:szCs w:val="16"/>
              </w:rPr>
              <w:t>and gender 1 July 2023</w:t>
            </w:r>
            <w:r w:rsidRPr="0056247B">
              <w:rPr>
                <w:rFonts w:cs="Arial"/>
                <w:noProof/>
                <w:sz w:val="16"/>
                <w:szCs w:val="16"/>
              </w:rPr>
              <w:t xml:space="preserve"> – </w:t>
            </w:r>
            <w:r>
              <w:rPr>
                <w:rFonts w:cs="Arial"/>
                <w:noProof/>
                <w:sz w:val="16"/>
                <w:szCs w:val="16"/>
              </w:rPr>
              <w:t>30 September 2023</w:t>
            </w:r>
          </w:p>
        </w:tc>
      </w:tr>
      <w:tr w:rsidR="00CA2638" w14:paraId="460E971C" w14:textId="77777777" w:rsidTr="0010294B">
        <w:trPr>
          <w:trHeight w:val="278"/>
        </w:trPr>
        <w:tc>
          <w:tcPr>
            <w:tcW w:w="1418" w:type="dxa"/>
            <w:vAlign w:val="center"/>
          </w:tcPr>
          <w:p w14:paraId="34BF70FC" w14:textId="77777777" w:rsidR="00CA2638" w:rsidRPr="002F3F87" w:rsidRDefault="00CA2638" w:rsidP="0010294B">
            <w:pPr>
              <w:jc w:val="center"/>
              <w:rPr>
                <w:rFonts w:cs="Arial"/>
                <w:b/>
                <w:bCs/>
                <w:noProof/>
              </w:rPr>
            </w:pPr>
            <w:r w:rsidRPr="002F3F87">
              <w:rPr>
                <w:rFonts w:cs="Arial"/>
                <w:b/>
                <w:bCs/>
                <w:noProof/>
              </w:rPr>
              <w:t>Age</w:t>
            </w:r>
            <w:r>
              <w:rPr>
                <w:rFonts w:cs="Arial"/>
                <w:b/>
                <w:bCs/>
                <w:noProof/>
              </w:rPr>
              <w:t xml:space="preserve"> Group</w:t>
            </w:r>
          </w:p>
        </w:tc>
        <w:tc>
          <w:tcPr>
            <w:tcW w:w="987" w:type="dxa"/>
            <w:vAlign w:val="center"/>
          </w:tcPr>
          <w:p w14:paraId="2F5E4F09" w14:textId="77777777" w:rsidR="00CA2638" w:rsidRPr="002F3F87" w:rsidRDefault="00CA2638" w:rsidP="0010294B">
            <w:pPr>
              <w:jc w:val="center"/>
              <w:rPr>
                <w:rFonts w:cs="Arial"/>
                <w:b/>
                <w:bCs/>
                <w:noProof/>
              </w:rPr>
            </w:pPr>
            <w:r w:rsidRPr="002F3F87">
              <w:rPr>
                <w:rFonts w:cs="Arial"/>
                <w:b/>
                <w:bCs/>
                <w:noProof/>
              </w:rPr>
              <w:t>Male</w:t>
            </w:r>
          </w:p>
        </w:tc>
        <w:tc>
          <w:tcPr>
            <w:tcW w:w="1134" w:type="dxa"/>
            <w:vAlign w:val="center"/>
          </w:tcPr>
          <w:p w14:paraId="500ADDCA" w14:textId="77777777" w:rsidR="00CA2638" w:rsidRPr="002F3F87" w:rsidRDefault="00CA2638" w:rsidP="0010294B">
            <w:pPr>
              <w:jc w:val="center"/>
              <w:rPr>
                <w:rFonts w:cs="Arial"/>
                <w:b/>
                <w:bCs/>
                <w:noProof/>
              </w:rPr>
            </w:pPr>
            <w:r w:rsidRPr="002F3F87">
              <w:rPr>
                <w:rFonts w:cs="Arial"/>
                <w:b/>
                <w:bCs/>
                <w:noProof/>
              </w:rPr>
              <w:t>Female</w:t>
            </w:r>
          </w:p>
        </w:tc>
        <w:tc>
          <w:tcPr>
            <w:tcW w:w="851" w:type="dxa"/>
          </w:tcPr>
          <w:p w14:paraId="4BEB8033" w14:textId="77777777" w:rsidR="00CA2638" w:rsidRPr="002F3F87" w:rsidRDefault="00CA2638" w:rsidP="0010294B">
            <w:pPr>
              <w:jc w:val="center"/>
              <w:rPr>
                <w:rFonts w:cs="Arial"/>
                <w:b/>
                <w:bCs/>
                <w:noProof/>
              </w:rPr>
            </w:pPr>
            <w:r>
              <w:rPr>
                <w:rFonts w:cs="Arial"/>
                <w:b/>
                <w:bCs/>
                <w:noProof/>
              </w:rPr>
              <w:t>Total</w:t>
            </w:r>
          </w:p>
        </w:tc>
        <w:tc>
          <w:tcPr>
            <w:tcW w:w="567" w:type="dxa"/>
            <w:tcBorders>
              <w:top w:val="nil"/>
              <w:bottom w:val="nil"/>
            </w:tcBorders>
          </w:tcPr>
          <w:p w14:paraId="24A1FAFF" w14:textId="77777777" w:rsidR="00CA2638" w:rsidRPr="002F3F87" w:rsidRDefault="00CA2638" w:rsidP="0010294B">
            <w:pPr>
              <w:rPr>
                <w:rFonts w:cs="Arial"/>
                <w:b/>
                <w:bCs/>
                <w:noProof/>
              </w:rPr>
            </w:pPr>
          </w:p>
        </w:tc>
        <w:tc>
          <w:tcPr>
            <w:tcW w:w="1417" w:type="dxa"/>
            <w:vAlign w:val="center"/>
          </w:tcPr>
          <w:p w14:paraId="7526D3A3" w14:textId="77777777" w:rsidR="00CA2638" w:rsidRPr="002F3F87" w:rsidRDefault="00CA2638" w:rsidP="0010294B">
            <w:pPr>
              <w:jc w:val="center"/>
              <w:rPr>
                <w:rFonts w:cs="Arial"/>
                <w:b/>
                <w:bCs/>
                <w:noProof/>
              </w:rPr>
            </w:pPr>
            <w:r w:rsidRPr="002F3F87">
              <w:rPr>
                <w:rFonts w:cs="Arial"/>
                <w:b/>
                <w:bCs/>
                <w:noProof/>
              </w:rPr>
              <w:t>Age</w:t>
            </w:r>
            <w:r>
              <w:rPr>
                <w:rFonts w:cs="Arial"/>
                <w:b/>
                <w:bCs/>
                <w:noProof/>
              </w:rPr>
              <w:t xml:space="preserve"> Group</w:t>
            </w:r>
          </w:p>
        </w:tc>
        <w:tc>
          <w:tcPr>
            <w:tcW w:w="992" w:type="dxa"/>
            <w:vAlign w:val="center"/>
          </w:tcPr>
          <w:p w14:paraId="6D920D99" w14:textId="77777777" w:rsidR="00CA2638" w:rsidRPr="002F3F87" w:rsidRDefault="00CA2638" w:rsidP="0010294B">
            <w:pPr>
              <w:jc w:val="center"/>
              <w:rPr>
                <w:rFonts w:cs="Arial"/>
                <w:b/>
                <w:bCs/>
                <w:noProof/>
              </w:rPr>
            </w:pPr>
            <w:r w:rsidRPr="002F3F87">
              <w:rPr>
                <w:rFonts w:cs="Arial"/>
                <w:b/>
                <w:bCs/>
                <w:noProof/>
              </w:rPr>
              <w:t>Male</w:t>
            </w:r>
          </w:p>
        </w:tc>
        <w:tc>
          <w:tcPr>
            <w:tcW w:w="1134" w:type="dxa"/>
            <w:vAlign w:val="center"/>
          </w:tcPr>
          <w:p w14:paraId="17208A50" w14:textId="77777777" w:rsidR="00CA2638" w:rsidRPr="002F3F87" w:rsidRDefault="00CA2638" w:rsidP="0010294B">
            <w:pPr>
              <w:jc w:val="center"/>
              <w:rPr>
                <w:rFonts w:cs="Arial"/>
                <w:b/>
                <w:bCs/>
                <w:noProof/>
              </w:rPr>
            </w:pPr>
            <w:r w:rsidRPr="002F3F87">
              <w:rPr>
                <w:rFonts w:cs="Arial"/>
                <w:b/>
                <w:bCs/>
                <w:noProof/>
              </w:rPr>
              <w:t>Female</w:t>
            </w:r>
          </w:p>
        </w:tc>
        <w:tc>
          <w:tcPr>
            <w:tcW w:w="851" w:type="dxa"/>
          </w:tcPr>
          <w:p w14:paraId="5666EFE9" w14:textId="77777777" w:rsidR="00CA2638" w:rsidRPr="002F3F87" w:rsidRDefault="00CA2638" w:rsidP="0010294B">
            <w:pPr>
              <w:jc w:val="center"/>
              <w:rPr>
                <w:rFonts w:cs="Arial"/>
                <w:b/>
                <w:bCs/>
                <w:noProof/>
              </w:rPr>
            </w:pPr>
            <w:r>
              <w:rPr>
                <w:rFonts w:cs="Arial"/>
                <w:b/>
                <w:bCs/>
                <w:noProof/>
              </w:rPr>
              <w:t>Total</w:t>
            </w:r>
          </w:p>
        </w:tc>
      </w:tr>
      <w:tr w:rsidR="00CA2638" w14:paraId="324FCD8F" w14:textId="77777777" w:rsidTr="0010294B">
        <w:trPr>
          <w:trHeight w:val="278"/>
        </w:trPr>
        <w:tc>
          <w:tcPr>
            <w:tcW w:w="1418" w:type="dxa"/>
            <w:vAlign w:val="center"/>
          </w:tcPr>
          <w:p w14:paraId="38C7E25E" w14:textId="77777777" w:rsidR="00CA2638" w:rsidRPr="002819D6" w:rsidRDefault="00CA2638" w:rsidP="0010294B">
            <w:pPr>
              <w:rPr>
                <w:rFonts w:cs="Arial"/>
                <w:noProof/>
              </w:rPr>
            </w:pPr>
            <w:r>
              <w:rPr>
                <w:rFonts w:cs="Arial"/>
                <w:noProof/>
              </w:rPr>
              <w:t>18-25</w:t>
            </w:r>
          </w:p>
        </w:tc>
        <w:tc>
          <w:tcPr>
            <w:tcW w:w="987" w:type="dxa"/>
            <w:vAlign w:val="center"/>
          </w:tcPr>
          <w:p w14:paraId="6743F7C7" w14:textId="77777777" w:rsidR="00CA2638" w:rsidRPr="001D1C01" w:rsidRDefault="00CA2638" w:rsidP="0010294B">
            <w:pPr>
              <w:jc w:val="right"/>
              <w:rPr>
                <w:rFonts w:cs="Arial"/>
                <w:noProof/>
              </w:rPr>
            </w:pPr>
            <w:r>
              <w:rPr>
                <w:rFonts w:cs="Arial"/>
                <w:noProof/>
              </w:rPr>
              <w:t>1</w:t>
            </w:r>
          </w:p>
        </w:tc>
        <w:tc>
          <w:tcPr>
            <w:tcW w:w="1134" w:type="dxa"/>
            <w:vAlign w:val="center"/>
          </w:tcPr>
          <w:p w14:paraId="35858002" w14:textId="77777777" w:rsidR="00CA2638" w:rsidRPr="001D1C01" w:rsidRDefault="00CA2638" w:rsidP="0010294B">
            <w:pPr>
              <w:jc w:val="right"/>
              <w:rPr>
                <w:rFonts w:cs="Arial"/>
                <w:noProof/>
              </w:rPr>
            </w:pPr>
            <w:r>
              <w:rPr>
                <w:rFonts w:cs="Arial"/>
                <w:noProof/>
              </w:rPr>
              <w:t>3</w:t>
            </w:r>
          </w:p>
        </w:tc>
        <w:tc>
          <w:tcPr>
            <w:tcW w:w="851" w:type="dxa"/>
          </w:tcPr>
          <w:p w14:paraId="5D8CAA16" w14:textId="77777777" w:rsidR="00CA2638" w:rsidRPr="006B597B" w:rsidRDefault="00CA2638" w:rsidP="0010294B">
            <w:pPr>
              <w:jc w:val="right"/>
              <w:rPr>
                <w:rFonts w:cs="Arial"/>
                <w:b/>
                <w:bCs/>
                <w:noProof/>
              </w:rPr>
            </w:pPr>
            <w:r>
              <w:rPr>
                <w:rFonts w:cs="Arial"/>
                <w:b/>
                <w:bCs/>
                <w:noProof/>
              </w:rPr>
              <w:t>4</w:t>
            </w:r>
          </w:p>
        </w:tc>
        <w:tc>
          <w:tcPr>
            <w:tcW w:w="567" w:type="dxa"/>
            <w:tcBorders>
              <w:top w:val="nil"/>
              <w:bottom w:val="nil"/>
            </w:tcBorders>
          </w:tcPr>
          <w:p w14:paraId="7865F444" w14:textId="77777777" w:rsidR="00CA2638" w:rsidRDefault="00CA2638" w:rsidP="0010294B">
            <w:pPr>
              <w:rPr>
                <w:rFonts w:cs="Arial"/>
                <w:noProof/>
              </w:rPr>
            </w:pPr>
          </w:p>
        </w:tc>
        <w:tc>
          <w:tcPr>
            <w:tcW w:w="1417" w:type="dxa"/>
            <w:vAlign w:val="center"/>
          </w:tcPr>
          <w:p w14:paraId="7A58D294" w14:textId="77777777" w:rsidR="00CA2638" w:rsidRPr="001D1C01" w:rsidRDefault="00CA2638" w:rsidP="0010294B">
            <w:pPr>
              <w:rPr>
                <w:rFonts w:cs="Arial"/>
                <w:noProof/>
              </w:rPr>
            </w:pPr>
            <w:r>
              <w:rPr>
                <w:rFonts w:cs="Arial"/>
                <w:noProof/>
              </w:rPr>
              <w:t>18-25</w:t>
            </w:r>
          </w:p>
        </w:tc>
        <w:tc>
          <w:tcPr>
            <w:tcW w:w="992" w:type="dxa"/>
            <w:vAlign w:val="center"/>
          </w:tcPr>
          <w:p w14:paraId="3C937DF6" w14:textId="77777777" w:rsidR="00CA2638" w:rsidRPr="001D1C01" w:rsidRDefault="00CA2638" w:rsidP="0010294B">
            <w:pPr>
              <w:jc w:val="right"/>
              <w:rPr>
                <w:rFonts w:cs="Arial"/>
                <w:noProof/>
              </w:rPr>
            </w:pPr>
            <w:r>
              <w:rPr>
                <w:rFonts w:cs="Arial"/>
                <w:noProof/>
              </w:rPr>
              <w:t>1</w:t>
            </w:r>
          </w:p>
        </w:tc>
        <w:tc>
          <w:tcPr>
            <w:tcW w:w="1134" w:type="dxa"/>
            <w:vAlign w:val="center"/>
          </w:tcPr>
          <w:p w14:paraId="01542C80" w14:textId="77777777" w:rsidR="00CA2638" w:rsidRPr="001D1C01" w:rsidRDefault="00CA2638" w:rsidP="0010294B">
            <w:pPr>
              <w:jc w:val="right"/>
              <w:rPr>
                <w:rFonts w:cs="Arial"/>
                <w:noProof/>
              </w:rPr>
            </w:pPr>
            <w:r>
              <w:rPr>
                <w:rFonts w:cs="Arial"/>
                <w:noProof/>
              </w:rPr>
              <w:t>4</w:t>
            </w:r>
          </w:p>
        </w:tc>
        <w:tc>
          <w:tcPr>
            <w:tcW w:w="851" w:type="dxa"/>
          </w:tcPr>
          <w:p w14:paraId="153BCDB8" w14:textId="77777777" w:rsidR="00CA2638" w:rsidRPr="006B597B" w:rsidRDefault="00CA2638" w:rsidP="0010294B">
            <w:pPr>
              <w:jc w:val="right"/>
              <w:rPr>
                <w:rFonts w:cs="Arial"/>
                <w:b/>
                <w:bCs/>
                <w:noProof/>
              </w:rPr>
            </w:pPr>
            <w:r>
              <w:rPr>
                <w:rFonts w:cs="Arial"/>
                <w:b/>
                <w:bCs/>
                <w:noProof/>
              </w:rPr>
              <w:t>5</w:t>
            </w:r>
          </w:p>
        </w:tc>
      </w:tr>
      <w:tr w:rsidR="00CA2638" w14:paraId="26929A13" w14:textId="77777777" w:rsidTr="0010294B">
        <w:trPr>
          <w:trHeight w:val="278"/>
        </w:trPr>
        <w:tc>
          <w:tcPr>
            <w:tcW w:w="1418" w:type="dxa"/>
            <w:vAlign w:val="center"/>
          </w:tcPr>
          <w:p w14:paraId="3A8DB164" w14:textId="77777777" w:rsidR="00CA2638" w:rsidRPr="002819D6" w:rsidRDefault="00CA2638" w:rsidP="0010294B">
            <w:pPr>
              <w:rPr>
                <w:rFonts w:cs="Arial"/>
                <w:noProof/>
              </w:rPr>
            </w:pPr>
            <w:r>
              <w:rPr>
                <w:rFonts w:cs="Arial"/>
                <w:noProof/>
              </w:rPr>
              <w:t>26-35</w:t>
            </w:r>
          </w:p>
        </w:tc>
        <w:tc>
          <w:tcPr>
            <w:tcW w:w="987" w:type="dxa"/>
            <w:vAlign w:val="center"/>
          </w:tcPr>
          <w:p w14:paraId="68DB21A1" w14:textId="77777777" w:rsidR="00CA2638" w:rsidRPr="001D1C01" w:rsidRDefault="00CA2638" w:rsidP="0010294B">
            <w:pPr>
              <w:jc w:val="right"/>
              <w:rPr>
                <w:rFonts w:cs="Arial"/>
                <w:noProof/>
              </w:rPr>
            </w:pPr>
            <w:r>
              <w:rPr>
                <w:rFonts w:cs="Arial"/>
                <w:noProof/>
              </w:rPr>
              <w:t>0</w:t>
            </w:r>
          </w:p>
        </w:tc>
        <w:tc>
          <w:tcPr>
            <w:tcW w:w="1134" w:type="dxa"/>
            <w:vAlign w:val="center"/>
          </w:tcPr>
          <w:p w14:paraId="39A60CFB" w14:textId="77777777" w:rsidR="00CA2638" w:rsidRPr="001D1C01" w:rsidRDefault="00CA2638" w:rsidP="0010294B">
            <w:pPr>
              <w:jc w:val="right"/>
              <w:rPr>
                <w:rFonts w:cs="Arial"/>
                <w:noProof/>
              </w:rPr>
            </w:pPr>
            <w:r>
              <w:rPr>
                <w:rFonts w:cs="Arial"/>
                <w:noProof/>
              </w:rPr>
              <w:t>6</w:t>
            </w:r>
          </w:p>
        </w:tc>
        <w:tc>
          <w:tcPr>
            <w:tcW w:w="851" w:type="dxa"/>
          </w:tcPr>
          <w:p w14:paraId="324CDDD0" w14:textId="77777777" w:rsidR="00CA2638" w:rsidRPr="006B597B" w:rsidRDefault="00CA2638" w:rsidP="0010294B">
            <w:pPr>
              <w:jc w:val="right"/>
              <w:rPr>
                <w:rFonts w:cs="Arial"/>
                <w:b/>
                <w:bCs/>
                <w:noProof/>
              </w:rPr>
            </w:pPr>
            <w:r>
              <w:rPr>
                <w:rFonts w:cs="Arial"/>
                <w:b/>
                <w:bCs/>
                <w:noProof/>
              </w:rPr>
              <w:t>6</w:t>
            </w:r>
          </w:p>
        </w:tc>
        <w:tc>
          <w:tcPr>
            <w:tcW w:w="567" w:type="dxa"/>
            <w:tcBorders>
              <w:top w:val="nil"/>
              <w:bottom w:val="nil"/>
            </w:tcBorders>
          </w:tcPr>
          <w:p w14:paraId="49E64C3A" w14:textId="77777777" w:rsidR="00CA2638" w:rsidRDefault="00CA2638" w:rsidP="0010294B">
            <w:pPr>
              <w:rPr>
                <w:rFonts w:cs="Arial"/>
                <w:noProof/>
              </w:rPr>
            </w:pPr>
          </w:p>
        </w:tc>
        <w:tc>
          <w:tcPr>
            <w:tcW w:w="1417" w:type="dxa"/>
            <w:vAlign w:val="center"/>
          </w:tcPr>
          <w:p w14:paraId="23073AD8" w14:textId="77777777" w:rsidR="00CA2638" w:rsidRPr="001D1C01" w:rsidRDefault="00CA2638" w:rsidP="0010294B">
            <w:pPr>
              <w:rPr>
                <w:rFonts w:cs="Arial"/>
                <w:noProof/>
              </w:rPr>
            </w:pPr>
            <w:r>
              <w:rPr>
                <w:rFonts w:cs="Arial"/>
                <w:noProof/>
              </w:rPr>
              <w:t>26-35</w:t>
            </w:r>
          </w:p>
        </w:tc>
        <w:tc>
          <w:tcPr>
            <w:tcW w:w="992" w:type="dxa"/>
            <w:vAlign w:val="center"/>
          </w:tcPr>
          <w:p w14:paraId="676927EA" w14:textId="77777777" w:rsidR="00CA2638" w:rsidRPr="001D1C01" w:rsidRDefault="00CA2638" w:rsidP="0010294B">
            <w:pPr>
              <w:jc w:val="right"/>
              <w:rPr>
                <w:rFonts w:cs="Arial"/>
                <w:noProof/>
              </w:rPr>
            </w:pPr>
            <w:r>
              <w:rPr>
                <w:rFonts w:cs="Arial"/>
                <w:noProof/>
              </w:rPr>
              <w:t>2</w:t>
            </w:r>
          </w:p>
        </w:tc>
        <w:tc>
          <w:tcPr>
            <w:tcW w:w="1134" w:type="dxa"/>
            <w:vAlign w:val="center"/>
          </w:tcPr>
          <w:p w14:paraId="482D25BB" w14:textId="77777777" w:rsidR="00CA2638" w:rsidRPr="001D1C01" w:rsidRDefault="00CA2638" w:rsidP="0010294B">
            <w:pPr>
              <w:jc w:val="right"/>
              <w:rPr>
                <w:rFonts w:cs="Arial"/>
                <w:noProof/>
              </w:rPr>
            </w:pPr>
            <w:r>
              <w:rPr>
                <w:rFonts w:cs="Arial"/>
                <w:noProof/>
              </w:rPr>
              <w:t>6</w:t>
            </w:r>
          </w:p>
        </w:tc>
        <w:tc>
          <w:tcPr>
            <w:tcW w:w="851" w:type="dxa"/>
          </w:tcPr>
          <w:p w14:paraId="070D5C17" w14:textId="77777777" w:rsidR="00CA2638" w:rsidRPr="006B597B" w:rsidRDefault="00CA2638" w:rsidP="0010294B">
            <w:pPr>
              <w:jc w:val="right"/>
              <w:rPr>
                <w:rFonts w:cs="Arial"/>
                <w:b/>
                <w:bCs/>
                <w:noProof/>
              </w:rPr>
            </w:pPr>
            <w:r>
              <w:rPr>
                <w:rFonts w:cs="Arial"/>
                <w:b/>
                <w:bCs/>
                <w:noProof/>
              </w:rPr>
              <w:t>8</w:t>
            </w:r>
          </w:p>
        </w:tc>
      </w:tr>
      <w:tr w:rsidR="00CA2638" w14:paraId="00B688E1" w14:textId="77777777" w:rsidTr="0010294B">
        <w:trPr>
          <w:trHeight w:val="278"/>
        </w:trPr>
        <w:tc>
          <w:tcPr>
            <w:tcW w:w="1418" w:type="dxa"/>
            <w:vAlign w:val="center"/>
          </w:tcPr>
          <w:p w14:paraId="612D9BD3" w14:textId="77777777" w:rsidR="00CA2638" w:rsidRPr="002819D6" w:rsidRDefault="00CA2638" w:rsidP="0010294B">
            <w:pPr>
              <w:rPr>
                <w:rFonts w:cs="Arial"/>
                <w:noProof/>
              </w:rPr>
            </w:pPr>
            <w:r>
              <w:rPr>
                <w:rFonts w:cs="Arial"/>
                <w:noProof/>
              </w:rPr>
              <w:t>36-45</w:t>
            </w:r>
          </w:p>
        </w:tc>
        <w:tc>
          <w:tcPr>
            <w:tcW w:w="987" w:type="dxa"/>
            <w:vAlign w:val="center"/>
          </w:tcPr>
          <w:p w14:paraId="2DBFCE16" w14:textId="77777777" w:rsidR="00CA2638" w:rsidRPr="001D1C01" w:rsidRDefault="00CA2638" w:rsidP="0010294B">
            <w:pPr>
              <w:jc w:val="right"/>
              <w:rPr>
                <w:rFonts w:cs="Arial"/>
                <w:noProof/>
              </w:rPr>
            </w:pPr>
            <w:r>
              <w:rPr>
                <w:rFonts w:cs="Arial"/>
                <w:noProof/>
              </w:rPr>
              <w:t>0</w:t>
            </w:r>
          </w:p>
        </w:tc>
        <w:tc>
          <w:tcPr>
            <w:tcW w:w="1134" w:type="dxa"/>
            <w:vAlign w:val="center"/>
          </w:tcPr>
          <w:p w14:paraId="3251F311" w14:textId="77777777" w:rsidR="00CA2638" w:rsidRPr="001D1C01" w:rsidRDefault="00CA2638" w:rsidP="0010294B">
            <w:pPr>
              <w:jc w:val="right"/>
              <w:rPr>
                <w:rFonts w:cs="Arial"/>
                <w:noProof/>
              </w:rPr>
            </w:pPr>
            <w:r>
              <w:rPr>
                <w:rFonts w:cs="Arial"/>
                <w:noProof/>
              </w:rPr>
              <w:t>2</w:t>
            </w:r>
          </w:p>
        </w:tc>
        <w:tc>
          <w:tcPr>
            <w:tcW w:w="851" w:type="dxa"/>
          </w:tcPr>
          <w:p w14:paraId="0CE69B2F" w14:textId="77777777" w:rsidR="00CA2638" w:rsidRPr="006B597B" w:rsidRDefault="00CA2638" w:rsidP="0010294B">
            <w:pPr>
              <w:jc w:val="right"/>
              <w:rPr>
                <w:rFonts w:cs="Arial"/>
                <w:b/>
                <w:bCs/>
                <w:noProof/>
              </w:rPr>
            </w:pPr>
            <w:r>
              <w:rPr>
                <w:rFonts w:cs="Arial"/>
                <w:b/>
                <w:bCs/>
                <w:noProof/>
              </w:rPr>
              <w:t>2</w:t>
            </w:r>
          </w:p>
        </w:tc>
        <w:tc>
          <w:tcPr>
            <w:tcW w:w="567" w:type="dxa"/>
            <w:tcBorders>
              <w:top w:val="nil"/>
              <w:bottom w:val="nil"/>
            </w:tcBorders>
          </w:tcPr>
          <w:p w14:paraId="05DC22E9" w14:textId="77777777" w:rsidR="00CA2638" w:rsidRDefault="00CA2638" w:rsidP="0010294B">
            <w:pPr>
              <w:rPr>
                <w:rFonts w:cs="Arial"/>
                <w:noProof/>
              </w:rPr>
            </w:pPr>
          </w:p>
        </w:tc>
        <w:tc>
          <w:tcPr>
            <w:tcW w:w="1417" w:type="dxa"/>
            <w:vAlign w:val="center"/>
          </w:tcPr>
          <w:p w14:paraId="6933E709" w14:textId="77777777" w:rsidR="00CA2638" w:rsidRPr="001D1C01" w:rsidRDefault="00CA2638" w:rsidP="0010294B">
            <w:pPr>
              <w:rPr>
                <w:rFonts w:cs="Arial"/>
                <w:noProof/>
              </w:rPr>
            </w:pPr>
            <w:r>
              <w:rPr>
                <w:rFonts w:cs="Arial"/>
                <w:noProof/>
              </w:rPr>
              <w:t>36-45</w:t>
            </w:r>
          </w:p>
        </w:tc>
        <w:tc>
          <w:tcPr>
            <w:tcW w:w="992" w:type="dxa"/>
            <w:vAlign w:val="center"/>
          </w:tcPr>
          <w:p w14:paraId="07332C6C" w14:textId="77777777" w:rsidR="00CA2638" w:rsidRPr="001D1C01" w:rsidRDefault="00CA2638" w:rsidP="0010294B">
            <w:pPr>
              <w:jc w:val="right"/>
              <w:rPr>
                <w:rFonts w:cs="Arial"/>
                <w:noProof/>
              </w:rPr>
            </w:pPr>
            <w:r>
              <w:rPr>
                <w:rFonts w:cs="Arial"/>
                <w:noProof/>
              </w:rPr>
              <w:t>1</w:t>
            </w:r>
          </w:p>
        </w:tc>
        <w:tc>
          <w:tcPr>
            <w:tcW w:w="1134" w:type="dxa"/>
            <w:vAlign w:val="center"/>
          </w:tcPr>
          <w:p w14:paraId="513BF124" w14:textId="77777777" w:rsidR="00CA2638" w:rsidRPr="001D1C01" w:rsidRDefault="00CA2638" w:rsidP="0010294B">
            <w:pPr>
              <w:jc w:val="right"/>
              <w:rPr>
                <w:rFonts w:cs="Arial"/>
                <w:noProof/>
              </w:rPr>
            </w:pPr>
            <w:r>
              <w:rPr>
                <w:rFonts w:cs="Arial"/>
                <w:noProof/>
              </w:rPr>
              <w:t>5</w:t>
            </w:r>
          </w:p>
        </w:tc>
        <w:tc>
          <w:tcPr>
            <w:tcW w:w="851" w:type="dxa"/>
          </w:tcPr>
          <w:p w14:paraId="039EDDFB" w14:textId="77777777" w:rsidR="00CA2638" w:rsidRPr="006B597B" w:rsidRDefault="00CA2638" w:rsidP="0010294B">
            <w:pPr>
              <w:jc w:val="right"/>
              <w:rPr>
                <w:rFonts w:cs="Arial"/>
                <w:b/>
                <w:bCs/>
                <w:noProof/>
              </w:rPr>
            </w:pPr>
            <w:r>
              <w:rPr>
                <w:rFonts w:cs="Arial"/>
                <w:b/>
                <w:bCs/>
                <w:noProof/>
              </w:rPr>
              <w:t>6</w:t>
            </w:r>
          </w:p>
        </w:tc>
      </w:tr>
      <w:tr w:rsidR="00CA2638" w14:paraId="2C514D9A" w14:textId="77777777" w:rsidTr="0010294B">
        <w:trPr>
          <w:trHeight w:val="278"/>
        </w:trPr>
        <w:tc>
          <w:tcPr>
            <w:tcW w:w="1418" w:type="dxa"/>
            <w:vAlign w:val="center"/>
          </w:tcPr>
          <w:p w14:paraId="75ADD708" w14:textId="77777777" w:rsidR="00CA2638" w:rsidRDefault="00CA2638" w:rsidP="0010294B">
            <w:pPr>
              <w:rPr>
                <w:rFonts w:cs="Arial"/>
                <w:noProof/>
              </w:rPr>
            </w:pPr>
            <w:r>
              <w:rPr>
                <w:rFonts w:cs="Arial"/>
                <w:noProof/>
              </w:rPr>
              <w:t>46-55</w:t>
            </w:r>
          </w:p>
        </w:tc>
        <w:tc>
          <w:tcPr>
            <w:tcW w:w="987" w:type="dxa"/>
            <w:vAlign w:val="center"/>
          </w:tcPr>
          <w:p w14:paraId="291F500F" w14:textId="77777777" w:rsidR="00CA2638" w:rsidRPr="001D1C01" w:rsidRDefault="00CA2638" w:rsidP="0010294B">
            <w:pPr>
              <w:jc w:val="right"/>
              <w:rPr>
                <w:rFonts w:cs="Arial"/>
                <w:noProof/>
              </w:rPr>
            </w:pPr>
            <w:r>
              <w:rPr>
                <w:rFonts w:cs="Arial"/>
                <w:noProof/>
              </w:rPr>
              <w:t>0</w:t>
            </w:r>
          </w:p>
        </w:tc>
        <w:tc>
          <w:tcPr>
            <w:tcW w:w="1134" w:type="dxa"/>
            <w:vAlign w:val="center"/>
          </w:tcPr>
          <w:p w14:paraId="314F2219" w14:textId="77777777" w:rsidR="00CA2638" w:rsidRPr="001D1C01" w:rsidRDefault="00CA2638" w:rsidP="0010294B">
            <w:pPr>
              <w:jc w:val="right"/>
              <w:rPr>
                <w:rFonts w:cs="Arial"/>
                <w:noProof/>
              </w:rPr>
            </w:pPr>
            <w:r>
              <w:rPr>
                <w:rFonts w:cs="Arial"/>
                <w:noProof/>
              </w:rPr>
              <w:t>1</w:t>
            </w:r>
          </w:p>
        </w:tc>
        <w:tc>
          <w:tcPr>
            <w:tcW w:w="851" w:type="dxa"/>
          </w:tcPr>
          <w:p w14:paraId="43DBD9F8" w14:textId="77777777" w:rsidR="00CA2638" w:rsidRPr="006B597B" w:rsidRDefault="00CA2638" w:rsidP="0010294B">
            <w:pPr>
              <w:jc w:val="right"/>
              <w:rPr>
                <w:rFonts w:cs="Arial"/>
                <w:b/>
                <w:bCs/>
                <w:noProof/>
              </w:rPr>
            </w:pPr>
            <w:r>
              <w:rPr>
                <w:rFonts w:cs="Arial"/>
                <w:b/>
                <w:bCs/>
                <w:noProof/>
              </w:rPr>
              <w:t>1</w:t>
            </w:r>
          </w:p>
        </w:tc>
        <w:tc>
          <w:tcPr>
            <w:tcW w:w="567" w:type="dxa"/>
            <w:tcBorders>
              <w:top w:val="nil"/>
              <w:bottom w:val="nil"/>
            </w:tcBorders>
          </w:tcPr>
          <w:p w14:paraId="6445E478" w14:textId="77777777" w:rsidR="00CA2638" w:rsidRDefault="00CA2638" w:rsidP="0010294B">
            <w:pPr>
              <w:rPr>
                <w:rFonts w:cs="Arial"/>
                <w:noProof/>
              </w:rPr>
            </w:pPr>
          </w:p>
        </w:tc>
        <w:tc>
          <w:tcPr>
            <w:tcW w:w="1417" w:type="dxa"/>
            <w:vAlign w:val="center"/>
          </w:tcPr>
          <w:p w14:paraId="685AC694" w14:textId="77777777" w:rsidR="00CA2638" w:rsidRPr="001D1C01" w:rsidRDefault="00CA2638" w:rsidP="0010294B">
            <w:pPr>
              <w:rPr>
                <w:rFonts w:cs="Arial"/>
                <w:noProof/>
              </w:rPr>
            </w:pPr>
            <w:r>
              <w:rPr>
                <w:rFonts w:cs="Arial"/>
                <w:noProof/>
              </w:rPr>
              <w:t>46-55</w:t>
            </w:r>
          </w:p>
        </w:tc>
        <w:tc>
          <w:tcPr>
            <w:tcW w:w="992" w:type="dxa"/>
            <w:vAlign w:val="center"/>
          </w:tcPr>
          <w:p w14:paraId="7D8106AF" w14:textId="77777777" w:rsidR="00CA2638" w:rsidRDefault="00CA2638" w:rsidP="0010294B">
            <w:pPr>
              <w:jc w:val="right"/>
              <w:rPr>
                <w:rFonts w:cs="Arial"/>
                <w:noProof/>
              </w:rPr>
            </w:pPr>
            <w:r>
              <w:rPr>
                <w:rFonts w:cs="Arial"/>
                <w:noProof/>
              </w:rPr>
              <w:t>1</w:t>
            </w:r>
          </w:p>
        </w:tc>
        <w:tc>
          <w:tcPr>
            <w:tcW w:w="1134" w:type="dxa"/>
            <w:vAlign w:val="center"/>
          </w:tcPr>
          <w:p w14:paraId="59EA6F7E" w14:textId="77777777" w:rsidR="00CA2638" w:rsidRDefault="00CA2638" w:rsidP="0010294B">
            <w:pPr>
              <w:jc w:val="right"/>
              <w:rPr>
                <w:rFonts w:cs="Arial"/>
                <w:noProof/>
              </w:rPr>
            </w:pPr>
            <w:r>
              <w:rPr>
                <w:rFonts w:cs="Arial"/>
                <w:noProof/>
              </w:rPr>
              <w:t>2</w:t>
            </w:r>
          </w:p>
        </w:tc>
        <w:tc>
          <w:tcPr>
            <w:tcW w:w="851" w:type="dxa"/>
          </w:tcPr>
          <w:p w14:paraId="11C421CC" w14:textId="77777777" w:rsidR="00CA2638" w:rsidRPr="006B597B" w:rsidRDefault="00CA2638" w:rsidP="0010294B">
            <w:pPr>
              <w:jc w:val="right"/>
              <w:rPr>
                <w:rFonts w:cs="Arial"/>
                <w:b/>
                <w:bCs/>
                <w:noProof/>
              </w:rPr>
            </w:pPr>
            <w:r>
              <w:rPr>
                <w:rFonts w:cs="Arial"/>
                <w:b/>
                <w:bCs/>
                <w:noProof/>
              </w:rPr>
              <w:t>3</w:t>
            </w:r>
          </w:p>
        </w:tc>
      </w:tr>
      <w:tr w:rsidR="00CA2638" w14:paraId="0C71C5A7" w14:textId="77777777" w:rsidTr="0010294B">
        <w:trPr>
          <w:trHeight w:val="278"/>
        </w:trPr>
        <w:tc>
          <w:tcPr>
            <w:tcW w:w="1418" w:type="dxa"/>
            <w:vAlign w:val="center"/>
          </w:tcPr>
          <w:p w14:paraId="461AD327" w14:textId="77777777" w:rsidR="00CA2638" w:rsidRDefault="00CA2638" w:rsidP="0010294B">
            <w:pPr>
              <w:rPr>
                <w:rFonts w:cs="Arial"/>
                <w:noProof/>
              </w:rPr>
            </w:pPr>
            <w:r>
              <w:rPr>
                <w:rFonts w:cs="Arial"/>
                <w:noProof/>
              </w:rPr>
              <w:t>56-65</w:t>
            </w:r>
          </w:p>
        </w:tc>
        <w:tc>
          <w:tcPr>
            <w:tcW w:w="987" w:type="dxa"/>
            <w:vAlign w:val="center"/>
          </w:tcPr>
          <w:p w14:paraId="0E236094" w14:textId="77777777" w:rsidR="00CA2638" w:rsidRPr="001D1C01" w:rsidRDefault="00CA2638" w:rsidP="0010294B">
            <w:pPr>
              <w:jc w:val="right"/>
              <w:rPr>
                <w:rFonts w:cs="Arial"/>
                <w:noProof/>
              </w:rPr>
            </w:pPr>
            <w:r>
              <w:rPr>
                <w:rFonts w:cs="Arial"/>
                <w:noProof/>
              </w:rPr>
              <w:t>0</w:t>
            </w:r>
          </w:p>
        </w:tc>
        <w:tc>
          <w:tcPr>
            <w:tcW w:w="1134" w:type="dxa"/>
            <w:vAlign w:val="center"/>
          </w:tcPr>
          <w:p w14:paraId="7E3CC655" w14:textId="77777777" w:rsidR="00CA2638" w:rsidRPr="001D1C01" w:rsidRDefault="00CA2638" w:rsidP="0010294B">
            <w:pPr>
              <w:jc w:val="right"/>
              <w:rPr>
                <w:rFonts w:cs="Arial"/>
                <w:noProof/>
              </w:rPr>
            </w:pPr>
            <w:r>
              <w:rPr>
                <w:rFonts w:cs="Arial"/>
                <w:noProof/>
              </w:rPr>
              <w:t>0</w:t>
            </w:r>
          </w:p>
        </w:tc>
        <w:tc>
          <w:tcPr>
            <w:tcW w:w="851" w:type="dxa"/>
          </w:tcPr>
          <w:p w14:paraId="7C91B066" w14:textId="77777777" w:rsidR="00CA2638" w:rsidRPr="006B597B" w:rsidRDefault="00CA2638" w:rsidP="0010294B">
            <w:pPr>
              <w:jc w:val="right"/>
              <w:rPr>
                <w:rFonts w:cs="Arial"/>
                <w:b/>
                <w:bCs/>
                <w:noProof/>
              </w:rPr>
            </w:pPr>
            <w:r>
              <w:rPr>
                <w:rFonts w:cs="Arial"/>
                <w:b/>
                <w:bCs/>
                <w:noProof/>
              </w:rPr>
              <w:t>0</w:t>
            </w:r>
          </w:p>
        </w:tc>
        <w:tc>
          <w:tcPr>
            <w:tcW w:w="567" w:type="dxa"/>
            <w:tcBorders>
              <w:top w:val="nil"/>
              <w:bottom w:val="nil"/>
            </w:tcBorders>
          </w:tcPr>
          <w:p w14:paraId="7C292D44" w14:textId="77777777" w:rsidR="00CA2638" w:rsidRDefault="00CA2638" w:rsidP="0010294B">
            <w:pPr>
              <w:rPr>
                <w:rFonts w:cs="Arial"/>
                <w:noProof/>
              </w:rPr>
            </w:pPr>
          </w:p>
        </w:tc>
        <w:tc>
          <w:tcPr>
            <w:tcW w:w="1417" w:type="dxa"/>
            <w:vAlign w:val="center"/>
          </w:tcPr>
          <w:p w14:paraId="52BA7F6A" w14:textId="77777777" w:rsidR="00CA2638" w:rsidRPr="001D1C01" w:rsidRDefault="00CA2638" w:rsidP="0010294B">
            <w:pPr>
              <w:rPr>
                <w:rFonts w:cs="Arial"/>
                <w:noProof/>
              </w:rPr>
            </w:pPr>
            <w:r>
              <w:rPr>
                <w:rFonts w:cs="Arial"/>
                <w:noProof/>
              </w:rPr>
              <w:t>56-65</w:t>
            </w:r>
          </w:p>
        </w:tc>
        <w:tc>
          <w:tcPr>
            <w:tcW w:w="992" w:type="dxa"/>
            <w:vAlign w:val="center"/>
          </w:tcPr>
          <w:p w14:paraId="57B6ED22" w14:textId="77777777" w:rsidR="00CA2638" w:rsidRDefault="00CA2638" w:rsidP="0010294B">
            <w:pPr>
              <w:jc w:val="right"/>
              <w:rPr>
                <w:rFonts w:cs="Arial"/>
                <w:noProof/>
              </w:rPr>
            </w:pPr>
            <w:r>
              <w:rPr>
                <w:rFonts w:cs="Arial"/>
                <w:noProof/>
              </w:rPr>
              <w:t>2</w:t>
            </w:r>
          </w:p>
        </w:tc>
        <w:tc>
          <w:tcPr>
            <w:tcW w:w="1134" w:type="dxa"/>
            <w:vAlign w:val="center"/>
          </w:tcPr>
          <w:p w14:paraId="1FB41336" w14:textId="77777777" w:rsidR="00CA2638" w:rsidRDefault="00CA2638" w:rsidP="0010294B">
            <w:pPr>
              <w:jc w:val="right"/>
              <w:rPr>
                <w:rFonts w:cs="Arial"/>
                <w:noProof/>
              </w:rPr>
            </w:pPr>
            <w:r>
              <w:rPr>
                <w:rFonts w:cs="Arial"/>
                <w:noProof/>
              </w:rPr>
              <w:t>2</w:t>
            </w:r>
          </w:p>
        </w:tc>
        <w:tc>
          <w:tcPr>
            <w:tcW w:w="851" w:type="dxa"/>
          </w:tcPr>
          <w:p w14:paraId="5A51BAA2" w14:textId="77777777" w:rsidR="00CA2638" w:rsidRPr="006B597B" w:rsidRDefault="00CA2638" w:rsidP="0010294B">
            <w:pPr>
              <w:jc w:val="right"/>
              <w:rPr>
                <w:rFonts w:cs="Arial"/>
                <w:b/>
                <w:bCs/>
                <w:noProof/>
              </w:rPr>
            </w:pPr>
            <w:r>
              <w:rPr>
                <w:rFonts w:cs="Arial"/>
                <w:b/>
                <w:bCs/>
                <w:noProof/>
              </w:rPr>
              <w:t>4</w:t>
            </w:r>
          </w:p>
        </w:tc>
      </w:tr>
      <w:tr w:rsidR="00CA2638" w14:paraId="41BA8EFD" w14:textId="77777777" w:rsidTr="0010294B">
        <w:trPr>
          <w:trHeight w:val="278"/>
        </w:trPr>
        <w:tc>
          <w:tcPr>
            <w:tcW w:w="1418" w:type="dxa"/>
            <w:vAlign w:val="center"/>
          </w:tcPr>
          <w:p w14:paraId="03B84142" w14:textId="77777777" w:rsidR="00CA2638" w:rsidRDefault="00CA2638" w:rsidP="0010294B">
            <w:pPr>
              <w:rPr>
                <w:rFonts w:cs="Arial"/>
                <w:noProof/>
              </w:rPr>
            </w:pPr>
            <w:r>
              <w:rPr>
                <w:rFonts w:cs="Arial"/>
                <w:noProof/>
              </w:rPr>
              <w:t>66-75</w:t>
            </w:r>
          </w:p>
        </w:tc>
        <w:tc>
          <w:tcPr>
            <w:tcW w:w="987" w:type="dxa"/>
            <w:vAlign w:val="center"/>
          </w:tcPr>
          <w:p w14:paraId="4EAC2D2F" w14:textId="77777777" w:rsidR="00CA2638" w:rsidRPr="001D1C01" w:rsidRDefault="00CA2638" w:rsidP="0010294B">
            <w:pPr>
              <w:jc w:val="right"/>
              <w:rPr>
                <w:rFonts w:cs="Arial"/>
                <w:noProof/>
              </w:rPr>
            </w:pPr>
            <w:r>
              <w:rPr>
                <w:rFonts w:cs="Arial"/>
                <w:noProof/>
              </w:rPr>
              <w:t>0</w:t>
            </w:r>
          </w:p>
        </w:tc>
        <w:tc>
          <w:tcPr>
            <w:tcW w:w="1134" w:type="dxa"/>
            <w:vAlign w:val="center"/>
          </w:tcPr>
          <w:p w14:paraId="3E4E445C" w14:textId="77777777" w:rsidR="00CA2638" w:rsidRPr="001D1C01" w:rsidRDefault="00CA2638" w:rsidP="0010294B">
            <w:pPr>
              <w:jc w:val="right"/>
              <w:rPr>
                <w:rFonts w:cs="Arial"/>
                <w:noProof/>
              </w:rPr>
            </w:pPr>
            <w:r>
              <w:rPr>
                <w:rFonts w:cs="Arial"/>
                <w:noProof/>
              </w:rPr>
              <w:t>0</w:t>
            </w:r>
          </w:p>
        </w:tc>
        <w:tc>
          <w:tcPr>
            <w:tcW w:w="851" w:type="dxa"/>
          </w:tcPr>
          <w:p w14:paraId="5BA1408E" w14:textId="77777777" w:rsidR="00CA2638" w:rsidRPr="006B597B" w:rsidRDefault="00CA2638" w:rsidP="0010294B">
            <w:pPr>
              <w:jc w:val="right"/>
              <w:rPr>
                <w:rFonts w:cs="Arial"/>
                <w:b/>
                <w:bCs/>
                <w:noProof/>
              </w:rPr>
            </w:pPr>
            <w:r>
              <w:rPr>
                <w:rFonts w:cs="Arial"/>
                <w:b/>
                <w:bCs/>
                <w:noProof/>
              </w:rPr>
              <w:t>0</w:t>
            </w:r>
          </w:p>
        </w:tc>
        <w:tc>
          <w:tcPr>
            <w:tcW w:w="567" w:type="dxa"/>
            <w:tcBorders>
              <w:top w:val="nil"/>
              <w:bottom w:val="nil"/>
            </w:tcBorders>
          </w:tcPr>
          <w:p w14:paraId="54367E32" w14:textId="77777777" w:rsidR="00CA2638" w:rsidRDefault="00CA2638" w:rsidP="0010294B">
            <w:pPr>
              <w:rPr>
                <w:rFonts w:cs="Arial"/>
                <w:noProof/>
              </w:rPr>
            </w:pPr>
          </w:p>
        </w:tc>
        <w:tc>
          <w:tcPr>
            <w:tcW w:w="1417" w:type="dxa"/>
            <w:vAlign w:val="center"/>
          </w:tcPr>
          <w:p w14:paraId="4994329C" w14:textId="77777777" w:rsidR="00CA2638" w:rsidRPr="001D1C01" w:rsidRDefault="00CA2638" w:rsidP="0010294B">
            <w:pPr>
              <w:rPr>
                <w:rFonts w:cs="Arial"/>
                <w:noProof/>
              </w:rPr>
            </w:pPr>
            <w:r>
              <w:rPr>
                <w:rFonts w:cs="Arial"/>
                <w:noProof/>
              </w:rPr>
              <w:t>66-75</w:t>
            </w:r>
          </w:p>
        </w:tc>
        <w:tc>
          <w:tcPr>
            <w:tcW w:w="992" w:type="dxa"/>
            <w:vAlign w:val="center"/>
          </w:tcPr>
          <w:p w14:paraId="55665A78" w14:textId="77777777" w:rsidR="00CA2638" w:rsidRDefault="00CA2638" w:rsidP="0010294B">
            <w:pPr>
              <w:jc w:val="right"/>
              <w:rPr>
                <w:rFonts w:cs="Arial"/>
                <w:noProof/>
              </w:rPr>
            </w:pPr>
            <w:r>
              <w:rPr>
                <w:rFonts w:cs="Arial"/>
                <w:noProof/>
              </w:rPr>
              <w:t>3</w:t>
            </w:r>
          </w:p>
        </w:tc>
        <w:tc>
          <w:tcPr>
            <w:tcW w:w="1134" w:type="dxa"/>
            <w:vAlign w:val="center"/>
          </w:tcPr>
          <w:p w14:paraId="52A99897" w14:textId="77777777" w:rsidR="00CA2638" w:rsidRDefault="00CA2638" w:rsidP="0010294B">
            <w:pPr>
              <w:jc w:val="right"/>
              <w:rPr>
                <w:rFonts w:cs="Arial"/>
                <w:noProof/>
              </w:rPr>
            </w:pPr>
            <w:r>
              <w:rPr>
                <w:rFonts w:cs="Arial"/>
                <w:noProof/>
              </w:rPr>
              <w:t>3</w:t>
            </w:r>
          </w:p>
        </w:tc>
        <w:tc>
          <w:tcPr>
            <w:tcW w:w="851" w:type="dxa"/>
          </w:tcPr>
          <w:p w14:paraId="4F4FC161" w14:textId="77777777" w:rsidR="00CA2638" w:rsidRPr="006B597B" w:rsidRDefault="00CA2638" w:rsidP="0010294B">
            <w:pPr>
              <w:jc w:val="right"/>
              <w:rPr>
                <w:rFonts w:cs="Arial"/>
                <w:b/>
                <w:bCs/>
                <w:noProof/>
              </w:rPr>
            </w:pPr>
            <w:r>
              <w:rPr>
                <w:rFonts w:cs="Arial"/>
                <w:b/>
                <w:bCs/>
                <w:noProof/>
              </w:rPr>
              <w:t>6</w:t>
            </w:r>
          </w:p>
        </w:tc>
      </w:tr>
      <w:tr w:rsidR="00CA2638" w14:paraId="2A7EFF43" w14:textId="77777777" w:rsidTr="0010294B">
        <w:trPr>
          <w:trHeight w:val="278"/>
        </w:trPr>
        <w:tc>
          <w:tcPr>
            <w:tcW w:w="1418" w:type="dxa"/>
            <w:vAlign w:val="center"/>
          </w:tcPr>
          <w:p w14:paraId="2D0C5734" w14:textId="77777777" w:rsidR="00CA2638" w:rsidRDefault="00CA2638" w:rsidP="0010294B">
            <w:pPr>
              <w:rPr>
                <w:rFonts w:cs="Arial"/>
                <w:noProof/>
              </w:rPr>
            </w:pPr>
            <w:r>
              <w:rPr>
                <w:rFonts w:cs="Arial"/>
                <w:noProof/>
              </w:rPr>
              <w:t>76-85</w:t>
            </w:r>
          </w:p>
        </w:tc>
        <w:tc>
          <w:tcPr>
            <w:tcW w:w="987" w:type="dxa"/>
            <w:vAlign w:val="center"/>
          </w:tcPr>
          <w:p w14:paraId="4D7A30D2" w14:textId="77777777" w:rsidR="00CA2638" w:rsidRPr="001D1C01" w:rsidRDefault="00CA2638" w:rsidP="0010294B">
            <w:pPr>
              <w:jc w:val="right"/>
              <w:rPr>
                <w:rFonts w:cs="Arial"/>
                <w:noProof/>
              </w:rPr>
            </w:pPr>
            <w:r>
              <w:rPr>
                <w:rFonts w:cs="Arial"/>
                <w:noProof/>
              </w:rPr>
              <w:t>0</w:t>
            </w:r>
          </w:p>
        </w:tc>
        <w:tc>
          <w:tcPr>
            <w:tcW w:w="1134" w:type="dxa"/>
            <w:vAlign w:val="center"/>
          </w:tcPr>
          <w:p w14:paraId="63AFB457" w14:textId="77777777" w:rsidR="00CA2638" w:rsidRPr="001D1C01" w:rsidRDefault="00CA2638" w:rsidP="0010294B">
            <w:pPr>
              <w:jc w:val="right"/>
              <w:rPr>
                <w:rFonts w:cs="Arial"/>
                <w:noProof/>
              </w:rPr>
            </w:pPr>
            <w:r>
              <w:rPr>
                <w:rFonts w:cs="Arial"/>
                <w:noProof/>
              </w:rPr>
              <w:t>0</w:t>
            </w:r>
          </w:p>
        </w:tc>
        <w:tc>
          <w:tcPr>
            <w:tcW w:w="851" w:type="dxa"/>
          </w:tcPr>
          <w:p w14:paraId="66A65574" w14:textId="77777777" w:rsidR="00CA2638" w:rsidRPr="006B597B" w:rsidRDefault="00CA2638" w:rsidP="0010294B">
            <w:pPr>
              <w:jc w:val="right"/>
              <w:rPr>
                <w:rFonts w:cs="Arial"/>
                <w:b/>
                <w:bCs/>
                <w:noProof/>
              </w:rPr>
            </w:pPr>
            <w:r>
              <w:rPr>
                <w:rFonts w:cs="Arial"/>
                <w:b/>
                <w:bCs/>
                <w:noProof/>
              </w:rPr>
              <w:t>0</w:t>
            </w:r>
          </w:p>
        </w:tc>
        <w:tc>
          <w:tcPr>
            <w:tcW w:w="567" w:type="dxa"/>
            <w:tcBorders>
              <w:top w:val="nil"/>
              <w:bottom w:val="nil"/>
            </w:tcBorders>
          </w:tcPr>
          <w:p w14:paraId="162939E8" w14:textId="77777777" w:rsidR="00CA2638" w:rsidRDefault="00CA2638" w:rsidP="0010294B">
            <w:pPr>
              <w:rPr>
                <w:rFonts w:cs="Arial"/>
                <w:noProof/>
              </w:rPr>
            </w:pPr>
          </w:p>
        </w:tc>
        <w:tc>
          <w:tcPr>
            <w:tcW w:w="1417" w:type="dxa"/>
            <w:vAlign w:val="center"/>
          </w:tcPr>
          <w:p w14:paraId="469F28F0" w14:textId="77777777" w:rsidR="00CA2638" w:rsidRPr="001D1C01" w:rsidRDefault="00CA2638" w:rsidP="0010294B">
            <w:pPr>
              <w:rPr>
                <w:rFonts w:cs="Arial"/>
                <w:noProof/>
              </w:rPr>
            </w:pPr>
            <w:r>
              <w:rPr>
                <w:rFonts w:cs="Arial"/>
                <w:noProof/>
              </w:rPr>
              <w:t>76-85</w:t>
            </w:r>
          </w:p>
        </w:tc>
        <w:tc>
          <w:tcPr>
            <w:tcW w:w="992" w:type="dxa"/>
            <w:vAlign w:val="center"/>
          </w:tcPr>
          <w:p w14:paraId="62F246BE" w14:textId="77777777" w:rsidR="00CA2638" w:rsidRDefault="00CA2638" w:rsidP="0010294B">
            <w:pPr>
              <w:jc w:val="right"/>
              <w:rPr>
                <w:rFonts w:cs="Arial"/>
                <w:noProof/>
              </w:rPr>
            </w:pPr>
            <w:r>
              <w:rPr>
                <w:rFonts w:cs="Arial"/>
                <w:noProof/>
              </w:rPr>
              <w:t>0</w:t>
            </w:r>
          </w:p>
        </w:tc>
        <w:tc>
          <w:tcPr>
            <w:tcW w:w="1134" w:type="dxa"/>
            <w:vAlign w:val="center"/>
          </w:tcPr>
          <w:p w14:paraId="0390D2C6" w14:textId="77777777" w:rsidR="00CA2638" w:rsidRDefault="00CA2638" w:rsidP="0010294B">
            <w:pPr>
              <w:jc w:val="right"/>
              <w:rPr>
                <w:rFonts w:cs="Arial"/>
                <w:noProof/>
              </w:rPr>
            </w:pPr>
            <w:r>
              <w:rPr>
                <w:rFonts w:cs="Arial"/>
                <w:noProof/>
              </w:rPr>
              <w:t>0</w:t>
            </w:r>
          </w:p>
        </w:tc>
        <w:tc>
          <w:tcPr>
            <w:tcW w:w="851" w:type="dxa"/>
          </w:tcPr>
          <w:p w14:paraId="65F2B10C" w14:textId="77777777" w:rsidR="00CA2638" w:rsidRPr="006B597B" w:rsidRDefault="00CA2638" w:rsidP="0010294B">
            <w:pPr>
              <w:jc w:val="right"/>
              <w:rPr>
                <w:rFonts w:cs="Arial"/>
                <w:b/>
                <w:bCs/>
                <w:noProof/>
              </w:rPr>
            </w:pPr>
            <w:r>
              <w:rPr>
                <w:rFonts w:cs="Arial"/>
                <w:b/>
                <w:bCs/>
                <w:noProof/>
              </w:rPr>
              <w:t>0</w:t>
            </w:r>
          </w:p>
        </w:tc>
      </w:tr>
      <w:tr w:rsidR="00CA2638" w14:paraId="4E216DBE" w14:textId="77777777" w:rsidTr="0010294B">
        <w:trPr>
          <w:trHeight w:val="278"/>
        </w:trPr>
        <w:tc>
          <w:tcPr>
            <w:tcW w:w="1418" w:type="dxa"/>
            <w:vAlign w:val="center"/>
          </w:tcPr>
          <w:p w14:paraId="65138860" w14:textId="77777777" w:rsidR="00CA2638" w:rsidRPr="0093391D" w:rsidRDefault="00CA2638" w:rsidP="0010294B">
            <w:pPr>
              <w:rPr>
                <w:rFonts w:cs="Arial"/>
                <w:b/>
                <w:bCs/>
                <w:noProof/>
              </w:rPr>
            </w:pPr>
            <w:r w:rsidRPr="0093391D">
              <w:rPr>
                <w:rFonts w:cs="Arial"/>
                <w:b/>
                <w:bCs/>
                <w:noProof/>
              </w:rPr>
              <w:t>Total</w:t>
            </w:r>
          </w:p>
        </w:tc>
        <w:tc>
          <w:tcPr>
            <w:tcW w:w="987" w:type="dxa"/>
            <w:vAlign w:val="center"/>
          </w:tcPr>
          <w:p w14:paraId="3963BF50" w14:textId="77777777" w:rsidR="00CA2638" w:rsidRPr="0093391D" w:rsidRDefault="00CA2638" w:rsidP="0010294B">
            <w:pPr>
              <w:jc w:val="right"/>
              <w:rPr>
                <w:rFonts w:cs="Arial"/>
                <w:b/>
                <w:bCs/>
                <w:noProof/>
              </w:rPr>
            </w:pPr>
            <w:r>
              <w:rPr>
                <w:rFonts w:cs="Arial"/>
                <w:b/>
                <w:bCs/>
                <w:noProof/>
              </w:rPr>
              <w:t>1</w:t>
            </w:r>
          </w:p>
        </w:tc>
        <w:tc>
          <w:tcPr>
            <w:tcW w:w="1134" w:type="dxa"/>
            <w:vAlign w:val="center"/>
          </w:tcPr>
          <w:p w14:paraId="42AF443E" w14:textId="77777777" w:rsidR="00CA2638" w:rsidRPr="0093391D" w:rsidRDefault="00CA2638" w:rsidP="0010294B">
            <w:pPr>
              <w:jc w:val="right"/>
              <w:rPr>
                <w:rFonts w:cs="Arial"/>
                <w:b/>
                <w:bCs/>
                <w:noProof/>
              </w:rPr>
            </w:pPr>
            <w:r>
              <w:rPr>
                <w:rFonts w:cs="Arial"/>
                <w:b/>
                <w:bCs/>
                <w:noProof/>
              </w:rPr>
              <w:t>12</w:t>
            </w:r>
          </w:p>
        </w:tc>
        <w:tc>
          <w:tcPr>
            <w:tcW w:w="851" w:type="dxa"/>
          </w:tcPr>
          <w:p w14:paraId="58D9D2BE" w14:textId="77777777" w:rsidR="00CA2638" w:rsidRPr="006B597B" w:rsidRDefault="00CA2638" w:rsidP="0010294B">
            <w:pPr>
              <w:jc w:val="right"/>
              <w:rPr>
                <w:rFonts w:cs="Arial"/>
                <w:b/>
                <w:bCs/>
                <w:noProof/>
              </w:rPr>
            </w:pPr>
            <w:r>
              <w:rPr>
                <w:rFonts w:cs="Arial"/>
                <w:b/>
                <w:bCs/>
                <w:noProof/>
              </w:rPr>
              <w:t>13</w:t>
            </w:r>
          </w:p>
        </w:tc>
        <w:tc>
          <w:tcPr>
            <w:tcW w:w="567" w:type="dxa"/>
            <w:tcBorders>
              <w:top w:val="nil"/>
              <w:bottom w:val="nil"/>
            </w:tcBorders>
          </w:tcPr>
          <w:p w14:paraId="3776A328" w14:textId="77777777" w:rsidR="00CA2638" w:rsidRDefault="00CA2638" w:rsidP="0010294B">
            <w:pPr>
              <w:rPr>
                <w:rFonts w:cs="Arial"/>
                <w:noProof/>
              </w:rPr>
            </w:pPr>
          </w:p>
        </w:tc>
        <w:tc>
          <w:tcPr>
            <w:tcW w:w="1417" w:type="dxa"/>
            <w:vAlign w:val="center"/>
          </w:tcPr>
          <w:p w14:paraId="5D5E1118" w14:textId="77777777" w:rsidR="00CA2638" w:rsidRPr="0093391D" w:rsidRDefault="00CA2638" w:rsidP="0010294B">
            <w:pPr>
              <w:rPr>
                <w:rFonts w:cs="Arial"/>
                <w:b/>
                <w:bCs/>
                <w:noProof/>
              </w:rPr>
            </w:pPr>
            <w:r w:rsidRPr="0093391D">
              <w:rPr>
                <w:rFonts w:cs="Arial"/>
                <w:b/>
                <w:bCs/>
                <w:noProof/>
              </w:rPr>
              <w:t>Total</w:t>
            </w:r>
          </w:p>
        </w:tc>
        <w:tc>
          <w:tcPr>
            <w:tcW w:w="992" w:type="dxa"/>
            <w:vAlign w:val="center"/>
          </w:tcPr>
          <w:p w14:paraId="7CC29E35" w14:textId="77777777" w:rsidR="00CA2638" w:rsidRPr="0093391D" w:rsidRDefault="00CA2638" w:rsidP="0010294B">
            <w:pPr>
              <w:jc w:val="right"/>
              <w:rPr>
                <w:rFonts w:cs="Arial"/>
                <w:b/>
                <w:bCs/>
                <w:noProof/>
              </w:rPr>
            </w:pPr>
            <w:r>
              <w:rPr>
                <w:rFonts w:cs="Arial"/>
                <w:b/>
                <w:bCs/>
                <w:noProof/>
              </w:rPr>
              <w:t>10</w:t>
            </w:r>
          </w:p>
        </w:tc>
        <w:tc>
          <w:tcPr>
            <w:tcW w:w="1134" w:type="dxa"/>
            <w:vAlign w:val="center"/>
          </w:tcPr>
          <w:p w14:paraId="513C44F3" w14:textId="77777777" w:rsidR="00CA2638" w:rsidRPr="0093391D" w:rsidRDefault="00CA2638" w:rsidP="0010294B">
            <w:pPr>
              <w:jc w:val="right"/>
              <w:rPr>
                <w:rFonts w:cs="Arial"/>
                <w:b/>
                <w:bCs/>
                <w:noProof/>
              </w:rPr>
            </w:pPr>
            <w:r>
              <w:rPr>
                <w:rFonts w:cs="Arial"/>
                <w:b/>
                <w:bCs/>
                <w:noProof/>
              </w:rPr>
              <w:t>22</w:t>
            </w:r>
          </w:p>
        </w:tc>
        <w:tc>
          <w:tcPr>
            <w:tcW w:w="851" w:type="dxa"/>
          </w:tcPr>
          <w:p w14:paraId="102DF51F" w14:textId="77777777" w:rsidR="00CA2638" w:rsidRPr="0093391D" w:rsidRDefault="00CA2638" w:rsidP="0010294B">
            <w:pPr>
              <w:jc w:val="right"/>
              <w:rPr>
                <w:rFonts w:cs="Arial"/>
                <w:b/>
                <w:bCs/>
                <w:noProof/>
              </w:rPr>
            </w:pPr>
            <w:r>
              <w:rPr>
                <w:rFonts w:cs="Arial"/>
                <w:b/>
                <w:bCs/>
                <w:noProof/>
              </w:rPr>
              <w:t>32</w:t>
            </w:r>
          </w:p>
        </w:tc>
      </w:tr>
      <w:bookmarkEnd w:id="26"/>
    </w:tbl>
    <w:p w14:paraId="60B0497B" w14:textId="01BB93AD" w:rsidR="00BE44FF" w:rsidRPr="00BE44FF" w:rsidRDefault="00BE44FF" w:rsidP="0070366B">
      <w:pPr>
        <w:ind w:left="-142" w:right="-425"/>
        <w:jc w:val="both"/>
        <w:rPr>
          <w:rFonts w:cs="Arial"/>
        </w:rPr>
      </w:pPr>
    </w:p>
    <w:p w14:paraId="1159CB03" w14:textId="456577C3" w:rsidR="009466F4" w:rsidRPr="00076ED0" w:rsidRDefault="009466F4" w:rsidP="00F034B6">
      <w:pPr>
        <w:pStyle w:val="Heading2"/>
      </w:pPr>
      <w:r w:rsidRPr="00076ED0">
        <w:t>Case Management</w:t>
      </w:r>
    </w:p>
    <w:p w14:paraId="7A8A0342" w14:textId="0D889D60" w:rsidR="00A009FE" w:rsidRDefault="00D32026" w:rsidP="001060CD">
      <w:pPr>
        <w:ind w:left="-142" w:right="-425"/>
        <w:jc w:val="both"/>
        <w:rPr>
          <w:rFonts w:cs="Arial"/>
        </w:rPr>
      </w:pPr>
      <w:r w:rsidRPr="00D32026">
        <w:rPr>
          <w:rFonts w:cs="Arial"/>
        </w:rPr>
        <w:t>Commissioners are guided by the FRC Act, sections 4 and 5, to encourage community members to engage in socially responsible ways, and in doing so, make appropriate use of</w:t>
      </w:r>
      <w:r w:rsidRPr="00F1037E">
        <w:rPr>
          <w:rFonts w:cs="Arial"/>
        </w:rPr>
        <w:t xml:space="preserve"> community support services. The Commissioners use the referral pathways available in each community to strengthen the client’s resilience to face the challenges they experience, and to ensure the wellbeing and safety of children and vulnerable people thro</w:t>
      </w:r>
      <w:r w:rsidRPr="007E39AC">
        <w:rPr>
          <w:rFonts w:cs="Arial"/>
        </w:rPr>
        <w:t xml:space="preserve">ugh broad-based counselling and education. </w:t>
      </w:r>
      <w:r w:rsidR="0048467D">
        <w:rPr>
          <w:rFonts w:cs="Arial"/>
        </w:rPr>
        <w:t xml:space="preserve">After conference and for the duration of a case plan referral, the FRC registry liaises with clients and support services to monitor the client’s progress against meeting case plan goals. Where appropriate, clients are encouraged to make an application to amend or end their case plan to ensure their evolving needs are met. </w:t>
      </w:r>
      <w:r w:rsidRPr="00D32026">
        <w:rPr>
          <w:rFonts w:cs="Arial"/>
        </w:rPr>
        <w:t xml:space="preserve">Commissioners </w:t>
      </w:r>
      <w:r w:rsidRPr="00280607">
        <w:rPr>
          <w:rFonts w:cs="Arial"/>
        </w:rPr>
        <w:t xml:space="preserve">then consider each application to ascertain whether the client has made sufficient progress to justify </w:t>
      </w:r>
      <w:r w:rsidR="00111A66">
        <w:rPr>
          <w:rFonts w:cs="Arial"/>
        </w:rPr>
        <w:t xml:space="preserve">approving the application </w:t>
      </w:r>
      <w:r w:rsidR="00B85205">
        <w:rPr>
          <w:rFonts w:cs="Arial"/>
        </w:rPr>
        <w:t xml:space="preserve">and </w:t>
      </w:r>
      <w:r w:rsidR="00111A66">
        <w:rPr>
          <w:rFonts w:cs="Arial"/>
        </w:rPr>
        <w:t xml:space="preserve">in doing so must consider </w:t>
      </w:r>
      <w:r w:rsidR="00B85205">
        <w:rPr>
          <w:rFonts w:cs="Arial"/>
        </w:rPr>
        <w:t xml:space="preserve">whether any detriment might </w:t>
      </w:r>
      <w:r w:rsidR="00111A66">
        <w:rPr>
          <w:rFonts w:cs="Arial"/>
        </w:rPr>
        <w:t xml:space="preserve">impact the welfare of relevant </w:t>
      </w:r>
      <w:r w:rsidR="00B85205">
        <w:rPr>
          <w:rFonts w:cs="Arial"/>
        </w:rPr>
        <w:t>children</w:t>
      </w:r>
      <w:r w:rsidR="00111A66">
        <w:rPr>
          <w:rFonts w:cs="Arial"/>
        </w:rPr>
        <w:t xml:space="preserve"> and</w:t>
      </w:r>
      <w:r w:rsidR="00B85205">
        <w:rPr>
          <w:rFonts w:cs="Arial"/>
        </w:rPr>
        <w:t>/</w:t>
      </w:r>
      <w:r w:rsidR="00111A66">
        <w:rPr>
          <w:rFonts w:cs="Arial"/>
        </w:rPr>
        <w:t xml:space="preserve">or </w:t>
      </w:r>
      <w:r w:rsidR="00B85205">
        <w:rPr>
          <w:rFonts w:cs="Arial"/>
        </w:rPr>
        <w:t>vulnerable persons</w:t>
      </w:r>
      <w:r w:rsidRPr="00280607">
        <w:rPr>
          <w:rFonts w:cs="Arial"/>
        </w:rPr>
        <w:t>.</w:t>
      </w:r>
      <w:r w:rsidR="001060CD">
        <w:rPr>
          <w:rFonts w:cs="Arial"/>
        </w:rPr>
        <w:t xml:space="preserve"> </w:t>
      </w:r>
      <w:r w:rsidR="009466F4" w:rsidRPr="00350FFE">
        <w:rPr>
          <w:rFonts w:cs="Arial"/>
        </w:rPr>
        <w:t xml:space="preserve">As at </w:t>
      </w:r>
      <w:r w:rsidR="007B7E78">
        <w:rPr>
          <w:rFonts w:cs="Arial"/>
        </w:rPr>
        <w:t>3</w:t>
      </w:r>
      <w:r w:rsidR="00897E82">
        <w:rPr>
          <w:rFonts w:cs="Arial"/>
        </w:rPr>
        <w:t xml:space="preserve">0 </w:t>
      </w:r>
      <w:r w:rsidR="0094510A">
        <w:rPr>
          <w:rFonts w:cs="Arial"/>
        </w:rPr>
        <w:t xml:space="preserve">September </w:t>
      </w:r>
      <w:r w:rsidR="00984BBB">
        <w:rPr>
          <w:rFonts w:cs="Arial"/>
        </w:rPr>
        <w:t>2023</w:t>
      </w:r>
      <w:r w:rsidR="009466F4" w:rsidRPr="00303C40">
        <w:rPr>
          <w:rFonts w:cs="Arial"/>
        </w:rPr>
        <w:t xml:space="preserve">, </w:t>
      </w:r>
      <w:r w:rsidR="0094510A">
        <w:rPr>
          <w:rFonts w:cs="Arial"/>
        </w:rPr>
        <w:t xml:space="preserve">162 </w:t>
      </w:r>
      <w:r w:rsidR="009466F4" w:rsidRPr="00303C40">
        <w:rPr>
          <w:rFonts w:cs="Arial"/>
        </w:rPr>
        <w:t xml:space="preserve">clients were being </w:t>
      </w:r>
      <w:r w:rsidR="009466F4" w:rsidRPr="00490975">
        <w:rPr>
          <w:rFonts w:cs="Arial"/>
        </w:rPr>
        <w:t>case-managed</w:t>
      </w:r>
      <w:r w:rsidR="009466F4">
        <w:rPr>
          <w:rFonts w:cs="Arial"/>
        </w:rPr>
        <w:t xml:space="preserve"> through a current </w:t>
      </w:r>
      <w:r w:rsidR="002D09E1">
        <w:rPr>
          <w:rFonts w:cs="Arial"/>
        </w:rPr>
        <w:t xml:space="preserve">non-voluntary </w:t>
      </w:r>
      <w:r w:rsidR="009466F4">
        <w:rPr>
          <w:rFonts w:cs="Arial"/>
        </w:rPr>
        <w:t>case plan</w:t>
      </w:r>
      <w:r w:rsidR="001137C8">
        <w:rPr>
          <w:rFonts w:cs="Arial"/>
        </w:rPr>
        <w:t>.</w:t>
      </w:r>
    </w:p>
    <w:p w14:paraId="0DE12B56" w14:textId="77777777" w:rsidR="008D6080" w:rsidRDefault="008D6080" w:rsidP="00E2657A">
      <w:pPr>
        <w:ind w:left="-142" w:right="-425"/>
        <w:jc w:val="both"/>
        <w:rPr>
          <w:rFonts w:cs="Arial"/>
        </w:rPr>
      </w:pPr>
    </w:p>
    <w:p w14:paraId="6544B717" w14:textId="44C27BD3" w:rsidR="005A5B78" w:rsidRDefault="005A5B78" w:rsidP="00F034B6">
      <w:pPr>
        <w:pStyle w:val="Heading2"/>
      </w:pPr>
      <w:r w:rsidRPr="00076ED0">
        <w:t xml:space="preserve">Applications to </w:t>
      </w:r>
      <w:r w:rsidR="009017F3">
        <w:t>a</w:t>
      </w:r>
      <w:r w:rsidRPr="00076ED0">
        <w:t xml:space="preserve">mend or </w:t>
      </w:r>
      <w:r w:rsidR="009017F3">
        <w:t>e</w:t>
      </w:r>
      <w:r w:rsidRPr="00076ED0">
        <w:t>nd Agreements or Orders</w:t>
      </w:r>
      <w:r w:rsidR="008E2BAB">
        <w:t xml:space="preserve"> inclusive of Voluntary Agreements</w:t>
      </w:r>
    </w:p>
    <w:p w14:paraId="09B56767" w14:textId="11888827" w:rsidR="00BA2C0C" w:rsidRPr="00280607" w:rsidRDefault="00BA2C0C" w:rsidP="00280607">
      <w:pPr>
        <w:ind w:left="-142" w:right="-425"/>
        <w:jc w:val="both"/>
        <w:rPr>
          <w:rFonts w:cs="Arial"/>
        </w:rPr>
      </w:pPr>
      <w:r w:rsidRPr="00280607">
        <w:rPr>
          <w:rFonts w:cs="Arial"/>
        </w:rPr>
        <w:t>Applications to amend or end an agreement or order are considered an important means of ensuring that FRC decisions remain applicable to the changing needs and circumstances of clients. This mechanism affords clients an opportunity to apply to the Commission to amend or end their agreement or original order by providing their reasons for making the application. Commissioners view the hearing of the applications as an opportunity to engage with clients.</w:t>
      </w:r>
    </w:p>
    <w:p w14:paraId="042E9276" w14:textId="77777777" w:rsidR="00BA2C0C" w:rsidRDefault="00BA2C0C" w:rsidP="00FF351C">
      <w:pPr>
        <w:ind w:left="-142" w:right="-425"/>
        <w:jc w:val="both"/>
        <w:rPr>
          <w:rFonts w:cs="Arial"/>
        </w:rPr>
      </w:pPr>
    </w:p>
    <w:p w14:paraId="747CCCBA" w14:textId="746D5857" w:rsidR="00FF351C" w:rsidRDefault="0094510A" w:rsidP="00FF351C">
      <w:pPr>
        <w:ind w:left="-142" w:right="-425"/>
        <w:jc w:val="both"/>
        <w:rPr>
          <w:rFonts w:cs="Arial"/>
        </w:rPr>
      </w:pPr>
      <w:r>
        <w:rPr>
          <w:rFonts w:cs="Arial"/>
        </w:rPr>
        <w:t xml:space="preserve">Six </w:t>
      </w:r>
      <w:r w:rsidR="00FF351C">
        <w:rPr>
          <w:rFonts w:cs="Arial"/>
        </w:rPr>
        <w:t>a</w:t>
      </w:r>
      <w:r w:rsidR="00FF351C" w:rsidRPr="009E1D38">
        <w:rPr>
          <w:rFonts w:cs="Arial"/>
        </w:rPr>
        <w:t xml:space="preserve">pplications </w:t>
      </w:r>
      <w:r w:rsidR="00FF351C">
        <w:rPr>
          <w:rFonts w:cs="Arial"/>
        </w:rPr>
        <w:t xml:space="preserve">relating to </w:t>
      </w:r>
      <w:r>
        <w:rPr>
          <w:rFonts w:cs="Arial"/>
        </w:rPr>
        <w:t>6</w:t>
      </w:r>
      <w:r w:rsidR="00BD5CF2">
        <w:rPr>
          <w:rFonts w:cs="Arial"/>
        </w:rPr>
        <w:t xml:space="preserve"> </w:t>
      </w:r>
      <w:r w:rsidR="00FF351C">
        <w:rPr>
          <w:rFonts w:cs="Arial"/>
        </w:rPr>
        <w:t>clients (</w:t>
      </w:r>
      <w:r w:rsidR="00BD5CF2">
        <w:rPr>
          <w:rFonts w:cs="Arial"/>
        </w:rPr>
        <w:t>5</w:t>
      </w:r>
      <w:r w:rsidR="00390D07">
        <w:rPr>
          <w:rFonts w:cs="Arial"/>
        </w:rPr>
        <w:t xml:space="preserve"> </w:t>
      </w:r>
      <w:r w:rsidR="00FF351C">
        <w:rPr>
          <w:rFonts w:cs="Arial"/>
        </w:rPr>
        <w:t xml:space="preserve">female and </w:t>
      </w:r>
      <w:r>
        <w:rPr>
          <w:rFonts w:cs="Arial"/>
        </w:rPr>
        <w:t>1</w:t>
      </w:r>
      <w:r w:rsidR="002F0F22">
        <w:rPr>
          <w:rFonts w:cs="Arial"/>
        </w:rPr>
        <w:t xml:space="preserve"> </w:t>
      </w:r>
      <w:r w:rsidR="00FF351C">
        <w:rPr>
          <w:rFonts w:cs="Arial"/>
        </w:rPr>
        <w:t xml:space="preserve">male) </w:t>
      </w:r>
      <w:r w:rsidR="00FF351C" w:rsidRPr="009E1D38">
        <w:rPr>
          <w:rFonts w:cs="Arial"/>
        </w:rPr>
        <w:t xml:space="preserve">to </w:t>
      </w:r>
      <w:r w:rsidR="009017F3">
        <w:rPr>
          <w:rFonts w:cs="Arial"/>
        </w:rPr>
        <w:t>a</w:t>
      </w:r>
      <w:r w:rsidR="00FF351C" w:rsidRPr="009E1D38">
        <w:rPr>
          <w:rFonts w:cs="Arial"/>
        </w:rPr>
        <w:t xml:space="preserve">mend or </w:t>
      </w:r>
      <w:r w:rsidR="009017F3">
        <w:rPr>
          <w:rFonts w:cs="Arial"/>
        </w:rPr>
        <w:t>e</w:t>
      </w:r>
      <w:r w:rsidR="00FF351C" w:rsidRPr="009E1D38">
        <w:rPr>
          <w:rFonts w:cs="Arial"/>
        </w:rPr>
        <w:t xml:space="preserve">nd </w:t>
      </w:r>
      <w:r w:rsidR="00FF351C">
        <w:rPr>
          <w:rFonts w:cs="Arial"/>
        </w:rPr>
        <w:t xml:space="preserve">an </w:t>
      </w:r>
      <w:r w:rsidR="00FF351C" w:rsidRPr="009E1D38">
        <w:rPr>
          <w:rFonts w:cs="Arial"/>
        </w:rPr>
        <w:t>Agreement</w:t>
      </w:r>
      <w:r w:rsidR="00FF351C">
        <w:rPr>
          <w:rFonts w:cs="Arial"/>
        </w:rPr>
        <w:t xml:space="preserve">, </w:t>
      </w:r>
      <w:r w:rsidR="00FF351C" w:rsidRPr="009E1D38">
        <w:rPr>
          <w:rFonts w:cs="Arial"/>
        </w:rPr>
        <w:t xml:space="preserve">Order </w:t>
      </w:r>
      <w:r w:rsidR="00FF351C">
        <w:rPr>
          <w:rFonts w:cs="Arial"/>
        </w:rPr>
        <w:t xml:space="preserve">or Voluntary Agreement were </w:t>
      </w:r>
      <w:r w:rsidR="00FF351C" w:rsidRPr="009E1D38">
        <w:rPr>
          <w:rFonts w:cs="Arial"/>
        </w:rPr>
        <w:t xml:space="preserve">received in </w:t>
      </w:r>
      <w:r w:rsidR="00FF351C">
        <w:rPr>
          <w:rFonts w:cs="Arial"/>
        </w:rPr>
        <w:t xml:space="preserve">quarter </w:t>
      </w:r>
      <w:r w:rsidR="007013F4">
        <w:rPr>
          <w:rFonts w:cs="Arial"/>
        </w:rPr>
        <w:t>6</w:t>
      </w:r>
      <w:r w:rsidR="00EE7CC7">
        <w:rPr>
          <w:rFonts w:cs="Arial"/>
        </w:rPr>
        <w:t>1</w:t>
      </w:r>
      <w:r w:rsidR="00390D07">
        <w:rPr>
          <w:rFonts w:cs="Arial"/>
        </w:rPr>
        <w:t>.</w:t>
      </w:r>
      <w:r w:rsidR="00FF351C">
        <w:rPr>
          <w:rFonts w:cs="Arial"/>
        </w:rPr>
        <w:t xml:space="preserve"> It should be noted that a client may apply to amend or end their Family Responsibilities Agreement, Family Responsibilities Order or Voluntary Agreement on multiple occasions throughout a quarter.</w:t>
      </w:r>
    </w:p>
    <w:p w14:paraId="3AF19A8B" w14:textId="141CFF75" w:rsidR="00F9293E" w:rsidRPr="0070366B" w:rsidRDefault="00F9293E" w:rsidP="0070366B">
      <w:pPr>
        <w:ind w:left="-142" w:right="-425"/>
        <w:jc w:val="both"/>
        <w:rPr>
          <w:rFonts w:cs="Arial"/>
        </w:rPr>
      </w:pPr>
    </w:p>
    <w:p w14:paraId="61C2A521" w14:textId="5BBB890C" w:rsidR="00F9293E" w:rsidRDefault="00CA2638" w:rsidP="00F9293E">
      <w:pPr>
        <w:ind w:left="-142" w:right="-425"/>
        <w:jc w:val="both"/>
        <w:rPr>
          <w:rFonts w:cs="Arial"/>
          <w:sz w:val="16"/>
          <w:szCs w:val="16"/>
        </w:rPr>
      </w:pPr>
      <w:r>
        <w:rPr>
          <w:rFonts w:cs="Arial"/>
          <w:b/>
          <w:sz w:val="16"/>
          <w:szCs w:val="16"/>
        </w:rPr>
        <w:t>Table 21</w:t>
      </w:r>
      <w:r w:rsidR="00F9293E" w:rsidRPr="00E34093">
        <w:rPr>
          <w:rFonts w:cs="Arial"/>
          <w:b/>
          <w:sz w:val="16"/>
          <w:szCs w:val="16"/>
        </w:rPr>
        <w:t>:</w:t>
      </w:r>
      <w:r w:rsidR="00F9293E">
        <w:rPr>
          <w:rFonts w:cs="Arial"/>
          <w:sz w:val="16"/>
          <w:szCs w:val="16"/>
        </w:rPr>
        <w:t xml:space="preserve"> Applications to amend or e</w:t>
      </w:r>
      <w:r w:rsidR="00F9293E" w:rsidRPr="00E34093">
        <w:rPr>
          <w:rFonts w:cs="Arial"/>
          <w:sz w:val="16"/>
          <w:szCs w:val="16"/>
        </w:rPr>
        <w:t xml:space="preserve">nd </w:t>
      </w:r>
      <w:r w:rsidR="00F9293E">
        <w:rPr>
          <w:rFonts w:cs="Arial"/>
          <w:sz w:val="16"/>
          <w:szCs w:val="16"/>
        </w:rPr>
        <w:t>agreements or o</w:t>
      </w:r>
      <w:r w:rsidR="00F9293E" w:rsidRPr="00E34093">
        <w:rPr>
          <w:rFonts w:cs="Arial"/>
          <w:sz w:val="16"/>
          <w:szCs w:val="16"/>
        </w:rPr>
        <w:t>rder</w:t>
      </w:r>
      <w:r w:rsidR="00F9293E">
        <w:rPr>
          <w:rFonts w:cs="Arial"/>
          <w:sz w:val="16"/>
          <w:szCs w:val="16"/>
        </w:rPr>
        <w:t>s</w:t>
      </w:r>
      <w:r w:rsidR="00F9293E" w:rsidRPr="00E34093">
        <w:rPr>
          <w:rFonts w:cs="Arial"/>
          <w:sz w:val="16"/>
          <w:szCs w:val="16"/>
        </w:rPr>
        <w:t xml:space="preserve"> by community and quarter </w:t>
      </w:r>
      <w:r w:rsidR="007B7E78">
        <w:rPr>
          <w:rFonts w:cs="Arial"/>
          <w:sz w:val="16"/>
          <w:szCs w:val="16"/>
        </w:rPr>
        <w:t xml:space="preserve">1 </w:t>
      </w:r>
      <w:r w:rsidR="000850EB">
        <w:rPr>
          <w:rFonts w:cs="Arial"/>
          <w:sz w:val="16"/>
          <w:szCs w:val="16"/>
        </w:rPr>
        <w:t xml:space="preserve">July </w:t>
      </w:r>
      <w:r w:rsidR="00923416">
        <w:rPr>
          <w:rFonts w:cs="Arial"/>
          <w:sz w:val="16"/>
          <w:szCs w:val="16"/>
        </w:rPr>
        <w:t>2022</w:t>
      </w:r>
      <w:r w:rsidR="00F9293E">
        <w:rPr>
          <w:rFonts w:cs="Arial"/>
          <w:sz w:val="16"/>
          <w:szCs w:val="16"/>
        </w:rPr>
        <w:t xml:space="preserve"> to </w:t>
      </w:r>
      <w:r w:rsidR="007B7E78">
        <w:rPr>
          <w:rFonts w:cs="Arial"/>
          <w:sz w:val="16"/>
          <w:szCs w:val="16"/>
        </w:rPr>
        <w:t>3</w:t>
      </w:r>
      <w:r w:rsidR="007013F4">
        <w:rPr>
          <w:rFonts w:cs="Arial"/>
          <w:sz w:val="16"/>
          <w:szCs w:val="16"/>
        </w:rPr>
        <w:t xml:space="preserve">0 </w:t>
      </w:r>
      <w:r w:rsidR="000850EB">
        <w:rPr>
          <w:rFonts w:cs="Arial"/>
          <w:sz w:val="16"/>
          <w:szCs w:val="16"/>
        </w:rPr>
        <w:t xml:space="preserve">September </w:t>
      </w:r>
      <w:r w:rsidR="00984BBB">
        <w:rPr>
          <w:rFonts w:cs="Arial"/>
          <w:sz w:val="16"/>
          <w:szCs w:val="16"/>
        </w:rPr>
        <w:t>2023</w:t>
      </w:r>
    </w:p>
    <w:p w14:paraId="0DF1AFD4" w14:textId="77777777" w:rsidR="00D26842" w:rsidRPr="0070366B" w:rsidRDefault="00D26842" w:rsidP="00F9293E">
      <w:pPr>
        <w:ind w:left="-142" w:right="-425"/>
        <w:jc w:val="both"/>
        <w:rPr>
          <w:rFonts w:cs="Arial"/>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D26842" w:rsidRPr="00C5395B" w14:paraId="4F156624" w14:textId="77777777" w:rsidTr="0010294B">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17CDA13D" w14:textId="77777777" w:rsidR="00D26842" w:rsidRPr="00C5395B" w:rsidRDefault="00D26842" w:rsidP="0010294B">
            <w:pPr>
              <w:pStyle w:val="TableText"/>
              <w:ind w:left="49"/>
              <w:rPr>
                <w:b/>
                <w:lang w:eastAsia="en-AU"/>
              </w:rPr>
            </w:pPr>
            <w:bookmarkStart w:id="27" w:name="_Hlk158968351"/>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46AF67AB" w14:textId="77777777" w:rsidR="00D26842" w:rsidRDefault="00D26842" w:rsidP="0010294B">
            <w:pPr>
              <w:pStyle w:val="TableText"/>
              <w:jc w:val="right"/>
              <w:rPr>
                <w:b/>
                <w:lang w:eastAsia="en-AU"/>
              </w:rPr>
            </w:pPr>
            <w:r>
              <w:rPr>
                <w:b/>
                <w:lang w:eastAsia="en-AU"/>
              </w:rPr>
              <w:t>Qtr 57</w:t>
            </w:r>
          </w:p>
        </w:tc>
        <w:tc>
          <w:tcPr>
            <w:tcW w:w="960" w:type="dxa"/>
            <w:tcBorders>
              <w:top w:val="single" w:sz="4" w:space="0" w:color="auto"/>
              <w:left w:val="nil"/>
              <w:bottom w:val="single" w:sz="4" w:space="0" w:color="auto"/>
              <w:right w:val="single" w:sz="4" w:space="0" w:color="auto"/>
            </w:tcBorders>
          </w:tcPr>
          <w:p w14:paraId="5228E20A" w14:textId="77777777" w:rsidR="00D26842" w:rsidRDefault="00D26842" w:rsidP="0010294B">
            <w:pPr>
              <w:pStyle w:val="TableText"/>
              <w:jc w:val="right"/>
              <w:rPr>
                <w:b/>
                <w:lang w:eastAsia="en-AU"/>
              </w:rPr>
            </w:pPr>
            <w:r>
              <w:rPr>
                <w:b/>
                <w:lang w:eastAsia="en-AU"/>
              </w:rPr>
              <w:t>Qtr 58</w:t>
            </w:r>
          </w:p>
        </w:tc>
        <w:tc>
          <w:tcPr>
            <w:tcW w:w="960" w:type="dxa"/>
            <w:tcBorders>
              <w:top w:val="single" w:sz="4" w:space="0" w:color="auto"/>
              <w:left w:val="nil"/>
              <w:bottom w:val="single" w:sz="4" w:space="0" w:color="auto"/>
              <w:right w:val="single" w:sz="4" w:space="0" w:color="auto"/>
            </w:tcBorders>
          </w:tcPr>
          <w:p w14:paraId="05746816" w14:textId="77777777" w:rsidR="00D26842" w:rsidRDefault="00D26842" w:rsidP="0010294B">
            <w:pPr>
              <w:pStyle w:val="TableText"/>
              <w:jc w:val="right"/>
              <w:rPr>
                <w:b/>
                <w:lang w:eastAsia="en-AU"/>
              </w:rPr>
            </w:pPr>
            <w:r>
              <w:rPr>
                <w:b/>
                <w:lang w:eastAsia="en-AU"/>
              </w:rPr>
              <w:t>Qtr 59</w:t>
            </w:r>
          </w:p>
        </w:tc>
        <w:tc>
          <w:tcPr>
            <w:tcW w:w="960" w:type="dxa"/>
            <w:tcBorders>
              <w:top w:val="single" w:sz="4" w:space="0" w:color="auto"/>
              <w:left w:val="nil"/>
              <w:bottom w:val="single" w:sz="4" w:space="0" w:color="auto"/>
              <w:right w:val="single" w:sz="4" w:space="0" w:color="auto"/>
            </w:tcBorders>
          </w:tcPr>
          <w:p w14:paraId="5DC9CE49" w14:textId="77777777" w:rsidR="00D26842" w:rsidRDefault="00D26842" w:rsidP="0010294B">
            <w:pPr>
              <w:pStyle w:val="TableText"/>
              <w:jc w:val="right"/>
              <w:rPr>
                <w:b/>
                <w:lang w:eastAsia="en-AU"/>
              </w:rPr>
            </w:pPr>
            <w:r w:rsidRPr="00BA518C">
              <w:rPr>
                <w:b/>
                <w:lang w:eastAsia="en-AU"/>
              </w:rPr>
              <w:t>Qtr 60</w:t>
            </w:r>
          </w:p>
        </w:tc>
        <w:tc>
          <w:tcPr>
            <w:tcW w:w="960" w:type="dxa"/>
            <w:tcBorders>
              <w:top w:val="single" w:sz="4" w:space="0" w:color="auto"/>
              <w:left w:val="nil"/>
              <w:bottom w:val="single" w:sz="4" w:space="0" w:color="auto"/>
              <w:right w:val="single" w:sz="4" w:space="0" w:color="auto"/>
            </w:tcBorders>
          </w:tcPr>
          <w:p w14:paraId="21FBAC80" w14:textId="77777777" w:rsidR="00D26842" w:rsidRPr="00BA518C" w:rsidRDefault="00D26842" w:rsidP="0010294B">
            <w:pPr>
              <w:pStyle w:val="TableText"/>
              <w:jc w:val="right"/>
              <w:rPr>
                <w:b/>
                <w:lang w:eastAsia="en-AU"/>
              </w:rPr>
            </w:pPr>
            <w:r w:rsidRPr="00BA518C">
              <w:rPr>
                <w:b/>
                <w:lang w:eastAsia="en-AU"/>
              </w:rPr>
              <w:t>Qtr 61</w:t>
            </w:r>
          </w:p>
        </w:tc>
      </w:tr>
      <w:tr w:rsidR="00D26842" w:rsidRPr="00C5395B" w14:paraId="5FE1D7DB"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02FC6366" w14:textId="77777777" w:rsidR="00D26842" w:rsidRPr="00C5395B" w:rsidRDefault="00D26842" w:rsidP="0010294B">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277DFE3F" w14:textId="77777777" w:rsidR="00D26842" w:rsidRDefault="00D26842" w:rsidP="0010294B">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278F8797" w14:textId="77777777" w:rsidR="00D26842" w:rsidRDefault="00D26842" w:rsidP="0010294B">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48516806" w14:textId="77777777" w:rsidR="00D26842" w:rsidRDefault="00D26842" w:rsidP="0010294B">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7610828C" w14:textId="77777777" w:rsidR="00D26842" w:rsidRDefault="00D26842" w:rsidP="0010294B">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726D22ED" w14:textId="77777777" w:rsidR="00D26842" w:rsidRDefault="00D26842" w:rsidP="0010294B">
            <w:pPr>
              <w:jc w:val="right"/>
              <w:rPr>
                <w:rFonts w:cs="Arial"/>
              </w:rPr>
            </w:pPr>
            <w:r>
              <w:rPr>
                <w:rFonts w:cs="Arial"/>
              </w:rPr>
              <w:t>2</w:t>
            </w:r>
          </w:p>
        </w:tc>
      </w:tr>
      <w:tr w:rsidR="00D26842" w:rsidRPr="00C5395B" w14:paraId="2A61D57E"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7622CCD7" w14:textId="77777777" w:rsidR="00D26842" w:rsidRPr="00C5395B" w:rsidRDefault="00D26842" w:rsidP="0010294B">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30193D9B" w14:textId="77777777" w:rsidR="00D26842" w:rsidRDefault="00D26842"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35D338E" w14:textId="77777777" w:rsidR="00D26842" w:rsidRDefault="00D26842"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98FBD08" w14:textId="77777777" w:rsidR="00D26842" w:rsidRDefault="00D26842"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A53ABB4" w14:textId="77777777" w:rsidR="00D26842" w:rsidRDefault="00D26842"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6EF0363" w14:textId="77777777" w:rsidR="00D26842" w:rsidRDefault="00D26842" w:rsidP="0010294B">
            <w:pPr>
              <w:jc w:val="right"/>
              <w:rPr>
                <w:rFonts w:cs="Arial"/>
              </w:rPr>
            </w:pPr>
            <w:r>
              <w:rPr>
                <w:rFonts w:cs="Arial"/>
              </w:rPr>
              <w:t>1</w:t>
            </w:r>
          </w:p>
        </w:tc>
      </w:tr>
      <w:tr w:rsidR="00D26842" w:rsidRPr="00C5395B" w14:paraId="5D4F733B" w14:textId="77777777" w:rsidTr="0010294B">
        <w:trPr>
          <w:trHeight w:val="255"/>
        </w:trPr>
        <w:tc>
          <w:tcPr>
            <w:tcW w:w="2040" w:type="dxa"/>
            <w:tcBorders>
              <w:top w:val="nil"/>
              <w:left w:val="single" w:sz="4" w:space="0" w:color="auto"/>
              <w:bottom w:val="single" w:sz="4" w:space="0" w:color="auto"/>
              <w:right w:val="single" w:sz="4" w:space="0" w:color="auto"/>
            </w:tcBorders>
            <w:noWrap/>
          </w:tcPr>
          <w:p w14:paraId="0648052A" w14:textId="77777777" w:rsidR="00D26842" w:rsidRPr="00C5395B" w:rsidRDefault="00D26842" w:rsidP="0010294B">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13FACD30" w14:textId="77777777" w:rsidR="00D26842" w:rsidRDefault="00D26842"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179E755E" w14:textId="77777777" w:rsidR="00D26842" w:rsidRDefault="00D26842"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5096334" w14:textId="77777777" w:rsidR="00D26842" w:rsidRDefault="00D26842" w:rsidP="0010294B">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442F8361" w14:textId="77777777" w:rsidR="00D26842" w:rsidRDefault="00D26842" w:rsidP="0010294B">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6DCFF0A2" w14:textId="77777777" w:rsidR="00D26842" w:rsidRDefault="00D26842" w:rsidP="0010294B">
            <w:pPr>
              <w:jc w:val="right"/>
              <w:rPr>
                <w:rFonts w:cs="Arial"/>
              </w:rPr>
            </w:pPr>
            <w:r>
              <w:rPr>
                <w:rFonts w:cs="Arial"/>
              </w:rPr>
              <w:t>0</w:t>
            </w:r>
          </w:p>
        </w:tc>
      </w:tr>
      <w:tr w:rsidR="00D26842" w:rsidRPr="00C5395B" w14:paraId="5812D07A"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4C048C5A" w14:textId="77777777" w:rsidR="00D26842" w:rsidRPr="00C5395B" w:rsidRDefault="00D26842" w:rsidP="0010294B">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65894471" w14:textId="77777777" w:rsidR="00D26842" w:rsidRDefault="00D26842"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E138488" w14:textId="77777777" w:rsidR="00D26842" w:rsidRDefault="00D26842"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2DD03B4F" w14:textId="77777777" w:rsidR="00D26842" w:rsidRDefault="00D26842" w:rsidP="0010294B">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288020BD" w14:textId="77777777" w:rsidR="00D26842" w:rsidRDefault="00D26842"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674C0BC" w14:textId="77777777" w:rsidR="00D26842" w:rsidRDefault="00D26842" w:rsidP="0010294B">
            <w:pPr>
              <w:jc w:val="right"/>
              <w:rPr>
                <w:rFonts w:cs="Arial"/>
              </w:rPr>
            </w:pPr>
            <w:r>
              <w:rPr>
                <w:rFonts w:cs="Arial"/>
              </w:rPr>
              <w:t>2</w:t>
            </w:r>
          </w:p>
        </w:tc>
      </w:tr>
      <w:tr w:rsidR="00D26842" w:rsidRPr="00C5395B" w14:paraId="6FD8DC8E"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64D4AC8A" w14:textId="77777777" w:rsidR="00D26842" w:rsidRPr="00C5395B" w:rsidRDefault="00D26842" w:rsidP="0010294B">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4DEC0A44" w14:textId="77777777" w:rsidR="00D26842" w:rsidRDefault="00D26842"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7352AE43" w14:textId="77777777" w:rsidR="00D26842" w:rsidRDefault="00D26842" w:rsidP="0010294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5F43F32" w14:textId="77777777" w:rsidR="00D26842" w:rsidRDefault="00D26842"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46292892" w14:textId="77777777" w:rsidR="00D26842" w:rsidRDefault="00D26842" w:rsidP="0010294B">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340646DA" w14:textId="77777777" w:rsidR="00D26842" w:rsidRDefault="00D26842" w:rsidP="0010294B">
            <w:pPr>
              <w:jc w:val="right"/>
              <w:rPr>
                <w:rFonts w:cs="Arial"/>
              </w:rPr>
            </w:pPr>
            <w:r>
              <w:rPr>
                <w:rFonts w:cs="Arial"/>
              </w:rPr>
              <w:t>1</w:t>
            </w:r>
          </w:p>
        </w:tc>
      </w:tr>
      <w:tr w:rsidR="00D26842" w:rsidRPr="00C5395B" w14:paraId="104A9C66" w14:textId="77777777" w:rsidTr="0010294B">
        <w:trPr>
          <w:trHeight w:val="255"/>
        </w:trPr>
        <w:tc>
          <w:tcPr>
            <w:tcW w:w="2040" w:type="dxa"/>
            <w:tcBorders>
              <w:top w:val="nil"/>
              <w:left w:val="single" w:sz="4" w:space="0" w:color="auto"/>
              <w:bottom w:val="single" w:sz="4" w:space="0" w:color="auto"/>
              <w:right w:val="single" w:sz="4" w:space="0" w:color="auto"/>
            </w:tcBorders>
            <w:noWrap/>
            <w:hideMark/>
          </w:tcPr>
          <w:p w14:paraId="6D9218BD" w14:textId="77777777" w:rsidR="00D26842" w:rsidRPr="00C5395B" w:rsidRDefault="00D26842" w:rsidP="0010294B">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18CBECE5" w14:textId="77777777" w:rsidR="00D26842" w:rsidRDefault="00D26842" w:rsidP="0010294B">
            <w:pPr>
              <w:jc w:val="right"/>
              <w:rPr>
                <w:rFonts w:cs="Arial"/>
                <w:b/>
                <w:bCs/>
              </w:rPr>
            </w:pPr>
            <w:r>
              <w:rPr>
                <w:rFonts w:cs="Arial"/>
                <w:b/>
                <w:bCs/>
              </w:rPr>
              <w:t>10</w:t>
            </w:r>
          </w:p>
        </w:tc>
        <w:tc>
          <w:tcPr>
            <w:tcW w:w="960" w:type="dxa"/>
            <w:tcBorders>
              <w:top w:val="nil"/>
              <w:left w:val="nil"/>
              <w:bottom w:val="single" w:sz="4" w:space="0" w:color="auto"/>
              <w:right w:val="single" w:sz="4" w:space="0" w:color="auto"/>
            </w:tcBorders>
          </w:tcPr>
          <w:p w14:paraId="624BC5C3" w14:textId="77777777" w:rsidR="00D26842" w:rsidRDefault="00D26842" w:rsidP="0010294B">
            <w:pPr>
              <w:jc w:val="right"/>
              <w:rPr>
                <w:rFonts w:cs="Arial"/>
                <w:b/>
                <w:bCs/>
              </w:rPr>
            </w:pPr>
            <w:r>
              <w:rPr>
                <w:rFonts w:cs="Arial"/>
                <w:b/>
                <w:bCs/>
              </w:rPr>
              <w:t>6</w:t>
            </w:r>
          </w:p>
        </w:tc>
        <w:tc>
          <w:tcPr>
            <w:tcW w:w="960" w:type="dxa"/>
            <w:tcBorders>
              <w:top w:val="nil"/>
              <w:left w:val="nil"/>
              <w:bottom w:val="single" w:sz="4" w:space="0" w:color="auto"/>
              <w:right w:val="single" w:sz="4" w:space="0" w:color="auto"/>
            </w:tcBorders>
          </w:tcPr>
          <w:p w14:paraId="0FEEA901" w14:textId="77777777" w:rsidR="00D26842" w:rsidRDefault="00D26842" w:rsidP="0010294B">
            <w:pPr>
              <w:jc w:val="right"/>
              <w:rPr>
                <w:rFonts w:cs="Arial"/>
                <w:b/>
                <w:bCs/>
              </w:rPr>
            </w:pPr>
            <w:r>
              <w:rPr>
                <w:rFonts w:cs="Arial"/>
                <w:b/>
                <w:bCs/>
              </w:rPr>
              <w:t>12</w:t>
            </w:r>
          </w:p>
        </w:tc>
        <w:tc>
          <w:tcPr>
            <w:tcW w:w="960" w:type="dxa"/>
            <w:tcBorders>
              <w:top w:val="nil"/>
              <w:left w:val="nil"/>
              <w:bottom w:val="single" w:sz="4" w:space="0" w:color="auto"/>
              <w:right w:val="single" w:sz="4" w:space="0" w:color="auto"/>
            </w:tcBorders>
          </w:tcPr>
          <w:p w14:paraId="51D632B3" w14:textId="77777777" w:rsidR="00D26842" w:rsidRDefault="00D26842" w:rsidP="0010294B">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2163E4BB" w14:textId="77777777" w:rsidR="00D26842" w:rsidRDefault="00D26842" w:rsidP="0010294B">
            <w:pPr>
              <w:jc w:val="right"/>
              <w:rPr>
                <w:rFonts w:cs="Arial"/>
                <w:b/>
                <w:bCs/>
              </w:rPr>
            </w:pPr>
            <w:r>
              <w:rPr>
                <w:rFonts w:cs="Arial"/>
                <w:b/>
                <w:bCs/>
              </w:rPr>
              <w:t>6</w:t>
            </w:r>
          </w:p>
        </w:tc>
      </w:tr>
      <w:bookmarkEnd w:id="27"/>
    </w:tbl>
    <w:p w14:paraId="08F5FAA3" w14:textId="37820513" w:rsidR="0070366B" w:rsidRDefault="0070366B" w:rsidP="00B66467">
      <w:pPr>
        <w:ind w:left="-142" w:right="-425"/>
        <w:jc w:val="both"/>
        <w:rPr>
          <w:rFonts w:cs="Arial"/>
        </w:rPr>
      </w:pPr>
    </w:p>
    <w:p w14:paraId="120976B5" w14:textId="77777777" w:rsidR="0070366B" w:rsidRDefault="0070366B">
      <w:pPr>
        <w:spacing w:line="240" w:lineRule="auto"/>
        <w:rPr>
          <w:rFonts w:cs="Arial"/>
        </w:rPr>
      </w:pPr>
      <w:r>
        <w:rPr>
          <w:rFonts w:cs="Arial"/>
        </w:rPr>
        <w:br w:type="page"/>
      </w:r>
    </w:p>
    <w:p w14:paraId="0C44E9B8" w14:textId="0F2491B1" w:rsidR="004E7166" w:rsidRPr="00076ED0" w:rsidRDefault="004E7166" w:rsidP="00F034B6">
      <w:pPr>
        <w:pStyle w:val="Heading2"/>
      </w:pPr>
      <w:r w:rsidRPr="00076ED0">
        <w:lastRenderedPageBreak/>
        <w:t>Application</w:t>
      </w:r>
      <w:r>
        <w:t xml:space="preserve"> </w:t>
      </w:r>
      <w:r w:rsidR="001D6F7E">
        <w:t>decisions</w:t>
      </w:r>
    </w:p>
    <w:p w14:paraId="0887A42F" w14:textId="23713DCE" w:rsidR="00280607" w:rsidRPr="00E92E29" w:rsidRDefault="00B60CF7" w:rsidP="00E92E29">
      <w:pPr>
        <w:ind w:left="-142" w:right="-425"/>
        <w:jc w:val="both"/>
        <w:rPr>
          <w:rFonts w:cs="Arial"/>
        </w:rPr>
      </w:pPr>
      <w:r w:rsidRPr="00E92E29">
        <w:rPr>
          <w:rFonts w:cs="Arial"/>
        </w:rPr>
        <w:t>Each application follows a transparent process and is considered by the Commissioners on its own merit whilst observing the principles of natural justice. A timely decision on the application is made under the FRC Act pursuant to section 99 for a family responsibilities agreement (FRA) or order</w:t>
      </w:r>
      <w:r w:rsidR="00461B5F">
        <w:rPr>
          <w:rFonts w:cs="Arial"/>
        </w:rPr>
        <w:t>,</w:t>
      </w:r>
      <w:r w:rsidRPr="00E92E29">
        <w:rPr>
          <w:rFonts w:cs="Arial"/>
        </w:rPr>
        <w:t xml:space="preserve"> or section 109 for a voluntary agreement, and may include either agreeing or refusing to amend or end an agreement or order, or if the Commissioners deem the application for a</w:t>
      </w:r>
      <w:r w:rsidR="00461B5F">
        <w:rPr>
          <w:rFonts w:cs="Arial"/>
        </w:rPr>
        <w:t>n</w:t>
      </w:r>
      <w:r w:rsidRPr="00E92E29">
        <w:rPr>
          <w:rFonts w:cs="Arial"/>
        </w:rPr>
        <w:t xml:space="preserve"> FRA or order frivolous or vexatious, dismissing the application. For an application received under section 97 of the FRC Act</w:t>
      </w:r>
      <w:r w:rsidR="00461B5F">
        <w:rPr>
          <w:rFonts w:cs="Arial"/>
        </w:rPr>
        <w:t>,</w:t>
      </w:r>
      <w:r w:rsidRPr="00E92E29">
        <w:rPr>
          <w:rFonts w:cs="Arial"/>
        </w:rPr>
        <w:t xml:space="preserve"> if the Commission fails to make a decision within two months of receipt of the application section 101 of the FRC Act determines that the failure is taken to be a decision by the Commission to refuse to amend or end the FRA or order. For an application to amend or end a voluntary agreement section 109(2) of the FRC Act states: “The Commissioner must amend or end a voluntary agreement as requested by the person, unless the Commissioner is satisfied the amendment or ending would be detrimental to the interests, rights and wellbeing of children and other vulnerable persons living in a welfare reform community area”. </w:t>
      </w:r>
      <w:r w:rsidR="00280607" w:rsidRPr="00E92E29">
        <w:rPr>
          <w:rFonts w:cs="Arial"/>
        </w:rPr>
        <w:t>The opportunity afforded in hearing these applications is utilised by the Commissioners to encourage clients to continue to address any remaining challenges and to exercise personal responsibility in their lives.</w:t>
      </w:r>
    </w:p>
    <w:p w14:paraId="6331CCB8" w14:textId="77777777" w:rsidR="00280607" w:rsidRDefault="00280607" w:rsidP="00384152">
      <w:pPr>
        <w:ind w:left="-142" w:right="-425"/>
        <w:jc w:val="both"/>
        <w:rPr>
          <w:rFonts w:cs="Arial"/>
        </w:rPr>
      </w:pPr>
    </w:p>
    <w:p w14:paraId="181814BC" w14:textId="2FD6106C" w:rsidR="00FD09DB" w:rsidRDefault="00C029A0" w:rsidP="00384152">
      <w:pPr>
        <w:ind w:left="-142" w:right="-425"/>
        <w:jc w:val="both"/>
        <w:rPr>
          <w:rFonts w:cs="Arial"/>
        </w:rPr>
      </w:pPr>
      <w:r>
        <w:rPr>
          <w:rFonts w:cs="Arial"/>
        </w:rPr>
        <w:t>It should be noted that a hearing for an amend/end application may not take place in the same quarter as the application was received, especially where an application was received towards the end of a quarter with the resulting hearing scheduled for the following quarter.</w:t>
      </w:r>
    </w:p>
    <w:p w14:paraId="7E5502CC" w14:textId="1E593C35" w:rsidR="00B408D8" w:rsidRDefault="00B408D8" w:rsidP="005A5B78">
      <w:pPr>
        <w:ind w:left="-142" w:right="-425"/>
        <w:jc w:val="both"/>
        <w:rPr>
          <w:rFonts w:cs="Arial"/>
        </w:rPr>
      </w:pPr>
    </w:p>
    <w:p w14:paraId="50602F91" w14:textId="2250324C" w:rsidR="00C029A0" w:rsidRDefault="00B408D8" w:rsidP="00B408D8">
      <w:pPr>
        <w:ind w:left="-142" w:right="-425"/>
        <w:jc w:val="both"/>
        <w:rPr>
          <w:rFonts w:cs="Arial"/>
        </w:rPr>
      </w:pPr>
      <w:r>
        <w:rPr>
          <w:rFonts w:cs="Arial"/>
        </w:rPr>
        <w:t xml:space="preserve">A total of </w:t>
      </w:r>
      <w:r w:rsidR="001034AD">
        <w:rPr>
          <w:rFonts w:cs="Arial"/>
        </w:rPr>
        <w:t>1</w:t>
      </w:r>
      <w:r w:rsidR="00BD5CF2">
        <w:rPr>
          <w:rFonts w:cs="Arial"/>
        </w:rPr>
        <w:t xml:space="preserve"> </w:t>
      </w:r>
      <w:r w:rsidR="00CA1B19">
        <w:rPr>
          <w:rFonts w:cs="Arial"/>
        </w:rPr>
        <w:t xml:space="preserve">amend/end </w:t>
      </w:r>
      <w:r>
        <w:rPr>
          <w:rFonts w:cs="Arial"/>
        </w:rPr>
        <w:t>application</w:t>
      </w:r>
      <w:r w:rsidR="00CA1B19">
        <w:rPr>
          <w:rFonts w:cs="Arial"/>
        </w:rPr>
        <w:t xml:space="preserve"> for </w:t>
      </w:r>
      <w:r w:rsidR="00446508">
        <w:rPr>
          <w:rFonts w:cs="Arial"/>
        </w:rPr>
        <w:t xml:space="preserve">a </w:t>
      </w:r>
      <w:r w:rsidR="00CA1B19">
        <w:rPr>
          <w:rFonts w:cs="Arial"/>
        </w:rPr>
        <w:t xml:space="preserve">Family Responsibilities Order </w:t>
      </w:r>
      <w:r w:rsidR="008C53B7">
        <w:rPr>
          <w:rFonts w:cs="Arial"/>
        </w:rPr>
        <w:t>(</w:t>
      </w:r>
      <w:r w:rsidR="00906D8C">
        <w:rPr>
          <w:rFonts w:cs="Arial"/>
        </w:rPr>
        <w:t>to end a CIM</w:t>
      </w:r>
      <w:r w:rsidR="008C53B7">
        <w:rPr>
          <w:rFonts w:cs="Arial"/>
        </w:rPr>
        <w:t>)</w:t>
      </w:r>
      <w:r w:rsidR="00906D8C">
        <w:rPr>
          <w:rFonts w:cs="Arial"/>
        </w:rPr>
        <w:t xml:space="preserve"> </w:t>
      </w:r>
      <w:r w:rsidR="00446508">
        <w:rPr>
          <w:rFonts w:cs="Arial"/>
        </w:rPr>
        <w:t xml:space="preserve">was </w:t>
      </w:r>
      <w:r w:rsidR="00CA1B19">
        <w:rPr>
          <w:rFonts w:cs="Arial"/>
        </w:rPr>
        <w:t xml:space="preserve">decided </w:t>
      </w:r>
      <w:r>
        <w:rPr>
          <w:rFonts w:cs="Arial"/>
        </w:rPr>
        <w:t xml:space="preserve">in quarter </w:t>
      </w:r>
      <w:r w:rsidR="00B61356">
        <w:rPr>
          <w:rFonts w:cs="Arial"/>
        </w:rPr>
        <w:t>6</w:t>
      </w:r>
      <w:r w:rsidR="00EE7CC7">
        <w:rPr>
          <w:rFonts w:cs="Arial"/>
        </w:rPr>
        <w:t>1</w:t>
      </w:r>
      <w:r w:rsidR="00B61356">
        <w:rPr>
          <w:rFonts w:cs="Arial"/>
        </w:rPr>
        <w:t xml:space="preserve"> </w:t>
      </w:r>
      <w:r w:rsidR="00686C92">
        <w:rPr>
          <w:rFonts w:cs="Arial"/>
        </w:rPr>
        <w:t xml:space="preserve">with </w:t>
      </w:r>
      <w:r w:rsidR="001034AD">
        <w:rPr>
          <w:rFonts w:cs="Arial"/>
        </w:rPr>
        <w:t xml:space="preserve">the </w:t>
      </w:r>
      <w:r w:rsidR="00686C92">
        <w:rPr>
          <w:rFonts w:cs="Arial"/>
        </w:rPr>
        <w:t xml:space="preserve">application </w:t>
      </w:r>
      <w:r w:rsidR="00211380">
        <w:rPr>
          <w:rFonts w:cs="Arial"/>
        </w:rPr>
        <w:t>accepted by the FRC.</w:t>
      </w:r>
    </w:p>
    <w:p w14:paraId="14C1CE35" w14:textId="77777777" w:rsidR="0052778A" w:rsidRDefault="0052778A" w:rsidP="00B408D8">
      <w:pPr>
        <w:ind w:left="-142" w:right="-425"/>
        <w:jc w:val="both"/>
        <w:rPr>
          <w:rFonts w:cs="Arial"/>
        </w:rPr>
      </w:pPr>
    </w:p>
    <w:p w14:paraId="44D0AC43" w14:textId="31E4BFDE" w:rsidR="00B9549C" w:rsidRDefault="00BD5CF2" w:rsidP="00B408D8">
      <w:pPr>
        <w:ind w:left="-142" w:right="-425"/>
        <w:jc w:val="both"/>
        <w:rPr>
          <w:rFonts w:cs="Arial"/>
        </w:rPr>
      </w:pPr>
      <w:r>
        <w:rPr>
          <w:rFonts w:cs="Arial"/>
        </w:rPr>
        <w:t>Five</w:t>
      </w:r>
      <w:r w:rsidRPr="004F62C3">
        <w:rPr>
          <w:rFonts w:cs="Arial"/>
        </w:rPr>
        <w:t xml:space="preserve"> </w:t>
      </w:r>
      <w:r w:rsidR="00BF36AA" w:rsidRPr="004F62C3">
        <w:rPr>
          <w:rFonts w:cs="Arial"/>
        </w:rPr>
        <w:t>amend/end application</w:t>
      </w:r>
      <w:r w:rsidR="00DA57D8" w:rsidRPr="004F62C3">
        <w:rPr>
          <w:rFonts w:cs="Arial"/>
        </w:rPr>
        <w:t>s</w:t>
      </w:r>
      <w:r w:rsidR="00BF36AA" w:rsidRPr="004F62C3">
        <w:rPr>
          <w:rFonts w:cs="Arial"/>
        </w:rPr>
        <w:t xml:space="preserve"> for voluntary agreement</w:t>
      </w:r>
      <w:r w:rsidR="008C53B7">
        <w:rPr>
          <w:rFonts w:cs="Arial"/>
        </w:rPr>
        <w:t>s</w:t>
      </w:r>
      <w:r w:rsidR="00464E31">
        <w:rPr>
          <w:rFonts w:cs="Arial"/>
        </w:rPr>
        <w:t xml:space="preserve"> were decided</w:t>
      </w:r>
      <w:r w:rsidR="00211380">
        <w:rPr>
          <w:rFonts w:cs="Arial"/>
        </w:rPr>
        <w:t xml:space="preserve"> in the reporting period with </w:t>
      </w:r>
      <w:r>
        <w:rPr>
          <w:rFonts w:cs="Arial"/>
        </w:rPr>
        <w:t xml:space="preserve">all </w:t>
      </w:r>
      <w:r w:rsidR="00211380">
        <w:rPr>
          <w:rFonts w:cs="Arial"/>
        </w:rPr>
        <w:t>applications made by clients accepted by the FRC</w:t>
      </w:r>
      <w:r w:rsidR="00C37FA9">
        <w:rPr>
          <w:rFonts w:cs="Arial"/>
        </w:rPr>
        <w:t>.</w:t>
      </w:r>
      <w:r w:rsidR="00211380">
        <w:rPr>
          <w:rFonts w:cs="Arial"/>
        </w:rPr>
        <w:t xml:space="preserve"> A breakdown of the </w:t>
      </w:r>
      <w:r w:rsidR="0052778A">
        <w:rPr>
          <w:rFonts w:cs="Arial"/>
        </w:rPr>
        <w:t xml:space="preserve">decisions </w:t>
      </w:r>
      <w:r w:rsidR="00211380">
        <w:rPr>
          <w:rFonts w:cs="Arial"/>
        </w:rPr>
        <w:t xml:space="preserve">of </w:t>
      </w:r>
      <w:r w:rsidR="0052778A">
        <w:rPr>
          <w:rFonts w:cs="Arial"/>
        </w:rPr>
        <w:t xml:space="preserve">the </w:t>
      </w:r>
      <w:r w:rsidR="00211380">
        <w:rPr>
          <w:rFonts w:cs="Arial"/>
        </w:rPr>
        <w:t>applications is as follows</w:t>
      </w:r>
      <w:r w:rsidR="00C029A0">
        <w:rPr>
          <w:rFonts w:cs="Arial"/>
        </w:rPr>
        <w:t>:</w:t>
      </w:r>
    </w:p>
    <w:p w14:paraId="5C96541D" w14:textId="77777777" w:rsidR="00C81DF4" w:rsidRDefault="00C81DF4" w:rsidP="00B408D8">
      <w:pPr>
        <w:ind w:left="-142" w:right="-425"/>
        <w:jc w:val="both"/>
        <w:rPr>
          <w:rFonts w:cs="Arial"/>
        </w:rPr>
      </w:pPr>
    </w:p>
    <w:p w14:paraId="1E5C4343" w14:textId="6C0A1642" w:rsidR="00C029A0" w:rsidRDefault="0060745C"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5</w:t>
      </w:r>
      <w:r w:rsidR="005B0BC6" w:rsidRPr="00FB5E8C">
        <w:rPr>
          <w:rFonts w:ascii="Verdana" w:hAnsi="Verdana" w:cs="Arial"/>
          <w:sz w:val="20"/>
          <w:szCs w:val="20"/>
        </w:rPr>
        <w:t xml:space="preserve"> </w:t>
      </w:r>
      <w:r w:rsidR="00C029A0" w:rsidRPr="00FB5E8C">
        <w:rPr>
          <w:rFonts w:ascii="Verdana" w:hAnsi="Verdana" w:cs="Arial"/>
          <w:sz w:val="20"/>
          <w:szCs w:val="20"/>
        </w:rPr>
        <w:t>Applications were accepted and voluntary income management agreements ended</w:t>
      </w:r>
      <w:r w:rsidR="0007162A">
        <w:rPr>
          <w:rFonts w:ascii="Verdana" w:hAnsi="Verdana" w:cs="Arial"/>
          <w:sz w:val="20"/>
          <w:szCs w:val="20"/>
        </w:rPr>
        <w:t>.</w:t>
      </w:r>
    </w:p>
    <w:p w14:paraId="50DBFCDE" w14:textId="77777777" w:rsidR="00643E4F" w:rsidRDefault="00643E4F" w:rsidP="00FF351C">
      <w:pPr>
        <w:ind w:left="-142" w:right="-425"/>
        <w:jc w:val="both"/>
      </w:pPr>
    </w:p>
    <w:p w14:paraId="487734F6" w14:textId="063A3F04" w:rsidR="00964C44" w:rsidRDefault="00353EB2" w:rsidP="00FF351C">
      <w:pPr>
        <w:ind w:left="-142" w:right="-425"/>
        <w:jc w:val="both"/>
      </w:pPr>
      <w:r>
        <w:t>Th</w:t>
      </w:r>
      <w:r w:rsidR="005A5B78" w:rsidRPr="00E34093">
        <w:t>e Commission continues to encourage clients to participa</w:t>
      </w:r>
      <w:r w:rsidR="0061573D">
        <w:t xml:space="preserve">te in the </w:t>
      </w:r>
      <w:r w:rsidR="007A7B2F">
        <w:t>a</w:t>
      </w:r>
      <w:r w:rsidR="0061573D">
        <w:t xml:space="preserve">mend or </w:t>
      </w:r>
      <w:r w:rsidR="007A7B2F">
        <w:t>e</w:t>
      </w:r>
      <w:r w:rsidR="0061573D">
        <w:t>nd process.</w:t>
      </w:r>
      <w:r w:rsidR="005A5B78" w:rsidRPr="00E34093">
        <w:t xml:space="preserve"> Commissioners </w:t>
      </w:r>
      <w:r w:rsidR="00FB4B1F">
        <w:t>consider that the participation of clients in the amend/end process is indicative of c</w:t>
      </w:r>
      <w:r w:rsidR="005A5B78" w:rsidRPr="00E34093">
        <w:t>lient confidence to question decisions and the reasons behind decisions, both for decisions delivered by the Commission and decisions delivered by external agencies and bodies.</w:t>
      </w:r>
      <w:bookmarkStart w:id="28" w:name="_Toc222226583"/>
      <w:bookmarkStart w:id="29" w:name="_Toc304386232"/>
      <w:bookmarkStart w:id="30" w:name="_Toc304386309"/>
      <w:bookmarkStart w:id="31" w:name="_Toc306011182"/>
    </w:p>
    <w:p w14:paraId="1024B39C" w14:textId="77777777" w:rsidR="00964C44" w:rsidRDefault="00964C44" w:rsidP="00E77802">
      <w:pPr>
        <w:ind w:left="-142" w:right="-425"/>
        <w:jc w:val="both"/>
      </w:pPr>
    </w:p>
    <w:p w14:paraId="6023E185" w14:textId="77777777" w:rsidR="00B66467" w:rsidRPr="00B66467" w:rsidRDefault="00B66467" w:rsidP="00B66467">
      <w:pPr>
        <w:ind w:left="-142" w:right="-425"/>
        <w:jc w:val="both"/>
      </w:pPr>
      <w:r>
        <w:br w:type="page"/>
      </w:r>
    </w:p>
    <w:p w14:paraId="0CA7602F" w14:textId="75FC039F" w:rsidR="0013112F" w:rsidRDefault="0013112F" w:rsidP="00F034B6">
      <w:pPr>
        <w:pStyle w:val="Heading2"/>
      </w:pPr>
      <w:r w:rsidRPr="008F5BAC">
        <w:lastRenderedPageBreak/>
        <w:t>FRC client population by gender and age</w:t>
      </w:r>
    </w:p>
    <w:p w14:paraId="3EDE8CBA" w14:textId="77777777" w:rsidR="00505B2B" w:rsidRPr="00505B2B" w:rsidRDefault="00505B2B" w:rsidP="00505B2B">
      <w:pPr>
        <w:spacing w:line="240" w:lineRule="auto"/>
        <w:ind w:left="-142"/>
        <w:jc w:val="both"/>
      </w:pPr>
    </w:p>
    <w:p w14:paraId="00004215" w14:textId="40887C03" w:rsidR="0013112F" w:rsidRDefault="0013112F" w:rsidP="0013112F">
      <w:pPr>
        <w:ind w:left="-142"/>
        <w:jc w:val="both"/>
      </w:pPr>
      <w:r w:rsidRPr="006C6A65">
        <w:rPr>
          <w:b/>
          <w:sz w:val="16"/>
          <w:szCs w:val="16"/>
        </w:rPr>
        <w:t xml:space="preserve">Table </w:t>
      </w:r>
      <w:r w:rsidR="00D26842">
        <w:rPr>
          <w:b/>
          <w:sz w:val="16"/>
          <w:szCs w:val="16"/>
        </w:rPr>
        <w:t>22</w:t>
      </w:r>
      <w:r w:rsidRPr="006C6A65">
        <w:rPr>
          <w:b/>
          <w:sz w:val="16"/>
          <w:szCs w:val="16"/>
        </w:rPr>
        <w:t>:</w:t>
      </w:r>
      <w:r w:rsidRPr="006C6A65">
        <w:rPr>
          <w:sz w:val="16"/>
          <w:szCs w:val="16"/>
        </w:rPr>
        <w:t xml:space="preserve"> </w:t>
      </w:r>
      <w:r>
        <w:rPr>
          <w:sz w:val="16"/>
          <w:szCs w:val="16"/>
        </w:rPr>
        <w:t xml:space="preserve">FRC client population by gender and age </w:t>
      </w:r>
      <w:r w:rsidR="007B7E78">
        <w:rPr>
          <w:sz w:val="16"/>
          <w:szCs w:val="16"/>
        </w:rPr>
        <w:t xml:space="preserve">1 </w:t>
      </w:r>
      <w:r w:rsidR="000850EB">
        <w:rPr>
          <w:sz w:val="16"/>
          <w:szCs w:val="16"/>
        </w:rPr>
        <w:t xml:space="preserve">July </w:t>
      </w:r>
      <w:r w:rsidR="00413FAC">
        <w:rPr>
          <w:sz w:val="16"/>
          <w:szCs w:val="16"/>
        </w:rPr>
        <w:t>2023</w:t>
      </w:r>
      <w:r w:rsidR="00FC7F2E">
        <w:rPr>
          <w:sz w:val="16"/>
          <w:szCs w:val="16"/>
        </w:rPr>
        <w:t xml:space="preserve"> to </w:t>
      </w:r>
      <w:r w:rsidR="007B7E78">
        <w:rPr>
          <w:sz w:val="16"/>
          <w:szCs w:val="16"/>
        </w:rPr>
        <w:t>3</w:t>
      </w:r>
      <w:r w:rsidR="00B61356">
        <w:rPr>
          <w:sz w:val="16"/>
          <w:szCs w:val="16"/>
        </w:rPr>
        <w:t xml:space="preserve">0 </w:t>
      </w:r>
      <w:r w:rsidR="000850EB">
        <w:rPr>
          <w:sz w:val="16"/>
          <w:szCs w:val="16"/>
        </w:rPr>
        <w:t xml:space="preserve">September </w:t>
      </w:r>
      <w:r w:rsidR="00984BBB">
        <w:rPr>
          <w:sz w:val="16"/>
          <w:szCs w:val="16"/>
        </w:rPr>
        <w:t>2023</w:t>
      </w:r>
    </w:p>
    <w:p w14:paraId="24F3C459" w14:textId="77777777" w:rsidR="0013112F" w:rsidRPr="00CF3AF9" w:rsidRDefault="0013112F" w:rsidP="0013112F">
      <w:pPr>
        <w:ind w:left="-142"/>
        <w:jc w:val="both"/>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925DD5">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07162A" w14:paraId="0C5B3812" w14:textId="77777777" w:rsidTr="00925DD5">
        <w:tc>
          <w:tcPr>
            <w:tcW w:w="5127" w:type="dxa"/>
          </w:tcPr>
          <w:p w14:paraId="465196A7" w14:textId="2741AD5F" w:rsidR="0007162A" w:rsidRDefault="0007162A" w:rsidP="0007162A">
            <w:pPr>
              <w:spacing w:line="240" w:lineRule="auto"/>
            </w:pPr>
            <w:r>
              <w:t>Clients for whom a notice was received</w:t>
            </w:r>
            <w:r>
              <w:rPr>
                <w:rStyle w:val="FootnoteReference"/>
              </w:rPr>
              <w:footnoteReference w:id="11"/>
            </w:r>
          </w:p>
        </w:tc>
        <w:tc>
          <w:tcPr>
            <w:tcW w:w="1026" w:type="dxa"/>
            <w:vAlign w:val="center"/>
          </w:tcPr>
          <w:p w14:paraId="430D610E" w14:textId="669A63D4" w:rsidR="0007162A" w:rsidRPr="00EF2D65" w:rsidRDefault="001034AD" w:rsidP="0007162A">
            <w:pPr>
              <w:spacing w:line="240" w:lineRule="auto"/>
              <w:jc w:val="right"/>
            </w:pPr>
            <w:r>
              <w:rPr>
                <w:rFonts w:cs="Arial"/>
              </w:rPr>
              <w:t>463</w:t>
            </w:r>
          </w:p>
        </w:tc>
        <w:tc>
          <w:tcPr>
            <w:tcW w:w="875" w:type="dxa"/>
            <w:vAlign w:val="center"/>
          </w:tcPr>
          <w:p w14:paraId="73512E80" w14:textId="116CB223" w:rsidR="0007162A" w:rsidRPr="00EF2D65" w:rsidRDefault="001034AD" w:rsidP="0007162A">
            <w:pPr>
              <w:spacing w:line="240" w:lineRule="auto"/>
              <w:jc w:val="right"/>
            </w:pPr>
            <w:r>
              <w:rPr>
                <w:rFonts w:cs="Arial"/>
              </w:rPr>
              <w:t>258</w:t>
            </w:r>
          </w:p>
        </w:tc>
        <w:tc>
          <w:tcPr>
            <w:tcW w:w="463" w:type="dxa"/>
            <w:vAlign w:val="center"/>
          </w:tcPr>
          <w:p w14:paraId="0C71CB3B" w14:textId="50863EF2" w:rsidR="0007162A" w:rsidRPr="00EF2D65" w:rsidRDefault="0007162A" w:rsidP="0007162A">
            <w:pPr>
              <w:spacing w:line="240" w:lineRule="auto"/>
              <w:jc w:val="right"/>
            </w:pPr>
          </w:p>
        </w:tc>
        <w:tc>
          <w:tcPr>
            <w:tcW w:w="1140" w:type="dxa"/>
            <w:vAlign w:val="center"/>
          </w:tcPr>
          <w:p w14:paraId="048E4B1D" w14:textId="034E13AF" w:rsidR="0007162A" w:rsidRPr="00EF2D65" w:rsidRDefault="0007162A" w:rsidP="0007162A">
            <w:pPr>
              <w:spacing w:line="240" w:lineRule="auto"/>
              <w:jc w:val="right"/>
            </w:pPr>
            <w:r>
              <w:rPr>
                <w:rFonts w:cs="Arial"/>
              </w:rPr>
              <w:t>37</w:t>
            </w:r>
          </w:p>
        </w:tc>
        <w:tc>
          <w:tcPr>
            <w:tcW w:w="1140" w:type="dxa"/>
            <w:vAlign w:val="center"/>
          </w:tcPr>
          <w:p w14:paraId="61E43F3F" w14:textId="6555E009" w:rsidR="0007162A" w:rsidRPr="00EF2D65" w:rsidRDefault="0007162A" w:rsidP="0007162A">
            <w:pPr>
              <w:spacing w:line="240" w:lineRule="auto"/>
              <w:jc w:val="right"/>
            </w:pPr>
            <w:r>
              <w:rPr>
                <w:rFonts w:cs="Arial"/>
              </w:rPr>
              <w:t>38</w:t>
            </w:r>
          </w:p>
        </w:tc>
      </w:tr>
      <w:tr w:rsidR="0007162A" w14:paraId="0C43D4D1" w14:textId="77777777" w:rsidTr="00925DD5">
        <w:tc>
          <w:tcPr>
            <w:tcW w:w="5127" w:type="dxa"/>
          </w:tcPr>
          <w:p w14:paraId="2282B866" w14:textId="484D223C" w:rsidR="0007162A" w:rsidRDefault="0007162A" w:rsidP="0007162A">
            <w:pPr>
              <w:spacing w:line="240" w:lineRule="auto"/>
            </w:pPr>
            <w:r>
              <w:t>Clients conferenced</w:t>
            </w:r>
            <w:r>
              <w:rPr>
                <w:rStyle w:val="FootnoteReference"/>
              </w:rPr>
              <w:footnoteReference w:id="12"/>
            </w:r>
          </w:p>
        </w:tc>
        <w:tc>
          <w:tcPr>
            <w:tcW w:w="1026" w:type="dxa"/>
            <w:vAlign w:val="center"/>
          </w:tcPr>
          <w:p w14:paraId="0BE8DAD4" w14:textId="58BEE9DD" w:rsidR="0007162A" w:rsidRPr="00143912" w:rsidRDefault="001034AD" w:rsidP="0007162A">
            <w:pPr>
              <w:spacing w:line="240" w:lineRule="auto"/>
              <w:jc w:val="right"/>
            </w:pPr>
            <w:r>
              <w:rPr>
                <w:rFonts w:cs="Arial"/>
              </w:rPr>
              <w:t>124</w:t>
            </w:r>
          </w:p>
        </w:tc>
        <w:tc>
          <w:tcPr>
            <w:tcW w:w="875" w:type="dxa"/>
            <w:vAlign w:val="center"/>
          </w:tcPr>
          <w:p w14:paraId="7F1FAC36" w14:textId="78E71F35" w:rsidR="0007162A" w:rsidRPr="00143912" w:rsidRDefault="001034AD" w:rsidP="0007162A">
            <w:pPr>
              <w:spacing w:line="240" w:lineRule="auto"/>
              <w:jc w:val="right"/>
            </w:pPr>
            <w:r>
              <w:rPr>
                <w:rFonts w:cs="Arial"/>
              </w:rPr>
              <w:t>60</w:t>
            </w:r>
          </w:p>
        </w:tc>
        <w:tc>
          <w:tcPr>
            <w:tcW w:w="463" w:type="dxa"/>
            <w:vAlign w:val="center"/>
          </w:tcPr>
          <w:p w14:paraId="7D1E9278" w14:textId="77071142" w:rsidR="0007162A" w:rsidRPr="00EF2D65" w:rsidRDefault="0007162A" w:rsidP="0007162A">
            <w:pPr>
              <w:spacing w:line="240" w:lineRule="auto"/>
              <w:jc w:val="right"/>
            </w:pPr>
          </w:p>
        </w:tc>
        <w:tc>
          <w:tcPr>
            <w:tcW w:w="1140" w:type="dxa"/>
            <w:vAlign w:val="center"/>
          </w:tcPr>
          <w:p w14:paraId="18E5F35E" w14:textId="2A80B3B5" w:rsidR="0007162A" w:rsidRPr="00143912" w:rsidRDefault="0007162A" w:rsidP="0007162A">
            <w:pPr>
              <w:spacing w:line="240" w:lineRule="auto"/>
              <w:jc w:val="right"/>
            </w:pPr>
            <w:r>
              <w:rPr>
                <w:rFonts w:cs="Arial"/>
              </w:rPr>
              <w:t>36</w:t>
            </w:r>
          </w:p>
        </w:tc>
        <w:tc>
          <w:tcPr>
            <w:tcW w:w="1140" w:type="dxa"/>
            <w:vAlign w:val="center"/>
          </w:tcPr>
          <w:p w14:paraId="48B614AC" w14:textId="0AD94EA5" w:rsidR="0007162A" w:rsidRPr="00143912" w:rsidRDefault="0007162A" w:rsidP="0007162A">
            <w:pPr>
              <w:spacing w:line="240" w:lineRule="auto"/>
              <w:jc w:val="right"/>
            </w:pPr>
            <w:r>
              <w:rPr>
                <w:rFonts w:cs="Arial"/>
              </w:rPr>
              <w:t>3</w:t>
            </w:r>
            <w:r w:rsidR="001034AD">
              <w:rPr>
                <w:rFonts w:cs="Arial"/>
              </w:rPr>
              <w:t>6</w:t>
            </w:r>
          </w:p>
        </w:tc>
      </w:tr>
      <w:tr w:rsidR="0007162A" w14:paraId="4205C91F" w14:textId="77777777" w:rsidTr="00925DD5">
        <w:tc>
          <w:tcPr>
            <w:tcW w:w="5127" w:type="dxa"/>
          </w:tcPr>
          <w:p w14:paraId="2820947A" w14:textId="0B2D1E31" w:rsidR="0007162A" w:rsidRDefault="0007162A" w:rsidP="0007162A">
            <w:pPr>
              <w:spacing w:line="240" w:lineRule="auto"/>
            </w:pPr>
            <w:r w:rsidRPr="00423006">
              <w:t>Clients referred through Family Responsibilities Agreements and Family Responsibilities Orders</w:t>
            </w:r>
            <w:r>
              <w:rPr>
                <w:rStyle w:val="FootnoteReference"/>
              </w:rPr>
              <w:footnoteReference w:id="13"/>
            </w:r>
          </w:p>
        </w:tc>
        <w:tc>
          <w:tcPr>
            <w:tcW w:w="1026" w:type="dxa"/>
            <w:vAlign w:val="center"/>
          </w:tcPr>
          <w:p w14:paraId="04ECC2CC" w14:textId="6A329316" w:rsidR="0007162A" w:rsidRPr="00143912" w:rsidRDefault="001034AD" w:rsidP="0007162A">
            <w:pPr>
              <w:spacing w:line="240" w:lineRule="auto"/>
              <w:jc w:val="right"/>
            </w:pPr>
            <w:r>
              <w:rPr>
                <w:rFonts w:cs="Arial"/>
              </w:rPr>
              <w:t>4</w:t>
            </w:r>
            <w:r w:rsidR="0007162A">
              <w:rPr>
                <w:rFonts w:cs="Arial"/>
              </w:rPr>
              <w:t>5</w:t>
            </w:r>
          </w:p>
        </w:tc>
        <w:tc>
          <w:tcPr>
            <w:tcW w:w="875" w:type="dxa"/>
            <w:vAlign w:val="center"/>
          </w:tcPr>
          <w:p w14:paraId="09F9C19D" w14:textId="69D26EFA" w:rsidR="0007162A" w:rsidRPr="00143912" w:rsidRDefault="001034AD" w:rsidP="0007162A">
            <w:pPr>
              <w:spacing w:line="240" w:lineRule="auto"/>
              <w:jc w:val="right"/>
            </w:pPr>
            <w:r>
              <w:rPr>
                <w:rFonts w:cs="Arial"/>
              </w:rPr>
              <w:t>28</w:t>
            </w:r>
          </w:p>
        </w:tc>
        <w:tc>
          <w:tcPr>
            <w:tcW w:w="463" w:type="dxa"/>
            <w:vAlign w:val="center"/>
          </w:tcPr>
          <w:p w14:paraId="4D854BAC" w14:textId="4C16E2E6" w:rsidR="0007162A" w:rsidRPr="00EF2D65" w:rsidRDefault="0007162A" w:rsidP="0007162A">
            <w:pPr>
              <w:spacing w:line="240" w:lineRule="auto"/>
              <w:jc w:val="right"/>
            </w:pPr>
          </w:p>
        </w:tc>
        <w:tc>
          <w:tcPr>
            <w:tcW w:w="1140" w:type="dxa"/>
            <w:vAlign w:val="center"/>
          </w:tcPr>
          <w:p w14:paraId="0DB4E2B3" w14:textId="28BBB4F7" w:rsidR="0007162A" w:rsidRPr="00143912" w:rsidRDefault="0007162A" w:rsidP="0007162A">
            <w:pPr>
              <w:spacing w:line="240" w:lineRule="auto"/>
              <w:jc w:val="right"/>
            </w:pPr>
            <w:r>
              <w:rPr>
                <w:rFonts w:cs="Arial"/>
              </w:rPr>
              <w:t>3</w:t>
            </w:r>
            <w:r w:rsidR="001034AD">
              <w:rPr>
                <w:rFonts w:cs="Arial"/>
              </w:rPr>
              <w:t>2</w:t>
            </w:r>
          </w:p>
        </w:tc>
        <w:tc>
          <w:tcPr>
            <w:tcW w:w="1140" w:type="dxa"/>
            <w:vAlign w:val="center"/>
          </w:tcPr>
          <w:p w14:paraId="6F699F00" w14:textId="7279DC38" w:rsidR="0007162A" w:rsidRPr="00143912" w:rsidRDefault="0007162A" w:rsidP="0007162A">
            <w:pPr>
              <w:spacing w:line="240" w:lineRule="auto"/>
              <w:jc w:val="right"/>
            </w:pPr>
            <w:r>
              <w:rPr>
                <w:rFonts w:cs="Arial"/>
              </w:rPr>
              <w:t>3</w:t>
            </w:r>
            <w:r w:rsidR="001034AD">
              <w:rPr>
                <w:rFonts w:cs="Arial"/>
              </w:rPr>
              <w:t>5</w:t>
            </w:r>
          </w:p>
        </w:tc>
      </w:tr>
      <w:tr w:rsidR="0007162A" w14:paraId="70BB454E" w14:textId="77777777" w:rsidTr="00A242DD">
        <w:tc>
          <w:tcPr>
            <w:tcW w:w="5127" w:type="dxa"/>
          </w:tcPr>
          <w:p w14:paraId="5B5E85C7" w14:textId="7C85BD17" w:rsidR="0007162A" w:rsidRPr="00C6538C" w:rsidRDefault="0007162A" w:rsidP="0007162A">
            <w:pPr>
              <w:spacing w:line="240" w:lineRule="auto"/>
            </w:pPr>
            <w:r w:rsidRPr="00423006">
              <w:t>Clients placed on CIM</w:t>
            </w:r>
            <w:r w:rsidRPr="00C6538C">
              <w:rPr>
                <w:rStyle w:val="FootnoteReference"/>
              </w:rPr>
              <w:footnoteReference w:id="14"/>
            </w:r>
          </w:p>
        </w:tc>
        <w:tc>
          <w:tcPr>
            <w:tcW w:w="1026" w:type="dxa"/>
            <w:vAlign w:val="center"/>
          </w:tcPr>
          <w:p w14:paraId="543F073F" w14:textId="35A8F6B7" w:rsidR="0007162A" w:rsidRPr="00143912" w:rsidRDefault="0007162A" w:rsidP="0007162A">
            <w:pPr>
              <w:spacing w:line="240" w:lineRule="auto"/>
              <w:jc w:val="right"/>
              <w:rPr>
                <w:rFonts w:cs="Arial"/>
              </w:rPr>
            </w:pPr>
            <w:r>
              <w:rPr>
                <w:rFonts w:cs="Arial"/>
              </w:rPr>
              <w:t>1</w:t>
            </w:r>
            <w:r w:rsidR="00A65C1F">
              <w:rPr>
                <w:rFonts w:cs="Arial"/>
              </w:rPr>
              <w:t>2</w:t>
            </w:r>
          </w:p>
        </w:tc>
        <w:tc>
          <w:tcPr>
            <w:tcW w:w="875" w:type="dxa"/>
            <w:vAlign w:val="center"/>
          </w:tcPr>
          <w:p w14:paraId="1105ED08" w14:textId="63F5686B" w:rsidR="0007162A" w:rsidRPr="00143912" w:rsidRDefault="00A65C1F" w:rsidP="0007162A">
            <w:pPr>
              <w:spacing w:line="240" w:lineRule="auto"/>
              <w:jc w:val="right"/>
              <w:rPr>
                <w:rFonts w:cs="Arial"/>
              </w:rPr>
            </w:pPr>
            <w:r>
              <w:rPr>
                <w:rFonts w:cs="Arial"/>
              </w:rPr>
              <w:t>1</w:t>
            </w:r>
          </w:p>
        </w:tc>
        <w:tc>
          <w:tcPr>
            <w:tcW w:w="463" w:type="dxa"/>
            <w:vAlign w:val="center"/>
          </w:tcPr>
          <w:p w14:paraId="2B630A06" w14:textId="2AB3F5A4" w:rsidR="0007162A" w:rsidRPr="00EF2D65" w:rsidRDefault="0007162A" w:rsidP="0007162A">
            <w:pPr>
              <w:spacing w:line="240" w:lineRule="auto"/>
              <w:jc w:val="right"/>
              <w:rPr>
                <w:rFonts w:cs="Arial"/>
              </w:rPr>
            </w:pPr>
          </w:p>
        </w:tc>
        <w:tc>
          <w:tcPr>
            <w:tcW w:w="1140" w:type="dxa"/>
            <w:vAlign w:val="center"/>
          </w:tcPr>
          <w:p w14:paraId="118451EA" w14:textId="21B47DC2" w:rsidR="0007162A" w:rsidRPr="00143912" w:rsidRDefault="0007162A" w:rsidP="0007162A">
            <w:pPr>
              <w:spacing w:line="240" w:lineRule="auto"/>
              <w:jc w:val="right"/>
              <w:rPr>
                <w:rFonts w:cs="Arial"/>
              </w:rPr>
            </w:pPr>
            <w:r>
              <w:rPr>
                <w:rFonts w:cs="Arial"/>
              </w:rPr>
              <w:t>3</w:t>
            </w:r>
            <w:r w:rsidR="00A65C1F">
              <w:rPr>
                <w:rFonts w:cs="Arial"/>
              </w:rPr>
              <w:t>0</w:t>
            </w:r>
          </w:p>
        </w:tc>
        <w:tc>
          <w:tcPr>
            <w:tcW w:w="1140" w:type="dxa"/>
            <w:vAlign w:val="center"/>
          </w:tcPr>
          <w:p w14:paraId="1C47274C" w14:textId="599E0CC5" w:rsidR="0007162A" w:rsidRPr="00143912" w:rsidRDefault="00A65C1F" w:rsidP="0007162A">
            <w:pPr>
              <w:spacing w:line="240" w:lineRule="auto"/>
              <w:jc w:val="right"/>
              <w:rPr>
                <w:rFonts w:cs="Arial"/>
              </w:rPr>
            </w:pPr>
            <w:r>
              <w:rPr>
                <w:rFonts w:cs="Arial"/>
              </w:rPr>
              <w:t>18</w:t>
            </w:r>
          </w:p>
        </w:tc>
      </w:tr>
      <w:tr w:rsidR="0007162A" w14:paraId="5BC6E4C0" w14:textId="77777777" w:rsidTr="00DB33CA">
        <w:tc>
          <w:tcPr>
            <w:tcW w:w="5127" w:type="dxa"/>
          </w:tcPr>
          <w:p w14:paraId="1F3A9B4D" w14:textId="68F637B4" w:rsidR="0007162A" w:rsidRDefault="0007162A" w:rsidP="0007162A">
            <w:pPr>
              <w:spacing w:line="240" w:lineRule="auto"/>
            </w:pPr>
            <w:r w:rsidRPr="00423006">
              <w:t>Clients referred through a Voluntary Agreement</w:t>
            </w:r>
            <w:r>
              <w:t xml:space="preserve"> for a case plan</w:t>
            </w:r>
            <w:r>
              <w:rPr>
                <w:rStyle w:val="FootnoteReference"/>
              </w:rPr>
              <w:footnoteReference w:id="15"/>
            </w:r>
          </w:p>
        </w:tc>
        <w:tc>
          <w:tcPr>
            <w:tcW w:w="1026" w:type="dxa"/>
            <w:vAlign w:val="center"/>
          </w:tcPr>
          <w:p w14:paraId="26649358" w14:textId="653F7780" w:rsidR="0007162A" w:rsidRPr="00143912" w:rsidRDefault="00A65C1F" w:rsidP="0007162A">
            <w:pPr>
              <w:spacing w:line="240" w:lineRule="auto"/>
              <w:jc w:val="right"/>
            </w:pPr>
            <w:r>
              <w:rPr>
                <w:rFonts w:cs="Arial"/>
              </w:rPr>
              <w:t>14</w:t>
            </w:r>
          </w:p>
        </w:tc>
        <w:tc>
          <w:tcPr>
            <w:tcW w:w="875" w:type="dxa"/>
            <w:vAlign w:val="center"/>
          </w:tcPr>
          <w:p w14:paraId="7B755D8C" w14:textId="14CAC15C" w:rsidR="0007162A" w:rsidRPr="00143912" w:rsidRDefault="00A65C1F" w:rsidP="0007162A">
            <w:pPr>
              <w:spacing w:line="240" w:lineRule="auto"/>
              <w:jc w:val="right"/>
            </w:pPr>
            <w:r>
              <w:rPr>
                <w:rFonts w:cs="Arial"/>
              </w:rPr>
              <w:t>1</w:t>
            </w:r>
            <w:r w:rsidR="008436DC">
              <w:rPr>
                <w:rFonts w:cs="Arial"/>
              </w:rPr>
              <w:t>2</w:t>
            </w:r>
          </w:p>
        </w:tc>
        <w:tc>
          <w:tcPr>
            <w:tcW w:w="463" w:type="dxa"/>
            <w:vAlign w:val="center"/>
          </w:tcPr>
          <w:p w14:paraId="6092C81B" w14:textId="60F990D6" w:rsidR="0007162A" w:rsidRPr="00EF2D65" w:rsidRDefault="0007162A" w:rsidP="0007162A">
            <w:pPr>
              <w:spacing w:line="240" w:lineRule="auto"/>
              <w:jc w:val="right"/>
            </w:pPr>
          </w:p>
        </w:tc>
        <w:tc>
          <w:tcPr>
            <w:tcW w:w="1140" w:type="dxa"/>
            <w:vAlign w:val="center"/>
          </w:tcPr>
          <w:p w14:paraId="7A13A493" w14:textId="71671AF6" w:rsidR="0007162A" w:rsidRPr="00143912" w:rsidRDefault="0007162A" w:rsidP="0007162A">
            <w:pPr>
              <w:spacing w:line="240" w:lineRule="auto"/>
              <w:jc w:val="right"/>
            </w:pPr>
            <w:r>
              <w:rPr>
                <w:rFonts w:cs="Arial"/>
              </w:rPr>
              <w:t>3</w:t>
            </w:r>
            <w:r w:rsidR="00A65C1F">
              <w:rPr>
                <w:rFonts w:cs="Arial"/>
              </w:rPr>
              <w:t>7</w:t>
            </w:r>
          </w:p>
        </w:tc>
        <w:tc>
          <w:tcPr>
            <w:tcW w:w="1140" w:type="dxa"/>
            <w:vAlign w:val="center"/>
          </w:tcPr>
          <w:p w14:paraId="5E9D8367" w14:textId="60CBFFCC" w:rsidR="0007162A" w:rsidRPr="00143912" w:rsidRDefault="00A65C1F" w:rsidP="0007162A">
            <w:pPr>
              <w:spacing w:line="240" w:lineRule="auto"/>
              <w:jc w:val="right"/>
            </w:pPr>
            <w:r>
              <w:rPr>
                <w:rFonts w:cs="Arial"/>
              </w:rPr>
              <w:t>41</w:t>
            </w:r>
          </w:p>
        </w:tc>
      </w:tr>
      <w:tr w:rsidR="0007162A" w14:paraId="323DBB29" w14:textId="77777777" w:rsidTr="00DB33CA">
        <w:tc>
          <w:tcPr>
            <w:tcW w:w="5127" w:type="dxa"/>
          </w:tcPr>
          <w:p w14:paraId="2B63FDBC" w14:textId="0B2D08D4" w:rsidR="0007162A" w:rsidRDefault="0007162A" w:rsidP="0007162A">
            <w:pPr>
              <w:spacing w:line="240" w:lineRule="auto"/>
            </w:pPr>
            <w:r w:rsidRPr="00EB1F9E">
              <w:t>Clients who chose to participate in VIM</w:t>
            </w:r>
            <w:r>
              <w:rPr>
                <w:rStyle w:val="FootnoteReference"/>
              </w:rPr>
              <w:footnoteReference w:id="16"/>
            </w:r>
          </w:p>
        </w:tc>
        <w:tc>
          <w:tcPr>
            <w:tcW w:w="1026" w:type="dxa"/>
            <w:vAlign w:val="center"/>
          </w:tcPr>
          <w:p w14:paraId="3609E59F" w14:textId="193E65BB" w:rsidR="0007162A" w:rsidRPr="00143912" w:rsidRDefault="00A65C1F" w:rsidP="0007162A">
            <w:pPr>
              <w:spacing w:line="240" w:lineRule="auto"/>
              <w:jc w:val="right"/>
              <w:rPr>
                <w:rFonts w:cs="Arial"/>
              </w:rPr>
            </w:pPr>
            <w:r>
              <w:rPr>
                <w:rFonts w:cs="Arial"/>
              </w:rPr>
              <w:t>22</w:t>
            </w:r>
          </w:p>
        </w:tc>
        <w:tc>
          <w:tcPr>
            <w:tcW w:w="875" w:type="dxa"/>
            <w:vAlign w:val="center"/>
          </w:tcPr>
          <w:p w14:paraId="34BAD3D0" w14:textId="0EF7A14D" w:rsidR="0007162A" w:rsidRPr="00143912" w:rsidRDefault="0007162A" w:rsidP="0007162A">
            <w:pPr>
              <w:spacing w:line="240" w:lineRule="auto"/>
              <w:jc w:val="right"/>
              <w:rPr>
                <w:rFonts w:cs="Arial"/>
              </w:rPr>
            </w:pPr>
            <w:r>
              <w:rPr>
                <w:rFonts w:cs="Arial"/>
              </w:rPr>
              <w:t>10</w:t>
            </w:r>
          </w:p>
        </w:tc>
        <w:tc>
          <w:tcPr>
            <w:tcW w:w="463" w:type="dxa"/>
            <w:vAlign w:val="center"/>
          </w:tcPr>
          <w:p w14:paraId="7E5C9E3D" w14:textId="5CA7C37C" w:rsidR="0007162A" w:rsidRPr="00EF2D65" w:rsidRDefault="0007162A" w:rsidP="0007162A">
            <w:pPr>
              <w:spacing w:line="240" w:lineRule="auto"/>
              <w:jc w:val="right"/>
            </w:pPr>
          </w:p>
        </w:tc>
        <w:tc>
          <w:tcPr>
            <w:tcW w:w="1140" w:type="dxa"/>
            <w:vAlign w:val="center"/>
          </w:tcPr>
          <w:p w14:paraId="422F7588" w14:textId="2BFA1446" w:rsidR="0007162A" w:rsidRPr="00143912" w:rsidRDefault="0007162A" w:rsidP="0007162A">
            <w:pPr>
              <w:spacing w:line="240" w:lineRule="auto"/>
              <w:jc w:val="right"/>
              <w:rPr>
                <w:rFonts w:cs="Arial"/>
              </w:rPr>
            </w:pPr>
            <w:r>
              <w:rPr>
                <w:rFonts w:cs="Arial"/>
              </w:rPr>
              <w:t>4</w:t>
            </w:r>
            <w:r w:rsidR="00A65C1F">
              <w:rPr>
                <w:rFonts w:cs="Arial"/>
              </w:rPr>
              <w:t>2</w:t>
            </w:r>
          </w:p>
        </w:tc>
        <w:tc>
          <w:tcPr>
            <w:tcW w:w="1140" w:type="dxa"/>
            <w:vAlign w:val="center"/>
          </w:tcPr>
          <w:p w14:paraId="31BCC77C" w14:textId="379E9514" w:rsidR="0007162A" w:rsidRPr="00143912" w:rsidRDefault="00A65C1F" w:rsidP="0007162A">
            <w:pPr>
              <w:spacing w:line="240" w:lineRule="auto"/>
              <w:jc w:val="right"/>
              <w:rPr>
                <w:rFonts w:cs="Arial"/>
              </w:rPr>
            </w:pPr>
            <w:r>
              <w:rPr>
                <w:rFonts w:cs="Arial"/>
              </w:rPr>
              <w:t>51</w:t>
            </w:r>
          </w:p>
        </w:tc>
      </w:tr>
      <w:tr w:rsidR="0007162A" w14:paraId="444AB815" w14:textId="77777777" w:rsidTr="00DB33CA">
        <w:tc>
          <w:tcPr>
            <w:tcW w:w="5127" w:type="dxa"/>
          </w:tcPr>
          <w:p w14:paraId="018D049C" w14:textId="2D915E58" w:rsidR="0007162A" w:rsidRPr="00423006" w:rsidRDefault="0007162A" w:rsidP="0007162A">
            <w:pPr>
              <w:spacing w:line="240" w:lineRule="auto"/>
            </w:pPr>
            <w:r w:rsidRPr="00423006">
              <w:t>Clients who submitted an amend/end application</w:t>
            </w:r>
            <w:r>
              <w:rPr>
                <w:rStyle w:val="FootnoteReference"/>
              </w:rPr>
              <w:footnoteReference w:id="17"/>
            </w:r>
          </w:p>
        </w:tc>
        <w:tc>
          <w:tcPr>
            <w:tcW w:w="1026" w:type="dxa"/>
            <w:vAlign w:val="center"/>
          </w:tcPr>
          <w:p w14:paraId="19F68514" w14:textId="4CF3B2BB" w:rsidR="0007162A" w:rsidRPr="00143912" w:rsidRDefault="0007162A" w:rsidP="0007162A">
            <w:pPr>
              <w:spacing w:line="240" w:lineRule="auto"/>
              <w:jc w:val="right"/>
              <w:rPr>
                <w:rFonts w:cs="Arial"/>
              </w:rPr>
            </w:pPr>
            <w:r>
              <w:rPr>
                <w:rFonts w:cs="Arial"/>
              </w:rPr>
              <w:t>5</w:t>
            </w:r>
          </w:p>
        </w:tc>
        <w:tc>
          <w:tcPr>
            <w:tcW w:w="875" w:type="dxa"/>
            <w:vAlign w:val="center"/>
          </w:tcPr>
          <w:p w14:paraId="215C10C8" w14:textId="7F08977B" w:rsidR="0007162A" w:rsidRPr="00143912" w:rsidRDefault="00A65C1F" w:rsidP="0007162A">
            <w:pPr>
              <w:spacing w:line="240" w:lineRule="auto"/>
              <w:jc w:val="right"/>
              <w:rPr>
                <w:rFonts w:cs="Arial"/>
              </w:rPr>
            </w:pPr>
            <w:r>
              <w:rPr>
                <w:rFonts w:cs="Arial"/>
              </w:rPr>
              <w:t>1</w:t>
            </w:r>
          </w:p>
        </w:tc>
        <w:tc>
          <w:tcPr>
            <w:tcW w:w="463" w:type="dxa"/>
            <w:vAlign w:val="center"/>
          </w:tcPr>
          <w:p w14:paraId="63FC96B1" w14:textId="0CA51538" w:rsidR="0007162A" w:rsidRPr="00EF2D65" w:rsidRDefault="0007162A" w:rsidP="0007162A">
            <w:pPr>
              <w:spacing w:line="240" w:lineRule="auto"/>
              <w:jc w:val="right"/>
            </w:pPr>
          </w:p>
        </w:tc>
        <w:tc>
          <w:tcPr>
            <w:tcW w:w="1140" w:type="dxa"/>
            <w:vAlign w:val="center"/>
          </w:tcPr>
          <w:p w14:paraId="6C2DF82D" w14:textId="24EC9E14" w:rsidR="0007162A" w:rsidRPr="00143912" w:rsidRDefault="00A65C1F" w:rsidP="0007162A">
            <w:pPr>
              <w:spacing w:line="240" w:lineRule="auto"/>
              <w:jc w:val="right"/>
              <w:rPr>
                <w:rFonts w:cs="Arial"/>
              </w:rPr>
            </w:pPr>
            <w:r>
              <w:rPr>
                <w:rFonts w:cs="Arial"/>
              </w:rPr>
              <w:t>29</w:t>
            </w:r>
          </w:p>
        </w:tc>
        <w:tc>
          <w:tcPr>
            <w:tcW w:w="1140" w:type="dxa"/>
            <w:vAlign w:val="center"/>
          </w:tcPr>
          <w:p w14:paraId="3A96BFD9" w14:textId="5DA716F8" w:rsidR="0007162A" w:rsidRPr="00143912" w:rsidRDefault="00A65C1F" w:rsidP="0007162A">
            <w:pPr>
              <w:spacing w:line="240" w:lineRule="auto"/>
              <w:jc w:val="right"/>
              <w:rPr>
                <w:rFonts w:cs="Arial"/>
              </w:rPr>
            </w:pPr>
            <w:r>
              <w:rPr>
                <w:rFonts w:cs="Arial"/>
              </w:rPr>
              <w:t>29</w:t>
            </w:r>
          </w:p>
        </w:tc>
      </w:tr>
    </w:tbl>
    <w:p w14:paraId="0E8FF706" w14:textId="78D57602" w:rsidR="003C5234" w:rsidRPr="00C029A0" w:rsidRDefault="003C5234" w:rsidP="00C029A0">
      <w:pPr>
        <w:spacing w:line="240" w:lineRule="auto"/>
        <w:ind w:left="-142" w:right="-425"/>
        <w:jc w:val="both"/>
      </w:pPr>
    </w:p>
    <w:p w14:paraId="0EE0119D" w14:textId="1686B732" w:rsidR="00F500CF" w:rsidRPr="00F500CF" w:rsidRDefault="00F500CF" w:rsidP="00F034B6">
      <w:pPr>
        <w:pStyle w:val="Heading2"/>
      </w:pPr>
      <w:r w:rsidRPr="00F500CF">
        <w:t>Estimated resident populations:</w:t>
      </w:r>
    </w:p>
    <w:p w14:paraId="45106CC2" w14:textId="77777777" w:rsidR="00F500CF" w:rsidRDefault="00F500CF" w:rsidP="00EC14C1">
      <w:pPr>
        <w:spacing w:line="240" w:lineRule="auto"/>
        <w:ind w:left="-142" w:right="-425"/>
        <w:jc w:val="both"/>
      </w:pPr>
    </w:p>
    <w:p w14:paraId="22291536" w14:textId="58F069F5"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587B7C">
        <w:t>7</w:t>
      </w:r>
      <w:r w:rsidR="006F1AA0">
        <w:t>95</w:t>
      </w:r>
      <w:r w:rsidR="00587B7C" w:rsidRPr="008E7494">
        <w:t xml:space="preserve"> </w:t>
      </w:r>
      <w:r w:rsidR="00F500CF" w:rsidRPr="008E7494">
        <w:t xml:space="preserve">people as at 30 June </w:t>
      </w:r>
      <w:bookmarkStart w:id="32" w:name="_Ref362343764"/>
      <w:bookmarkStart w:id="33" w:name="_Ref459716764"/>
      <w:r w:rsidR="00F500CF" w:rsidRPr="008E7494">
        <w:t>20</w:t>
      </w:r>
      <w:r w:rsidR="00C673E7">
        <w:t>2</w:t>
      </w:r>
      <w:r w:rsidR="00A646AC">
        <w:t>2</w:t>
      </w:r>
      <w:bookmarkStart w:id="34" w:name="_Ref64367928"/>
      <w:r w:rsidR="00F500CF" w:rsidRPr="00F500CF">
        <w:rPr>
          <w:vertAlign w:val="superscript"/>
        </w:rPr>
        <w:footnoteReference w:id="18"/>
      </w:r>
      <w:bookmarkEnd w:id="32"/>
      <w:bookmarkEnd w:id="33"/>
      <w:bookmarkEnd w:id="34"/>
      <w:r w:rsidR="00F500CF" w:rsidRPr="00F500CF">
        <w:rPr>
          <w:vertAlign w:val="superscript"/>
        </w:rPr>
        <w:t>,</w:t>
      </w:r>
      <w:bookmarkStart w:id="35" w:name="_Ref459716829"/>
      <w:r w:rsidR="00F500CF" w:rsidRPr="00F500CF">
        <w:rPr>
          <w:vertAlign w:val="superscript"/>
        </w:rPr>
        <w:footnoteReference w:id="19"/>
      </w:r>
      <w:bookmarkEnd w:id="35"/>
      <w:r w:rsidR="00F500CF" w:rsidRPr="008E7494">
        <w:t>.</w:t>
      </w:r>
    </w:p>
    <w:p w14:paraId="1D1F7E14" w14:textId="77777777" w:rsidR="00F500CF" w:rsidRDefault="00F500CF" w:rsidP="00EC14C1">
      <w:pPr>
        <w:spacing w:line="240" w:lineRule="auto"/>
        <w:ind w:left="-142" w:right="-425"/>
        <w:jc w:val="both"/>
      </w:pPr>
    </w:p>
    <w:p w14:paraId="5C34875A" w14:textId="2761049F"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36" w:name="_Ref459717187"/>
      <w:r w:rsidR="006F1AA0">
        <w:t>201</w:t>
      </w:r>
      <w:r w:rsidR="006F1AA0" w:rsidRPr="008E7494">
        <w:t xml:space="preserve"> </w:t>
      </w:r>
      <w:r w:rsidR="00F500CF" w:rsidRPr="008E7494">
        <w:t>people as at 30 June 20</w:t>
      </w:r>
      <w:r w:rsidR="00C673E7">
        <w:t>2</w:t>
      </w:r>
      <w:r w:rsidR="00A646AC">
        <w:t>2</w:t>
      </w:r>
      <w:r w:rsidR="003D357C">
        <w:rPr>
          <w:vertAlign w:val="superscript"/>
        </w:rPr>
        <w:fldChar w:fldCharType="begin"/>
      </w:r>
      <w:r w:rsidR="003D357C">
        <w:rPr>
          <w:vertAlign w:val="superscript"/>
        </w:rPr>
        <w:instrText xml:space="preserve"> NOTEREF _Ref64367928 \h </w:instrText>
      </w:r>
      <w:r w:rsidR="003D357C">
        <w:rPr>
          <w:vertAlign w:val="superscript"/>
        </w:rPr>
      </w:r>
      <w:r w:rsidR="003D357C">
        <w:rPr>
          <w:vertAlign w:val="superscript"/>
        </w:rPr>
        <w:fldChar w:fldCharType="separate"/>
      </w:r>
      <w:r w:rsidR="008E44A0">
        <w:rPr>
          <w:vertAlign w:val="superscript"/>
        </w:rPr>
        <w:t>17</w:t>
      </w:r>
      <w:r w:rsidR="003D357C">
        <w:rPr>
          <w:vertAlign w:val="superscript"/>
        </w:rPr>
        <w:fldChar w:fldCharType="end"/>
      </w:r>
      <w:r w:rsidR="00F500CF" w:rsidRPr="00F500CF">
        <w:rPr>
          <w:vertAlign w:val="superscript"/>
        </w:rPr>
        <w:t>,</w:t>
      </w:r>
      <w:bookmarkStart w:id="37" w:name="_Ref74754871"/>
      <w:r w:rsidR="00F500CF" w:rsidRPr="00F500CF">
        <w:rPr>
          <w:vertAlign w:val="superscript"/>
        </w:rPr>
        <w:footnoteReference w:id="20"/>
      </w:r>
      <w:bookmarkEnd w:id="36"/>
      <w:bookmarkEnd w:id="37"/>
      <w:r w:rsidR="00F500CF" w:rsidRPr="008E7494">
        <w:t>.</w:t>
      </w:r>
    </w:p>
    <w:p w14:paraId="6639697A" w14:textId="77777777" w:rsidR="00F500CF" w:rsidRDefault="00F500CF" w:rsidP="00EC14C1">
      <w:pPr>
        <w:spacing w:line="240" w:lineRule="auto"/>
        <w:ind w:left="-142" w:right="-425"/>
        <w:jc w:val="both"/>
      </w:pPr>
    </w:p>
    <w:p w14:paraId="439048BC" w14:textId="72BC4BE7"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587B7C">
        <w:t>9</w:t>
      </w:r>
      <w:r w:rsidR="006F1AA0">
        <w:t>18</w:t>
      </w:r>
      <w:r w:rsidR="00587B7C" w:rsidRPr="008E7494">
        <w:t xml:space="preserve"> </w:t>
      </w:r>
      <w:r w:rsidR="00F500CF" w:rsidRPr="008E7494">
        <w:t>people as at 30 June 20</w:t>
      </w:r>
      <w:r w:rsidR="00C673E7">
        <w:t>2</w:t>
      </w:r>
      <w:r w:rsidR="00A646AC">
        <w:t>2</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8E44A0">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8E44A0">
        <w:rPr>
          <w:vertAlign w:val="superscript"/>
        </w:rPr>
        <w:t>18</w:t>
      </w:r>
      <w:r w:rsidR="00C673E7">
        <w:rPr>
          <w:vertAlign w:val="superscript"/>
        </w:rPr>
        <w:fldChar w:fldCharType="end"/>
      </w:r>
      <w:r w:rsidR="008D618D">
        <w:t>.</w:t>
      </w:r>
    </w:p>
    <w:p w14:paraId="11431EDB" w14:textId="77777777" w:rsidR="00F500CF" w:rsidRDefault="00F500CF" w:rsidP="00EC14C1">
      <w:pPr>
        <w:spacing w:line="240" w:lineRule="auto"/>
        <w:ind w:left="-142" w:right="-425"/>
        <w:jc w:val="both"/>
      </w:pPr>
    </w:p>
    <w:p w14:paraId="570360C5" w14:textId="77690168"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587B7C">
        <w:t>6</w:t>
      </w:r>
      <w:r w:rsidR="006F1AA0">
        <w:t>52</w:t>
      </w:r>
      <w:r w:rsidR="00587B7C" w:rsidRPr="008E7494">
        <w:t xml:space="preserve"> </w:t>
      </w:r>
      <w:r w:rsidR="00F500CF" w:rsidRPr="008E7494">
        <w:t>people as at 30 June 20</w:t>
      </w:r>
      <w:r w:rsidR="00C673E7">
        <w:t>2</w:t>
      </w:r>
      <w:r w:rsidR="00A646AC">
        <w:t>2</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8E44A0">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8E44A0">
        <w:rPr>
          <w:vertAlign w:val="superscript"/>
        </w:rPr>
        <w:t>18</w:t>
      </w:r>
      <w:r w:rsidR="00C673E7">
        <w:rPr>
          <w:vertAlign w:val="superscript"/>
        </w:rPr>
        <w:fldChar w:fldCharType="end"/>
      </w:r>
      <w:r w:rsidR="00F500CF" w:rsidRPr="008E7494">
        <w:t>.</w:t>
      </w:r>
    </w:p>
    <w:p w14:paraId="37A43BA9" w14:textId="77777777" w:rsidR="00F500CF" w:rsidRDefault="00F500CF" w:rsidP="00EC14C1">
      <w:pPr>
        <w:spacing w:line="240" w:lineRule="auto"/>
        <w:ind w:left="-142" w:right="-425"/>
        <w:jc w:val="both"/>
      </w:pPr>
    </w:p>
    <w:p w14:paraId="284FB3E9" w14:textId="3934DB78" w:rsidR="00663321" w:rsidRPr="00587B7C" w:rsidRDefault="000B5FD9" w:rsidP="00587B7C">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587B7C">
        <w:t>10</w:t>
      </w:r>
      <w:r w:rsidR="006F1AA0">
        <w:t>1</w:t>
      </w:r>
      <w:r w:rsidR="00587B7C" w:rsidRPr="008E7494">
        <w:t xml:space="preserve"> </w:t>
      </w:r>
      <w:r w:rsidR="00F500CF" w:rsidRPr="008E7494">
        <w:t>people as at 30 June 20</w:t>
      </w:r>
      <w:r w:rsidR="00C673E7">
        <w:t>2</w:t>
      </w:r>
      <w:r w:rsidR="00A646AC">
        <w:t>2</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8E44A0">
        <w:rPr>
          <w:vertAlign w:val="superscript"/>
        </w:rPr>
        <w:t>17</w:t>
      </w:r>
      <w:r w:rsidR="00C673E7" w:rsidRPr="00C673E7">
        <w:rPr>
          <w:vertAlign w:val="superscript"/>
        </w:rPr>
        <w:fldChar w:fldCharType="end"/>
      </w:r>
      <w:r w:rsidR="00C673E7">
        <w:rPr>
          <w:vertAlign w:val="superscript"/>
        </w:rPr>
        <w:t>,</w:t>
      </w:r>
      <w:r w:rsidR="00F500CF" w:rsidRPr="00F500CF">
        <w:rPr>
          <w:vertAlign w:val="superscript"/>
        </w:rPr>
        <w:footnoteReference w:id="21"/>
      </w:r>
      <w:r w:rsidR="00F500CF" w:rsidRPr="008E7494">
        <w:t>.</w:t>
      </w:r>
      <w:r w:rsidR="00663321">
        <w:br w:type="page"/>
      </w:r>
    </w:p>
    <w:p w14:paraId="2C7D86BB" w14:textId="589EEA41" w:rsidR="005A5B78" w:rsidRPr="00E34093" w:rsidRDefault="005A5B78" w:rsidP="005A5B78">
      <w:pPr>
        <w:pStyle w:val="Heading1"/>
        <w:ind w:left="-142" w:right="-426"/>
      </w:pPr>
      <w:bookmarkStart w:id="38" w:name="_Toc39657992"/>
      <w:r w:rsidRPr="00E34093">
        <w:lastRenderedPageBreak/>
        <w:t>2.  Future Direction</w:t>
      </w:r>
      <w:bookmarkEnd w:id="28"/>
      <w:bookmarkEnd w:id="29"/>
      <w:bookmarkEnd w:id="30"/>
      <w:bookmarkEnd w:id="31"/>
      <w:r w:rsidRPr="00E34093">
        <w:t xml:space="preserve"> and Challenges</w:t>
      </w:r>
      <w:bookmarkEnd w:id="38"/>
    </w:p>
    <w:p w14:paraId="66A68EAB" w14:textId="5BC344B1" w:rsidR="005A5B78" w:rsidRPr="0060745C" w:rsidRDefault="005A5B78" w:rsidP="005A5B78">
      <w:pPr>
        <w:ind w:left="-142" w:right="-425"/>
        <w:jc w:val="both"/>
        <w:rPr>
          <w:rFonts w:cs="Arial"/>
          <w:bCs/>
        </w:rPr>
      </w:pPr>
    </w:p>
    <w:p w14:paraId="541CE3C0" w14:textId="471DE518" w:rsidR="00130E12" w:rsidRPr="00824329" w:rsidRDefault="00130E12" w:rsidP="00130E12">
      <w:pPr>
        <w:ind w:left="-142" w:right="-425"/>
        <w:jc w:val="both"/>
        <w:rPr>
          <w:b/>
          <w:bCs/>
          <w:sz w:val="22"/>
          <w:szCs w:val="22"/>
        </w:rPr>
      </w:pPr>
      <w:bookmarkStart w:id="39" w:name="_Hlk152770384"/>
      <w:bookmarkStart w:id="40" w:name="_Hlk130207001"/>
      <w:bookmarkStart w:id="41" w:name="_Hlk143596962"/>
      <w:r w:rsidRPr="00824329">
        <w:rPr>
          <w:b/>
          <w:bCs/>
          <w:sz w:val="22"/>
          <w:szCs w:val="22"/>
        </w:rPr>
        <w:t>Chair and Deputy Chair of the Community Support and Services Committee visited Aurukun</w:t>
      </w:r>
    </w:p>
    <w:p w14:paraId="115FC25D" w14:textId="77777777" w:rsidR="00003FA5" w:rsidRPr="00003FA5" w:rsidRDefault="00003FA5" w:rsidP="00003FA5">
      <w:pPr>
        <w:tabs>
          <w:tab w:val="left" w:pos="1134"/>
        </w:tabs>
        <w:ind w:left="-142" w:right="-425"/>
        <w:jc w:val="both"/>
      </w:pPr>
      <w:r w:rsidRPr="00003FA5">
        <w:t>In July the FRC welcomed Ms Corrine McMillan MP Member for Mansfield (Chair) and Mr Stephen Bennett MP, Member for Burnett (Deputy Chair) of the Community Support and Services Committee for QLD parliament, (the FRC’s oversight community) to Aurukun to witness conferencing and see first-hand the work of our Local Commissioners and Registry staff. The Commission appreciates Ms McMillian’s and Mr Bennett’s commitment to better understand the Commission’s operations and the challenges experienced by our clients.</w:t>
      </w:r>
    </w:p>
    <w:bookmarkEnd w:id="39"/>
    <w:p w14:paraId="0B82E121" w14:textId="77777777" w:rsidR="009936AA" w:rsidRPr="00C375EC" w:rsidRDefault="009936AA" w:rsidP="009936AA">
      <w:pPr>
        <w:ind w:left="-142" w:right="-425"/>
        <w:jc w:val="both"/>
      </w:pPr>
    </w:p>
    <w:p w14:paraId="38D01644" w14:textId="1B521C65" w:rsidR="000850EB" w:rsidRPr="00824329" w:rsidRDefault="004B2022" w:rsidP="00D21536">
      <w:pPr>
        <w:ind w:left="-142" w:right="-425"/>
        <w:rPr>
          <w:b/>
          <w:bCs/>
          <w:sz w:val="22"/>
          <w:szCs w:val="22"/>
        </w:rPr>
      </w:pPr>
      <w:r>
        <w:rPr>
          <w:b/>
          <w:bCs/>
          <w:sz w:val="22"/>
          <w:szCs w:val="22"/>
        </w:rPr>
        <w:t xml:space="preserve">MOU with the </w:t>
      </w:r>
      <w:r w:rsidR="00D21536" w:rsidRPr="00824329">
        <w:rPr>
          <w:b/>
          <w:bCs/>
          <w:sz w:val="22"/>
          <w:szCs w:val="22"/>
        </w:rPr>
        <w:t>Aboriginal and Torres Strait Islander Legal Service (</w:t>
      </w:r>
      <w:r w:rsidR="009507E2" w:rsidRPr="00824329">
        <w:rPr>
          <w:b/>
          <w:bCs/>
          <w:sz w:val="22"/>
          <w:szCs w:val="22"/>
        </w:rPr>
        <w:t>ATSILS</w:t>
      </w:r>
      <w:r w:rsidR="00D21536" w:rsidRPr="00824329">
        <w:rPr>
          <w:b/>
          <w:bCs/>
          <w:sz w:val="22"/>
          <w:szCs w:val="22"/>
        </w:rPr>
        <w:t xml:space="preserve">) </w:t>
      </w:r>
    </w:p>
    <w:p w14:paraId="4DC4FD70" w14:textId="7BE97244" w:rsidR="00586ED4" w:rsidRDefault="00586ED4" w:rsidP="00D21536">
      <w:pPr>
        <w:tabs>
          <w:tab w:val="left" w:pos="1134"/>
        </w:tabs>
        <w:ind w:left="-142" w:right="-425"/>
        <w:jc w:val="both"/>
      </w:pPr>
      <w:r>
        <w:t xml:space="preserve">Following months of co-design and collaboration the FRC and ATSILS entered a MOU </w:t>
      </w:r>
      <w:r w:rsidR="00D21536">
        <w:t xml:space="preserve">on </w:t>
      </w:r>
      <w:r w:rsidR="004B2022">
        <w:t>23 August 2023</w:t>
      </w:r>
      <w:r w:rsidR="00D21536">
        <w:t xml:space="preserve"> </w:t>
      </w:r>
      <w:r>
        <w:t xml:space="preserve">in relation to the provision of </w:t>
      </w:r>
      <w:r w:rsidR="004B2022">
        <w:t xml:space="preserve">FRC </w:t>
      </w:r>
      <w:r>
        <w:t>client information</w:t>
      </w:r>
      <w:r w:rsidR="004B2022">
        <w:t xml:space="preserve"> to ATSILS with the consent of mutual clients</w:t>
      </w:r>
      <w:r>
        <w:t>.</w:t>
      </w:r>
    </w:p>
    <w:p w14:paraId="193B8E00" w14:textId="77777777" w:rsidR="00586ED4" w:rsidRDefault="00586ED4" w:rsidP="00D21536">
      <w:pPr>
        <w:tabs>
          <w:tab w:val="left" w:pos="1134"/>
        </w:tabs>
        <w:ind w:left="-142" w:right="-425"/>
        <w:jc w:val="both"/>
      </w:pPr>
    </w:p>
    <w:p w14:paraId="1CC36773" w14:textId="77777777" w:rsidR="00586ED4" w:rsidRPr="00824329" w:rsidRDefault="00586ED4" w:rsidP="00D21536">
      <w:pPr>
        <w:ind w:left="-142"/>
        <w:rPr>
          <w:b/>
          <w:bCs/>
          <w:i/>
          <w:iCs/>
        </w:rPr>
      </w:pPr>
      <w:r w:rsidRPr="00824329">
        <w:rPr>
          <w:b/>
          <w:bCs/>
          <w:i/>
          <w:iCs/>
        </w:rPr>
        <w:t>Relevant Background</w:t>
      </w:r>
    </w:p>
    <w:p w14:paraId="1A73C3EE" w14:textId="684488B0" w:rsidR="00586ED4" w:rsidRDefault="00586ED4" w:rsidP="00D21536">
      <w:pPr>
        <w:tabs>
          <w:tab w:val="left" w:pos="1134"/>
        </w:tabs>
        <w:ind w:left="-142" w:right="-425"/>
        <w:jc w:val="both"/>
      </w:pPr>
      <w:r>
        <w:t>The FRC's Operational Analysis - prepared and published in May 2022 for the Queensland Government's review of Commission operations - proposed that information sharing by the FRC, in appropriate circumstances, could support greater coherence of decision making across the service delivery ecosystem to encourage and incentivise clients' behavioural change. This would occur through embedding FRC input into other key agencies' decisions affecting mutual clients.</w:t>
      </w:r>
    </w:p>
    <w:p w14:paraId="66304C16" w14:textId="77777777" w:rsidR="00586ED4" w:rsidRDefault="00586ED4" w:rsidP="00D21536">
      <w:pPr>
        <w:tabs>
          <w:tab w:val="left" w:pos="1134"/>
        </w:tabs>
        <w:ind w:left="-142" w:right="-425"/>
        <w:jc w:val="both"/>
      </w:pPr>
    </w:p>
    <w:p w14:paraId="7A986CF4" w14:textId="70F999AE" w:rsidR="004B2022" w:rsidRDefault="00586ED4" w:rsidP="00D21536">
      <w:pPr>
        <w:tabs>
          <w:tab w:val="left" w:pos="1134"/>
        </w:tabs>
        <w:ind w:left="-142" w:right="-425"/>
        <w:jc w:val="both"/>
      </w:pPr>
      <w:r>
        <w:t xml:space="preserve">One area where this </w:t>
      </w:r>
      <w:r w:rsidR="004B2022">
        <w:t>has particular relevance is</w:t>
      </w:r>
      <w:r>
        <w:t xml:space="preserve"> where an FRC client appears as a defendant in the criminal justice system, specifically when they appear before a court in sentencing proceedings. </w:t>
      </w:r>
      <w:r w:rsidR="003142D1">
        <w:t>In such situations t</w:t>
      </w:r>
      <w:r>
        <w:t>he FRC could provide information as to whether the</w:t>
      </w:r>
      <w:r w:rsidR="004B2022">
        <w:t xml:space="preserve"> defendant is </w:t>
      </w:r>
      <w:r>
        <w:t xml:space="preserve">actively engaging with FRC processes. </w:t>
      </w:r>
      <w:r w:rsidR="00862947">
        <w:t>This may serve as useful information for the consideration of Magistrates and Judges which they would otherwise not have access to.</w:t>
      </w:r>
    </w:p>
    <w:p w14:paraId="3DE97723" w14:textId="77777777" w:rsidR="004B2022" w:rsidRDefault="004B2022" w:rsidP="00D21536">
      <w:pPr>
        <w:tabs>
          <w:tab w:val="left" w:pos="1134"/>
        </w:tabs>
        <w:ind w:left="-142" w:right="-425"/>
        <w:jc w:val="both"/>
      </w:pPr>
    </w:p>
    <w:p w14:paraId="65E3E4E5" w14:textId="05225D13" w:rsidR="00586ED4" w:rsidRDefault="00586ED4" w:rsidP="00D21536">
      <w:pPr>
        <w:tabs>
          <w:tab w:val="left" w:pos="1134"/>
        </w:tabs>
        <w:ind w:left="-142" w:right="-425"/>
        <w:jc w:val="both"/>
      </w:pPr>
      <w:r>
        <w:t>In circumstances where clients are actively participating in referrals to achieve their FRC case plan goals or voluntary income management, this could potentially assist in reducing the penalties imposed on clients. In a practical sense, this could mean the difference between being sentenced to a community-based order or serv</w:t>
      </w:r>
      <w:r w:rsidR="003142D1">
        <w:t>ing</w:t>
      </w:r>
      <w:r>
        <w:t xml:space="preserve"> a term of imprisonment.</w:t>
      </w:r>
    </w:p>
    <w:p w14:paraId="6F22028C" w14:textId="77777777" w:rsidR="00041DA2" w:rsidRDefault="00041DA2" w:rsidP="00D21536">
      <w:pPr>
        <w:tabs>
          <w:tab w:val="left" w:pos="1134"/>
        </w:tabs>
        <w:ind w:left="-142" w:right="-425"/>
        <w:jc w:val="both"/>
      </w:pPr>
    </w:p>
    <w:p w14:paraId="59E01AB3" w14:textId="06E958DB" w:rsidR="00041DA2" w:rsidRPr="00824329" w:rsidRDefault="00041DA2" w:rsidP="00041DA2">
      <w:pPr>
        <w:ind w:left="-142"/>
        <w:rPr>
          <w:b/>
          <w:bCs/>
          <w:i/>
          <w:iCs/>
        </w:rPr>
      </w:pPr>
      <w:r w:rsidRPr="00824329">
        <w:rPr>
          <w:b/>
          <w:bCs/>
          <w:i/>
          <w:iCs/>
        </w:rPr>
        <w:t>Implementation</w:t>
      </w:r>
    </w:p>
    <w:p w14:paraId="154414AF" w14:textId="4A17FC73" w:rsidR="00041DA2" w:rsidRDefault="00586ED4" w:rsidP="00041DA2">
      <w:pPr>
        <w:tabs>
          <w:tab w:val="left" w:pos="1134"/>
        </w:tabs>
        <w:ind w:left="-142" w:right="-425"/>
        <w:jc w:val="both"/>
      </w:pPr>
      <w:r>
        <w:t xml:space="preserve">The MOU sets out the process for the provision of the exchange of client information </w:t>
      </w:r>
      <w:r w:rsidR="00041DA2">
        <w:t xml:space="preserve">for a period of 6 months </w:t>
      </w:r>
      <w:r>
        <w:t>between ATSILS (QLD) and the FRC</w:t>
      </w:r>
      <w:r w:rsidR="00041DA2">
        <w:t xml:space="preserve"> and will be </w:t>
      </w:r>
      <w:r w:rsidR="00862947">
        <w:t xml:space="preserve">initially </w:t>
      </w:r>
      <w:r w:rsidR="00041DA2">
        <w:t xml:space="preserve">confined to </w:t>
      </w:r>
      <w:r w:rsidR="00862947">
        <w:t xml:space="preserve">the Aurukun </w:t>
      </w:r>
      <w:r w:rsidR="00041DA2">
        <w:t>community. I</w:t>
      </w:r>
      <w:r>
        <w:t>t provides a framework for communication between the two partners, and it sets out parameters for evaluation</w:t>
      </w:r>
      <w:r w:rsidR="00041DA2">
        <w:t>, whereby the MOU may be extended for a further period and may be extended to apply to further FRC communities.</w:t>
      </w:r>
      <w:r w:rsidR="00862947">
        <w:t xml:space="preserve"> Following finalisation of relevant documents, it is hoped the project will be implemented in Quarter 62.</w:t>
      </w:r>
    </w:p>
    <w:p w14:paraId="09200BBC" w14:textId="77777777" w:rsidR="00586ED4" w:rsidRDefault="00586ED4" w:rsidP="00D21536">
      <w:pPr>
        <w:tabs>
          <w:tab w:val="left" w:pos="1134"/>
        </w:tabs>
        <w:ind w:left="-142" w:right="-425"/>
        <w:jc w:val="both"/>
      </w:pPr>
    </w:p>
    <w:p w14:paraId="63336C48" w14:textId="3B4772E8" w:rsidR="00D21536" w:rsidRPr="00824329" w:rsidRDefault="00D21536" w:rsidP="00D21536">
      <w:pPr>
        <w:ind w:left="-142"/>
        <w:rPr>
          <w:b/>
          <w:bCs/>
          <w:i/>
          <w:iCs/>
        </w:rPr>
      </w:pPr>
      <w:r w:rsidRPr="00824329">
        <w:rPr>
          <w:b/>
          <w:bCs/>
          <w:i/>
          <w:iCs/>
        </w:rPr>
        <w:t>Intended outcomes</w:t>
      </w:r>
    </w:p>
    <w:p w14:paraId="0C47DD45" w14:textId="6A25298E" w:rsidR="00D21536" w:rsidRDefault="00D21536" w:rsidP="00D21536">
      <w:pPr>
        <w:tabs>
          <w:tab w:val="left" w:pos="1134"/>
        </w:tabs>
        <w:ind w:left="-142" w:right="-425"/>
        <w:jc w:val="both"/>
      </w:pPr>
      <w:r w:rsidRPr="00D21536">
        <w:t>Both the FRC and ATSILS are committed to supporting First Nations communities and people to Closing the Gap (CtG)</w:t>
      </w:r>
      <w:r w:rsidR="002A0028">
        <w:t xml:space="preserve"> </w:t>
      </w:r>
      <w:r w:rsidRPr="00D21536">
        <w:t>on life outcomes; in particular, the over representation of adults in the criminal justice system.</w:t>
      </w:r>
      <w:r>
        <w:t xml:space="preserve"> </w:t>
      </w:r>
      <w:r w:rsidRPr="00D21536">
        <w:t>The CtG target is by 2031, to reduce the rate of Aboriginal and Torres Strait Islander adults held in incarceration by at least 15</w:t>
      </w:r>
      <w:r w:rsidR="00DD36DF">
        <w:t>%</w:t>
      </w:r>
      <w:r w:rsidRPr="00D21536">
        <w:t>.</w:t>
      </w:r>
      <w:r>
        <w:t xml:space="preserve"> The FRC and ATSILS are hopeful that these practical measures may go towards achieving improved sentencing outcomes for our joint clients.</w:t>
      </w:r>
    </w:p>
    <w:p w14:paraId="20792955" w14:textId="77777777" w:rsidR="00D21536" w:rsidRDefault="00D21536" w:rsidP="00D21536">
      <w:pPr>
        <w:tabs>
          <w:tab w:val="left" w:pos="1134"/>
        </w:tabs>
        <w:ind w:left="-142" w:right="-425"/>
        <w:jc w:val="both"/>
      </w:pPr>
    </w:p>
    <w:p w14:paraId="7F24B525" w14:textId="77777777" w:rsidR="00242865" w:rsidRPr="00242865" w:rsidRDefault="00242865">
      <w:pPr>
        <w:spacing w:line="240" w:lineRule="auto"/>
      </w:pPr>
      <w:r w:rsidRPr="00242865">
        <w:br w:type="page"/>
      </w:r>
    </w:p>
    <w:p w14:paraId="4187508B" w14:textId="3DE11663" w:rsidR="00F761DD" w:rsidRPr="00783F55" w:rsidRDefault="00F761DD" w:rsidP="00E3625E">
      <w:pPr>
        <w:tabs>
          <w:tab w:val="left" w:pos="1134"/>
        </w:tabs>
        <w:ind w:left="-142" w:right="-425"/>
        <w:jc w:val="both"/>
        <w:rPr>
          <w:b/>
          <w:bCs/>
          <w:i/>
          <w:iCs/>
          <w:sz w:val="22"/>
          <w:szCs w:val="22"/>
        </w:rPr>
      </w:pPr>
      <w:r w:rsidRPr="00783F55">
        <w:rPr>
          <w:b/>
          <w:bCs/>
          <w:i/>
          <w:iCs/>
          <w:sz w:val="22"/>
          <w:szCs w:val="22"/>
        </w:rPr>
        <w:lastRenderedPageBreak/>
        <w:t>Domestic and Family Violence Protection (Combating Coercive Control) and Other Legislation Amendment Act 2023</w:t>
      </w:r>
    </w:p>
    <w:p w14:paraId="20485B9E" w14:textId="71920AFA" w:rsidR="00413FA2" w:rsidRPr="00F761DD" w:rsidRDefault="00F761DD" w:rsidP="00F761DD">
      <w:pPr>
        <w:tabs>
          <w:tab w:val="left" w:pos="1134"/>
        </w:tabs>
        <w:ind w:left="-142" w:right="-425"/>
        <w:jc w:val="both"/>
      </w:pPr>
      <w:r>
        <w:t>The</w:t>
      </w:r>
      <w:r w:rsidR="00413FA2">
        <w:t xml:space="preserve"> Qld Government’s </w:t>
      </w:r>
      <w:r w:rsidR="00413FA2" w:rsidRPr="00C76B37">
        <w:rPr>
          <w:i/>
          <w:iCs/>
        </w:rPr>
        <w:t xml:space="preserve">Domestic and Family Violence Protection (Combating Coercive Control) and Other Legislation Amendment Act </w:t>
      </w:r>
      <w:r w:rsidRPr="00C76B37">
        <w:rPr>
          <w:i/>
          <w:iCs/>
        </w:rPr>
        <w:t>2023</w:t>
      </w:r>
      <w:r w:rsidRPr="00F761DD">
        <w:t xml:space="preserve"> </w:t>
      </w:r>
      <w:r w:rsidR="00413FA2" w:rsidRPr="00F761DD">
        <w:t>came into effect on 1 August 2023.</w:t>
      </w:r>
    </w:p>
    <w:p w14:paraId="12EF6D41" w14:textId="77777777" w:rsidR="00413FA2" w:rsidRDefault="00413FA2" w:rsidP="00F761DD">
      <w:pPr>
        <w:tabs>
          <w:tab w:val="left" w:pos="1134"/>
        </w:tabs>
        <w:ind w:left="-142" w:right="-425"/>
        <w:jc w:val="both"/>
      </w:pPr>
    </w:p>
    <w:p w14:paraId="4B25B204" w14:textId="0F4F2C19" w:rsidR="00F761DD" w:rsidRPr="00F761DD" w:rsidRDefault="00F761DD" w:rsidP="00F761DD">
      <w:pPr>
        <w:ind w:left="-142"/>
        <w:rPr>
          <w:b/>
          <w:bCs/>
          <w:i/>
          <w:iCs/>
        </w:rPr>
      </w:pPr>
      <w:r w:rsidRPr="00824329">
        <w:rPr>
          <w:b/>
          <w:bCs/>
          <w:i/>
          <w:iCs/>
        </w:rPr>
        <w:t>Relevant Background</w:t>
      </w:r>
    </w:p>
    <w:p w14:paraId="063F1A94" w14:textId="2B1CEF37" w:rsidR="00413FA2" w:rsidRDefault="00413FA2" w:rsidP="00F761DD">
      <w:pPr>
        <w:tabs>
          <w:tab w:val="left" w:pos="1134"/>
        </w:tabs>
        <w:ind w:left="-142" w:right="-425"/>
        <w:jc w:val="both"/>
      </w:pPr>
      <w:r w:rsidRPr="00F761DD">
        <w:t>The legislation strengthens laws to address the patterned nature of coercive control and lays the foundation to introduce a standalone offence of coercive control.</w:t>
      </w:r>
    </w:p>
    <w:p w14:paraId="179BAC4C" w14:textId="77777777" w:rsidR="00F761DD" w:rsidRPr="00F761DD" w:rsidRDefault="00F761DD" w:rsidP="00F761DD">
      <w:pPr>
        <w:tabs>
          <w:tab w:val="left" w:pos="1134"/>
        </w:tabs>
        <w:ind w:left="-142" w:right="-425"/>
        <w:jc w:val="both"/>
      </w:pPr>
    </w:p>
    <w:p w14:paraId="3DEB4993" w14:textId="77777777" w:rsidR="00413FA2" w:rsidRPr="00F761DD" w:rsidRDefault="00413FA2" w:rsidP="00C84126">
      <w:pPr>
        <w:tabs>
          <w:tab w:val="left" w:pos="1134"/>
        </w:tabs>
        <w:ind w:left="-142" w:right="-425"/>
        <w:jc w:val="both"/>
      </w:pPr>
      <w:r w:rsidRPr="00F761DD">
        <w:t>The amendments:</w:t>
      </w:r>
    </w:p>
    <w:p w14:paraId="067273E2" w14:textId="539C633A" w:rsidR="00413FA2" w:rsidRDefault="00413FA2" w:rsidP="009E454F">
      <w:pPr>
        <w:numPr>
          <w:ilvl w:val="0"/>
          <w:numId w:val="19"/>
        </w:numPr>
        <w:shd w:val="clear" w:color="auto" w:fill="FFFFFF"/>
        <w:spacing w:before="60" w:after="60" w:line="240" w:lineRule="auto"/>
        <w:ind w:left="714" w:hanging="357"/>
        <w:rPr>
          <w:color w:val="212529"/>
        </w:rPr>
      </w:pPr>
      <w:r>
        <w:rPr>
          <w:color w:val="212529"/>
        </w:rPr>
        <w:t>modernise and strengthen the offence of unlawful stalking in the Criminal Code to better capture the broad range of tactics used by perpetrators</w:t>
      </w:r>
    </w:p>
    <w:p w14:paraId="6FD452A8" w14:textId="24E0D7CC" w:rsidR="00413FA2" w:rsidRDefault="00413FA2" w:rsidP="009E454F">
      <w:pPr>
        <w:numPr>
          <w:ilvl w:val="0"/>
          <w:numId w:val="19"/>
        </w:numPr>
        <w:shd w:val="clear" w:color="auto" w:fill="FFFFFF"/>
        <w:spacing w:before="60" w:after="60" w:line="240" w:lineRule="auto"/>
        <w:rPr>
          <w:color w:val="212529"/>
        </w:rPr>
      </w:pPr>
      <w:r>
        <w:rPr>
          <w:color w:val="212529"/>
        </w:rPr>
        <w:t>broaden the definition of domestic and family violence to include behaviour that occurs over time and that acts of domestic violence must be considered in the context of the whole relationship</w:t>
      </w:r>
    </w:p>
    <w:p w14:paraId="3F73E1A8" w14:textId="2E03D19A" w:rsidR="00413FA2" w:rsidRDefault="00413FA2" w:rsidP="009E454F">
      <w:pPr>
        <w:numPr>
          <w:ilvl w:val="0"/>
          <w:numId w:val="19"/>
        </w:numPr>
        <w:shd w:val="clear" w:color="auto" w:fill="FFFFFF"/>
        <w:spacing w:before="60" w:after="60" w:line="240" w:lineRule="auto"/>
        <w:rPr>
          <w:color w:val="212529"/>
        </w:rPr>
      </w:pPr>
      <w:r>
        <w:rPr>
          <w:color w:val="212529"/>
        </w:rPr>
        <w:t>strengthen the court’s response to cross applications</w:t>
      </w:r>
      <w:r w:rsidR="00F761DD">
        <w:rPr>
          <w:color w:val="212529"/>
        </w:rPr>
        <w:t xml:space="preserve"> </w:t>
      </w:r>
      <w:r>
        <w:rPr>
          <w:color w:val="212529"/>
        </w:rPr>
        <w:t>for protection orders to ensure the protection of the person most at risk</w:t>
      </w:r>
    </w:p>
    <w:p w14:paraId="5BA4AFCA" w14:textId="5ABB6ED3" w:rsidR="00413FA2" w:rsidRDefault="00413FA2" w:rsidP="009E454F">
      <w:pPr>
        <w:numPr>
          <w:ilvl w:val="0"/>
          <w:numId w:val="19"/>
        </w:numPr>
        <w:shd w:val="clear" w:color="auto" w:fill="FFFFFF"/>
        <w:spacing w:before="60" w:after="60" w:line="240" w:lineRule="auto"/>
        <w:rPr>
          <w:color w:val="212529"/>
        </w:rPr>
      </w:pPr>
      <w:r>
        <w:rPr>
          <w:color w:val="212529"/>
        </w:rPr>
        <w:t>broaden the court’s ability to award costs in civil domestic violence matters to help prevent the use of the legal process to further abuse victims</w:t>
      </w:r>
    </w:p>
    <w:p w14:paraId="57F8B657" w14:textId="489931E3" w:rsidR="00413FA2" w:rsidRDefault="00413FA2" w:rsidP="009E454F">
      <w:pPr>
        <w:numPr>
          <w:ilvl w:val="0"/>
          <w:numId w:val="19"/>
        </w:numPr>
        <w:shd w:val="clear" w:color="auto" w:fill="FFFFFF"/>
        <w:spacing w:before="60" w:after="60" w:line="240" w:lineRule="auto"/>
        <w:rPr>
          <w:color w:val="212529"/>
        </w:rPr>
      </w:pPr>
      <w:r>
        <w:rPr>
          <w:color w:val="212529"/>
        </w:rPr>
        <w:t>strengthen the consideration of previous domestic violence or criminal history when deciding whether to make a domestic violence order</w:t>
      </w:r>
    </w:p>
    <w:p w14:paraId="7B781F43" w14:textId="00694DAD" w:rsidR="00413FA2" w:rsidRDefault="00413FA2" w:rsidP="009E454F">
      <w:pPr>
        <w:numPr>
          <w:ilvl w:val="0"/>
          <w:numId w:val="19"/>
        </w:numPr>
        <w:shd w:val="clear" w:color="auto" w:fill="FFFFFF"/>
        <w:spacing w:before="60" w:after="60" w:line="240" w:lineRule="auto"/>
        <w:rPr>
          <w:color w:val="212529"/>
        </w:rPr>
      </w:pPr>
      <w:r>
        <w:rPr>
          <w:color w:val="212529"/>
        </w:rPr>
        <w:t>bring domestic violence complainants and other witnesses within the protected witness scheme</w:t>
      </w:r>
    </w:p>
    <w:p w14:paraId="4A54509D" w14:textId="6E5FE0F3" w:rsidR="00413FA2" w:rsidRDefault="00413FA2" w:rsidP="009E454F">
      <w:pPr>
        <w:numPr>
          <w:ilvl w:val="0"/>
          <w:numId w:val="19"/>
        </w:numPr>
        <w:shd w:val="clear" w:color="auto" w:fill="FFFFFF"/>
        <w:spacing w:before="60" w:after="60" w:line="240" w:lineRule="auto"/>
        <w:rPr>
          <w:color w:val="212529"/>
        </w:rPr>
      </w:pPr>
      <w:r>
        <w:rPr>
          <w:color w:val="212529"/>
        </w:rPr>
        <w:t>provide for the giving of jury directions and facilitate expert evidence on domestic violence in criminal law trials.</w:t>
      </w:r>
    </w:p>
    <w:p w14:paraId="1FA579DE" w14:textId="4B81D1F1" w:rsidR="00413FA2" w:rsidRPr="00F761DD" w:rsidRDefault="00413FA2" w:rsidP="009E454F">
      <w:pPr>
        <w:tabs>
          <w:tab w:val="left" w:pos="1134"/>
        </w:tabs>
        <w:spacing w:before="120"/>
        <w:ind w:left="-142" w:right="-425"/>
        <w:jc w:val="both"/>
      </w:pPr>
      <w:r w:rsidRPr="00F761DD">
        <w:t>The amendments respond to a range of recommendations made by the Women’s Safety and Justice Taskforce</w:t>
      </w:r>
      <w:r w:rsidR="00F761DD" w:rsidRPr="00F761DD">
        <w:t xml:space="preserve"> whereby</w:t>
      </w:r>
      <w:r w:rsidRPr="00F761DD">
        <w:t xml:space="preserve"> coercive control is </w:t>
      </w:r>
      <w:r w:rsidR="00F761DD" w:rsidRPr="00F761DD">
        <w:t xml:space="preserve">considered as </w:t>
      </w:r>
      <w:r w:rsidRPr="00F761DD">
        <w:t xml:space="preserve">an </w:t>
      </w:r>
      <w:r w:rsidR="00F761DD" w:rsidRPr="00F761DD">
        <w:t xml:space="preserve">act </w:t>
      </w:r>
      <w:r w:rsidRPr="00F761DD">
        <w:t>or a pattern of acts of assault, threats, humiliation and intimidation or other abuse that is used to harm, punish, or frighten their victim.</w:t>
      </w:r>
    </w:p>
    <w:p w14:paraId="5232399E" w14:textId="77777777" w:rsidR="00F761DD" w:rsidRPr="00F761DD" w:rsidRDefault="00F761DD" w:rsidP="00F761DD">
      <w:pPr>
        <w:tabs>
          <w:tab w:val="left" w:pos="1134"/>
        </w:tabs>
        <w:ind w:left="-142" w:right="-425"/>
        <w:jc w:val="both"/>
      </w:pPr>
    </w:p>
    <w:p w14:paraId="2A410388" w14:textId="77777777" w:rsidR="00413FA2" w:rsidRPr="00F761DD" w:rsidRDefault="00413FA2" w:rsidP="00F761DD">
      <w:pPr>
        <w:ind w:left="-142"/>
        <w:rPr>
          <w:b/>
          <w:bCs/>
          <w:i/>
          <w:iCs/>
        </w:rPr>
      </w:pPr>
      <w:r w:rsidRPr="00F761DD">
        <w:rPr>
          <w:b/>
          <w:bCs/>
          <w:i/>
          <w:iCs/>
        </w:rPr>
        <w:t>Considerations for the FRC</w:t>
      </w:r>
    </w:p>
    <w:p w14:paraId="37A37339" w14:textId="3F4A6732" w:rsidR="00331CDB" w:rsidRDefault="00413FA2" w:rsidP="00C84126">
      <w:pPr>
        <w:tabs>
          <w:tab w:val="left" w:pos="1134"/>
        </w:tabs>
        <w:ind w:left="-142" w:right="-425"/>
        <w:jc w:val="both"/>
      </w:pPr>
      <w:r w:rsidRPr="00F761DD">
        <w:t>The commencement of the State’s legislation may have some impact on our operations</w:t>
      </w:r>
      <w:r w:rsidR="006E3A0F">
        <w:t xml:space="preserve">, whereby </w:t>
      </w:r>
      <w:r w:rsidR="006E3A0F">
        <w:rPr>
          <w:color w:val="212529"/>
        </w:rPr>
        <w:t>training maybe needed for Local Registry Coordinators,</w:t>
      </w:r>
      <w:r w:rsidR="003142D1">
        <w:rPr>
          <w:color w:val="212529"/>
        </w:rPr>
        <w:t xml:space="preserve"> the</w:t>
      </w:r>
      <w:r w:rsidR="006E3A0F">
        <w:rPr>
          <w:color w:val="212529"/>
        </w:rPr>
        <w:t xml:space="preserve"> Case Management and Monitoring team and Local Commissioners to understand coercive control behaviours and what culturally relevant and appropriate referral pathways are available to address coercive controlling behaviours, so that clients can be referred to appropriate support services</w:t>
      </w:r>
      <w:r w:rsidRPr="00F761DD">
        <w:t>.</w:t>
      </w:r>
    </w:p>
    <w:p w14:paraId="453DDF94" w14:textId="77777777" w:rsidR="00331CDB" w:rsidRDefault="00331CDB" w:rsidP="00F761DD">
      <w:pPr>
        <w:tabs>
          <w:tab w:val="left" w:pos="1134"/>
        </w:tabs>
        <w:ind w:left="-142" w:right="-425"/>
        <w:jc w:val="both"/>
      </w:pPr>
    </w:p>
    <w:p w14:paraId="5F8BBA51" w14:textId="2AFDA9FD" w:rsidR="00331CDB" w:rsidRDefault="00331CDB" w:rsidP="00F761DD">
      <w:pPr>
        <w:tabs>
          <w:tab w:val="left" w:pos="1134"/>
        </w:tabs>
        <w:ind w:left="-142" w:right="-425"/>
        <w:jc w:val="both"/>
      </w:pPr>
      <w:r>
        <w:t>New practices and processes may need to be implemented</w:t>
      </w:r>
      <w:r w:rsidR="00413FA2" w:rsidRPr="00F761DD">
        <w:t>, to give effect to the downstream outputs arising from the new Act.</w:t>
      </w:r>
      <w:r w:rsidR="006E3A0F">
        <w:t xml:space="preserve"> </w:t>
      </w:r>
      <w:r>
        <w:t xml:space="preserve">Further work </w:t>
      </w:r>
      <w:r w:rsidR="003142D1">
        <w:t>may be</w:t>
      </w:r>
      <w:r>
        <w:t xml:space="preserve"> required to include new functionality in the FRC’s CRM database to capture:</w:t>
      </w:r>
    </w:p>
    <w:p w14:paraId="24555FAC" w14:textId="26022EEB" w:rsidR="00331CDB" w:rsidRPr="00331CDB" w:rsidRDefault="00331CDB" w:rsidP="009E454F">
      <w:pPr>
        <w:pStyle w:val="ListParagraph"/>
        <w:numPr>
          <w:ilvl w:val="0"/>
          <w:numId w:val="20"/>
        </w:numPr>
        <w:shd w:val="clear" w:color="auto" w:fill="FFFFFF"/>
        <w:spacing w:before="60" w:after="60" w:line="288" w:lineRule="auto"/>
        <w:ind w:left="771" w:hanging="357"/>
        <w:rPr>
          <w:rFonts w:ascii="Verdana" w:eastAsia="Times New Roman" w:hAnsi="Verdana"/>
          <w:color w:val="212529"/>
          <w:sz w:val="20"/>
          <w:szCs w:val="20"/>
        </w:rPr>
      </w:pPr>
      <w:r w:rsidRPr="00331CDB">
        <w:rPr>
          <w:rFonts w:ascii="Verdana" w:eastAsia="Times New Roman" w:hAnsi="Verdana"/>
          <w:color w:val="212529"/>
          <w:sz w:val="20"/>
          <w:szCs w:val="20"/>
        </w:rPr>
        <w:t xml:space="preserve">whether </w:t>
      </w:r>
      <w:r>
        <w:rPr>
          <w:rFonts w:ascii="Verdana" w:eastAsia="Times New Roman" w:hAnsi="Verdana"/>
          <w:color w:val="212529"/>
          <w:sz w:val="20"/>
          <w:szCs w:val="20"/>
        </w:rPr>
        <w:t>there has</w:t>
      </w:r>
      <w:r w:rsidRPr="00331CDB">
        <w:rPr>
          <w:rFonts w:ascii="Verdana" w:eastAsia="Times New Roman" w:hAnsi="Verdana"/>
          <w:color w:val="212529"/>
          <w:sz w:val="20"/>
          <w:szCs w:val="20"/>
        </w:rPr>
        <w:t xml:space="preserve"> an increase of D</w:t>
      </w:r>
      <w:r w:rsidR="00AA1A18">
        <w:rPr>
          <w:rFonts w:ascii="Verdana" w:eastAsia="Times New Roman" w:hAnsi="Verdana"/>
          <w:color w:val="212529"/>
          <w:sz w:val="20"/>
          <w:szCs w:val="20"/>
        </w:rPr>
        <w:t>omestic Violence Orders (D</w:t>
      </w:r>
      <w:r w:rsidRPr="00331CDB">
        <w:rPr>
          <w:rFonts w:ascii="Verdana" w:eastAsia="Times New Roman" w:hAnsi="Verdana"/>
          <w:color w:val="212529"/>
          <w:sz w:val="20"/>
          <w:szCs w:val="20"/>
        </w:rPr>
        <w:t>VOs</w:t>
      </w:r>
      <w:r w:rsidR="00AA1A18">
        <w:rPr>
          <w:rFonts w:ascii="Verdana" w:eastAsia="Times New Roman" w:hAnsi="Verdana"/>
          <w:color w:val="212529"/>
          <w:sz w:val="20"/>
          <w:szCs w:val="20"/>
        </w:rPr>
        <w:t>)</w:t>
      </w:r>
      <w:r w:rsidRPr="00331CDB">
        <w:rPr>
          <w:rFonts w:ascii="Verdana" w:eastAsia="Times New Roman" w:hAnsi="Verdana"/>
          <w:color w:val="212529"/>
          <w:sz w:val="20"/>
          <w:szCs w:val="20"/>
        </w:rPr>
        <w:t xml:space="preserve"> or D</w:t>
      </w:r>
      <w:r w:rsidR="00AA1A18">
        <w:rPr>
          <w:rFonts w:ascii="Verdana" w:eastAsia="Times New Roman" w:hAnsi="Verdana"/>
          <w:color w:val="212529"/>
          <w:sz w:val="20"/>
          <w:szCs w:val="20"/>
        </w:rPr>
        <w:t>omestic Violence Breaches (D</w:t>
      </w:r>
      <w:r w:rsidRPr="00331CDB">
        <w:rPr>
          <w:rFonts w:ascii="Verdana" w:eastAsia="Times New Roman" w:hAnsi="Verdana"/>
          <w:color w:val="212529"/>
          <w:sz w:val="20"/>
          <w:szCs w:val="20"/>
        </w:rPr>
        <w:t>VBs</w:t>
      </w:r>
      <w:r w:rsidR="00AA1A18">
        <w:rPr>
          <w:rFonts w:ascii="Verdana" w:eastAsia="Times New Roman" w:hAnsi="Verdana"/>
          <w:color w:val="212529"/>
          <w:sz w:val="20"/>
          <w:szCs w:val="20"/>
        </w:rPr>
        <w:t>)</w:t>
      </w:r>
      <w:r w:rsidRPr="00331CDB">
        <w:rPr>
          <w:rFonts w:ascii="Verdana" w:eastAsia="Times New Roman" w:hAnsi="Verdana"/>
          <w:color w:val="212529"/>
          <w:sz w:val="20"/>
          <w:szCs w:val="20"/>
        </w:rPr>
        <w:t xml:space="preserve"> because of coercive control</w:t>
      </w:r>
    </w:p>
    <w:p w14:paraId="7A441383" w14:textId="77777777" w:rsidR="00331CDB" w:rsidRPr="00331CDB" w:rsidRDefault="00331CDB" w:rsidP="009E454F">
      <w:pPr>
        <w:pStyle w:val="ListParagraph"/>
        <w:numPr>
          <w:ilvl w:val="0"/>
          <w:numId w:val="20"/>
        </w:numPr>
        <w:shd w:val="clear" w:color="auto" w:fill="FFFFFF"/>
        <w:spacing w:before="60" w:after="60" w:line="288" w:lineRule="auto"/>
        <w:ind w:left="771" w:hanging="357"/>
        <w:rPr>
          <w:rFonts w:ascii="Verdana" w:eastAsia="Times New Roman" w:hAnsi="Verdana"/>
          <w:color w:val="212529"/>
          <w:sz w:val="20"/>
          <w:szCs w:val="20"/>
        </w:rPr>
      </w:pPr>
      <w:r w:rsidRPr="00331CDB">
        <w:rPr>
          <w:rFonts w:ascii="Verdana" w:eastAsia="Times New Roman" w:hAnsi="Verdana"/>
          <w:color w:val="212529"/>
          <w:sz w:val="20"/>
          <w:szCs w:val="20"/>
        </w:rPr>
        <w:t>subtype or form of coercive control used (such as stalking)</w:t>
      </w:r>
    </w:p>
    <w:p w14:paraId="394C4930" w14:textId="04EAC856" w:rsidR="00331CDB" w:rsidRPr="00331CDB" w:rsidRDefault="00331CDB" w:rsidP="009E454F">
      <w:pPr>
        <w:pStyle w:val="ListParagraph"/>
        <w:numPr>
          <w:ilvl w:val="0"/>
          <w:numId w:val="20"/>
        </w:numPr>
        <w:shd w:val="clear" w:color="auto" w:fill="FFFFFF"/>
        <w:spacing w:before="60" w:after="60" w:line="288" w:lineRule="auto"/>
        <w:ind w:left="771" w:hanging="357"/>
        <w:rPr>
          <w:rFonts w:ascii="Verdana" w:eastAsia="Times New Roman" w:hAnsi="Verdana"/>
          <w:color w:val="212529"/>
          <w:sz w:val="20"/>
          <w:szCs w:val="20"/>
        </w:rPr>
      </w:pPr>
      <w:r w:rsidRPr="00331CDB">
        <w:rPr>
          <w:rFonts w:ascii="Verdana" w:eastAsia="Times New Roman" w:hAnsi="Verdana"/>
          <w:color w:val="212529"/>
          <w:sz w:val="20"/>
          <w:szCs w:val="20"/>
        </w:rPr>
        <w:t>perpetrator/survivor demographics such as gender and age group, and if children are protected in the DVO or DVB</w:t>
      </w:r>
    </w:p>
    <w:p w14:paraId="3EA0894F" w14:textId="3E144251" w:rsidR="00331CDB" w:rsidRPr="00331CDB" w:rsidRDefault="00C84126" w:rsidP="009E454F">
      <w:pPr>
        <w:pStyle w:val="ListParagraph"/>
        <w:numPr>
          <w:ilvl w:val="0"/>
          <w:numId w:val="20"/>
        </w:numPr>
        <w:shd w:val="clear" w:color="auto" w:fill="FFFFFF"/>
        <w:spacing w:before="60" w:after="60" w:line="288" w:lineRule="auto"/>
        <w:ind w:left="771" w:hanging="357"/>
        <w:rPr>
          <w:rFonts w:ascii="Verdana" w:eastAsia="Times New Roman" w:hAnsi="Verdana"/>
          <w:color w:val="212529"/>
          <w:sz w:val="20"/>
          <w:szCs w:val="20"/>
        </w:rPr>
      </w:pPr>
      <w:r>
        <w:rPr>
          <w:rFonts w:ascii="Verdana" w:eastAsia="Times New Roman" w:hAnsi="Verdana"/>
          <w:color w:val="212529"/>
          <w:sz w:val="20"/>
          <w:szCs w:val="20"/>
        </w:rPr>
        <w:t>l</w:t>
      </w:r>
      <w:r w:rsidR="00331CDB" w:rsidRPr="00331CDB">
        <w:rPr>
          <w:rFonts w:ascii="Verdana" w:eastAsia="Times New Roman" w:hAnsi="Verdana"/>
          <w:color w:val="212529"/>
          <w:sz w:val="20"/>
          <w:szCs w:val="20"/>
        </w:rPr>
        <w:t>ength of DVO</w:t>
      </w:r>
      <w:r w:rsidR="002F2069">
        <w:rPr>
          <w:rFonts w:ascii="Verdana" w:eastAsia="Times New Roman" w:hAnsi="Verdana"/>
          <w:color w:val="212529"/>
          <w:sz w:val="20"/>
          <w:szCs w:val="20"/>
        </w:rPr>
        <w:t>.</w:t>
      </w:r>
    </w:p>
    <w:p w14:paraId="78DCF5D6" w14:textId="77777777" w:rsidR="006E3A0F" w:rsidRPr="006E3A0F" w:rsidRDefault="006E3A0F" w:rsidP="00331CDB">
      <w:pPr>
        <w:tabs>
          <w:tab w:val="left" w:pos="1134"/>
        </w:tabs>
        <w:ind w:left="-142" w:right="-425"/>
        <w:jc w:val="both"/>
      </w:pPr>
    </w:p>
    <w:p w14:paraId="21E34E78" w14:textId="77777777" w:rsidR="00242865" w:rsidRPr="00242865" w:rsidRDefault="00242865">
      <w:pPr>
        <w:spacing w:line="240" w:lineRule="auto"/>
      </w:pPr>
      <w:r w:rsidRPr="00242865">
        <w:br w:type="page"/>
      </w:r>
    </w:p>
    <w:p w14:paraId="69FCFAA6" w14:textId="0FB806A3" w:rsidR="006E3A0F" w:rsidRPr="00E3625E" w:rsidRDefault="006E3A0F" w:rsidP="006E3A0F">
      <w:pPr>
        <w:ind w:left="-142"/>
        <w:rPr>
          <w:b/>
          <w:bCs/>
          <w:sz w:val="22"/>
          <w:szCs w:val="22"/>
        </w:rPr>
      </w:pPr>
      <w:r w:rsidRPr="00E3625E">
        <w:rPr>
          <w:b/>
          <w:bCs/>
          <w:sz w:val="22"/>
          <w:szCs w:val="22"/>
        </w:rPr>
        <w:lastRenderedPageBreak/>
        <w:t xml:space="preserve">FRC's Submission to the Queensland Domestic and Family Violence </w:t>
      </w:r>
      <w:r>
        <w:rPr>
          <w:b/>
          <w:bCs/>
          <w:sz w:val="22"/>
          <w:szCs w:val="22"/>
        </w:rPr>
        <w:t xml:space="preserve">(DFV) </w:t>
      </w:r>
      <w:r w:rsidRPr="00E3625E">
        <w:rPr>
          <w:b/>
          <w:bCs/>
          <w:sz w:val="22"/>
          <w:szCs w:val="22"/>
        </w:rPr>
        <w:t>Perpetrator Strategy</w:t>
      </w:r>
    </w:p>
    <w:p w14:paraId="2928B475" w14:textId="77777777" w:rsidR="006E3A0F" w:rsidRDefault="006E3A0F" w:rsidP="006E3A0F">
      <w:pPr>
        <w:tabs>
          <w:tab w:val="left" w:pos="1134"/>
        </w:tabs>
        <w:ind w:left="-142" w:right="-425"/>
        <w:jc w:val="both"/>
      </w:pPr>
      <w:r>
        <w:t>On 21 September 2023 the FRC made a submission to the consultation on Queensland’s DFV perpetrator strategy with the following proposed recommendations:</w:t>
      </w:r>
    </w:p>
    <w:p w14:paraId="199FB38A" w14:textId="77777777" w:rsidR="006E3A0F" w:rsidRDefault="006E3A0F" w:rsidP="006E3A0F">
      <w:pPr>
        <w:tabs>
          <w:tab w:val="left" w:pos="1134"/>
        </w:tabs>
        <w:ind w:left="-142" w:right="-425"/>
        <w:jc w:val="both"/>
      </w:pPr>
    </w:p>
    <w:p w14:paraId="1EB7701B" w14:textId="77777777" w:rsidR="006E3A0F" w:rsidRDefault="006E3A0F" w:rsidP="006E3A0F">
      <w:pPr>
        <w:ind w:left="284" w:hanging="426"/>
        <w:rPr>
          <w:b/>
          <w:bCs/>
          <w:i/>
          <w:iCs/>
        </w:rPr>
      </w:pPr>
      <w:r>
        <w:rPr>
          <w:b/>
          <w:bCs/>
          <w:i/>
          <w:iCs/>
        </w:rPr>
        <w:t>Early Intervention</w:t>
      </w:r>
    </w:p>
    <w:p w14:paraId="7E546D68" w14:textId="77777777" w:rsidR="006E3A0F" w:rsidRPr="00FD0D52" w:rsidRDefault="006E3A0F" w:rsidP="006831C9">
      <w:pPr>
        <w:pStyle w:val="ListParagraph"/>
        <w:numPr>
          <w:ilvl w:val="0"/>
          <w:numId w:val="22"/>
        </w:numPr>
        <w:tabs>
          <w:tab w:val="left" w:pos="1134"/>
        </w:tabs>
        <w:spacing w:before="60" w:after="60" w:line="288" w:lineRule="auto"/>
        <w:ind w:left="357" w:right="-425" w:hanging="357"/>
        <w:jc w:val="both"/>
        <w:rPr>
          <w:rFonts w:ascii="Verdana" w:hAnsi="Verdana"/>
          <w:i/>
          <w:iCs/>
          <w:sz w:val="20"/>
          <w:szCs w:val="20"/>
        </w:rPr>
      </w:pPr>
      <w:r w:rsidRPr="00FD0D52">
        <w:rPr>
          <w:rFonts w:ascii="Verdana" w:hAnsi="Verdana"/>
          <w:i/>
          <w:iCs/>
          <w:sz w:val="20"/>
          <w:szCs w:val="20"/>
        </w:rPr>
        <w:t>The Strategy should include greater use of the FRC, and other established bodies or services supporting people with multiple risk factors, to capitalise on opportunities to provide early support to those using, or at risk of using violence.</w:t>
      </w:r>
    </w:p>
    <w:p w14:paraId="07F6386E" w14:textId="77777777" w:rsidR="006E3A0F" w:rsidRPr="00FD0D52" w:rsidRDefault="006E3A0F" w:rsidP="006831C9">
      <w:pPr>
        <w:pStyle w:val="ListParagraph"/>
        <w:numPr>
          <w:ilvl w:val="0"/>
          <w:numId w:val="22"/>
        </w:numPr>
        <w:spacing w:before="60" w:after="60" w:line="288" w:lineRule="auto"/>
        <w:ind w:left="357" w:hanging="357"/>
        <w:rPr>
          <w:rFonts w:ascii="Verdana" w:hAnsi="Verdana"/>
          <w:i/>
          <w:iCs/>
          <w:sz w:val="20"/>
          <w:szCs w:val="20"/>
        </w:rPr>
      </w:pPr>
      <w:r w:rsidRPr="00FD0D52">
        <w:rPr>
          <w:rFonts w:ascii="Verdana" w:hAnsi="Verdana"/>
          <w:i/>
          <w:iCs/>
          <w:sz w:val="20"/>
          <w:szCs w:val="20"/>
        </w:rPr>
        <w:t>The FRC’s children’s court trigger should be operationalised to support young people already using or at risk of using violence.</w:t>
      </w:r>
    </w:p>
    <w:p w14:paraId="0BDF7B01" w14:textId="77777777" w:rsidR="006E3A0F" w:rsidRPr="00FD0D52" w:rsidRDefault="006E3A0F" w:rsidP="006E3A0F">
      <w:pPr>
        <w:tabs>
          <w:tab w:val="left" w:pos="1134"/>
        </w:tabs>
        <w:ind w:left="-142" w:right="-425"/>
        <w:jc w:val="both"/>
      </w:pPr>
    </w:p>
    <w:p w14:paraId="177E7AD5" w14:textId="77777777" w:rsidR="006E3A0F" w:rsidRDefault="006E3A0F" w:rsidP="006E3A0F">
      <w:pPr>
        <w:ind w:left="284" w:hanging="426"/>
        <w:rPr>
          <w:b/>
          <w:bCs/>
          <w:i/>
          <w:iCs/>
        </w:rPr>
      </w:pPr>
      <w:r>
        <w:rPr>
          <w:b/>
          <w:bCs/>
          <w:i/>
          <w:iCs/>
        </w:rPr>
        <w:t>Strengthening perpetrator interventions</w:t>
      </w:r>
    </w:p>
    <w:p w14:paraId="6A3AE9F6" w14:textId="77777777" w:rsidR="006E3A0F" w:rsidRDefault="006E3A0F" w:rsidP="006831C9">
      <w:pPr>
        <w:pStyle w:val="ListParagraph"/>
        <w:numPr>
          <w:ilvl w:val="0"/>
          <w:numId w:val="22"/>
        </w:numPr>
        <w:tabs>
          <w:tab w:val="left" w:pos="1134"/>
        </w:tabs>
        <w:spacing w:before="60" w:after="60" w:line="288" w:lineRule="auto"/>
        <w:ind w:left="357" w:right="-425" w:hanging="357"/>
        <w:jc w:val="both"/>
        <w:rPr>
          <w:rFonts w:ascii="Verdana" w:hAnsi="Verdana"/>
          <w:i/>
          <w:iCs/>
          <w:sz w:val="20"/>
          <w:szCs w:val="20"/>
        </w:rPr>
      </w:pPr>
      <w:r w:rsidRPr="00FD0D52">
        <w:rPr>
          <w:rFonts w:ascii="Verdana" w:hAnsi="Verdana"/>
          <w:i/>
          <w:iCs/>
          <w:sz w:val="20"/>
          <w:szCs w:val="20"/>
        </w:rPr>
        <w:t>The Strategy should urgently provide for the funding and implementation of accessible, evidence-based, culturally appropriate perpetrator interventions both:</w:t>
      </w:r>
    </w:p>
    <w:p w14:paraId="712E5F20" w14:textId="17E486D0" w:rsidR="006E3A0F" w:rsidRPr="00F00F73" w:rsidRDefault="006E3A0F" w:rsidP="00F26962">
      <w:pPr>
        <w:pStyle w:val="ListParagraph"/>
        <w:numPr>
          <w:ilvl w:val="0"/>
          <w:numId w:val="18"/>
        </w:numPr>
        <w:spacing w:before="60" w:after="60"/>
        <w:ind w:left="1276" w:hanging="567"/>
        <w:rPr>
          <w:rFonts w:ascii="Verdana" w:hAnsi="Verdana"/>
          <w:i/>
          <w:iCs/>
          <w:sz w:val="20"/>
          <w:szCs w:val="20"/>
        </w:rPr>
      </w:pPr>
      <w:r w:rsidRPr="00F00F73">
        <w:rPr>
          <w:rFonts w:ascii="Verdana" w:hAnsi="Verdana"/>
          <w:i/>
          <w:iCs/>
          <w:sz w:val="20"/>
          <w:szCs w:val="20"/>
        </w:rPr>
        <w:t>on the ground in First Nations communities;</w:t>
      </w:r>
    </w:p>
    <w:p w14:paraId="1B0449E2" w14:textId="77777777" w:rsidR="006E3A0F" w:rsidRPr="00F00F73" w:rsidRDefault="006E3A0F" w:rsidP="006831C9">
      <w:pPr>
        <w:pStyle w:val="ListParagraph"/>
        <w:numPr>
          <w:ilvl w:val="0"/>
          <w:numId w:val="18"/>
        </w:numPr>
        <w:spacing w:before="60" w:after="60"/>
        <w:ind w:left="1276" w:hanging="567"/>
        <w:rPr>
          <w:rFonts w:ascii="Verdana" w:hAnsi="Verdana"/>
          <w:i/>
          <w:iCs/>
          <w:sz w:val="20"/>
          <w:szCs w:val="20"/>
        </w:rPr>
      </w:pPr>
      <w:r w:rsidRPr="00F00F73">
        <w:rPr>
          <w:rFonts w:ascii="Verdana" w:hAnsi="Verdana"/>
          <w:i/>
          <w:iCs/>
          <w:sz w:val="20"/>
          <w:szCs w:val="20"/>
        </w:rPr>
        <w:t>in correctional centres for prisoners with shorter sentences or on remand.</w:t>
      </w:r>
    </w:p>
    <w:p w14:paraId="4070886A" w14:textId="77777777" w:rsidR="006E3A0F" w:rsidRPr="00FD0D52" w:rsidRDefault="006E3A0F" w:rsidP="006831C9">
      <w:pPr>
        <w:pStyle w:val="ListParagraph"/>
        <w:numPr>
          <w:ilvl w:val="0"/>
          <w:numId w:val="22"/>
        </w:numPr>
        <w:tabs>
          <w:tab w:val="left" w:pos="1134"/>
        </w:tabs>
        <w:spacing w:before="120" w:after="60" w:line="288" w:lineRule="auto"/>
        <w:ind w:left="357" w:right="-425" w:hanging="357"/>
        <w:jc w:val="both"/>
        <w:rPr>
          <w:rFonts w:ascii="Verdana" w:hAnsi="Verdana"/>
          <w:i/>
          <w:iCs/>
          <w:sz w:val="20"/>
          <w:szCs w:val="20"/>
        </w:rPr>
      </w:pPr>
      <w:r w:rsidRPr="00FD0D52">
        <w:rPr>
          <w:rFonts w:ascii="Verdana" w:hAnsi="Verdana"/>
          <w:i/>
          <w:iCs/>
          <w:sz w:val="20"/>
          <w:szCs w:val="20"/>
        </w:rPr>
        <w:t>The strategy should include capacity building for Police and others in the justice system, to reduce the application of standard, long-term conditions on protection orders in First Nations communities. The Strategy should include greater support for First Nations respondents in remote communities to navigate the justice system.</w:t>
      </w:r>
    </w:p>
    <w:p w14:paraId="382E2240" w14:textId="77777777" w:rsidR="006E3A0F" w:rsidRPr="00FD0D52" w:rsidRDefault="006E3A0F" w:rsidP="006E3A0F">
      <w:pPr>
        <w:tabs>
          <w:tab w:val="left" w:pos="1134"/>
        </w:tabs>
        <w:ind w:left="-142" w:right="-425"/>
        <w:jc w:val="both"/>
      </w:pPr>
    </w:p>
    <w:p w14:paraId="5CE4BFA0" w14:textId="77777777" w:rsidR="006E3A0F" w:rsidRDefault="006E3A0F" w:rsidP="006E3A0F">
      <w:pPr>
        <w:ind w:left="284" w:hanging="426"/>
        <w:rPr>
          <w:b/>
          <w:bCs/>
          <w:i/>
          <w:iCs/>
        </w:rPr>
      </w:pPr>
      <w:r>
        <w:rPr>
          <w:b/>
          <w:bCs/>
          <w:i/>
          <w:iCs/>
        </w:rPr>
        <w:t>Systemic reform</w:t>
      </w:r>
    </w:p>
    <w:p w14:paraId="4E9836D0" w14:textId="77777777" w:rsidR="006E3A0F" w:rsidRPr="00FD0D52" w:rsidRDefault="006E3A0F" w:rsidP="006831C9">
      <w:pPr>
        <w:pStyle w:val="ListParagraph"/>
        <w:numPr>
          <w:ilvl w:val="0"/>
          <w:numId w:val="22"/>
        </w:numPr>
        <w:tabs>
          <w:tab w:val="left" w:pos="1134"/>
        </w:tabs>
        <w:spacing w:before="60" w:after="60" w:line="288" w:lineRule="auto"/>
        <w:ind w:left="357" w:right="-425" w:hanging="357"/>
        <w:jc w:val="both"/>
        <w:rPr>
          <w:rFonts w:ascii="Verdana" w:hAnsi="Verdana"/>
          <w:i/>
          <w:iCs/>
          <w:sz w:val="20"/>
          <w:szCs w:val="20"/>
        </w:rPr>
      </w:pPr>
      <w:r w:rsidRPr="00FD0D52">
        <w:rPr>
          <w:rFonts w:ascii="Verdana" w:hAnsi="Verdana"/>
          <w:i/>
          <w:iCs/>
          <w:sz w:val="20"/>
          <w:szCs w:val="20"/>
        </w:rPr>
        <w:t>The FRC is an existing model of community accountability, which provides a fulcrum to support both systemic and individual accountability. The Strategy may consider like models in other geographic locations.</w:t>
      </w:r>
    </w:p>
    <w:p w14:paraId="407BB3A9" w14:textId="77777777" w:rsidR="006E3A0F" w:rsidRDefault="006E3A0F" w:rsidP="006E3A0F">
      <w:pPr>
        <w:tabs>
          <w:tab w:val="left" w:pos="1134"/>
        </w:tabs>
        <w:ind w:left="-142" w:right="-425"/>
        <w:jc w:val="both"/>
      </w:pPr>
    </w:p>
    <w:p w14:paraId="64A83C06" w14:textId="77777777" w:rsidR="006E3A0F" w:rsidRDefault="006E3A0F" w:rsidP="006E3A0F">
      <w:pPr>
        <w:tabs>
          <w:tab w:val="left" w:pos="1134"/>
        </w:tabs>
        <w:ind w:left="-142" w:right="-425"/>
        <w:jc w:val="both"/>
      </w:pPr>
      <w:r>
        <w:t>The preparation of this submission and recommendations proposed are aligned with the FRC’s strategic plan 2023-2027 of ‘embedding the FRC as a partner in the co-design and decision making of Government.’</w:t>
      </w:r>
    </w:p>
    <w:p w14:paraId="2513A605" w14:textId="77777777" w:rsidR="006E3A0F" w:rsidRDefault="006E3A0F" w:rsidP="006E3A0F">
      <w:pPr>
        <w:tabs>
          <w:tab w:val="left" w:pos="1134"/>
        </w:tabs>
        <w:ind w:left="-142" w:right="-425"/>
        <w:jc w:val="both"/>
      </w:pPr>
    </w:p>
    <w:p w14:paraId="7DD4E09C" w14:textId="50615D08" w:rsidR="006E3A0F" w:rsidRDefault="006E3A0F" w:rsidP="006E3A0F">
      <w:pPr>
        <w:tabs>
          <w:tab w:val="left" w:pos="1134"/>
        </w:tabs>
        <w:ind w:left="-142" w:right="-425"/>
        <w:jc w:val="both"/>
      </w:pPr>
      <w:r>
        <w:t xml:space="preserve">The FRC also notes the media release on 21 September 2023 from Minister Rishworth on behalf of the Australian Government announcing the opening of a funding round by the Department of Social Services (DSS) to fund safe spaces for victims and survivors of domestic and family violence. </w:t>
      </w:r>
      <w:r w:rsidR="00862947">
        <w:t xml:space="preserve">The FRC is pleased to support </w:t>
      </w:r>
      <w:r>
        <w:t>both the State and Australian Governments</w:t>
      </w:r>
      <w:r w:rsidR="00862947">
        <w:t>’</w:t>
      </w:r>
      <w:r>
        <w:t xml:space="preserve"> priority focus on addressing DFV in the broader community.</w:t>
      </w:r>
    </w:p>
    <w:p w14:paraId="458F1FA8" w14:textId="77777777" w:rsidR="006B6910" w:rsidRDefault="006B6910" w:rsidP="006E3A0F">
      <w:pPr>
        <w:tabs>
          <w:tab w:val="left" w:pos="1134"/>
        </w:tabs>
        <w:ind w:left="-142" w:right="-425"/>
        <w:jc w:val="both"/>
      </w:pPr>
    </w:p>
    <w:p w14:paraId="5E3560CF" w14:textId="77777777" w:rsidR="006B6910" w:rsidRPr="006E3A0F" w:rsidRDefault="006B6910" w:rsidP="006B6910">
      <w:pPr>
        <w:ind w:left="-142" w:right="-425"/>
        <w:jc w:val="both"/>
        <w:rPr>
          <w:b/>
          <w:bCs/>
          <w:sz w:val="22"/>
          <w:szCs w:val="22"/>
        </w:rPr>
      </w:pPr>
      <w:r>
        <w:rPr>
          <w:b/>
          <w:bCs/>
          <w:sz w:val="22"/>
          <w:szCs w:val="22"/>
        </w:rPr>
        <w:t xml:space="preserve">FR </w:t>
      </w:r>
      <w:r w:rsidRPr="006E3A0F">
        <w:rPr>
          <w:b/>
          <w:bCs/>
          <w:sz w:val="22"/>
          <w:szCs w:val="22"/>
        </w:rPr>
        <w:t xml:space="preserve">Board meeting </w:t>
      </w:r>
      <w:r>
        <w:rPr>
          <w:b/>
          <w:bCs/>
          <w:sz w:val="22"/>
          <w:szCs w:val="22"/>
        </w:rPr>
        <w:t xml:space="preserve">held </w:t>
      </w:r>
      <w:r w:rsidRPr="006E3A0F">
        <w:rPr>
          <w:b/>
          <w:bCs/>
          <w:sz w:val="22"/>
          <w:szCs w:val="22"/>
        </w:rPr>
        <w:t>in Cairns</w:t>
      </w:r>
    </w:p>
    <w:p w14:paraId="026A8E6C" w14:textId="77777777" w:rsidR="00286637" w:rsidRDefault="00286637" w:rsidP="00286637">
      <w:pPr>
        <w:tabs>
          <w:tab w:val="left" w:pos="1134"/>
        </w:tabs>
        <w:ind w:left="-142" w:right="-425"/>
        <w:jc w:val="both"/>
      </w:pPr>
      <w:r>
        <w:t>FR</w:t>
      </w:r>
      <w:r w:rsidRPr="00286637">
        <w:t xml:space="preserve"> </w:t>
      </w:r>
      <w:r>
        <w:t>Board</w:t>
      </w:r>
      <w:r w:rsidRPr="00286637">
        <w:t xml:space="preserve"> </w:t>
      </w:r>
      <w:r>
        <w:t>members</w:t>
      </w:r>
      <w:r w:rsidRPr="00286637">
        <w:t xml:space="preserve"> </w:t>
      </w:r>
      <w:r>
        <w:t>Ms</w:t>
      </w:r>
      <w:r w:rsidRPr="00286637">
        <w:t xml:space="preserve"> </w:t>
      </w:r>
      <w:r>
        <w:t>Clare</w:t>
      </w:r>
      <w:r w:rsidRPr="00286637">
        <w:t xml:space="preserve"> </w:t>
      </w:r>
      <w:r>
        <w:t>O’Connor,</w:t>
      </w:r>
      <w:r w:rsidRPr="00286637">
        <w:t xml:space="preserve"> </w:t>
      </w:r>
      <w:r>
        <w:t>Director-General,</w:t>
      </w:r>
      <w:r w:rsidRPr="00286637">
        <w:t xml:space="preserve"> </w:t>
      </w:r>
      <w:r>
        <w:t>Department</w:t>
      </w:r>
      <w:r w:rsidRPr="00286637">
        <w:t xml:space="preserve"> </w:t>
      </w:r>
      <w:r>
        <w:t>of</w:t>
      </w:r>
      <w:r w:rsidRPr="00286637">
        <w:t xml:space="preserve"> </w:t>
      </w:r>
      <w:r>
        <w:t>Treaty,</w:t>
      </w:r>
      <w:r w:rsidRPr="00286637">
        <w:t xml:space="preserve"> </w:t>
      </w:r>
      <w:r>
        <w:t>Aboriginal</w:t>
      </w:r>
      <w:r w:rsidRPr="00286637">
        <w:t xml:space="preserve"> </w:t>
      </w:r>
      <w:r>
        <w:t>and</w:t>
      </w:r>
      <w:r w:rsidRPr="00286637">
        <w:t xml:space="preserve"> </w:t>
      </w:r>
      <w:r>
        <w:t>Torres Strait Islander Partnerships, Communities and the Arts (Chair), Ms Jody Broun, CEO, National Indigenous</w:t>
      </w:r>
      <w:r w:rsidRPr="00286637">
        <w:t xml:space="preserve"> </w:t>
      </w:r>
      <w:r>
        <w:t>Australians</w:t>
      </w:r>
      <w:r w:rsidRPr="00286637">
        <w:t xml:space="preserve"> </w:t>
      </w:r>
      <w:r>
        <w:t>Agency</w:t>
      </w:r>
      <w:r w:rsidRPr="00286637">
        <w:t xml:space="preserve"> </w:t>
      </w:r>
      <w:r>
        <w:t>and</w:t>
      </w:r>
      <w:r w:rsidRPr="00286637">
        <w:t xml:space="preserve"> </w:t>
      </w:r>
      <w:r>
        <w:t>Mr</w:t>
      </w:r>
      <w:r w:rsidRPr="00286637">
        <w:t xml:space="preserve"> </w:t>
      </w:r>
      <w:r>
        <w:t>Noel</w:t>
      </w:r>
      <w:r w:rsidRPr="00286637">
        <w:t xml:space="preserve"> </w:t>
      </w:r>
      <w:r>
        <w:t>Pearson,</w:t>
      </w:r>
      <w:r w:rsidRPr="00286637">
        <w:t xml:space="preserve"> </w:t>
      </w:r>
      <w:r>
        <w:t>Founder,</w:t>
      </w:r>
      <w:r w:rsidRPr="00286637">
        <w:t xml:space="preserve"> </w:t>
      </w:r>
      <w:r>
        <w:t>Cape</w:t>
      </w:r>
      <w:r w:rsidRPr="00286637">
        <w:t xml:space="preserve"> </w:t>
      </w:r>
      <w:r>
        <w:t>York</w:t>
      </w:r>
      <w:r w:rsidRPr="00286637">
        <w:t xml:space="preserve"> </w:t>
      </w:r>
      <w:r>
        <w:t>Partnership</w:t>
      </w:r>
      <w:r w:rsidRPr="00286637">
        <w:t xml:space="preserve"> </w:t>
      </w:r>
      <w:r>
        <w:t>representing</w:t>
      </w:r>
      <w:r w:rsidRPr="00286637">
        <w:t xml:space="preserve"> </w:t>
      </w:r>
      <w:r>
        <w:t>the Cape</w:t>
      </w:r>
      <w:r w:rsidRPr="00286637">
        <w:t xml:space="preserve"> </w:t>
      </w:r>
      <w:r>
        <w:t>York</w:t>
      </w:r>
      <w:r w:rsidRPr="00286637">
        <w:t xml:space="preserve"> </w:t>
      </w:r>
      <w:r>
        <w:t>Institute</w:t>
      </w:r>
      <w:r w:rsidRPr="00286637">
        <w:t xml:space="preserve"> </w:t>
      </w:r>
      <w:r>
        <w:t>travelled</w:t>
      </w:r>
      <w:r w:rsidRPr="00286637">
        <w:t xml:space="preserve"> </w:t>
      </w:r>
      <w:r>
        <w:t>to</w:t>
      </w:r>
      <w:r w:rsidRPr="00286637">
        <w:t xml:space="preserve"> </w:t>
      </w:r>
      <w:r>
        <w:t>Cairns</w:t>
      </w:r>
      <w:r w:rsidRPr="00286637">
        <w:t xml:space="preserve"> </w:t>
      </w:r>
      <w:r>
        <w:t>in</w:t>
      </w:r>
      <w:r w:rsidRPr="00286637">
        <w:t xml:space="preserve"> </w:t>
      </w:r>
      <w:r>
        <w:t>September</w:t>
      </w:r>
      <w:r w:rsidRPr="00286637">
        <w:t xml:space="preserve"> </w:t>
      </w:r>
      <w:r>
        <w:t>to</w:t>
      </w:r>
      <w:r w:rsidRPr="00286637">
        <w:t xml:space="preserve"> </w:t>
      </w:r>
      <w:r>
        <w:t>attend</w:t>
      </w:r>
      <w:r w:rsidRPr="00286637">
        <w:t xml:space="preserve"> </w:t>
      </w:r>
      <w:r>
        <w:t>in</w:t>
      </w:r>
      <w:r w:rsidRPr="00286637">
        <w:t xml:space="preserve"> </w:t>
      </w:r>
      <w:r>
        <w:t>person</w:t>
      </w:r>
      <w:r w:rsidRPr="00286637">
        <w:t xml:space="preserve"> </w:t>
      </w:r>
      <w:r>
        <w:t>at</w:t>
      </w:r>
      <w:r w:rsidRPr="00286637">
        <w:t xml:space="preserve"> </w:t>
      </w:r>
      <w:r>
        <w:t>the</w:t>
      </w:r>
      <w:r w:rsidRPr="00286637">
        <w:t xml:space="preserve"> </w:t>
      </w:r>
      <w:r>
        <w:t>FR</w:t>
      </w:r>
      <w:r w:rsidRPr="00286637">
        <w:t xml:space="preserve"> </w:t>
      </w:r>
      <w:r>
        <w:t>Board</w:t>
      </w:r>
      <w:r w:rsidRPr="00286637">
        <w:t xml:space="preserve"> </w:t>
      </w:r>
      <w:r>
        <w:t>meeting</w:t>
      </w:r>
      <w:r w:rsidRPr="00286637">
        <w:t xml:space="preserve"> </w:t>
      </w:r>
      <w:r>
        <w:t>with members of the FRC - Commissioner Williams, Acting Registrar Helen Weedon and Acting Executive Officer</w:t>
      </w:r>
      <w:r w:rsidRPr="00286637">
        <w:t xml:space="preserve"> </w:t>
      </w:r>
      <w:r>
        <w:t>(Corporate)</w:t>
      </w:r>
      <w:r w:rsidRPr="00286637">
        <w:t xml:space="preserve"> </w:t>
      </w:r>
      <w:r>
        <w:t>Wayne</w:t>
      </w:r>
      <w:r w:rsidRPr="00286637">
        <w:t xml:space="preserve"> </w:t>
      </w:r>
      <w:r>
        <w:t>Massey.</w:t>
      </w:r>
      <w:r w:rsidRPr="00286637">
        <w:t xml:space="preserve"> </w:t>
      </w:r>
      <w:r>
        <w:t>As</w:t>
      </w:r>
      <w:r w:rsidRPr="00286637">
        <w:t xml:space="preserve"> </w:t>
      </w:r>
      <w:r>
        <w:t>the</w:t>
      </w:r>
      <w:r w:rsidRPr="00286637">
        <w:t xml:space="preserve"> </w:t>
      </w:r>
      <w:r>
        <w:t>FR</w:t>
      </w:r>
      <w:r w:rsidRPr="00286637">
        <w:t xml:space="preserve"> </w:t>
      </w:r>
      <w:r>
        <w:t>Board</w:t>
      </w:r>
      <w:r w:rsidRPr="00286637">
        <w:t xml:space="preserve"> </w:t>
      </w:r>
      <w:r>
        <w:t>meeting</w:t>
      </w:r>
      <w:r w:rsidRPr="00286637">
        <w:t xml:space="preserve"> </w:t>
      </w:r>
      <w:r>
        <w:t>was</w:t>
      </w:r>
      <w:r w:rsidRPr="00286637">
        <w:t xml:space="preserve"> </w:t>
      </w:r>
      <w:r>
        <w:t>held</w:t>
      </w:r>
      <w:r w:rsidRPr="00286637">
        <w:t xml:space="preserve"> </w:t>
      </w:r>
      <w:r>
        <w:t>during</w:t>
      </w:r>
      <w:r w:rsidRPr="00286637">
        <w:t xml:space="preserve"> </w:t>
      </w:r>
      <w:r>
        <w:t>the</w:t>
      </w:r>
      <w:r w:rsidRPr="00286637">
        <w:t xml:space="preserve"> </w:t>
      </w:r>
      <w:r>
        <w:t>Local</w:t>
      </w:r>
      <w:r w:rsidRPr="00286637">
        <w:t xml:space="preserve"> </w:t>
      </w:r>
      <w:r>
        <w:t>Commissioner Development</w:t>
      </w:r>
      <w:r w:rsidRPr="00286637">
        <w:t xml:space="preserve"> </w:t>
      </w:r>
      <w:r>
        <w:t>Week, the</w:t>
      </w:r>
      <w:r w:rsidRPr="00286637">
        <w:t xml:space="preserve"> </w:t>
      </w:r>
      <w:r>
        <w:t>FRC</w:t>
      </w:r>
      <w:r w:rsidRPr="00286637">
        <w:t xml:space="preserve"> </w:t>
      </w:r>
      <w:r>
        <w:t>also</w:t>
      </w:r>
      <w:r w:rsidRPr="00286637">
        <w:t xml:space="preserve"> </w:t>
      </w:r>
      <w:r>
        <w:t>invited</w:t>
      </w:r>
      <w:r w:rsidRPr="00286637">
        <w:t xml:space="preserve"> </w:t>
      </w:r>
      <w:r>
        <w:t>the</w:t>
      </w:r>
      <w:r w:rsidRPr="00286637">
        <w:t xml:space="preserve"> </w:t>
      </w:r>
      <w:r>
        <w:t>Chair</w:t>
      </w:r>
      <w:r w:rsidRPr="00286637">
        <w:t xml:space="preserve"> </w:t>
      </w:r>
      <w:r>
        <w:t>of</w:t>
      </w:r>
      <w:r w:rsidRPr="00286637">
        <w:t xml:space="preserve"> </w:t>
      </w:r>
      <w:r>
        <w:t>the</w:t>
      </w:r>
      <w:r w:rsidRPr="00286637">
        <w:t xml:space="preserve"> </w:t>
      </w:r>
      <w:r>
        <w:t>FR</w:t>
      </w:r>
      <w:r w:rsidRPr="00286637">
        <w:t xml:space="preserve"> </w:t>
      </w:r>
      <w:r>
        <w:t>Board</w:t>
      </w:r>
      <w:r w:rsidRPr="00286637">
        <w:t xml:space="preserve"> </w:t>
      </w:r>
      <w:r>
        <w:t>Ms</w:t>
      </w:r>
      <w:r w:rsidRPr="00286637">
        <w:t xml:space="preserve"> </w:t>
      </w:r>
      <w:r>
        <w:t>Clare</w:t>
      </w:r>
      <w:r w:rsidRPr="00286637">
        <w:t xml:space="preserve"> </w:t>
      </w:r>
      <w:r>
        <w:t>O’Connor</w:t>
      </w:r>
      <w:r w:rsidRPr="00286637">
        <w:t xml:space="preserve"> </w:t>
      </w:r>
      <w:r>
        <w:t>to</w:t>
      </w:r>
      <w:r w:rsidRPr="00286637">
        <w:t xml:space="preserve"> </w:t>
      </w:r>
      <w:r>
        <w:t>address</w:t>
      </w:r>
      <w:r w:rsidRPr="00286637">
        <w:t xml:space="preserve"> </w:t>
      </w:r>
      <w:r>
        <w:t>our Local Commissioners. Ms O’Connor thanked the Local Commissioners for their tireless dedication to their communities over the past 15 years.</w:t>
      </w:r>
    </w:p>
    <w:p w14:paraId="4B663816" w14:textId="77777777" w:rsidR="00413FA2" w:rsidRDefault="00413FA2" w:rsidP="000850EB">
      <w:pPr>
        <w:ind w:left="-142" w:right="-425"/>
        <w:jc w:val="both"/>
      </w:pPr>
    </w:p>
    <w:p w14:paraId="00DFFA87" w14:textId="77777777" w:rsidR="00F034B6" w:rsidRPr="00F034B6" w:rsidRDefault="00F034B6">
      <w:pPr>
        <w:spacing w:line="240" w:lineRule="auto"/>
      </w:pPr>
      <w:r w:rsidRPr="00F034B6">
        <w:br w:type="page"/>
      </w:r>
    </w:p>
    <w:p w14:paraId="6AF0C1D0" w14:textId="69A52DEE" w:rsidR="00D61256" w:rsidRPr="00C255E7" w:rsidRDefault="00D61256" w:rsidP="000850EB">
      <w:pPr>
        <w:ind w:left="-142" w:right="-425"/>
        <w:jc w:val="both"/>
        <w:rPr>
          <w:b/>
          <w:bCs/>
          <w:sz w:val="22"/>
          <w:szCs w:val="22"/>
        </w:rPr>
      </w:pPr>
      <w:r w:rsidRPr="00C255E7">
        <w:rPr>
          <w:b/>
          <w:bCs/>
          <w:sz w:val="22"/>
          <w:szCs w:val="22"/>
        </w:rPr>
        <w:lastRenderedPageBreak/>
        <w:t>School Attendance Data for term 2</w:t>
      </w:r>
    </w:p>
    <w:p w14:paraId="55F9DECD" w14:textId="6B68E2F7" w:rsidR="00994A3C" w:rsidRPr="00994A3C" w:rsidRDefault="00511898" w:rsidP="000850EB">
      <w:pPr>
        <w:ind w:left="-142" w:right="-425"/>
        <w:jc w:val="both"/>
      </w:pPr>
      <w:r w:rsidRPr="00994A3C">
        <w:t xml:space="preserve">The Commission </w:t>
      </w:r>
      <w:r w:rsidR="00994A3C" w:rsidRPr="00994A3C">
        <w:t xml:space="preserve">can advise that secondary school attendance improved from term 1 2023 to term 2 2023 for Aurukun, Doomadgee and Mossman. School attendance still remains a challenge with our elevated school response working hard to help our clients </w:t>
      </w:r>
      <w:r w:rsidR="003142D1" w:rsidRPr="00994A3C">
        <w:t>overcome</w:t>
      </w:r>
      <w:r w:rsidR="00994A3C" w:rsidRPr="00994A3C">
        <w:t xml:space="preserve"> the barriers to getting their children to school. The Commission is pleased to report the Coen Campus of CYAAA led the state </w:t>
      </w:r>
      <w:r w:rsidR="00994A3C">
        <w:t>f</w:t>
      </w:r>
      <w:r w:rsidR="00994A3C" w:rsidRPr="00994A3C">
        <w:t>or selected Aboriginal and Torres Strait Islander communities, at 82.1</w:t>
      </w:r>
      <w:r w:rsidR="00DD36DF">
        <w:t>%</w:t>
      </w:r>
      <w:r w:rsidR="00994A3C" w:rsidRPr="00994A3C">
        <w:t xml:space="preserve"> attendance</w:t>
      </w:r>
      <w:r w:rsidR="00994A3C">
        <w:t xml:space="preserve"> in term 2 2023</w:t>
      </w:r>
      <w:r w:rsidR="00994A3C" w:rsidRPr="00994A3C">
        <w:t>.</w:t>
      </w:r>
    </w:p>
    <w:p w14:paraId="5BE17FA0" w14:textId="77777777" w:rsidR="00D61256" w:rsidRDefault="00D61256" w:rsidP="000850EB">
      <w:pPr>
        <w:ind w:left="-142" w:right="-425"/>
        <w:jc w:val="both"/>
      </w:pPr>
    </w:p>
    <w:p w14:paraId="12C074CB" w14:textId="341E1EED" w:rsidR="00461EB3" w:rsidRPr="003D2632" w:rsidRDefault="00461EB3" w:rsidP="000850EB">
      <w:pPr>
        <w:ind w:left="-142" w:right="-425"/>
        <w:jc w:val="both"/>
        <w:rPr>
          <w:b/>
          <w:bCs/>
          <w:sz w:val="22"/>
          <w:szCs w:val="22"/>
        </w:rPr>
      </w:pPr>
      <w:r w:rsidRPr="003D2632">
        <w:rPr>
          <w:b/>
          <w:bCs/>
          <w:sz w:val="22"/>
          <w:szCs w:val="22"/>
        </w:rPr>
        <w:t>PCYC funding in Aurukun</w:t>
      </w:r>
    </w:p>
    <w:p w14:paraId="2C0343FD" w14:textId="714400DB" w:rsidR="00FA0F93" w:rsidRDefault="00862947" w:rsidP="00130E12">
      <w:pPr>
        <w:tabs>
          <w:tab w:val="left" w:pos="1134"/>
        </w:tabs>
        <w:ind w:left="-142" w:right="-425"/>
        <w:jc w:val="both"/>
      </w:pPr>
      <w:r>
        <w:t>On 22 August 2023 the Queensland Government announced the provision of significant funding to upgrade PCYC facilities, including o</w:t>
      </w:r>
      <w:r w:rsidR="007E5AE9">
        <w:t>ne</w:t>
      </w:r>
      <w:r w:rsidR="00417625">
        <w:t xml:space="preserve"> million dollars </w:t>
      </w:r>
      <w:r>
        <w:t xml:space="preserve">provided to </w:t>
      </w:r>
      <w:r w:rsidR="00417625">
        <w:t>Far North PCYC</w:t>
      </w:r>
      <w:r w:rsidR="007E5AE9">
        <w:t xml:space="preserve"> to</w:t>
      </w:r>
      <w:r w:rsidR="00417625">
        <w:t xml:space="preserve"> upgrade</w:t>
      </w:r>
      <w:r w:rsidR="007E5AE9">
        <w:t xml:space="preserve"> facilities</w:t>
      </w:r>
      <w:r w:rsidR="00417625">
        <w:t xml:space="preserve"> </w:t>
      </w:r>
      <w:r w:rsidR="00130E12">
        <w:t>for</w:t>
      </w:r>
      <w:r w:rsidR="00417625">
        <w:t xml:space="preserve"> Aurukun</w:t>
      </w:r>
      <w:r w:rsidR="007E5AE9">
        <w:t>, Napranum</w:t>
      </w:r>
      <w:r w:rsidR="00417625">
        <w:t xml:space="preserve"> </w:t>
      </w:r>
      <w:r w:rsidR="00130E12">
        <w:t>and</w:t>
      </w:r>
      <w:r w:rsidR="00985C19">
        <w:t xml:space="preserve"> </w:t>
      </w:r>
      <w:r w:rsidR="00417625">
        <w:t>Yarrabah to help youth offenders get off the street and into positive activities such as boxing</w:t>
      </w:r>
      <w:r w:rsidR="00985C19">
        <w:t xml:space="preserve"> </w:t>
      </w:r>
      <w:r w:rsidR="00417625">
        <w:t>and basketball.</w:t>
      </w:r>
      <w:r w:rsidR="00985C19">
        <w:t xml:space="preserve"> </w:t>
      </w:r>
      <w:r w:rsidR="00FA0F93">
        <w:t>The upgrades are part of a $50m budget investment to support new and upgraded PCYC</w:t>
      </w:r>
      <w:r w:rsidR="00985C19">
        <w:t xml:space="preserve"> </w:t>
      </w:r>
      <w:r w:rsidR="00FA0F93">
        <w:t>facilities across the state.</w:t>
      </w:r>
      <w:r w:rsidR="00985C19">
        <w:t xml:space="preserve"> </w:t>
      </w:r>
      <w:r w:rsidR="00FA0F93">
        <w:t>PCYC Queensland chief executive Phil Schultz welcomed government support of early</w:t>
      </w:r>
      <w:r w:rsidR="00985C19">
        <w:t xml:space="preserve"> </w:t>
      </w:r>
      <w:r w:rsidR="00FA0F93">
        <w:t>intervention initiatives and diversionary programs.</w:t>
      </w:r>
      <w:r w:rsidR="00130E12">
        <w:t xml:space="preserve"> </w:t>
      </w:r>
      <w:r w:rsidR="00FA0F93">
        <w:t>“This funding will be a huge support to us carrying out much needed upgrades and enhanced</w:t>
      </w:r>
      <w:r w:rsidR="00985C19">
        <w:t xml:space="preserve"> </w:t>
      </w:r>
      <w:r w:rsidR="00FA0F93">
        <w:t>program delivery,” he said.</w:t>
      </w:r>
      <w:r>
        <w:t xml:space="preserve"> The FRC looks forward to the completion of the upgrades in Aurukun.</w:t>
      </w:r>
    </w:p>
    <w:p w14:paraId="4900C97B" w14:textId="77777777" w:rsidR="00D61256" w:rsidRPr="00C375EC" w:rsidRDefault="00D61256" w:rsidP="000850EB">
      <w:pPr>
        <w:ind w:left="-142" w:right="-425"/>
        <w:jc w:val="both"/>
      </w:pPr>
    </w:p>
    <w:p w14:paraId="0464C51E" w14:textId="28EAD55C" w:rsidR="000850EB" w:rsidRDefault="000850EB">
      <w:pPr>
        <w:spacing w:line="240" w:lineRule="auto"/>
      </w:pPr>
      <w:r>
        <w:br w:type="page"/>
      </w:r>
    </w:p>
    <w:p w14:paraId="59FA8724" w14:textId="55F36592" w:rsidR="005A5B78" w:rsidRPr="00E34093" w:rsidRDefault="005A5B78" w:rsidP="005A5B78">
      <w:pPr>
        <w:pStyle w:val="Heading1"/>
        <w:ind w:left="-142" w:right="-426"/>
      </w:pPr>
      <w:bookmarkStart w:id="42" w:name="RANGE!A4:I20"/>
      <w:bookmarkStart w:id="43" w:name="_Toc39657993"/>
      <w:bookmarkEnd w:id="40"/>
      <w:bookmarkEnd w:id="41"/>
      <w:bookmarkEnd w:id="42"/>
      <w:r w:rsidRPr="00E34093">
        <w:lastRenderedPageBreak/>
        <w:t xml:space="preserve">3.  </w:t>
      </w:r>
      <w:r w:rsidR="000541CA">
        <w:t>Governance</w:t>
      </w:r>
      <w:bookmarkEnd w:id="43"/>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F034B6">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45B62875"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communication,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The </w:t>
      </w:r>
      <w:r w:rsidR="00FA7528">
        <w:rPr>
          <w:rFonts w:cs="Arial"/>
        </w:rPr>
        <w:t xml:space="preserve">FR </w:t>
      </w:r>
      <w:r w:rsidRPr="00E34093">
        <w:rPr>
          <w:rFonts w:cs="Arial"/>
        </w:rPr>
        <w:t>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2A6ACE3D" w14:textId="77777777" w:rsidR="005262F9" w:rsidRDefault="005262F9" w:rsidP="00FC008A">
      <w:pPr>
        <w:pStyle w:val="ListBullet"/>
        <w:ind w:left="2863" w:hanging="3005"/>
      </w:pPr>
      <w:r>
        <w:t>Ms Clare O’Connor</w:t>
      </w:r>
      <w:r w:rsidR="005A5B78" w:rsidRPr="00A42E2F">
        <w:tab/>
      </w:r>
      <w:r>
        <w:tab/>
      </w:r>
      <w:r w:rsidR="005A5B78" w:rsidRPr="00A42E2F">
        <w:t xml:space="preserve">Director-General, </w:t>
      </w:r>
      <w:r w:rsidRPr="005262F9">
        <w:t>Department of Treaty, Aboriginal and Torres Strait Islander Partnerships, Communities and the Arts</w:t>
      </w:r>
      <w:r>
        <w:t xml:space="preserve"> (Chair)</w:t>
      </w:r>
    </w:p>
    <w:p w14:paraId="53F6CEC1" w14:textId="1B7D2114" w:rsidR="00281E73" w:rsidRDefault="00B04535" w:rsidP="00FC008A">
      <w:pPr>
        <w:pStyle w:val="ListBullet"/>
        <w:ind w:left="2863" w:hanging="3005"/>
      </w:pPr>
      <w:r>
        <w:t>Ms Jody Broun</w:t>
      </w:r>
      <w:r w:rsidR="00A42E2F" w:rsidRPr="00A42E2F">
        <w:tab/>
      </w:r>
      <w:r w:rsidR="00A42E2F" w:rsidRPr="00A42E2F">
        <w:tab/>
      </w:r>
      <w:r>
        <w:t>CEO, National Indigenous Australians Agency</w:t>
      </w:r>
    </w:p>
    <w:p w14:paraId="1C4EBA4C" w14:textId="4434A087" w:rsidR="005262F9" w:rsidRPr="00A42E2F" w:rsidRDefault="005262F9" w:rsidP="005262F9">
      <w:pPr>
        <w:pStyle w:val="ListBullet"/>
        <w:ind w:left="2863" w:hanging="3005"/>
      </w:pPr>
      <w:r w:rsidRPr="00E34093">
        <w:t>Mr Noel Pearson</w:t>
      </w:r>
      <w:r w:rsidRPr="00A42E2F">
        <w:tab/>
      </w:r>
      <w:r w:rsidRPr="00A42E2F">
        <w:tab/>
      </w:r>
      <w:r>
        <w:t>Founder, Cape York Partnership representing the Cape York Institute.</w:t>
      </w:r>
    </w:p>
    <w:p w14:paraId="667BEFF1" w14:textId="77777777" w:rsidR="00320827" w:rsidRPr="00CF3AF9" w:rsidRDefault="00320827" w:rsidP="00CF3AF9">
      <w:pPr>
        <w:ind w:left="-142" w:right="-425"/>
        <w:rPr>
          <w:rFonts w:cs="Arial"/>
        </w:rPr>
      </w:pPr>
    </w:p>
    <w:p w14:paraId="660BA16D" w14:textId="4D44E116" w:rsidR="00320827" w:rsidRPr="00E34093" w:rsidRDefault="00320827" w:rsidP="00F034B6">
      <w:pPr>
        <w:pStyle w:val="Heading2"/>
      </w:pPr>
      <w:r w:rsidRPr="00E34093">
        <w:t>Operational</w:t>
      </w:r>
    </w:p>
    <w:p w14:paraId="673CAD09" w14:textId="77777777" w:rsidR="00320827" w:rsidRPr="00E34093" w:rsidRDefault="00320827" w:rsidP="00320827">
      <w:pPr>
        <w:ind w:left="-142" w:right="-425"/>
        <w:rPr>
          <w:rFonts w:cs="Arial"/>
        </w:rPr>
      </w:pPr>
    </w:p>
    <w:p w14:paraId="1DC71554" w14:textId="535B397C"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Commissioners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44" w:name="_Toc39657994"/>
      <w:r>
        <w:lastRenderedPageBreak/>
        <w:t>4</w:t>
      </w:r>
      <w:r w:rsidRPr="00E34093">
        <w:t>.  Financial Operations</w:t>
      </w:r>
      <w:bookmarkEnd w:id="44"/>
    </w:p>
    <w:p w14:paraId="3ABAF23C" w14:textId="77777777" w:rsidR="009637A0" w:rsidRPr="00E34093" w:rsidRDefault="009637A0" w:rsidP="005A5B78">
      <w:pPr>
        <w:ind w:left="-142" w:right="-425"/>
        <w:jc w:val="both"/>
        <w:rPr>
          <w:rFonts w:cs="Arial"/>
        </w:rPr>
      </w:pPr>
    </w:p>
    <w:p w14:paraId="5B9A8681" w14:textId="77777777" w:rsidR="00C2682B" w:rsidRPr="00BF1639" w:rsidRDefault="00C2682B" w:rsidP="00F034B6">
      <w:pPr>
        <w:pStyle w:val="Heading2"/>
      </w:pPr>
      <w:r w:rsidRPr="00BF1639">
        <w:t>Income:</w:t>
      </w:r>
    </w:p>
    <w:p w14:paraId="5226D79B" w14:textId="63525D7B" w:rsidR="00C2682B" w:rsidRPr="00580DAE" w:rsidRDefault="00C2682B" w:rsidP="00C2682B">
      <w:pPr>
        <w:pStyle w:val="ListBullet"/>
        <w:ind w:left="215" w:hanging="357"/>
      </w:pPr>
      <w:r w:rsidRPr="00580DAE">
        <w:t>Income of the Commission attributable to the quarter (1 July 2023 to 30 September 2023) totalled $</w:t>
      </w:r>
      <w:r w:rsidR="000566AA" w:rsidRPr="00580DAE">
        <w:t>1,188,347</w:t>
      </w:r>
      <w:r w:rsidRPr="00580DAE">
        <w:t>. This income consisted of:</w:t>
      </w:r>
    </w:p>
    <w:p w14:paraId="372A3FDC" w14:textId="3577833D" w:rsidR="00C2682B" w:rsidRPr="00580DAE" w:rsidRDefault="00C2682B" w:rsidP="00C2682B">
      <w:pPr>
        <w:pStyle w:val="ListBullet2"/>
      </w:pPr>
      <w:r w:rsidRPr="00580DAE">
        <w:t>$</w:t>
      </w:r>
      <w:r w:rsidR="000566AA" w:rsidRPr="00580DAE">
        <w:t>641,250</w:t>
      </w:r>
      <w:r w:rsidRPr="00580DAE">
        <w:t xml:space="preserve"> Queensland Government funding</w:t>
      </w:r>
    </w:p>
    <w:p w14:paraId="6AE099A2" w14:textId="009472F1" w:rsidR="00C2682B" w:rsidRPr="00580DAE" w:rsidRDefault="00C2682B" w:rsidP="00C2682B">
      <w:pPr>
        <w:pStyle w:val="ListBullet2"/>
      </w:pPr>
      <w:r w:rsidRPr="00580DAE">
        <w:t>$</w:t>
      </w:r>
      <w:r w:rsidR="000566AA" w:rsidRPr="00580DAE">
        <w:t>499,997</w:t>
      </w:r>
      <w:r w:rsidRPr="00580DAE">
        <w:t xml:space="preserve"> Australian Government funding</w:t>
      </w:r>
    </w:p>
    <w:p w14:paraId="4572DD54" w14:textId="18D32CF0" w:rsidR="00C2682B" w:rsidRPr="00580DAE" w:rsidRDefault="00C2682B" w:rsidP="00C2682B">
      <w:pPr>
        <w:pStyle w:val="ListBullet2"/>
      </w:pPr>
      <w:r w:rsidRPr="00580DAE">
        <w:t>$</w:t>
      </w:r>
      <w:r w:rsidR="000566AA" w:rsidRPr="00580DAE">
        <w:t>47,075</w:t>
      </w:r>
      <w:r w:rsidRPr="00580DAE">
        <w:t xml:space="preserve"> interest received</w:t>
      </w:r>
    </w:p>
    <w:p w14:paraId="62A1B48F" w14:textId="70CCF7FD" w:rsidR="00C2682B" w:rsidRPr="00580DAE" w:rsidRDefault="00C2682B" w:rsidP="00C2682B">
      <w:pPr>
        <w:pStyle w:val="ListBullet2"/>
      </w:pPr>
      <w:r w:rsidRPr="00580DAE">
        <w:t>$2</w:t>
      </w:r>
      <w:r w:rsidR="00E9770B">
        <w:t>5</w:t>
      </w:r>
      <w:r w:rsidRPr="00580DAE">
        <w:t xml:space="preserve"> sundry income.</w:t>
      </w:r>
    </w:p>
    <w:p w14:paraId="7098B201" w14:textId="77777777" w:rsidR="00C2682B" w:rsidRDefault="00C2682B" w:rsidP="00C2682B">
      <w:pPr>
        <w:ind w:left="-142" w:right="-425"/>
        <w:jc w:val="both"/>
        <w:rPr>
          <w:rFonts w:cs="Arial"/>
        </w:rPr>
      </w:pPr>
    </w:p>
    <w:p w14:paraId="2CF1CB52" w14:textId="2D045CA3" w:rsidR="00C2682B" w:rsidRDefault="00C2682B" w:rsidP="00C2682B">
      <w:pPr>
        <w:ind w:left="-142" w:right="-425"/>
        <w:jc w:val="both"/>
        <w:rPr>
          <w:rFonts w:cs="Arial"/>
        </w:rPr>
      </w:pPr>
      <w:r w:rsidRPr="0073709D">
        <w:rPr>
          <w:rFonts w:cs="Arial"/>
        </w:rPr>
        <w:t xml:space="preserve">The balance of available funds in the bank as at </w:t>
      </w:r>
      <w:r>
        <w:rPr>
          <w:rFonts w:cs="Arial"/>
        </w:rPr>
        <w:t>30 September 2023</w:t>
      </w:r>
      <w:r w:rsidRPr="0073709D">
        <w:rPr>
          <w:rFonts w:cs="Arial"/>
        </w:rPr>
        <w:t xml:space="preserve"> </w:t>
      </w:r>
      <w:r w:rsidRPr="008E6DBA">
        <w:rPr>
          <w:rFonts w:cs="Arial"/>
        </w:rPr>
        <w:t xml:space="preserve">is </w:t>
      </w:r>
      <w:r w:rsidRPr="00EC69F8">
        <w:rPr>
          <w:rFonts w:cs="Arial"/>
        </w:rPr>
        <w:t>$</w:t>
      </w:r>
      <w:r w:rsidR="000566AA">
        <w:rPr>
          <w:rFonts w:cs="Arial"/>
        </w:rPr>
        <w:t>7,089,674</w:t>
      </w:r>
      <w:r>
        <w:rPr>
          <w:rFonts w:cs="Arial"/>
        </w:rPr>
        <w:t>.</w:t>
      </w:r>
    </w:p>
    <w:p w14:paraId="5311E579" w14:textId="77777777" w:rsidR="00C2682B" w:rsidRDefault="00C2682B" w:rsidP="00C2682B">
      <w:pPr>
        <w:ind w:left="-142" w:right="-425"/>
        <w:jc w:val="both"/>
        <w:rPr>
          <w:rFonts w:cs="Arial"/>
        </w:rPr>
      </w:pPr>
    </w:p>
    <w:p w14:paraId="709D473E" w14:textId="77777777" w:rsidR="00C2682B" w:rsidRPr="00BF1639" w:rsidRDefault="00C2682B" w:rsidP="00F034B6">
      <w:pPr>
        <w:pStyle w:val="Heading2"/>
      </w:pPr>
      <w:r w:rsidRPr="00BF1639">
        <w:t>Expenditure:</w:t>
      </w:r>
    </w:p>
    <w:p w14:paraId="5CC31221" w14:textId="760BC053" w:rsidR="00C2682B" w:rsidRPr="001720D5" w:rsidRDefault="00C2682B" w:rsidP="00C2682B">
      <w:pPr>
        <w:pStyle w:val="ListBullet"/>
        <w:ind w:left="2863" w:hanging="3005"/>
      </w:pPr>
      <w:r w:rsidRPr="00BD380A">
        <w:t xml:space="preserve">Expenditure for the </w:t>
      </w:r>
      <w:r>
        <w:t>quarter (1 July 2023</w:t>
      </w:r>
      <w:r w:rsidRPr="00BD380A">
        <w:t xml:space="preserve"> to </w:t>
      </w:r>
      <w:r>
        <w:t>30 September 2023)</w:t>
      </w:r>
      <w:r w:rsidRPr="00BD380A">
        <w:t xml:space="preserve"> </w:t>
      </w:r>
      <w:r w:rsidRPr="00B635B2">
        <w:t>was $</w:t>
      </w:r>
      <w:r w:rsidR="000566AA">
        <w:t>1,351,056</w:t>
      </w:r>
      <w:r w:rsidRPr="00B635B2">
        <w:t>.</w:t>
      </w:r>
    </w:p>
    <w:p w14:paraId="4555CA86" w14:textId="07475910" w:rsidR="00D840DE" w:rsidRDefault="00D840DE" w:rsidP="009F0A67">
      <w:pPr>
        <w:ind w:left="-142" w:right="-425"/>
        <w:jc w:val="both"/>
        <w:rPr>
          <w:rFonts w:cs="Arial"/>
        </w:rPr>
      </w:pPr>
    </w:p>
    <w:p w14:paraId="40442581" w14:textId="25221C16" w:rsidR="00EB0526" w:rsidRDefault="00EB0526" w:rsidP="009D766A">
      <w:pPr>
        <w:ind w:left="-142" w:right="-425"/>
        <w:jc w:val="both"/>
        <w:rPr>
          <w:rFonts w:cs="Arial"/>
          <w:sz w:val="16"/>
          <w:szCs w:val="16"/>
        </w:rPr>
      </w:pPr>
      <w:r w:rsidRPr="009D766A">
        <w:rPr>
          <w:rFonts w:cs="Arial"/>
          <w:b/>
          <w:sz w:val="16"/>
          <w:szCs w:val="16"/>
        </w:rPr>
        <w:t xml:space="preserve">Table </w:t>
      </w:r>
      <w:r w:rsidR="00D26842">
        <w:rPr>
          <w:rFonts w:cs="Arial"/>
          <w:b/>
          <w:sz w:val="16"/>
          <w:szCs w:val="16"/>
        </w:rPr>
        <w:t>23</w:t>
      </w:r>
      <w:r w:rsidR="00CE0E57">
        <w:rPr>
          <w:rFonts w:cs="Arial"/>
          <w:b/>
          <w:sz w:val="16"/>
          <w:szCs w:val="16"/>
        </w:rPr>
        <w:t>:</w:t>
      </w:r>
      <w:r w:rsidRPr="009D766A">
        <w:rPr>
          <w:rFonts w:cs="Arial"/>
          <w:sz w:val="16"/>
          <w:szCs w:val="16"/>
        </w:rPr>
        <w:t xml:space="preserve"> Expenditure in </w:t>
      </w:r>
      <w:r w:rsidR="00856C85" w:rsidRPr="009D766A">
        <w:rPr>
          <w:rFonts w:cs="Arial"/>
          <w:sz w:val="16"/>
          <w:szCs w:val="16"/>
        </w:rPr>
        <w:t xml:space="preserve">quarter </w:t>
      </w:r>
      <w:r w:rsidR="001415BC">
        <w:rPr>
          <w:rFonts w:cs="Arial"/>
          <w:sz w:val="16"/>
          <w:szCs w:val="16"/>
        </w:rPr>
        <w:t>6</w:t>
      </w:r>
      <w:r w:rsidR="00EC04D1">
        <w:rPr>
          <w:rFonts w:cs="Arial"/>
          <w:sz w:val="16"/>
          <w:szCs w:val="16"/>
        </w:rPr>
        <w:t>1</w:t>
      </w:r>
    </w:p>
    <w:p w14:paraId="692AFDBD" w14:textId="77777777" w:rsidR="00BF1639" w:rsidRPr="0070366B" w:rsidRDefault="00BF1639" w:rsidP="009D766A">
      <w:pPr>
        <w:ind w:left="-142" w:right="-425"/>
        <w:jc w:val="both"/>
        <w:rPr>
          <w:rFonts w:cs="Arial"/>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653C3002" w:rsidR="009F0A67" w:rsidRPr="00872CBA" w:rsidRDefault="007B7E78" w:rsidP="009F55E0">
            <w:pPr>
              <w:pStyle w:val="StyleTableTextBoldCentered"/>
              <w:rPr>
                <w:lang w:eastAsia="en-AU"/>
              </w:rPr>
            </w:pPr>
            <w:r>
              <w:rPr>
                <w:lang w:eastAsia="en-AU"/>
              </w:rPr>
              <w:t xml:space="preserve">1 </w:t>
            </w:r>
            <w:r w:rsidR="00EC04D1">
              <w:rPr>
                <w:lang w:eastAsia="en-AU"/>
              </w:rPr>
              <w:t xml:space="preserve">July </w:t>
            </w:r>
            <w:r w:rsidR="00413FAC">
              <w:rPr>
                <w:lang w:eastAsia="en-AU"/>
              </w:rPr>
              <w:t>2023</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773E58AF" w:rsidR="009F0A67" w:rsidRPr="00872CBA" w:rsidRDefault="007B7E78" w:rsidP="009F55E0">
            <w:pPr>
              <w:pStyle w:val="StyleTableTextBoldCentered"/>
              <w:rPr>
                <w:lang w:eastAsia="en-AU"/>
              </w:rPr>
            </w:pPr>
            <w:r>
              <w:rPr>
                <w:lang w:eastAsia="en-AU"/>
              </w:rPr>
              <w:t xml:space="preserve">1 </w:t>
            </w:r>
            <w:r w:rsidR="00EC04D1">
              <w:rPr>
                <w:lang w:eastAsia="en-AU"/>
              </w:rPr>
              <w:t xml:space="preserve">July </w:t>
            </w:r>
            <w:r w:rsidR="00413FAC">
              <w:rPr>
                <w:lang w:eastAsia="en-AU"/>
              </w:rPr>
              <w:t>2023</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7CC7E4B3" w:rsidR="009F0A67" w:rsidRPr="00872CBA" w:rsidRDefault="007B7E78" w:rsidP="009F55E0">
            <w:pPr>
              <w:pStyle w:val="StyleTableTextBoldCentered"/>
              <w:rPr>
                <w:lang w:eastAsia="en-AU"/>
              </w:rPr>
            </w:pPr>
            <w:r>
              <w:rPr>
                <w:lang w:eastAsia="en-AU"/>
              </w:rPr>
              <w:t>3</w:t>
            </w:r>
            <w:r w:rsidR="001415BC">
              <w:rPr>
                <w:lang w:eastAsia="en-AU"/>
              </w:rPr>
              <w:t xml:space="preserve">0 </w:t>
            </w:r>
            <w:r w:rsidR="00EC04D1">
              <w:rPr>
                <w:lang w:eastAsia="en-AU"/>
              </w:rPr>
              <w:t>September</w:t>
            </w:r>
            <w:r w:rsidR="00A70906">
              <w:rPr>
                <w:lang w:eastAsia="en-AU"/>
              </w:rPr>
              <w:t xml:space="preserve"> 2023</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1F7AC5C7" w:rsidR="009F0A67" w:rsidRPr="00872CBA" w:rsidRDefault="009F0A67" w:rsidP="004F7197">
            <w:pPr>
              <w:pStyle w:val="StyleTableTextBoldCentered"/>
              <w:rPr>
                <w:lang w:eastAsia="en-AU"/>
              </w:rPr>
            </w:pPr>
            <w:r w:rsidRPr="00872CBA">
              <w:rPr>
                <w:lang w:eastAsia="en-AU"/>
              </w:rPr>
              <w:t xml:space="preserve">Qtr </w:t>
            </w:r>
            <w:r w:rsidR="001415BC">
              <w:rPr>
                <w:lang w:eastAsia="en-AU"/>
              </w:rPr>
              <w:t>6</w:t>
            </w:r>
            <w:r w:rsidR="00EC04D1">
              <w:rPr>
                <w:lang w:eastAsia="en-AU"/>
              </w:rPr>
              <w:t>1</w:t>
            </w:r>
          </w:p>
        </w:tc>
        <w:tc>
          <w:tcPr>
            <w:tcW w:w="2552" w:type="dxa"/>
            <w:tcBorders>
              <w:top w:val="nil"/>
              <w:left w:val="nil"/>
              <w:bottom w:val="nil"/>
              <w:right w:val="single" w:sz="4" w:space="0" w:color="FFFFFF"/>
            </w:tcBorders>
            <w:shd w:val="clear" w:color="auto" w:fill="000000"/>
            <w:noWrap/>
            <w:vAlign w:val="bottom"/>
          </w:tcPr>
          <w:p w14:paraId="7FB7D45D" w14:textId="70D76CF9" w:rsidR="009F0A67" w:rsidRPr="00872CBA" w:rsidRDefault="007B7E78" w:rsidP="009F55E0">
            <w:pPr>
              <w:pStyle w:val="StyleTableTextBoldCentered"/>
              <w:rPr>
                <w:lang w:eastAsia="en-AU"/>
              </w:rPr>
            </w:pPr>
            <w:r>
              <w:rPr>
                <w:lang w:eastAsia="en-AU"/>
              </w:rPr>
              <w:t>3</w:t>
            </w:r>
            <w:r w:rsidR="001415BC">
              <w:rPr>
                <w:lang w:eastAsia="en-AU"/>
              </w:rPr>
              <w:t xml:space="preserve">0 </w:t>
            </w:r>
            <w:r w:rsidR="00EC04D1">
              <w:rPr>
                <w:lang w:eastAsia="en-AU"/>
              </w:rPr>
              <w:t xml:space="preserve">September </w:t>
            </w:r>
            <w:r w:rsidR="0039275D">
              <w:rPr>
                <w:lang w:eastAsia="en-AU"/>
              </w:rPr>
              <w:t>2023</w:t>
            </w:r>
          </w:p>
        </w:tc>
        <w:tc>
          <w:tcPr>
            <w:tcW w:w="1701" w:type="dxa"/>
            <w:tcBorders>
              <w:top w:val="nil"/>
              <w:left w:val="nil"/>
              <w:bottom w:val="nil"/>
              <w:right w:val="nil"/>
            </w:tcBorders>
            <w:shd w:val="clear" w:color="auto" w:fill="000000"/>
            <w:noWrap/>
            <w:vAlign w:val="bottom"/>
          </w:tcPr>
          <w:p w14:paraId="4A5AEAEC" w14:textId="75C7C121" w:rsidR="009F0A67" w:rsidRPr="00872CBA" w:rsidRDefault="009F0A67" w:rsidP="004F7197">
            <w:pPr>
              <w:pStyle w:val="StyleTableTextBoldCentered"/>
              <w:rPr>
                <w:lang w:eastAsia="en-AU"/>
              </w:rPr>
            </w:pPr>
            <w:r w:rsidRPr="00872CBA">
              <w:rPr>
                <w:lang w:eastAsia="en-AU"/>
              </w:rPr>
              <w:t xml:space="preserve">Qtr </w:t>
            </w:r>
            <w:r w:rsidR="001415BC">
              <w:rPr>
                <w:lang w:eastAsia="en-AU"/>
              </w:rPr>
              <w:t>6</w:t>
            </w:r>
            <w:r w:rsidR="00EC04D1">
              <w:rPr>
                <w:lang w:eastAsia="en-AU"/>
              </w:rPr>
              <w:t>1</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01" w:type="dxa"/>
            <w:tcBorders>
              <w:top w:val="single" w:sz="4" w:space="0" w:color="auto"/>
              <w:left w:val="nil"/>
              <w:bottom w:val="single" w:sz="4" w:space="0" w:color="auto"/>
              <w:right w:val="single" w:sz="4" w:space="0" w:color="auto"/>
            </w:tcBorders>
            <w:shd w:val="clear" w:color="auto" w:fill="auto"/>
            <w:noWrap/>
          </w:tcPr>
          <w:p w14:paraId="77476AD8" w14:textId="336F2681" w:rsidR="009F0A67" w:rsidRPr="00B548B9" w:rsidRDefault="0069576B" w:rsidP="002E59A0">
            <w:pPr>
              <w:jc w:val="right"/>
            </w:pPr>
            <w:r>
              <w:t>507,65</w:t>
            </w:r>
            <w:r w:rsidR="007742AB">
              <w:t>3</w:t>
            </w:r>
          </w:p>
        </w:tc>
        <w:tc>
          <w:tcPr>
            <w:tcW w:w="2552" w:type="dxa"/>
            <w:tcBorders>
              <w:top w:val="single" w:sz="4" w:space="0" w:color="auto"/>
              <w:left w:val="nil"/>
              <w:bottom w:val="single" w:sz="4" w:space="0" w:color="auto"/>
              <w:right w:val="single" w:sz="4" w:space="0" w:color="auto"/>
            </w:tcBorders>
            <w:shd w:val="clear" w:color="auto" w:fill="auto"/>
            <w:noWrap/>
          </w:tcPr>
          <w:p w14:paraId="09DAD549" w14:textId="12264D6F" w:rsidR="009F0A67" w:rsidRPr="007F7AD6" w:rsidRDefault="00C20DF5" w:rsidP="009F0A67">
            <w:pPr>
              <w:pStyle w:val="TableText"/>
            </w:pPr>
            <w:r>
              <w:t>Internet &amp; IT</w:t>
            </w:r>
          </w:p>
        </w:tc>
        <w:tc>
          <w:tcPr>
            <w:tcW w:w="1701" w:type="dxa"/>
            <w:tcBorders>
              <w:top w:val="single" w:sz="4" w:space="0" w:color="auto"/>
              <w:left w:val="nil"/>
              <w:bottom w:val="single" w:sz="4" w:space="0" w:color="auto"/>
              <w:right w:val="single" w:sz="4" w:space="0" w:color="auto"/>
            </w:tcBorders>
            <w:shd w:val="clear" w:color="auto" w:fill="auto"/>
            <w:noWrap/>
          </w:tcPr>
          <w:p w14:paraId="2B350BE4" w14:textId="4AA8D38F" w:rsidR="009F0A67" w:rsidRPr="00B548B9" w:rsidRDefault="0069576B" w:rsidP="002E59A0">
            <w:pPr>
              <w:jc w:val="right"/>
            </w:pPr>
            <w:r>
              <w:t>76,648</w:t>
            </w:r>
          </w:p>
        </w:tc>
      </w:tr>
      <w:tr w:rsidR="009F0A67" w:rsidRPr="00872CBA" w14:paraId="7FFFC35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BB75F3C" w14:textId="037A05DA" w:rsidR="009F0A67" w:rsidRPr="00B548B9" w:rsidRDefault="0069576B" w:rsidP="002E59A0">
            <w:pPr>
              <w:jc w:val="right"/>
            </w:pPr>
            <w:r>
              <w:t>143,725</w:t>
            </w:r>
          </w:p>
        </w:tc>
        <w:tc>
          <w:tcPr>
            <w:tcW w:w="2552" w:type="dxa"/>
            <w:tcBorders>
              <w:top w:val="single" w:sz="4" w:space="0" w:color="auto"/>
              <w:left w:val="nil"/>
              <w:bottom w:val="single" w:sz="4" w:space="0" w:color="auto"/>
              <w:right w:val="single" w:sz="4" w:space="0" w:color="auto"/>
            </w:tcBorders>
            <w:shd w:val="clear" w:color="auto" w:fill="auto"/>
            <w:noWrap/>
          </w:tcPr>
          <w:p w14:paraId="24CD61D5" w14:textId="201E9942" w:rsidR="009F0A67" w:rsidRPr="007F7AD6" w:rsidRDefault="00C20DF5" w:rsidP="009F0A67">
            <w:pPr>
              <w:pStyle w:val="TableText"/>
            </w:pPr>
            <w:r>
              <w:t>Motor Vehicle</w:t>
            </w:r>
          </w:p>
        </w:tc>
        <w:tc>
          <w:tcPr>
            <w:tcW w:w="1701" w:type="dxa"/>
            <w:tcBorders>
              <w:top w:val="single" w:sz="4" w:space="0" w:color="auto"/>
              <w:left w:val="nil"/>
              <w:bottom w:val="single" w:sz="4" w:space="0" w:color="auto"/>
              <w:right w:val="single" w:sz="4" w:space="0" w:color="auto"/>
            </w:tcBorders>
            <w:shd w:val="clear" w:color="auto" w:fill="auto"/>
            <w:noWrap/>
          </w:tcPr>
          <w:p w14:paraId="762EE478" w14:textId="6EA0787A" w:rsidR="009F0A67" w:rsidRPr="00B548B9" w:rsidRDefault="0069576B" w:rsidP="002E59A0">
            <w:pPr>
              <w:jc w:val="right"/>
            </w:pPr>
            <w:r>
              <w:t>16,74</w:t>
            </w:r>
            <w:r w:rsidR="007742AB">
              <w:t>4</w:t>
            </w:r>
          </w:p>
        </w:tc>
      </w:tr>
      <w:tr w:rsidR="009F0A67" w:rsidRPr="00872CBA" w14:paraId="5A0EE9F7"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01" w:type="dxa"/>
            <w:tcBorders>
              <w:top w:val="single" w:sz="4" w:space="0" w:color="auto"/>
              <w:left w:val="nil"/>
              <w:bottom w:val="single" w:sz="4" w:space="0" w:color="auto"/>
              <w:right w:val="single" w:sz="4" w:space="0" w:color="auto"/>
            </w:tcBorders>
            <w:shd w:val="clear" w:color="auto" w:fill="auto"/>
            <w:noWrap/>
          </w:tcPr>
          <w:p w14:paraId="35A68624" w14:textId="33D21E94" w:rsidR="009F0A67" w:rsidRPr="00B548B9" w:rsidRDefault="0069576B" w:rsidP="002E59A0">
            <w:pPr>
              <w:jc w:val="right"/>
            </w:pPr>
            <w:r>
              <w:t>99,088</w:t>
            </w:r>
          </w:p>
        </w:tc>
        <w:tc>
          <w:tcPr>
            <w:tcW w:w="2552" w:type="dxa"/>
            <w:tcBorders>
              <w:top w:val="single" w:sz="4" w:space="0" w:color="auto"/>
              <w:left w:val="nil"/>
              <w:bottom w:val="single" w:sz="4" w:space="0" w:color="auto"/>
              <w:right w:val="single" w:sz="4" w:space="0" w:color="auto"/>
            </w:tcBorders>
            <w:shd w:val="clear" w:color="auto" w:fill="auto"/>
            <w:noWrap/>
          </w:tcPr>
          <w:p w14:paraId="5074F2B0" w14:textId="51EDB0C6" w:rsidR="009F0A67" w:rsidRPr="007F7AD6" w:rsidRDefault="00C20DF5" w:rsidP="009F0A67">
            <w:pPr>
              <w:pStyle w:val="TableText"/>
            </w:pPr>
            <w:r>
              <w:t>Property</w:t>
            </w:r>
          </w:p>
        </w:tc>
        <w:tc>
          <w:tcPr>
            <w:tcW w:w="1701" w:type="dxa"/>
            <w:tcBorders>
              <w:top w:val="single" w:sz="4" w:space="0" w:color="auto"/>
              <w:left w:val="nil"/>
              <w:bottom w:val="single" w:sz="4" w:space="0" w:color="auto"/>
              <w:right w:val="single" w:sz="4" w:space="0" w:color="auto"/>
            </w:tcBorders>
            <w:shd w:val="clear" w:color="auto" w:fill="auto"/>
            <w:noWrap/>
          </w:tcPr>
          <w:p w14:paraId="318F1B16" w14:textId="653CE7DB" w:rsidR="009F0A67" w:rsidRPr="00B548B9" w:rsidRDefault="0069576B" w:rsidP="002E59A0">
            <w:pPr>
              <w:jc w:val="right"/>
            </w:pPr>
            <w:r>
              <w:t>66,944</w:t>
            </w:r>
          </w:p>
        </w:tc>
      </w:tr>
      <w:tr w:rsidR="009F0A67" w:rsidRPr="00872CBA" w14:paraId="34DE04A2"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745D0EF7" w14:textId="26D345CF" w:rsidR="009F0A67" w:rsidRPr="00B548B9" w:rsidRDefault="0069576B" w:rsidP="002E59A0">
            <w:pPr>
              <w:jc w:val="right"/>
            </w:pPr>
            <w:r>
              <w:t>20,783</w:t>
            </w:r>
          </w:p>
        </w:tc>
        <w:tc>
          <w:tcPr>
            <w:tcW w:w="2552" w:type="dxa"/>
            <w:tcBorders>
              <w:top w:val="single" w:sz="4" w:space="0" w:color="auto"/>
              <w:left w:val="nil"/>
              <w:bottom w:val="single" w:sz="4" w:space="0" w:color="auto"/>
              <w:right w:val="single" w:sz="4" w:space="0" w:color="auto"/>
            </w:tcBorders>
            <w:shd w:val="clear" w:color="auto" w:fill="auto"/>
            <w:noWrap/>
          </w:tcPr>
          <w:p w14:paraId="3113FE5C" w14:textId="44EAF726" w:rsidR="009F0A67" w:rsidRPr="007F7AD6" w:rsidRDefault="00C20DF5" w:rsidP="009F0A67">
            <w:pPr>
              <w:pStyle w:val="TableText"/>
            </w:pPr>
            <w:r>
              <w:t>Travel</w:t>
            </w:r>
          </w:p>
        </w:tc>
        <w:tc>
          <w:tcPr>
            <w:tcW w:w="1701" w:type="dxa"/>
            <w:tcBorders>
              <w:top w:val="single" w:sz="4" w:space="0" w:color="auto"/>
              <w:left w:val="nil"/>
              <w:bottom w:val="single" w:sz="4" w:space="0" w:color="auto"/>
              <w:right w:val="single" w:sz="4" w:space="0" w:color="auto"/>
            </w:tcBorders>
            <w:shd w:val="clear" w:color="auto" w:fill="auto"/>
            <w:noWrap/>
          </w:tcPr>
          <w:p w14:paraId="6711E729" w14:textId="0E8541B6" w:rsidR="009F0A67" w:rsidRPr="00B548B9" w:rsidRDefault="0069576B" w:rsidP="002E59A0">
            <w:pPr>
              <w:jc w:val="right"/>
            </w:pPr>
            <w:r>
              <w:t>147,93</w:t>
            </w:r>
            <w:r w:rsidR="007742AB">
              <w:t>0</w:t>
            </w:r>
          </w:p>
        </w:tc>
      </w:tr>
      <w:tr w:rsidR="009F0A67" w:rsidRPr="00872CBA" w14:paraId="67A33B76"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464948A" w14:textId="77777777" w:rsidR="009F0A67" w:rsidRPr="00872CBA" w:rsidRDefault="009F0A67" w:rsidP="009F0A67">
            <w:pPr>
              <w:pStyle w:val="TableText"/>
            </w:pPr>
            <w:r w:rsidRPr="00872CBA">
              <w:t>Other employment costs</w:t>
            </w:r>
          </w:p>
        </w:tc>
        <w:tc>
          <w:tcPr>
            <w:tcW w:w="1701" w:type="dxa"/>
            <w:tcBorders>
              <w:top w:val="single" w:sz="4" w:space="0" w:color="auto"/>
              <w:left w:val="nil"/>
              <w:bottom w:val="single" w:sz="4" w:space="0" w:color="auto"/>
              <w:right w:val="single" w:sz="4" w:space="0" w:color="auto"/>
            </w:tcBorders>
            <w:shd w:val="clear" w:color="auto" w:fill="auto"/>
            <w:noWrap/>
          </w:tcPr>
          <w:p w14:paraId="61A35C3B" w14:textId="6E99F334" w:rsidR="009F0A67" w:rsidRPr="00B548B9" w:rsidRDefault="0069576B" w:rsidP="002E59A0">
            <w:pPr>
              <w:jc w:val="right"/>
            </w:pPr>
            <w:r>
              <w:t>220,507</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3162510" w14:textId="423EB685" w:rsidR="009F0A67" w:rsidRPr="007F7AD6" w:rsidRDefault="00C20DF5" w:rsidP="009F0A67">
            <w:pPr>
              <w:pStyle w:val="TableText"/>
            </w:pPr>
            <w:r>
              <w:t>General Operating</w:t>
            </w:r>
          </w:p>
        </w:tc>
        <w:tc>
          <w:tcPr>
            <w:tcW w:w="1701" w:type="dxa"/>
            <w:tcBorders>
              <w:top w:val="single" w:sz="4" w:space="0" w:color="auto"/>
              <w:left w:val="nil"/>
              <w:bottom w:val="single" w:sz="4" w:space="0" w:color="auto"/>
              <w:right w:val="single" w:sz="4" w:space="0" w:color="auto"/>
            </w:tcBorders>
            <w:shd w:val="clear" w:color="auto" w:fill="auto"/>
            <w:noWrap/>
          </w:tcPr>
          <w:p w14:paraId="1398CAA8" w14:textId="0F0DE261" w:rsidR="009F0A67" w:rsidRPr="00B548B9" w:rsidRDefault="0069576B" w:rsidP="002E59A0">
            <w:pPr>
              <w:jc w:val="right"/>
            </w:pPr>
            <w:r>
              <w:t>30,57</w:t>
            </w:r>
            <w:r w:rsidR="007742AB">
              <w:t>8</w:t>
            </w:r>
          </w:p>
        </w:tc>
      </w:tr>
      <w:tr w:rsidR="007966F3" w:rsidRPr="00872CBA" w14:paraId="436DD80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01" w:type="dxa"/>
            <w:tcBorders>
              <w:top w:val="single" w:sz="4" w:space="0" w:color="auto"/>
              <w:left w:val="nil"/>
              <w:bottom w:val="single" w:sz="4" w:space="0" w:color="auto"/>
              <w:right w:val="single" w:sz="4" w:space="0" w:color="auto"/>
            </w:tcBorders>
            <w:shd w:val="clear" w:color="auto" w:fill="auto"/>
            <w:noWrap/>
          </w:tcPr>
          <w:p w14:paraId="6840DD38" w14:textId="234A906A" w:rsidR="007966F3" w:rsidRPr="00B548B9" w:rsidRDefault="0069576B" w:rsidP="002E59A0">
            <w:pPr>
              <w:jc w:val="right"/>
            </w:pPr>
            <w:r>
              <w:t>4,002</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B73A528" w14:textId="5257A3C9" w:rsidR="007966F3" w:rsidRPr="007F7AD6" w:rsidRDefault="00C20DF5" w:rsidP="009F0A67">
            <w:pPr>
              <w:pStyle w:val="TableText"/>
            </w:pPr>
            <w:r>
              <w:t>Other expenses</w:t>
            </w:r>
          </w:p>
        </w:tc>
        <w:tc>
          <w:tcPr>
            <w:tcW w:w="1701" w:type="dxa"/>
            <w:tcBorders>
              <w:top w:val="single" w:sz="4" w:space="0" w:color="auto"/>
              <w:left w:val="nil"/>
              <w:bottom w:val="single" w:sz="4" w:space="0" w:color="auto"/>
              <w:right w:val="single" w:sz="4" w:space="0" w:color="auto"/>
            </w:tcBorders>
            <w:shd w:val="clear" w:color="auto" w:fill="auto"/>
            <w:noWrap/>
          </w:tcPr>
          <w:p w14:paraId="3E93B404" w14:textId="0AFE016B" w:rsidR="007966F3" w:rsidRPr="00B548B9" w:rsidRDefault="0069576B" w:rsidP="002E59A0">
            <w:pPr>
              <w:jc w:val="right"/>
            </w:pPr>
            <w:r>
              <w:t>16,454</w:t>
            </w:r>
          </w:p>
        </w:tc>
      </w:tr>
      <w:tr w:rsidR="009F0A67" w:rsidRPr="00872CBA" w14:paraId="281FF681"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45BA18AB" w14:textId="6E8A4C95" w:rsidR="009F0A67" w:rsidRPr="007F7AD6" w:rsidRDefault="009F0A67" w:rsidP="007D1C47">
            <w:pPr>
              <w:jc w:val="right"/>
            </w:pP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F512A19" w14:textId="74C956B7" w:rsidR="009F0A67" w:rsidRPr="007F7AD6" w:rsidRDefault="001458A2" w:rsidP="009F0A67">
            <w:pPr>
              <w:pStyle w:val="TableText"/>
              <w:rPr>
                <w:b/>
                <w:bCs/>
              </w:rPr>
            </w:pPr>
            <w:r w:rsidRPr="007F7AD6">
              <w:rPr>
                <w:b/>
                <w:bCs/>
              </w:rPr>
              <w:t>Total</w:t>
            </w:r>
          </w:p>
        </w:tc>
        <w:tc>
          <w:tcPr>
            <w:tcW w:w="1701" w:type="dxa"/>
            <w:tcBorders>
              <w:top w:val="single" w:sz="4" w:space="0" w:color="auto"/>
              <w:left w:val="nil"/>
              <w:bottom w:val="single" w:sz="4" w:space="0" w:color="auto"/>
              <w:right w:val="single" w:sz="4" w:space="0" w:color="auto"/>
            </w:tcBorders>
            <w:shd w:val="clear" w:color="auto" w:fill="auto"/>
            <w:noWrap/>
          </w:tcPr>
          <w:p w14:paraId="37C8A99E" w14:textId="0C0CFEC3" w:rsidR="009F0A67" w:rsidRPr="00B548B9" w:rsidRDefault="0069576B" w:rsidP="002E59A0">
            <w:pPr>
              <w:jc w:val="right"/>
              <w:rPr>
                <w:b/>
              </w:rPr>
            </w:pPr>
            <w:r>
              <w:rPr>
                <w:b/>
              </w:rPr>
              <w:t>1,351,056</w:t>
            </w:r>
          </w:p>
        </w:tc>
      </w:tr>
    </w:tbl>
    <w:p w14:paraId="226C022A" w14:textId="70193197" w:rsidR="000541CA" w:rsidRDefault="000541CA" w:rsidP="00591CF3">
      <w:pPr>
        <w:ind w:left="-142" w:right="-425"/>
        <w:jc w:val="both"/>
        <w:rPr>
          <w:rFonts w:cs="Arial"/>
        </w:rPr>
      </w:pPr>
    </w:p>
    <w:p w14:paraId="7161BC7E" w14:textId="04E46251" w:rsidR="00331081" w:rsidRDefault="00331081" w:rsidP="0020608D">
      <w:pPr>
        <w:ind w:left="-142" w:right="-425"/>
        <w:jc w:val="both"/>
        <w:rPr>
          <w:rFonts w:cs="Arial"/>
        </w:rPr>
      </w:pPr>
      <w:r w:rsidRPr="00331081">
        <w:rPr>
          <w:rFonts w:cs="Arial"/>
        </w:rPr>
        <w:t>The expenditure of the FRC can be categorised as follows:</w:t>
      </w:r>
    </w:p>
    <w:p w14:paraId="489C69DC" w14:textId="77777777" w:rsidR="00331081" w:rsidRDefault="00331081" w:rsidP="0020608D">
      <w:pPr>
        <w:ind w:left="-142" w:right="-425"/>
        <w:jc w:val="both"/>
        <w:rPr>
          <w:rFonts w:cs="Arial"/>
        </w:rPr>
      </w:pPr>
    </w:p>
    <w:p w14:paraId="0F9AC87F" w14:textId="77777777" w:rsidR="00331081" w:rsidRPr="00DC2CB7" w:rsidRDefault="00331081" w:rsidP="00CD4DBB">
      <w:pPr>
        <w:pStyle w:val="ListParagraph"/>
        <w:numPr>
          <w:ilvl w:val="0"/>
          <w:numId w:val="9"/>
        </w:numPr>
        <w:spacing w:after="120" w:line="288" w:lineRule="auto"/>
        <w:ind w:left="215" w:right="-425" w:hanging="357"/>
        <w:jc w:val="both"/>
        <w:rPr>
          <w:rFonts w:ascii="Verdana" w:hAnsi="Verdana" w:cs="Arial"/>
          <w:bCs/>
          <w:sz w:val="20"/>
          <w:szCs w:val="20"/>
        </w:rPr>
      </w:pPr>
      <w:r w:rsidRPr="00331081">
        <w:rPr>
          <w:rFonts w:ascii="Verdana" w:hAnsi="Verdana" w:cs="Arial"/>
          <w:b/>
          <w:sz w:val="20"/>
          <w:szCs w:val="20"/>
        </w:rPr>
        <w:t xml:space="preserve">Community operations </w:t>
      </w:r>
      <w:r w:rsidRPr="00331081">
        <w:rPr>
          <w:rFonts w:ascii="Verdana" w:hAnsi="Verdana" w:cs="Arial"/>
          <w:bCs/>
          <w:sz w:val="20"/>
          <w:szCs w:val="20"/>
        </w:rPr>
        <w:t>– further broken down into:</w:t>
      </w:r>
    </w:p>
    <w:p w14:paraId="400A74B2" w14:textId="36932B12" w:rsidR="00331081" w:rsidRPr="00331081"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331081">
        <w:rPr>
          <w:rFonts w:ascii="Verdana" w:hAnsi="Verdana" w:cs="Arial"/>
          <w:b/>
          <w:sz w:val="20"/>
          <w:szCs w:val="20"/>
        </w:rPr>
        <w:t xml:space="preserve">On-the-ground community operational expenses </w:t>
      </w:r>
      <w:r w:rsidRPr="004F48D0">
        <w:rPr>
          <w:rFonts w:ascii="Verdana" w:hAnsi="Verdana" w:cs="Arial"/>
          <w:bCs/>
          <w:sz w:val="20"/>
          <w:szCs w:val="20"/>
        </w:rPr>
        <w:t xml:space="preserve">including the operational expenses </w:t>
      </w:r>
      <w:r w:rsidR="004F48D0" w:rsidRPr="004F48D0">
        <w:rPr>
          <w:rFonts w:ascii="Verdana" w:hAnsi="Verdana" w:cs="Arial"/>
          <w:bCs/>
          <w:sz w:val="20"/>
          <w:szCs w:val="20"/>
        </w:rPr>
        <w:t>in each of the five communities to conduct conferences and hearings, prepare and monitor case plans for clients for attendance at community support services and prepare and monitor income management orders and agreements.</w:t>
      </w:r>
    </w:p>
    <w:p w14:paraId="6C2BB238" w14:textId="179E48DD" w:rsidR="00331081" w:rsidRPr="00DC2CB7"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331081">
        <w:rPr>
          <w:rFonts w:ascii="Verdana" w:hAnsi="Verdana" w:cs="Arial"/>
          <w:b/>
          <w:sz w:val="20"/>
          <w:szCs w:val="20"/>
        </w:rPr>
        <w:t xml:space="preserve">Support and facilitation expenses </w:t>
      </w:r>
      <w:r w:rsidR="004F48D0" w:rsidRPr="004F48D0">
        <w:rPr>
          <w:rFonts w:ascii="Verdana" w:hAnsi="Verdana" w:cs="Arial"/>
          <w:bCs/>
          <w:sz w:val="20"/>
          <w:szCs w:val="20"/>
        </w:rPr>
        <w:t>including costs associated with facilitating the holding of conferences and hearings in the five communities, providing support to the Local Commissioners and Local Registry Coordinators to hold conferences and hearings, assisting with the on-going monitoring of case plans for clients through the provision of data and other information and processing income management orders and agreements.</w:t>
      </w:r>
    </w:p>
    <w:p w14:paraId="6360FB36" w14:textId="43F54BD8" w:rsidR="00331081" w:rsidRPr="00DC2CB7" w:rsidRDefault="00331081" w:rsidP="00331081">
      <w:pPr>
        <w:pStyle w:val="ListParagraph"/>
        <w:numPr>
          <w:ilvl w:val="0"/>
          <w:numId w:val="9"/>
        </w:numPr>
        <w:spacing w:line="288" w:lineRule="auto"/>
        <w:ind w:left="215" w:right="-425" w:hanging="357"/>
        <w:jc w:val="both"/>
        <w:rPr>
          <w:rFonts w:ascii="Verdana" w:hAnsi="Verdana" w:cs="Arial"/>
          <w:bCs/>
          <w:sz w:val="20"/>
          <w:szCs w:val="20"/>
        </w:rPr>
      </w:pPr>
      <w:r w:rsidRPr="00331081">
        <w:rPr>
          <w:rFonts w:ascii="Verdana" w:hAnsi="Verdana" w:cs="Arial"/>
          <w:b/>
          <w:sz w:val="20"/>
          <w:szCs w:val="20"/>
        </w:rPr>
        <w:t xml:space="preserve">Corporate governance </w:t>
      </w:r>
      <w:r w:rsidR="004F48D0" w:rsidRPr="004F48D0">
        <w:rPr>
          <w:rFonts w:ascii="Verdana" w:hAnsi="Verdana" w:cs="Arial"/>
          <w:bCs/>
          <w:sz w:val="20"/>
          <w:szCs w:val="20"/>
        </w:rPr>
        <w:t>includes finance, statistical reporting, corporate governance, compliance, training and other administrative functions to ensure the effective and efficient operations of the Commission.</w:t>
      </w:r>
    </w:p>
    <w:p w14:paraId="12F9D400" w14:textId="77777777" w:rsidR="00331081" w:rsidRDefault="00331081" w:rsidP="0020608D">
      <w:pPr>
        <w:ind w:left="-142" w:right="-425"/>
        <w:jc w:val="both"/>
        <w:rPr>
          <w:rFonts w:cs="Arial"/>
        </w:rPr>
      </w:pPr>
    </w:p>
    <w:p w14:paraId="55D8945D" w14:textId="35843ED3" w:rsidR="00C14FC9" w:rsidRPr="0020608D" w:rsidRDefault="00C14FC9" w:rsidP="0020608D">
      <w:pPr>
        <w:ind w:left="-142" w:right="-425"/>
        <w:jc w:val="both"/>
        <w:rPr>
          <w:rFonts w:cs="Arial"/>
        </w:rPr>
      </w:pPr>
      <w:r w:rsidRPr="0020608D">
        <w:rPr>
          <w:rFonts w:cs="Arial"/>
        </w:rPr>
        <w:t xml:space="preserve">The functions of corporate governance and conference </w:t>
      </w:r>
      <w:r w:rsidR="00886949">
        <w:rPr>
          <w:rFonts w:cs="Arial"/>
        </w:rPr>
        <w:t xml:space="preserve">and hearing </w:t>
      </w:r>
      <w:r w:rsidRPr="0020608D">
        <w:rPr>
          <w:rFonts w:cs="Arial"/>
        </w:rPr>
        <w:t xml:space="preserve">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 xml:space="preserve">oordinators </w:t>
      </w:r>
      <w:r w:rsidRPr="00E536C1">
        <w:rPr>
          <w:rFonts w:cs="Arial"/>
        </w:rPr>
        <w:t xml:space="preserve">and </w:t>
      </w:r>
      <w:r w:rsidRPr="0020608D">
        <w:rPr>
          <w:rFonts w:cs="Arial"/>
        </w:rPr>
        <w:t xml:space="preserve">Local Commissioners, resident in their respective </w:t>
      </w:r>
      <w:r w:rsidRPr="0020608D">
        <w:rPr>
          <w:rFonts w:cs="Arial"/>
        </w:rPr>
        <w:lastRenderedPageBreak/>
        <w:t xml:space="preserve">communities, </w:t>
      </w:r>
      <w:r w:rsidR="007E266F">
        <w:rPr>
          <w:rFonts w:cs="Arial"/>
        </w:rPr>
        <w:t>who</w:t>
      </w:r>
      <w:r w:rsidRPr="0020608D">
        <w:rPr>
          <w:rFonts w:cs="Arial"/>
        </w:rPr>
        <w:t xml:space="preserve"> are paid as sessional sitting Commission members for conferencing, serving notices, meetings and professional development.</w:t>
      </w:r>
    </w:p>
    <w:p w14:paraId="5863E544" w14:textId="34B56F8B" w:rsidR="00C14FC9" w:rsidRDefault="00C14FC9" w:rsidP="00994941">
      <w:pPr>
        <w:ind w:left="-142" w:right="-425"/>
        <w:jc w:val="both"/>
        <w:rPr>
          <w:rFonts w:cs="Arial"/>
        </w:rPr>
      </w:pPr>
    </w:p>
    <w:p w14:paraId="6863906D" w14:textId="41335178" w:rsidR="00C2682B" w:rsidRDefault="00C2682B" w:rsidP="00C2682B">
      <w:pPr>
        <w:ind w:left="-142" w:right="-425"/>
        <w:jc w:val="both"/>
        <w:rPr>
          <w:rFonts w:cs="Arial"/>
        </w:rPr>
      </w:pPr>
      <w:r>
        <w:rPr>
          <w:rFonts w:cs="Arial"/>
        </w:rPr>
        <w:t xml:space="preserve">As can be observed in </w:t>
      </w:r>
      <w:r w:rsidR="00BA518C">
        <w:rPr>
          <w:rFonts w:cs="Arial"/>
        </w:rPr>
        <w:t>table 24</w:t>
      </w:r>
      <w:r>
        <w:rPr>
          <w:rFonts w:cs="Arial"/>
        </w:rPr>
        <w:t xml:space="preserve"> below which displays the allocation of </w:t>
      </w:r>
      <w:r w:rsidRPr="00B156C7">
        <w:rPr>
          <w:rFonts w:cs="Arial"/>
        </w:rPr>
        <w:t>FRC costs</w:t>
      </w:r>
      <w:r w:rsidRPr="0020608D">
        <w:rPr>
          <w:rFonts w:cs="Arial"/>
        </w:rPr>
        <w:t xml:space="preserve"> </w:t>
      </w:r>
      <w:r>
        <w:rPr>
          <w:rFonts w:cs="Arial"/>
        </w:rPr>
        <w:t>across the core functions in quarter 6</w:t>
      </w:r>
      <w:r w:rsidR="00EE7CC7">
        <w:rPr>
          <w:rFonts w:cs="Arial"/>
        </w:rPr>
        <w:t>1</w:t>
      </w:r>
      <w:r>
        <w:rPr>
          <w:rFonts w:cs="Arial"/>
        </w:rPr>
        <w:t xml:space="preserve">, the largest allocation during the reporting period is in relation to community </w:t>
      </w:r>
      <w:r w:rsidRPr="00FA676F">
        <w:rPr>
          <w:rFonts w:cs="Arial"/>
        </w:rPr>
        <w:t>operations (</w:t>
      </w:r>
      <w:r w:rsidR="000566AA">
        <w:rPr>
          <w:rFonts w:cs="Arial"/>
        </w:rPr>
        <w:t>70.0</w:t>
      </w:r>
      <w:r w:rsidR="00DD36DF">
        <w:rPr>
          <w:rFonts w:cs="Arial"/>
        </w:rPr>
        <w:t>%</w:t>
      </w:r>
      <w:r w:rsidRPr="00B635B2">
        <w:rPr>
          <w:rFonts w:cs="Arial"/>
        </w:rPr>
        <w:t>).</w:t>
      </w:r>
    </w:p>
    <w:p w14:paraId="1AB3D9CE" w14:textId="79FC2885" w:rsidR="005E4692" w:rsidRDefault="005E4692" w:rsidP="0070366B">
      <w:pPr>
        <w:ind w:left="-142" w:right="-425"/>
        <w:jc w:val="both"/>
        <w:rPr>
          <w:rFonts w:cs="Arial"/>
        </w:rPr>
      </w:pPr>
    </w:p>
    <w:p w14:paraId="65719AEC" w14:textId="721CE523" w:rsidR="00091AF9" w:rsidRDefault="00D26842" w:rsidP="00091AF9">
      <w:pPr>
        <w:spacing w:line="240" w:lineRule="auto"/>
        <w:ind w:left="-142"/>
        <w:jc w:val="both"/>
        <w:rPr>
          <w:rFonts w:cs="Arial"/>
          <w:sz w:val="16"/>
          <w:szCs w:val="16"/>
        </w:rPr>
      </w:pPr>
      <w:r>
        <w:rPr>
          <w:rFonts w:cs="Arial"/>
          <w:b/>
          <w:sz w:val="16"/>
          <w:szCs w:val="16"/>
        </w:rPr>
        <w:t>Table 24</w:t>
      </w:r>
      <w:r w:rsidR="00091AF9" w:rsidRPr="006A4DD7">
        <w:rPr>
          <w:rFonts w:cs="Arial"/>
          <w:b/>
          <w:sz w:val="16"/>
          <w:szCs w:val="16"/>
        </w:rPr>
        <w:t xml:space="preserve">: </w:t>
      </w:r>
      <w:r w:rsidR="000D72EE">
        <w:rPr>
          <w:rFonts w:cs="Arial"/>
          <w:sz w:val="16"/>
          <w:szCs w:val="16"/>
        </w:rPr>
        <w:t xml:space="preserve">Allocation of </w:t>
      </w:r>
      <w:r w:rsidR="00BF1639">
        <w:rPr>
          <w:rFonts w:cs="Arial"/>
          <w:sz w:val="16"/>
          <w:szCs w:val="16"/>
        </w:rPr>
        <w:t>e</w:t>
      </w:r>
      <w:r w:rsidR="000D72EE">
        <w:rPr>
          <w:rFonts w:cs="Arial"/>
          <w:sz w:val="16"/>
          <w:szCs w:val="16"/>
        </w:rPr>
        <w:t xml:space="preserve">xpenses </w:t>
      </w:r>
      <w:r w:rsidR="007B7E78">
        <w:rPr>
          <w:rFonts w:cs="Arial"/>
          <w:sz w:val="16"/>
          <w:szCs w:val="16"/>
        </w:rPr>
        <w:t xml:space="preserve">1 </w:t>
      </w:r>
      <w:r w:rsidR="00A70906">
        <w:rPr>
          <w:rFonts w:cs="Arial"/>
          <w:sz w:val="16"/>
          <w:szCs w:val="16"/>
        </w:rPr>
        <w:t xml:space="preserve">July </w:t>
      </w:r>
      <w:r w:rsidR="00413FAC">
        <w:rPr>
          <w:rFonts w:cs="Arial"/>
          <w:sz w:val="16"/>
          <w:szCs w:val="16"/>
        </w:rPr>
        <w:t>2023</w:t>
      </w:r>
      <w:r w:rsidR="00091AF9">
        <w:rPr>
          <w:rFonts w:cs="Arial"/>
          <w:sz w:val="16"/>
          <w:szCs w:val="16"/>
        </w:rPr>
        <w:t xml:space="preserve"> to </w:t>
      </w:r>
      <w:r w:rsidR="007B7E78">
        <w:rPr>
          <w:rFonts w:cs="Arial"/>
          <w:sz w:val="16"/>
          <w:szCs w:val="16"/>
        </w:rPr>
        <w:t>3</w:t>
      </w:r>
      <w:r w:rsidR="001415BC">
        <w:rPr>
          <w:rFonts w:cs="Arial"/>
          <w:sz w:val="16"/>
          <w:szCs w:val="16"/>
        </w:rPr>
        <w:t xml:space="preserve">0 </w:t>
      </w:r>
      <w:r w:rsidR="00A70906">
        <w:rPr>
          <w:rFonts w:cs="Arial"/>
          <w:sz w:val="16"/>
          <w:szCs w:val="16"/>
        </w:rPr>
        <w:t xml:space="preserve">September </w:t>
      </w:r>
      <w:r w:rsidR="00984BBB">
        <w:rPr>
          <w:rFonts w:cs="Arial"/>
          <w:sz w:val="16"/>
          <w:szCs w:val="16"/>
        </w:rPr>
        <w:t>2023</w:t>
      </w:r>
    </w:p>
    <w:p w14:paraId="1297AC75" w14:textId="77777777" w:rsidR="00D26842" w:rsidRPr="0070366B" w:rsidRDefault="00D26842" w:rsidP="00091AF9">
      <w:pPr>
        <w:spacing w:line="240" w:lineRule="auto"/>
        <w:ind w:left="-142"/>
        <w:jc w:val="both"/>
        <w:rPr>
          <w:rFonts w:cs="Arial"/>
        </w:rPr>
      </w:pPr>
    </w:p>
    <w:tbl>
      <w:tblPr>
        <w:tblW w:w="5431" w:type="dxa"/>
        <w:tblInd w:w="93" w:type="dxa"/>
        <w:tblLook w:val="04A0" w:firstRow="1" w:lastRow="0" w:firstColumn="1" w:lastColumn="0" w:noHBand="0" w:noVBand="1"/>
      </w:tblPr>
      <w:tblGrid>
        <w:gridCol w:w="3871"/>
        <w:gridCol w:w="1560"/>
      </w:tblGrid>
      <w:tr w:rsidR="00D26842" w:rsidRPr="00920636" w14:paraId="57B463BA" w14:textId="77777777" w:rsidTr="0010294B">
        <w:trPr>
          <w:trHeight w:val="255"/>
        </w:trPr>
        <w:tc>
          <w:tcPr>
            <w:tcW w:w="3871" w:type="dxa"/>
            <w:tcBorders>
              <w:top w:val="single" w:sz="4" w:space="0" w:color="auto"/>
              <w:left w:val="single" w:sz="4" w:space="0" w:color="auto"/>
              <w:bottom w:val="single" w:sz="4" w:space="0" w:color="auto"/>
              <w:right w:val="single" w:sz="4" w:space="0" w:color="auto"/>
            </w:tcBorders>
            <w:noWrap/>
            <w:hideMark/>
          </w:tcPr>
          <w:p w14:paraId="6839C5E0" w14:textId="77777777" w:rsidR="00D26842" w:rsidRPr="000F130C" w:rsidRDefault="00D26842" w:rsidP="0010294B">
            <w:pPr>
              <w:pStyle w:val="TableText"/>
              <w:ind w:left="49"/>
              <w:rPr>
                <w:b/>
                <w:lang w:eastAsia="en-AU"/>
              </w:rPr>
            </w:pPr>
            <w:bookmarkStart w:id="45" w:name="_Hlk158968704"/>
            <w:r w:rsidRPr="000F130C">
              <w:rPr>
                <w:b/>
                <w:lang w:eastAsia="en-AU"/>
              </w:rPr>
              <w:t>Community</w:t>
            </w:r>
          </w:p>
        </w:tc>
        <w:tc>
          <w:tcPr>
            <w:tcW w:w="1560" w:type="dxa"/>
            <w:tcBorders>
              <w:top w:val="single" w:sz="4" w:space="0" w:color="auto"/>
              <w:left w:val="nil"/>
              <w:bottom w:val="single" w:sz="4" w:space="0" w:color="auto"/>
              <w:right w:val="single" w:sz="4" w:space="0" w:color="auto"/>
            </w:tcBorders>
            <w:hideMark/>
          </w:tcPr>
          <w:p w14:paraId="0B690A14" w14:textId="77777777" w:rsidR="00D26842" w:rsidRDefault="00D26842" w:rsidP="0010294B">
            <w:pPr>
              <w:pStyle w:val="TableText"/>
              <w:jc w:val="right"/>
              <w:rPr>
                <w:b/>
                <w:lang w:eastAsia="en-AU"/>
              </w:rPr>
            </w:pPr>
            <w:r>
              <w:rPr>
                <w:b/>
                <w:lang w:eastAsia="en-AU"/>
              </w:rPr>
              <w:t>Percentage of Allocated Expenses</w:t>
            </w:r>
          </w:p>
        </w:tc>
      </w:tr>
      <w:tr w:rsidR="00D26842" w:rsidRPr="00920636" w14:paraId="431FFBDD" w14:textId="77777777" w:rsidTr="0010294B">
        <w:trPr>
          <w:trHeight w:val="255"/>
        </w:trPr>
        <w:tc>
          <w:tcPr>
            <w:tcW w:w="3871" w:type="dxa"/>
            <w:tcBorders>
              <w:top w:val="nil"/>
              <w:left w:val="single" w:sz="4" w:space="0" w:color="auto"/>
              <w:bottom w:val="single" w:sz="4" w:space="0" w:color="auto"/>
              <w:right w:val="single" w:sz="4" w:space="0" w:color="auto"/>
            </w:tcBorders>
            <w:noWrap/>
          </w:tcPr>
          <w:p w14:paraId="3E62B4D5" w14:textId="77777777" w:rsidR="00D26842" w:rsidRPr="00E72DFB" w:rsidRDefault="00D26842" w:rsidP="0010294B">
            <w:pPr>
              <w:pStyle w:val="TableText"/>
              <w:ind w:left="49"/>
              <w:rPr>
                <w:lang w:eastAsia="en-AU"/>
              </w:rPr>
            </w:pPr>
            <w:r w:rsidRPr="00E72DFB">
              <w:rPr>
                <w:lang w:eastAsia="en-AU"/>
              </w:rPr>
              <w:t>Corporate Governance</w:t>
            </w:r>
          </w:p>
        </w:tc>
        <w:tc>
          <w:tcPr>
            <w:tcW w:w="1560" w:type="dxa"/>
            <w:tcBorders>
              <w:top w:val="nil"/>
              <w:left w:val="nil"/>
              <w:bottom w:val="single" w:sz="4" w:space="0" w:color="auto"/>
              <w:right w:val="single" w:sz="4" w:space="0" w:color="auto"/>
            </w:tcBorders>
          </w:tcPr>
          <w:p w14:paraId="6BC0162F" w14:textId="77777777" w:rsidR="00D26842" w:rsidRDefault="00D26842" w:rsidP="0010294B">
            <w:pPr>
              <w:pStyle w:val="TableText"/>
              <w:jc w:val="right"/>
              <w:rPr>
                <w:lang w:eastAsia="en-AU"/>
              </w:rPr>
            </w:pPr>
            <w:r>
              <w:rPr>
                <w:lang w:eastAsia="en-AU"/>
              </w:rPr>
              <w:t>30.0%</w:t>
            </w:r>
          </w:p>
        </w:tc>
      </w:tr>
      <w:tr w:rsidR="00D26842" w:rsidRPr="00920636" w14:paraId="5835CDB1" w14:textId="77777777" w:rsidTr="0010294B">
        <w:trPr>
          <w:trHeight w:val="255"/>
        </w:trPr>
        <w:tc>
          <w:tcPr>
            <w:tcW w:w="3871" w:type="dxa"/>
            <w:tcBorders>
              <w:top w:val="nil"/>
              <w:left w:val="single" w:sz="4" w:space="0" w:color="auto"/>
              <w:bottom w:val="single" w:sz="4" w:space="0" w:color="auto"/>
              <w:right w:val="single" w:sz="4" w:space="0" w:color="auto"/>
            </w:tcBorders>
            <w:noWrap/>
            <w:hideMark/>
          </w:tcPr>
          <w:p w14:paraId="3D0E319D" w14:textId="77777777" w:rsidR="00D26842" w:rsidRPr="00E72DFB" w:rsidRDefault="00D26842" w:rsidP="0010294B">
            <w:pPr>
              <w:pStyle w:val="TableText"/>
              <w:ind w:left="49"/>
              <w:rPr>
                <w:lang w:eastAsia="en-AU"/>
              </w:rPr>
            </w:pPr>
            <w:r w:rsidRPr="00E72DFB">
              <w:rPr>
                <w:lang w:eastAsia="en-AU"/>
              </w:rPr>
              <w:t>Community Operations</w:t>
            </w:r>
          </w:p>
        </w:tc>
        <w:tc>
          <w:tcPr>
            <w:tcW w:w="1560" w:type="dxa"/>
            <w:tcBorders>
              <w:top w:val="nil"/>
              <w:left w:val="nil"/>
              <w:bottom w:val="single" w:sz="4" w:space="0" w:color="auto"/>
              <w:right w:val="single" w:sz="4" w:space="0" w:color="auto"/>
            </w:tcBorders>
          </w:tcPr>
          <w:p w14:paraId="64923630" w14:textId="77777777" w:rsidR="00D26842" w:rsidRDefault="00D26842" w:rsidP="0010294B">
            <w:pPr>
              <w:pStyle w:val="TableText"/>
              <w:jc w:val="right"/>
              <w:rPr>
                <w:lang w:eastAsia="en-AU"/>
              </w:rPr>
            </w:pPr>
            <w:r>
              <w:rPr>
                <w:lang w:eastAsia="en-AU"/>
              </w:rPr>
              <w:t>70.0%</w:t>
            </w:r>
          </w:p>
        </w:tc>
      </w:tr>
      <w:tr w:rsidR="00D26842" w:rsidRPr="00920636" w14:paraId="17DE4489" w14:textId="77777777" w:rsidTr="0010294B">
        <w:trPr>
          <w:trHeight w:val="255"/>
        </w:trPr>
        <w:tc>
          <w:tcPr>
            <w:tcW w:w="3871" w:type="dxa"/>
            <w:tcBorders>
              <w:top w:val="nil"/>
              <w:left w:val="single" w:sz="4" w:space="0" w:color="auto"/>
              <w:bottom w:val="single" w:sz="4" w:space="0" w:color="auto"/>
              <w:right w:val="single" w:sz="4" w:space="0" w:color="auto"/>
            </w:tcBorders>
            <w:noWrap/>
            <w:hideMark/>
          </w:tcPr>
          <w:p w14:paraId="2320DB9D" w14:textId="77777777" w:rsidR="00D26842" w:rsidRPr="000F130C" w:rsidRDefault="00D26842" w:rsidP="0010294B">
            <w:pPr>
              <w:pStyle w:val="TableText"/>
              <w:ind w:left="49"/>
              <w:rPr>
                <w:b/>
                <w:lang w:eastAsia="en-AU"/>
              </w:rPr>
            </w:pPr>
            <w:r w:rsidRPr="000F130C">
              <w:rPr>
                <w:b/>
                <w:lang w:eastAsia="en-AU"/>
              </w:rPr>
              <w:t>TOTAL</w:t>
            </w:r>
          </w:p>
        </w:tc>
        <w:tc>
          <w:tcPr>
            <w:tcW w:w="1560" w:type="dxa"/>
            <w:tcBorders>
              <w:top w:val="nil"/>
              <w:left w:val="nil"/>
              <w:bottom w:val="single" w:sz="4" w:space="0" w:color="auto"/>
              <w:right w:val="single" w:sz="4" w:space="0" w:color="auto"/>
            </w:tcBorders>
            <w:hideMark/>
          </w:tcPr>
          <w:p w14:paraId="3E95E77C" w14:textId="77777777" w:rsidR="00D26842" w:rsidRDefault="00D26842" w:rsidP="0010294B">
            <w:pPr>
              <w:pStyle w:val="TableText"/>
              <w:jc w:val="right"/>
              <w:rPr>
                <w:b/>
                <w:lang w:eastAsia="en-AU"/>
              </w:rPr>
            </w:pPr>
            <w:r>
              <w:rPr>
                <w:b/>
                <w:lang w:eastAsia="en-AU"/>
              </w:rPr>
              <w:t>100.0%</w:t>
            </w:r>
          </w:p>
        </w:tc>
      </w:tr>
      <w:bookmarkEnd w:id="45"/>
    </w:tbl>
    <w:p w14:paraId="553AC359" w14:textId="5757AAB1" w:rsidR="000541CA" w:rsidRDefault="000541CA" w:rsidP="009C5078">
      <w:pPr>
        <w:ind w:left="-142" w:right="-425"/>
        <w:jc w:val="both"/>
        <w:rPr>
          <w:rFonts w:cs="Arial"/>
        </w:rPr>
      </w:pPr>
    </w:p>
    <w:p w14:paraId="43471FC5" w14:textId="324C8D6D" w:rsidR="00994941" w:rsidRDefault="00994941" w:rsidP="00994941">
      <w:pPr>
        <w:ind w:left="-142" w:right="-425"/>
        <w:jc w:val="both"/>
        <w:rPr>
          <w:rFonts w:cs="Arial"/>
        </w:rPr>
      </w:pPr>
      <w:r>
        <w:rPr>
          <w:rFonts w:cs="Arial"/>
        </w:rPr>
        <w:t>R</w:t>
      </w:r>
      <w:r w:rsidRPr="00190B3A">
        <w:rPr>
          <w:rFonts w:cs="Arial"/>
        </w:rPr>
        <w:t>egional operational expenditure by location and quarter</w:t>
      </w:r>
      <w:r>
        <w:rPr>
          <w:rFonts w:cs="Arial"/>
        </w:rPr>
        <w:t>.</w:t>
      </w:r>
    </w:p>
    <w:p w14:paraId="1A9A9A9E" w14:textId="154094CD" w:rsidR="00402726" w:rsidRDefault="00402726" w:rsidP="0070366B">
      <w:pPr>
        <w:ind w:left="-142" w:right="-425"/>
        <w:jc w:val="both"/>
        <w:rPr>
          <w:rFonts w:cs="Arial"/>
        </w:rPr>
      </w:pPr>
    </w:p>
    <w:p w14:paraId="4A21D3E7" w14:textId="1EF76894" w:rsidR="00994941" w:rsidRDefault="00D26842" w:rsidP="00994941">
      <w:pPr>
        <w:spacing w:line="240" w:lineRule="auto"/>
        <w:ind w:left="-142"/>
        <w:jc w:val="both"/>
        <w:rPr>
          <w:rFonts w:cs="Arial"/>
          <w:sz w:val="16"/>
          <w:szCs w:val="16"/>
        </w:rPr>
      </w:pPr>
      <w:r>
        <w:rPr>
          <w:rFonts w:cs="Arial"/>
          <w:b/>
          <w:sz w:val="16"/>
          <w:szCs w:val="16"/>
        </w:rPr>
        <w:t>Table 25</w:t>
      </w:r>
      <w:r w:rsidR="00994941" w:rsidRPr="006A4DD7">
        <w:rPr>
          <w:rFonts w:cs="Arial"/>
          <w:b/>
          <w:sz w:val="16"/>
          <w:szCs w:val="16"/>
        </w:rPr>
        <w:t xml:space="preserve">: </w:t>
      </w:r>
      <w:r w:rsidR="00A23629">
        <w:rPr>
          <w:rFonts w:cs="Arial"/>
          <w:sz w:val="16"/>
          <w:szCs w:val="16"/>
        </w:rPr>
        <w:t>Operating c</w:t>
      </w:r>
      <w:r w:rsidR="00994941" w:rsidRPr="006A4DD7">
        <w:rPr>
          <w:rFonts w:cs="Arial"/>
          <w:sz w:val="16"/>
          <w:szCs w:val="16"/>
        </w:rPr>
        <w:t xml:space="preserve">osts by remote </w:t>
      </w:r>
      <w:r w:rsidR="00994941" w:rsidRPr="0031561D">
        <w:rPr>
          <w:rFonts w:cs="Arial"/>
          <w:sz w:val="16"/>
          <w:szCs w:val="16"/>
        </w:rPr>
        <w:t xml:space="preserve">location </w:t>
      </w:r>
      <w:r w:rsidR="007B7E78">
        <w:rPr>
          <w:rFonts w:cs="Arial"/>
          <w:sz w:val="16"/>
          <w:szCs w:val="16"/>
        </w:rPr>
        <w:t xml:space="preserve">1 </w:t>
      </w:r>
      <w:r w:rsidR="00A70906">
        <w:rPr>
          <w:rFonts w:cs="Arial"/>
          <w:sz w:val="16"/>
          <w:szCs w:val="16"/>
        </w:rPr>
        <w:t xml:space="preserve">July </w:t>
      </w:r>
      <w:r w:rsidR="0039275D">
        <w:rPr>
          <w:rFonts w:cs="Arial"/>
          <w:sz w:val="16"/>
          <w:szCs w:val="16"/>
        </w:rPr>
        <w:t>2022</w:t>
      </w:r>
      <w:r w:rsidR="004364B8">
        <w:rPr>
          <w:rFonts w:cs="Arial"/>
          <w:sz w:val="16"/>
          <w:szCs w:val="16"/>
        </w:rPr>
        <w:t xml:space="preserve"> to </w:t>
      </w:r>
      <w:r w:rsidR="007B7E78">
        <w:rPr>
          <w:rFonts w:cs="Arial"/>
          <w:sz w:val="16"/>
          <w:szCs w:val="16"/>
        </w:rPr>
        <w:t>3</w:t>
      </w:r>
      <w:r w:rsidR="001415BC">
        <w:rPr>
          <w:rFonts w:cs="Arial"/>
          <w:sz w:val="16"/>
          <w:szCs w:val="16"/>
        </w:rPr>
        <w:t xml:space="preserve">0 </w:t>
      </w:r>
      <w:r w:rsidR="00A70906">
        <w:rPr>
          <w:rFonts w:cs="Arial"/>
          <w:sz w:val="16"/>
          <w:szCs w:val="16"/>
        </w:rPr>
        <w:t xml:space="preserve">September </w:t>
      </w:r>
      <w:r w:rsidR="00984BBB">
        <w:rPr>
          <w:rFonts w:cs="Arial"/>
          <w:sz w:val="16"/>
          <w:szCs w:val="16"/>
        </w:rPr>
        <w:t>2023</w:t>
      </w:r>
    </w:p>
    <w:p w14:paraId="2572D0C0" w14:textId="77777777" w:rsidR="00D26842" w:rsidRPr="0070366B" w:rsidRDefault="00D26842" w:rsidP="00994941">
      <w:pPr>
        <w:spacing w:line="240" w:lineRule="auto"/>
        <w:ind w:left="-142"/>
        <w:jc w:val="both"/>
        <w:rPr>
          <w:rFonts w:cs="Arial"/>
        </w:rPr>
      </w:pPr>
    </w:p>
    <w:tbl>
      <w:tblPr>
        <w:tblW w:w="8806" w:type="dxa"/>
        <w:tblInd w:w="93" w:type="dxa"/>
        <w:tblLook w:val="04A0" w:firstRow="1" w:lastRow="0" w:firstColumn="1" w:lastColumn="0" w:noHBand="0" w:noVBand="1"/>
      </w:tblPr>
      <w:tblGrid>
        <w:gridCol w:w="2596"/>
        <w:gridCol w:w="1242"/>
        <w:gridCol w:w="1242"/>
        <w:gridCol w:w="1242"/>
        <w:gridCol w:w="1242"/>
        <w:gridCol w:w="1242"/>
      </w:tblGrid>
      <w:tr w:rsidR="00D26842" w:rsidRPr="000F130C" w14:paraId="55349A4B" w14:textId="77777777" w:rsidTr="0010294B">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42EE9D4E" w14:textId="77777777" w:rsidR="00D26842" w:rsidRPr="000F130C" w:rsidRDefault="00D26842" w:rsidP="0010294B">
            <w:pPr>
              <w:pStyle w:val="TableText"/>
              <w:ind w:left="49"/>
              <w:rPr>
                <w:b/>
                <w:lang w:eastAsia="en-AU"/>
              </w:rPr>
            </w:pPr>
            <w:bookmarkStart w:id="46" w:name="_Hlk158968887"/>
            <w:r w:rsidRPr="000F130C">
              <w:rPr>
                <w:b/>
                <w:lang w:eastAsia="en-AU"/>
              </w:rPr>
              <w:t>Community</w:t>
            </w:r>
          </w:p>
        </w:tc>
        <w:tc>
          <w:tcPr>
            <w:tcW w:w="1242" w:type="dxa"/>
            <w:tcBorders>
              <w:top w:val="single" w:sz="4" w:space="0" w:color="auto"/>
              <w:left w:val="nil"/>
              <w:bottom w:val="single" w:sz="4" w:space="0" w:color="auto"/>
              <w:right w:val="single" w:sz="4" w:space="0" w:color="auto"/>
            </w:tcBorders>
          </w:tcPr>
          <w:p w14:paraId="571592F3" w14:textId="77777777" w:rsidR="00D26842" w:rsidRDefault="00D26842" w:rsidP="0010294B">
            <w:pPr>
              <w:pStyle w:val="TableText"/>
              <w:jc w:val="right"/>
              <w:rPr>
                <w:b/>
                <w:lang w:eastAsia="en-AU"/>
              </w:rPr>
            </w:pPr>
            <w:r>
              <w:rPr>
                <w:b/>
                <w:lang w:eastAsia="en-AU"/>
              </w:rPr>
              <w:t>Qtr 57</w:t>
            </w:r>
          </w:p>
        </w:tc>
        <w:tc>
          <w:tcPr>
            <w:tcW w:w="1242" w:type="dxa"/>
            <w:tcBorders>
              <w:top w:val="single" w:sz="4" w:space="0" w:color="auto"/>
              <w:left w:val="nil"/>
              <w:bottom w:val="single" w:sz="4" w:space="0" w:color="auto"/>
              <w:right w:val="single" w:sz="4" w:space="0" w:color="auto"/>
            </w:tcBorders>
          </w:tcPr>
          <w:p w14:paraId="71B362DE" w14:textId="77777777" w:rsidR="00D26842" w:rsidRDefault="00D26842" w:rsidP="0010294B">
            <w:pPr>
              <w:pStyle w:val="TableText"/>
              <w:jc w:val="right"/>
              <w:rPr>
                <w:b/>
                <w:lang w:eastAsia="en-AU"/>
              </w:rPr>
            </w:pPr>
            <w:r>
              <w:rPr>
                <w:b/>
                <w:lang w:eastAsia="en-AU"/>
              </w:rPr>
              <w:t>Qtr 58</w:t>
            </w:r>
          </w:p>
        </w:tc>
        <w:tc>
          <w:tcPr>
            <w:tcW w:w="1242" w:type="dxa"/>
            <w:tcBorders>
              <w:top w:val="single" w:sz="4" w:space="0" w:color="auto"/>
              <w:left w:val="nil"/>
              <w:bottom w:val="single" w:sz="4" w:space="0" w:color="auto"/>
              <w:right w:val="single" w:sz="4" w:space="0" w:color="auto"/>
            </w:tcBorders>
          </w:tcPr>
          <w:p w14:paraId="09E4E2C0" w14:textId="77777777" w:rsidR="00D26842" w:rsidRDefault="00D26842" w:rsidP="0010294B">
            <w:pPr>
              <w:pStyle w:val="TableText"/>
              <w:jc w:val="right"/>
              <w:rPr>
                <w:b/>
                <w:lang w:eastAsia="en-AU"/>
              </w:rPr>
            </w:pPr>
            <w:r>
              <w:rPr>
                <w:b/>
                <w:lang w:eastAsia="en-AU"/>
              </w:rPr>
              <w:t>Qtr 59</w:t>
            </w:r>
          </w:p>
        </w:tc>
        <w:tc>
          <w:tcPr>
            <w:tcW w:w="1242" w:type="dxa"/>
            <w:tcBorders>
              <w:top w:val="single" w:sz="4" w:space="0" w:color="auto"/>
              <w:left w:val="nil"/>
              <w:bottom w:val="single" w:sz="4" w:space="0" w:color="auto"/>
              <w:right w:val="single" w:sz="4" w:space="0" w:color="auto"/>
            </w:tcBorders>
          </w:tcPr>
          <w:p w14:paraId="2CDB9C38" w14:textId="77777777" w:rsidR="00D26842" w:rsidRDefault="00D26842" w:rsidP="0010294B">
            <w:pPr>
              <w:pStyle w:val="TableText"/>
              <w:jc w:val="right"/>
              <w:rPr>
                <w:b/>
                <w:lang w:eastAsia="en-AU"/>
              </w:rPr>
            </w:pPr>
            <w:r>
              <w:rPr>
                <w:b/>
                <w:lang w:eastAsia="en-AU"/>
              </w:rPr>
              <w:t>Qtr 60</w:t>
            </w:r>
          </w:p>
        </w:tc>
        <w:tc>
          <w:tcPr>
            <w:tcW w:w="1242" w:type="dxa"/>
            <w:tcBorders>
              <w:top w:val="single" w:sz="4" w:space="0" w:color="auto"/>
              <w:left w:val="nil"/>
              <w:bottom w:val="single" w:sz="4" w:space="0" w:color="auto"/>
              <w:right w:val="single" w:sz="4" w:space="0" w:color="auto"/>
            </w:tcBorders>
          </w:tcPr>
          <w:p w14:paraId="0004DA3A" w14:textId="77777777" w:rsidR="00D26842" w:rsidRDefault="00D26842" w:rsidP="0010294B">
            <w:pPr>
              <w:pStyle w:val="TableText"/>
              <w:jc w:val="right"/>
              <w:rPr>
                <w:b/>
                <w:lang w:eastAsia="en-AU"/>
              </w:rPr>
            </w:pPr>
            <w:r>
              <w:rPr>
                <w:b/>
                <w:lang w:eastAsia="en-AU"/>
              </w:rPr>
              <w:t>Qtr 61</w:t>
            </w:r>
          </w:p>
        </w:tc>
      </w:tr>
      <w:tr w:rsidR="00D26842" w:rsidRPr="000F130C" w14:paraId="3EABDABD"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5E100411" w14:textId="77777777" w:rsidR="00D26842" w:rsidRPr="000F130C" w:rsidRDefault="00D26842" w:rsidP="0010294B">
            <w:pPr>
              <w:pStyle w:val="TableText"/>
              <w:ind w:left="49"/>
              <w:rPr>
                <w:lang w:eastAsia="en-AU"/>
              </w:rPr>
            </w:pPr>
            <w:r w:rsidRPr="000F130C">
              <w:rPr>
                <w:lang w:eastAsia="en-AU"/>
              </w:rPr>
              <w:t>Aurukun</w:t>
            </w:r>
          </w:p>
        </w:tc>
        <w:tc>
          <w:tcPr>
            <w:tcW w:w="1242" w:type="dxa"/>
            <w:tcBorders>
              <w:top w:val="nil"/>
              <w:left w:val="nil"/>
              <w:bottom w:val="single" w:sz="4" w:space="0" w:color="auto"/>
              <w:right w:val="single" w:sz="4" w:space="0" w:color="auto"/>
            </w:tcBorders>
          </w:tcPr>
          <w:p w14:paraId="2778D931" w14:textId="77777777" w:rsidR="00D26842" w:rsidRDefault="00D26842" w:rsidP="0010294B">
            <w:pPr>
              <w:pStyle w:val="TableText"/>
              <w:jc w:val="right"/>
              <w:rPr>
                <w:rFonts w:cs="Calibri"/>
                <w:color w:val="000000"/>
              </w:rPr>
            </w:pPr>
            <w:r>
              <w:rPr>
                <w:rFonts w:cs="Calibri"/>
                <w:color w:val="000000"/>
              </w:rPr>
              <w:t>$98K</w:t>
            </w:r>
          </w:p>
        </w:tc>
        <w:tc>
          <w:tcPr>
            <w:tcW w:w="1242" w:type="dxa"/>
            <w:tcBorders>
              <w:top w:val="nil"/>
              <w:left w:val="nil"/>
              <w:bottom w:val="single" w:sz="4" w:space="0" w:color="auto"/>
              <w:right w:val="single" w:sz="4" w:space="0" w:color="auto"/>
            </w:tcBorders>
          </w:tcPr>
          <w:p w14:paraId="6230FE8C" w14:textId="77777777" w:rsidR="00D26842" w:rsidRDefault="00D26842" w:rsidP="0010294B">
            <w:pPr>
              <w:pStyle w:val="TableText"/>
              <w:jc w:val="right"/>
              <w:rPr>
                <w:rFonts w:cs="Calibri"/>
                <w:color w:val="000000"/>
              </w:rPr>
            </w:pPr>
            <w:r>
              <w:rPr>
                <w:rFonts w:cs="Calibri"/>
                <w:color w:val="000000"/>
              </w:rPr>
              <w:t>124K</w:t>
            </w:r>
          </w:p>
        </w:tc>
        <w:tc>
          <w:tcPr>
            <w:tcW w:w="1242" w:type="dxa"/>
            <w:tcBorders>
              <w:top w:val="nil"/>
              <w:left w:val="nil"/>
              <w:bottom w:val="single" w:sz="4" w:space="0" w:color="auto"/>
              <w:right w:val="single" w:sz="4" w:space="0" w:color="auto"/>
            </w:tcBorders>
          </w:tcPr>
          <w:p w14:paraId="0CA22138" w14:textId="77777777" w:rsidR="00D26842" w:rsidRDefault="00D26842" w:rsidP="0010294B">
            <w:pPr>
              <w:pStyle w:val="TableText"/>
              <w:jc w:val="right"/>
              <w:rPr>
                <w:rFonts w:cs="Calibri"/>
                <w:color w:val="000000"/>
              </w:rPr>
            </w:pPr>
            <w:r>
              <w:rPr>
                <w:rFonts w:cs="Calibri"/>
                <w:color w:val="000000"/>
              </w:rPr>
              <w:t>131K</w:t>
            </w:r>
          </w:p>
        </w:tc>
        <w:tc>
          <w:tcPr>
            <w:tcW w:w="1242" w:type="dxa"/>
            <w:tcBorders>
              <w:top w:val="nil"/>
              <w:left w:val="nil"/>
              <w:bottom w:val="single" w:sz="4" w:space="0" w:color="auto"/>
              <w:right w:val="single" w:sz="4" w:space="0" w:color="auto"/>
            </w:tcBorders>
          </w:tcPr>
          <w:p w14:paraId="42E12B73" w14:textId="77777777" w:rsidR="00D26842" w:rsidRDefault="00D26842" w:rsidP="0010294B">
            <w:pPr>
              <w:pStyle w:val="TableText"/>
              <w:jc w:val="right"/>
              <w:rPr>
                <w:rFonts w:cs="Calibri"/>
                <w:color w:val="000000"/>
              </w:rPr>
            </w:pPr>
            <w:r>
              <w:rPr>
                <w:rFonts w:cs="Calibri"/>
                <w:color w:val="000000"/>
              </w:rPr>
              <w:t>119K</w:t>
            </w:r>
          </w:p>
        </w:tc>
        <w:tc>
          <w:tcPr>
            <w:tcW w:w="1242" w:type="dxa"/>
            <w:tcBorders>
              <w:top w:val="nil"/>
              <w:left w:val="nil"/>
              <w:bottom w:val="single" w:sz="4" w:space="0" w:color="auto"/>
              <w:right w:val="single" w:sz="4" w:space="0" w:color="auto"/>
            </w:tcBorders>
          </w:tcPr>
          <w:p w14:paraId="534CA6E7" w14:textId="77777777" w:rsidR="00D26842" w:rsidRDefault="00D26842" w:rsidP="0010294B">
            <w:pPr>
              <w:pStyle w:val="TableText"/>
              <w:jc w:val="right"/>
              <w:rPr>
                <w:rFonts w:cs="Calibri"/>
                <w:color w:val="000000"/>
              </w:rPr>
            </w:pPr>
            <w:r>
              <w:rPr>
                <w:rFonts w:cs="Calibri"/>
                <w:color w:val="000000"/>
              </w:rPr>
              <w:t>146K</w:t>
            </w:r>
          </w:p>
        </w:tc>
      </w:tr>
      <w:tr w:rsidR="00D26842" w:rsidRPr="000F130C" w14:paraId="7A7CB08C"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61F350EF" w14:textId="77777777" w:rsidR="00D26842" w:rsidRPr="000F130C" w:rsidRDefault="00D26842" w:rsidP="0010294B">
            <w:pPr>
              <w:pStyle w:val="TableText"/>
              <w:ind w:left="49"/>
              <w:rPr>
                <w:lang w:eastAsia="en-AU"/>
              </w:rPr>
            </w:pPr>
            <w:r w:rsidRPr="000F130C">
              <w:rPr>
                <w:lang w:eastAsia="en-AU"/>
              </w:rPr>
              <w:t>Coen</w:t>
            </w:r>
          </w:p>
        </w:tc>
        <w:tc>
          <w:tcPr>
            <w:tcW w:w="1242" w:type="dxa"/>
            <w:tcBorders>
              <w:top w:val="nil"/>
              <w:left w:val="nil"/>
              <w:bottom w:val="single" w:sz="4" w:space="0" w:color="auto"/>
              <w:right w:val="single" w:sz="4" w:space="0" w:color="auto"/>
            </w:tcBorders>
          </w:tcPr>
          <w:p w14:paraId="4E74DD94" w14:textId="77777777" w:rsidR="00D26842" w:rsidRDefault="00D26842" w:rsidP="0010294B">
            <w:pPr>
              <w:pStyle w:val="TableText"/>
              <w:jc w:val="right"/>
              <w:rPr>
                <w:rFonts w:cs="Calibri"/>
                <w:color w:val="000000"/>
              </w:rPr>
            </w:pPr>
            <w:r>
              <w:rPr>
                <w:rFonts w:cs="Calibri"/>
                <w:color w:val="000000"/>
              </w:rPr>
              <w:t>$22K</w:t>
            </w:r>
          </w:p>
        </w:tc>
        <w:tc>
          <w:tcPr>
            <w:tcW w:w="1242" w:type="dxa"/>
            <w:tcBorders>
              <w:top w:val="nil"/>
              <w:left w:val="nil"/>
              <w:bottom w:val="single" w:sz="4" w:space="0" w:color="auto"/>
              <w:right w:val="single" w:sz="4" w:space="0" w:color="auto"/>
            </w:tcBorders>
          </w:tcPr>
          <w:p w14:paraId="74656129" w14:textId="77777777" w:rsidR="00D26842" w:rsidRDefault="00D26842" w:rsidP="0010294B">
            <w:pPr>
              <w:pStyle w:val="TableText"/>
              <w:jc w:val="right"/>
              <w:rPr>
                <w:rFonts w:cs="Calibri"/>
                <w:color w:val="000000"/>
              </w:rPr>
            </w:pPr>
            <w:r>
              <w:rPr>
                <w:rFonts w:cs="Calibri"/>
                <w:color w:val="000000"/>
              </w:rPr>
              <w:t>33K</w:t>
            </w:r>
          </w:p>
        </w:tc>
        <w:tc>
          <w:tcPr>
            <w:tcW w:w="1242" w:type="dxa"/>
            <w:tcBorders>
              <w:top w:val="nil"/>
              <w:left w:val="nil"/>
              <w:bottom w:val="single" w:sz="4" w:space="0" w:color="auto"/>
              <w:right w:val="single" w:sz="4" w:space="0" w:color="auto"/>
            </w:tcBorders>
          </w:tcPr>
          <w:p w14:paraId="704D5F66" w14:textId="77777777" w:rsidR="00D26842" w:rsidRDefault="00D26842" w:rsidP="0010294B">
            <w:pPr>
              <w:pStyle w:val="TableText"/>
              <w:jc w:val="right"/>
              <w:rPr>
                <w:rFonts w:cs="Calibri"/>
                <w:color w:val="000000"/>
              </w:rPr>
            </w:pPr>
            <w:r>
              <w:rPr>
                <w:rFonts w:cs="Calibri"/>
                <w:color w:val="000000"/>
              </w:rPr>
              <w:t>28K</w:t>
            </w:r>
          </w:p>
        </w:tc>
        <w:tc>
          <w:tcPr>
            <w:tcW w:w="1242" w:type="dxa"/>
            <w:tcBorders>
              <w:top w:val="nil"/>
              <w:left w:val="nil"/>
              <w:bottom w:val="single" w:sz="4" w:space="0" w:color="auto"/>
              <w:right w:val="single" w:sz="4" w:space="0" w:color="auto"/>
            </w:tcBorders>
          </w:tcPr>
          <w:p w14:paraId="6351AF7C" w14:textId="77777777" w:rsidR="00D26842" w:rsidRDefault="00D26842" w:rsidP="0010294B">
            <w:pPr>
              <w:pStyle w:val="TableText"/>
              <w:jc w:val="right"/>
              <w:rPr>
                <w:rFonts w:cs="Calibri"/>
                <w:color w:val="000000"/>
              </w:rPr>
            </w:pPr>
            <w:r>
              <w:rPr>
                <w:rFonts w:cs="Calibri"/>
                <w:color w:val="000000"/>
              </w:rPr>
              <w:t>28K</w:t>
            </w:r>
          </w:p>
        </w:tc>
        <w:tc>
          <w:tcPr>
            <w:tcW w:w="1242" w:type="dxa"/>
            <w:tcBorders>
              <w:top w:val="nil"/>
              <w:left w:val="nil"/>
              <w:bottom w:val="single" w:sz="4" w:space="0" w:color="auto"/>
              <w:right w:val="single" w:sz="4" w:space="0" w:color="auto"/>
            </w:tcBorders>
          </w:tcPr>
          <w:p w14:paraId="4FC60362" w14:textId="77777777" w:rsidR="00D26842" w:rsidRDefault="00D26842" w:rsidP="0010294B">
            <w:pPr>
              <w:pStyle w:val="TableText"/>
              <w:jc w:val="right"/>
              <w:rPr>
                <w:rFonts w:cs="Calibri"/>
                <w:color w:val="000000"/>
              </w:rPr>
            </w:pPr>
            <w:r>
              <w:rPr>
                <w:rFonts w:cs="Calibri"/>
                <w:color w:val="000000"/>
              </w:rPr>
              <w:t>67k</w:t>
            </w:r>
          </w:p>
        </w:tc>
      </w:tr>
      <w:tr w:rsidR="00D26842" w:rsidRPr="000F130C" w14:paraId="7FBCB30C" w14:textId="77777777" w:rsidTr="0010294B">
        <w:trPr>
          <w:trHeight w:val="255"/>
        </w:trPr>
        <w:tc>
          <w:tcPr>
            <w:tcW w:w="2596" w:type="dxa"/>
            <w:tcBorders>
              <w:top w:val="nil"/>
              <w:left w:val="single" w:sz="4" w:space="0" w:color="auto"/>
              <w:bottom w:val="single" w:sz="4" w:space="0" w:color="auto"/>
              <w:right w:val="single" w:sz="4" w:space="0" w:color="auto"/>
            </w:tcBorders>
            <w:noWrap/>
          </w:tcPr>
          <w:p w14:paraId="1C8DE4EC" w14:textId="77777777" w:rsidR="00D26842" w:rsidRPr="000F130C" w:rsidRDefault="00D26842" w:rsidP="0010294B">
            <w:pPr>
              <w:pStyle w:val="TableText"/>
              <w:ind w:left="49"/>
              <w:rPr>
                <w:lang w:eastAsia="en-AU"/>
              </w:rPr>
            </w:pPr>
            <w:r>
              <w:rPr>
                <w:lang w:eastAsia="en-AU"/>
              </w:rPr>
              <w:t>Doomadgee</w:t>
            </w:r>
          </w:p>
        </w:tc>
        <w:tc>
          <w:tcPr>
            <w:tcW w:w="1242" w:type="dxa"/>
            <w:tcBorders>
              <w:top w:val="nil"/>
              <w:left w:val="nil"/>
              <w:bottom w:val="single" w:sz="4" w:space="0" w:color="auto"/>
              <w:right w:val="single" w:sz="4" w:space="0" w:color="auto"/>
            </w:tcBorders>
          </w:tcPr>
          <w:p w14:paraId="0A93E12B" w14:textId="77777777" w:rsidR="00D26842" w:rsidRDefault="00D26842" w:rsidP="0010294B">
            <w:pPr>
              <w:pStyle w:val="TableText"/>
              <w:jc w:val="right"/>
              <w:rPr>
                <w:rFonts w:cs="Calibri"/>
                <w:color w:val="000000"/>
              </w:rPr>
            </w:pPr>
            <w:r>
              <w:rPr>
                <w:rFonts w:cs="Calibri"/>
                <w:color w:val="000000"/>
              </w:rPr>
              <w:t>$123K</w:t>
            </w:r>
          </w:p>
        </w:tc>
        <w:tc>
          <w:tcPr>
            <w:tcW w:w="1242" w:type="dxa"/>
            <w:tcBorders>
              <w:top w:val="nil"/>
              <w:left w:val="nil"/>
              <w:bottom w:val="single" w:sz="4" w:space="0" w:color="auto"/>
              <w:right w:val="single" w:sz="4" w:space="0" w:color="auto"/>
            </w:tcBorders>
          </w:tcPr>
          <w:p w14:paraId="6631E145" w14:textId="77777777" w:rsidR="00D26842" w:rsidRDefault="00D26842" w:rsidP="0010294B">
            <w:pPr>
              <w:pStyle w:val="TableText"/>
              <w:jc w:val="right"/>
              <w:rPr>
                <w:rFonts w:cs="Calibri"/>
                <w:color w:val="000000"/>
              </w:rPr>
            </w:pPr>
            <w:r>
              <w:rPr>
                <w:rFonts w:cs="Calibri"/>
                <w:color w:val="000000"/>
              </w:rPr>
              <w:t>123K</w:t>
            </w:r>
          </w:p>
        </w:tc>
        <w:tc>
          <w:tcPr>
            <w:tcW w:w="1242" w:type="dxa"/>
            <w:tcBorders>
              <w:top w:val="nil"/>
              <w:left w:val="nil"/>
              <w:bottom w:val="single" w:sz="4" w:space="0" w:color="auto"/>
              <w:right w:val="single" w:sz="4" w:space="0" w:color="auto"/>
            </w:tcBorders>
          </w:tcPr>
          <w:p w14:paraId="229C0C2E" w14:textId="77777777" w:rsidR="00D26842" w:rsidRDefault="00D26842" w:rsidP="0010294B">
            <w:pPr>
              <w:pStyle w:val="TableText"/>
              <w:jc w:val="right"/>
              <w:rPr>
                <w:rFonts w:cs="Calibri"/>
                <w:color w:val="000000"/>
              </w:rPr>
            </w:pPr>
            <w:r>
              <w:rPr>
                <w:rFonts w:cs="Calibri"/>
                <w:color w:val="000000"/>
              </w:rPr>
              <w:t>106K</w:t>
            </w:r>
          </w:p>
        </w:tc>
        <w:tc>
          <w:tcPr>
            <w:tcW w:w="1242" w:type="dxa"/>
            <w:tcBorders>
              <w:top w:val="nil"/>
              <w:left w:val="nil"/>
              <w:bottom w:val="single" w:sz="4" w:space="0" w:color="auto"/>
              <w:right w:val="single" w:sz="4" w:space="0" w:color="auto"/>
            </w:tcBorders>
          </w:tcPr>
          <w:p w14:paraId="578BFAB4" w14:textId="77777777" w:rsidR="00D26842" w:rsidRDefault="00D26842" w:rsidP="0010294B">
            <w:pPr>
              <w:pStyle w:val="TableText"/>
              <w:jc w:val="right"/>
              <w:rPr>
                <w:rFonts w:cs="Calibri"/>
                <w:color w:val="000000"/>
              </w:rPr>
            </w:pPr>
            <w:r>
              <w:rPr>
                <w:rFonts w:cs="Calibri"/>
                <w:color w:val="000000"/>
              </w:rPr>
              <w:t>90K</w:t>
            </w:r>
          </w:p>
        </w:tc>
        <w:tc>
          <w:tcPr>
            <w:tcW w:w="1242" w:type="dxa"/>
            <w:tcBorders>
              <w:top w:val="nil"/>
              <w:left w:val="nil"/>
              <w:bottom w:val="single" w:sz="4" w:space="0" w:color="auto"/>
              <w:right w:val="single" w:sz="4" w:space="0" w:color="auto"/>
            </w:tcBorders>
          </w:tcPr>
          <w:p w14:paraId="301DBBDC" w14:textId="77777777" w:rsidR="00D26842" w:rsidRDefault="00D26842" w:rsidP="0010294B">
            <w:pPr>
              <w:pStyle w:val="TableText"/>
              <w:jc w:val="right"/>
              <w:rPr>
                <w:rFonts w:cs="Calibri"/>
                <w:color w:val="000000"/>
              </w:rPr>
            </w:pPr>
            <w:r>
              <w:rPr>
                <w:rFonts w:cs="Calibri"/>
                <w:color w:val="000000"/>
              </w:rPr>
              <w:t>151k</w:t>
            </w:r>
          </w:p>
        </w:tc>
      </w:tr>
      <w:tr w:rsidR="00D26842" w:rsidRPr="000F130C" w14:paraId="3EE03A46"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052DC22F" w14:textId="77777777" w:rsidR="00D26842" w:rsidRPr="000F130C" w:rsidRDefault="00D26842" w:rsidP="0010294B">
            <w:pPr>
              <w:pStyle w:val="TableText"/>
              <w:ind w:left="49"/>
              <w:rPr>
                <w:lang w:eastAsia="en-AU"/>
              </w:rPr>
            </w:pPr>
            <w:r w:rsidRPr="000F130C">
              <w:rPr>
                <w:lang w:eastAsia="en-AU"/>
              </w:rPr>
              <w:t>Hope Vale</w:t>
            </w:r>
          </w:p>
        </w:tc>
        <w:tc>
          <w:tcPr>
            <w:tcW w:w="1242" w:type="dxa"/>
            <w:tcBorders>
              <w:top w:val="nil"/>
              <w:left w:val="nil"/>
              <w:bottom w:val="single" w:sz="4" w:space="0" w:color="auto"/>
              <w:right w:val="single" w:sz="4" w:space="0" w:color="auto"/>
            </w:tcBorders>
          </w:tcPr>
          <w:p w14:paraId="477F2B10" w14:textId="77777777" w:rsidR="00D26842" w:rsidRDefault="00D26842" w:rsidP="0010294B">
            <w:pPr>
              <w:pStyle w:val="TableText"/>
              <w:jc w:val="right"/>
              <w:rPr>
                <w:rFonts w:cs="Calibri"/>
                <w:color w:val="000000"/>
              </w:rPr>
            </w:pPr>
            <w:r>
              <w:rPr>
                <w:rFonts w:cs="Calibri"/>
                <w:color w:val="000000"/>
              </w:rPr>
              <w:t>$85K</w:t>
            </w:r>
          </w:p>
        </w:tc>
        <w:tc>
          <w:tcPr>
            <w:tcW w:w="1242" w:type="dxa"/>
            <w:tcBorders>
              <w:top w:val="nil"/>
              <w:left w:val="nil"/>
              <w:bottom w:val="single" w:sz="4" w:space="0" w:color="auto"/>
              <w:right w:val="single" w:sz="4" w:space="0" w:color="auto"/>
            </w:tcBorders>
          </w:tcPr>
          <w:p w14:paraId="74A3E22C" w14:textId="77777777" w:rsidR="00D26842" w:rsidRDefault="00D26842" w:rsidP="0010294B">
            <w:pPr>
              <w:pStyle w:val="TableText"/>
              <w:jc w:val="right"/>
              <w:rPr>
                <w:rFonts w:cs="Calibri"/>
                <w:color w:val="000000"/>
              </w:rPr>
            </w:pPr>
            <w:r>
              <w:rPr>
                <w:rFonts w:cs="Calibri"/>
                <w:color w:val="000000"/>
              </w:rPr>
              <w:t>70K</w:t>
            </w:r>
          </w:p>
        </w:tc>
        <w:tc>
          <w:tcPr>
            <w:tcW w:w="1242" w:type="dxa"/>
            <w:tcBorders>
              <w:top w:val="nil"/>
              <w:left w:val="nil"/>
              <w:bottom w:val="single" w:sz="4" w:space="0" w:color="auto"/>
              <w:right w:val="single" w:sz="4" w:space="0" w:color="auto"/>
            </w:tcBorders>
          </w:tcPr>
          <w:p w14:paraId="4E289843" w14:textId="77777777" w:rsidR="00D26842" w:rsidRDefault="00D26842" w:rsidP="0010294B">
            <w:pPr>
              <w:pStyle w:val="TableText"/>
              <w:jc w:val="right"/>
              <w:rPr>
                <w:rFonts w:cs="Calibri"/>
                <w:color w:val="000000"/>
              </w:rPr>
            </w:pPr>
            <w:r>
              <w:rPr>
                <w:rFonts w:cs="Calibri"/>
                <w:color w:val="000000"/>
              </w:rPr>
              <w:t>62K</w:t>
            </w:r>
          </w:p>
        </w:tc>
        <w:tc>
          <w:tcPr>
            <w:tcW w:w="1242" w:type="dxa"/>
            <w:tcBorders>
              <w:top w:val="nil"/>
              <w:left w:val="nil"/>
              <w:bottom w:val="single" w:sz="4" w:space="0" w:color="auto"/>
              <w:right w:val="single" w:sz="4" w:space="0" w:color="auto"/>
            </w:tcBorders>
          </w:tcPr>
          <w:p w14:paraId="066619EF" w14:textId="77777777" w:rsidR="00D26842" w:rsidRDefault="00D26842" w:rsidP="0010294B">
            <w:pPr>
              <w:pStyle w:val="TableText"/>
              <w:jc w:val="right"/>
              <w:rPr>
                <w:rFonts w:cs="Calibri"/>
                <w:color w:val="000000"/>
              </w:rPr>
            </w:pPr>
            <w:r>
              <w:rPr>
                <w:rFonts w:cs="Calibri"/>
                <w:color w:val="000000"/>
              </w:rPr>
              <w:t>83K</w:t>
            </w:r>
          </w:p>
        </w:tc>
        <w:tc>
          <w:tcPr>
            <w:tcW w:w="1242" w:type="dxa"/>
            <w:tcBorders>
              <w:top w:val="nil"/>
              <w:left w:val="nil"/>
              <w:bottom w:val="single" w:sz="4" w:space="0" w:color="auto"/>
              <w:right w:val="single" w:sz="4" w:space="0" w:color="auto"/>
            </w:tcBorders>
          </w:tcPr>
          <w:p w14:paraId="15FDA644" w14:textId="77777777" w:rsidR="00D26842" w:rsidRDefault="00D26842" w:rsidP="0010294B">
            <w:pPr>
              <w:pStyle w:val="TableText"/>
              <w:jc w:val="right"/>
              <w:rPr>
                <w:rFonts w:cs="Calibri"/>
                <w:color w:val="000000"/>
              </w:rPr>
            </w:pPr>
            <w:r>
              <w:rPr>
                <w:rFonts w:cs="Calibri"/>
                <w:color w:val="000000"/>
              </w:rPr>
              <w:t>100k</w:t>
            </w:r>
          </w:p>
        </w:tc>
      </w:tr>
      <w:tr w:rsidR="00D26842" w:rsidRPr="000F130C" w14:paraId="516D70E0"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3B28526B" w14:textId="77777777" w:rsidR="00D26842" w:rsidRPr="000F130C" w:rsidRDefault="00D26842" w:rsidP="0010294B">
            <w:pPr>
              <w:pStyle w:val="TableText"/>
              <w:ind w:left="49"/>
              <w:rPr>
                <w:lang w:eastAsia="en-AU"/>
              </w:rPr>
            </w:pPr>
            <w:r w:rsidRPr="000F130C">
              <w:rPr>
                <w:lang w:eastAsia="en-AU"/>
              </w:rPr>
              <w:t>Mossman Gorge</w:t>
            </w:r>
          </w:p>
        </w:tc>
        <w:tc>
          <w:tcPr>
            <w:tcW w:w="1242" w:type="dxa"/>
            <w:tcBorders>
              <w:top w:val="nil"/>
              <w:left w:val="nil"/>
              <w:bottom w:val="single" w:sz="4" w:space="0" w:color="auto"/>
              <w:right w:val="single" w:sz="4" w:space="0" w:color="auto"/>
            </w:tcBorders>
          </w:tcPr>
          <w:p w14:paraId="14EE9530" w14:textId="77777777" w:rsidR="00D26842" w:rsidRDefault="00D26842" w:rsidP="0010294B">
            <w:pPr>
              <w:pStyle w:val="TableText"/>
              <w:jc w:val="right"/>
              <w:rPr>
                <w:rFonts w:cs="Calibri"/>
                <w:color w:val="000000"/>
              </w:rPr>
            </w:pPr>
            <w:r>
              <w:rPr>
                <w:rFonts w:cs="Calibri"/>
                <w:color w:val="000000"/>
              </w:rPr>
              <w:t>$47K</w:t>
            </w:r>
          </w:p>
        </w:tc>
        <w:tc>
          <w:tcPr>
            <w:tcW w:w="1242" w:type="dxa"/>
            <w:tcBorders>
              <w:top w:val="nil"/>
              <w:left w:val="nil"/>
              <w:bottom w:val="single" w:sz="4" w:space="0" w:color="auto"/>
              <w:right w:val="single" w:sz="4" w:space="0" w:color="auto"/>
            </w:tcBorders>
          </w:tcPr>
          <w:p w14:paraId="1FDDFC66" w14:textId="77777777" w:rsidR="00D26842" w:rsidRDefault="00D26842" w:rsidP="0010294B">
            <w:pPr>
              <w:pStyle w:val="TableText"/>
              <w:jc w:val="right"/>
              <w:rPr>
                <w:rFonts w:cs="Calibri"/>
                <w:color w:val="000000"/>
              </w:rPr>
            </w:pPr>
            <w:r>
              <w:rPr>
                <w:rFonts w:cs="Calibri"/>
                <w:color w:val="000000"/>
              </w:rPr>
              <w:t>54K</w:t>
            </w:r>
          </w:p>
        </w:tc>
        <w:tc>
          <w:tcPr>
            <w:tcW w:w="1242" w:type="dxa"/>
            <w:tcBorders>
              <w:top w:val="nil"/>
              <w:left w:val="nil"/>
              <w:bottom w:val="single" w:sz="4" w:space="0" w:color="auto"/>
              <w:right w:val="single" w:sz="4" w:space="0" w:color="auto"/>
            </w:tcBorders>
          </w:tcPr>
          <w:p w14:paraId="2228A41B" w14:textId="77777777" w:rsidR="00D26842" w:rsidRDefault="00D26842" w:rsidP="0010294B">
            <w:pPr>
              <w:pStyle w:val="TableText"/>
              <w:jc w:val="right"/>
              <w:rPr>
                <w:rFonts w:cs="Calibri"/>
                <w:color w:val="000000"/>
              </w:rPr>
            </w:pPr>
            <w:r>
              <w:rPr>
                <w:rFonts w:cs="Calibri"/>
                <w:color w:val="000000"/>
              </w:rPr>
              <w:t>39K</w:t>
            </w:r>
          </w:p>
        </w:tc>
        <w:tc>
          <w:tcPr>
            <w:tcW w:w="1242" w:type="dxa"/>
            <w:tcBorders>
              <w:top w:val="nil"/>
              <w:left w:val="nil"/>
              <w:bottom w:val="single" w:sz="4" w:space="0" w:color="auto"/>
              <w:right w:val="single" w:sz="4" w:space="0" w:color="auto"/>
            </w:tcBorders>
          </w:tcPr>
          <w:p w14:paraId="0C2C6B7D" w14:textId="77777777" w:rsidR="00D26842" w:rsidRDefault="00D26842" w:rsidP="0010294B">
            <w:pPr>
              <w:pStyle w:val="TableText"/>
              <w:jc w:val="right"/>
              <w:rPr>
                <w:rFonts w:cs="Calibri"/>
                <w:color w:val="000000"/>
              </w:rPr>
            </w:pPr>
            <w:r>
              <w:rPr>
                <w:rFonts w:cs="Calibri"/>
                <w:color w:val="000000"/>
              </w:rPr>
              <w:t>54K</w:t>
            </w:r>
          </w:p>
        </w:tc>
        <w:tc>
          <w:tcPr>
            <w:tcW w:w="1242" w:type="dxa"/>
            <w:tcBorders>
              <w:top w:val="nil"/>
              <w:left w:val="nil"/>
              <w:bottom w:val="single" w:sz="4" w:space="0" w:color="auto"/>
              <w:right w:val="single" w:sz="4" w:space="0" w:color="auto"/>
            </w:tcBorders>
          </w:tcPr>
          <w:p w14:paraId="1F245F6C" w14:textId="77777777" w:rsidR="00D26842" w:rsidRDefault="00D26842" w:rsidP="0010294B">
            <w:pPr>
              <w:pStyle w:val="TableText"/>
              <w:jc w:val="right"/>
              <w:rPr>
                <w:rFonts w:cs="Calibri"/>
                <w:color w:val="000000"/>
              </w:rPr>
            </w:pPr>
            <w:r>
              <w:rPr>
                <w:rFonts w:cs="Calibri"/>
                <w:color w:val="000000"/>
              </w:rPr>
              <w:t>65k</w:t>
            </w:r>
          </w:p>
        </w:tc>
      </w:tr>
      <w:tr w:rsidR="00D26842" w:rsidRPr="000F130C" w14:paraId="08AE039F"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6E901584" w14:textId="77777777" w:rsidR="00D26842" w:rsidRPr="000F130C" w:rsidRDefault="00D26842" w:rsidP="0010294B">
            <w:pPr>
              <w:pStyle w:val="TableText"/>
              <w:ind w:left="49"/>
              <w:rPr>
                <w:b/>
                <w:lang w:eastAsia="en-AU"/>
              </w:rPr>
            </w:pPr>
            <w:r w:rsidRPr="000F130C">
              <w:rPr>
                <w:b/>
                <w:lang w:eastAsia="en-AU"/>
              </w:rPr>
              <w:t>TOTAL</w:t>
            </w:r>
          </w:p>
        </w:tc>
        <w:tc>
          <w:tcPr>
            <w:tcW w:w="1242" w:type="dxa"/>
            <w:tcBorders>
              <w:top w:val="nil"/>
              <w:left w:val="nil"/>
              <w:bottom w:val="single" w:sz="4" w:space="0" w:color="auto"/>
              <w:right w:val="single" w:sz="4" w:space="0" w:color="auto"/>
            </w:tcBorders>
          </w:tcPr>
          <w:p w14:paraId="2896687C" w14:textId="77777777" w:rsidR="00D26842" w:rsidRDefault="00D26842" w:rsidP="0010294B">
            <w:pPr>
              <w:pStyle w:val="TableText"/>
              <w:jc w:val="right"/>
              <w:rPr>
                <w:rFonts w:cs="Calibri"/>
                <w:b/>
                <w:bCs/>
                <w:color w:val="000000"/>
              </w:rPr>
            </w:pPr>
            <w:r>
              <w:rPr>
                <w:rFonts w:cs="Calibri"/>
                <w:b/>
                <w:bCs/>
                <w:color w:val="000000"/>
              </w:rPr>
              <w:t>$375K</w:t>
            </w:r>
          </w:p>
        </w:tc>
        <w:tc>
          <w:tcPr>
            <w:tcW w:w="1242" w:type="dxa"/>
            <w:tcBorders>
              <w:top w:val="nil"/>
              <w:left w:val="nil"/>
              <w:bottom w:val="single" w:sz="4" w:space="0" w:color="auto"/>
              <w:right w:val="single" w:sz="4" w:space="0" w:color="auto"/>
            </w:tcBorders>
          </w:tcPr>
          <w:p w14:paraId="2D331685" w14:textId="77777777" w:rsidR="00D26842" w:rsidRDefault="00D26842" w:rsidP="0010294B">
            <w:pPr>
              <w:pStyle w:val="TableText"/>
              <w:jc w:val="right"/>
              <w:rPr>
                <w:rFonts w:cs="Calibri"/>
                <w:b/>
                <w:bCs/>
                <w:color w:val="000000"/>
              </w:rPr>
            </w:pPr>
            <w:r>
              <w:rPr>
                <w:rFonts w:cs="Calibri"/>
                <w:b/>
                <w:bCs/>
                <w:color w:val="000000"/>
              </w:rPr>
              <w:t>404K</w:t>
            </w:r>
          </w:p>
        </w:tc>
        <w:tc>
          <w:tcPr>
            <w:tcW w:w="1242" w:type="dxa"/>
            <w:tcBorders>
              <w:top w:val="nil"/>
              <w:left w:val="nil"/>
              <w:bottom w:val="single" w:sz="4" w:space="0" w:color="auto"/>
              <w:right w:val="single" w:sz="4" w:space="0" w:color="auto"/>
            </w:tcBorders>
          </w:tcPr>
          <w:p w14:paraId="1BF3AC02" w14:textId="77777777" w:rsidR="00D26842" w:rsidRDefault="00D26842" w:rsidP="0010294B">
            <w:pPr>
              <w:pStyle w:val="TableText"/>
              <w:jc w:val="right"/>
              <w:rPr>
                <w:rFonts w:cs="Calibri"/>
                <w:b/>
                <w:bCs/>
                <w:color w:val="000000"/>
              </w:rPr>
            </w:pPr>
            <w:r>
              <w:rPr>
                <w:rFonts w:cs="Calibri"/>
                <w:b/>
                <w:bCs/>
                <w:color w:val="000000"/>
              </w:rPr>
              <w:t>366K</w:t>
            </w:r>
          </w:p>
        </w:tc>
        <w:tc>
          <w:tcPr>
            <w:tcW w:w="1242" w:type="dxa"/>
            <w:tcBorders>
              <w:top w:val="nil"/>
              <w:left w:val="nil"/>
              <w:bottom w:val="single" w:sz="4" w:space="0" w:color="auto"/>
              <w:right w:val="single" w:sz="4" w:space="0" w:color="auto"/>
            </w:tcBorders>
          </w:tcPr>
          <w:p w14:paraId="6E1A8B56" w14:textId="77777777" w:rsidR="00D26842" w:rsidRDefault="00D26842" w:rsidP="0010294B">
            <w:pPr>
              <w:pStyle w:val="TableText"/>
              <w:jc w:val="right"/>
              <w:rPr>
                <w:rFonts w:cs="Calibri"/>
                <w:b/>
                <w:bCs/>
                <w:color w:val="000000"/>
              </w:rPr>
            </w:pPr>
            <w:r>
              <w:rPr>
                <w:rFonts w:cs="Calibri"/>
                <w:b/>
                <w:bCs/>
                <w:color w:val="000000"/>
              </w:rPr>
              <w:t>374K</w:t>
            </w:r>
          </w:p>
        </w:tc>
        <w:tc>
          <w:tcPr>
            <w:tcW w:w="1242" w:type="dxa"/>
            <w:tcBorders>
              <w:top w:val="nil"/>
              <w:left w:val="nil"/>
              <w:bottom w:val="single" w:sz="4" w:space="0" w:color="auto"/>
              <w:right w:val="single" w:sz="4" w:space="0" w:color="auto"/>
            </w:tcBorders>
          </w:tcPr>
          <w:p w14:paraId="0B604E71" w14:textId="77777777" w:rsidR="00D26842" w:rsidRDefault="00D26842" w:rsidP="0010294B">
            <w:pPr>
              <w:pStyle w:val="TableText"/>
              <w:jc w:val="right"/>
              <w:rPr>
                <w:rFonts w:cs="Calibri"/>
                <w:b/>
                <w:bCs/>
                <w:color w:val="000000"/>
              </w:rPr>
            </w:pPr>
            <w:r>
              <w:rPr>
                <w:rFonts w:cs="Calibri"/>
                <w:b/>
                <w:bCs/>
                <w:color w:val="000000"/>
              </w:rPr>
              <w:t>529k</w:t>
            </w:r>
          </w:p>
        </w:tc>
      </w:tr>
      <w:bookmarkEnd w:id="46"/>
    </w:tbl>
    <w:p w14:paraId="0ECB128C" w14:textId="77777777" w:rsidR="00994941" w:rsidRDefault="00994941" w:rsidP="0070366B">
      <w:pPr>
        <w:spacing w:line="240" w:lineRule="auto"/>
        <w:ind w:left="-142"/>
        <w:jc w:val="both"/>
        <w:rPr>
          <w:rFonts w:cs="Arial"/>
        </w:rPr>
      </w:pPr>
    </w:p>
    <w:p w14:paraId="1F933F3B" w14:textId="2AD58FC7" w:rsidR="00994941" w:rsidRDefault="00B20EFA" w:rsidP="00994941">
      <w:pPr>
        <w:ind w:left="-142" w:right="-425"/>
        <w:jc w:val="both"/>
        <w:rPr>
          <w:rFonts w:cs="Arial"/>
        </w:rPr>
      </w:pPr>
      <w:r>
        <w:rPr>
          <w:rFonts w:cs="Arial"/>
        </w:rPr>
        <w:t>Cairns Registry</w:t>
      </w:r>
      <w:r w:rsidR="00994941">
        <w:rPr>
          <w:rFonts w:cs="Arial"/>
        </w:rPr>
        <w:t xml:space="preserve"> expenditure for </w:t>
      </w:r>
      <w:r w:rsidR="00856C85">
        <w:rPr>
          <w:rFonts w:cs="Arial"/>
        </w:rPr>
        <w:t xml:space="preserve">quarter </w:t>
      </w:r>
      <w:r w:rsidR="001415BC">
        <w:rPr>
          <w:rFonts w:cs="Arial"/>
        </w:rPr>
        <w:t>6</w:t>
      </w:r>
      <w:r w:rsidR="00A70906">
        <w:rPr>
          <w:rFonts w:cs="Arial"/>
        </w:rPr>
        <w:t>1</w:t>
      </w:r>
      <w:r w:rsidR="001415BC">
        <w:rPr>
          <w:rFonts w:cs="Arial"/>
        </w:rPr>
        <w:t xml:space="preserve"> </w:t>
      </w:r>
      <w:r w:rsidR="00994941" w:rsidRPr="006A0DDF">
        <w:rPr>
          <w:rFonts w:cs="Arial"/>
        </w:rPr>
        <w:t xml:space="preserve">compared to </w:t>
      </w:r>
      <w:r w:rsidR="00994941">
        <w:rPr>
          <w:rFonts w:cs="Arial"/>
        </w:rPr>
        <w:t xml:space="preserve">the </w:t>
      </w:r>
      <w:r w:rsidR="00994941" w:rsidRPr="006A0DDF">
        <w:rPr>
          <w:rFonts w:cs="Arial"/>
        </w:rPr>
        <w:t xml:space="preserve">previous </w:t>
      </w:r>
      <w:r w:rsidR="00D144AA">
        <w:rPr>
          <w:rFonts w:cs="Arial"/>
        </w:rPr>
        <w:t>four</w:t>
      </w:r>
      <w:r w:rsidR="00FB4C44" w:rsidRPr="006A0DDF">
        <w:rPr>
          <w:rFonts w:cs="Arial"/>
        </w:rPr>
        <w:t xml:space="preserve"> </w:t>
      </w:r>
      <w:r w:rsidR="00994941" w:rsidRPr="006A0DDF">
        <w:rPr>
          <w:rFonts w:cs="Arial"/>
        </w:rPr>
        <w:t>quarter</w:t>
      </w:r>
      <w:r w:rsidR="00994941">
        <w:rPr>
          <w:rFonts w:cs="Arial"/>
        </w:rPr>
        <w:t>s.</w:t>
      </w:r>
    </w:p>
    <w:p w14:paraId="770BF35B" w14:textId="069F2B6D" w:rsidR="005E4692" w:rsidRDefault="005E4692" w:rsidP="0070366B">
      <w:pPr>
        <w:spacing w:line="240" w:lineRule="auto"/>
        <w:ind w:left="-142"/>
        <w:jc w:val="both"/>
        <w:rPr>
          <w:rFonts w:cs="Arial"/>
        </w:rPr>
      </w:pPr>
    </w:p>
    <w:p w14:paraId="1E5F5803" w14:textId="15893F0D" w:rsidR="00994941" w:rsidRDefault="00D26842" w:rsidP="00994941">
      <w:pPr>
        <w:spacing w:line="240" w:lineRule="auto"/>
        <w:ind w:left="-142"/>
        <w:jc w:val="both"/>
        <w:rPr>
          <w:rFonts w:cs="Arial"/>
          <w:sz w:val="16"/>
          <w:szCs w:val="16"/>
        </w:rPr>
      </w:pPr>
      <w:r>
        <w:rPr>
          <w:rFonts w:cs="Arial"/>
          <w:b/>
          <w:sz w:val="16"/>
          <w:szCs w:val="16"/>
        </w:rPr>
        <w:t>Table 26</w:t>
      </w:r>
      <w:r w:rsidR="00994941" w:rsidRPr="0089132B">
        <w:rPr>
          <w:rFonts w:cs="Arial"/>
          <w:b/>
          <w:sz w:val="16"/>
          <w:szCs w:val="16"/>
        </w:rPr>
        <w:t xml:space="preserve">: </w:t>
      </w:r>
      <w:r w:rsidR="00A23629">
        <w:rPr>
          <w:rFonts w:cs="Arial"/>
          <w:sz w:val="16"/>
          <w:szCs w:val="16"/>
        </w:rPr>
        <w:t>Quarterly operating c</w:t>
      </w:r>
      <w:r w:rsidR="00994941" w:rsidRPr="006C5060">
        <w:rPr>
          <w:rFonts w:cs="Arial"/>
          <w:sz w:val="16"/>
          <w:szCs w:val="16"/>
        </w:rPr>
        <w:t xml:space="preserve">osts Cairns </w:t>
      </w:r>
      <w:r w:rsidR="007B7E78">
        <w:rPr>
          <w:rFonts w:cs="Arial"/>
          <w:sz w:val="16"/>
          <w:szCs w:val="16"/>
        </w:rPr>
        <w:t xml:space="preserve">1 </w:t>
      </w:r>
      <w:r w:rsidR="00A70906">
        <w:rPr>
          <w:rFonts w:cs="Arial"/>
          <w:sz w:val="16"/>
          <w:szCs w:val="16"/>
        </w:rPr>
        <w:t xml:space="preserve">July </w:t>
      </w:r>
      <w:r w:rsidR="0039275D">
        <w:rPr>
          <w:rFonts w:cs="Arial"/>
          <w:sz w:val="16"/>
          <w:szCs w:val="16"/>
        </w:rPr>
        <w:t>2022</w:t>
      </w:r>
      <w:r w:rsidR="004364B8">
        <w:rPr>
          <w:rFonts w:cs="Arial"/>
          <w:sz w:val="16"/>
          <w:szCs w:val="16"/>
        </w:rPr>
        <w:t xml:space="preserve"> to </w:t>
      </w:r>
      <w:r w:rsidR="007B7E78">
        <w:rPr>
          <w:rFonts w:cs="Arial"/>
          <w:sz w:val="16"/>
          <w:szCs w:val="16"/>
        </w:rPr>
        <w:t>3</w:t>
      </w:r>
      <w:r w:rsidR="001415BC">
        <w:rPr>
          <w:rFonts w:cs="Arial"/>
          <w:sz w:val="16"/>
          <w:szCs w:val="16"/>
        </w:rPr>
        <w:t xml:space="preserve">0 </w:t>
      </w:r>
      <w:r w:rsidR="00A70906">
        <w:rPr>
          <w:rFonts w:cs="Arial"/>
          <w:sz w:val="16"/>
          <w:szCs w:val="16"/>
        </w:rPr>
        <w:t xml:space="preserve">September </w:t>
      </w:r>
      <w:r w:rsidR="00984BBB">
        <w:rPr>
          <w:rFonts w:cs="Arial"/>
          <w:sz w:val="16"/>
          <w:szCs w:val="16"/>
        </w:rPr>
        <w:t>2023</w:t>
      </w:r>
    </w:p>
    <w:p w14:paraId="30449A0A" w14:textId="77777777" w:rsidR="00DA132A" w:rsidRPr="0070366B" w:rsidRDefault="00DA132A" w:rsidP="00994941">
      <w:pPr>
        <w:spacing w:line="240" w:lineRule="auto"/>
        <w:ind w:left="-142"/>
        <w:jc w:val="both"/>
        <w:rPr>
          <w:rFonts w:cs="Arial"/>
        </w:rPr>
      </w:pP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DA132A" w:rsidRPr="00920636" w14:paraId="76CBEE67" w14:textId="77777777" w:rsidTr="0010294B">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3AAB3021" w14:textId="77777777" w:rsidR="00DA132A" w:rsidRPr="000F130C" w:rsidRDefault="00DA132A" w:rsidP="0010294B">
            <w:pPr>
              <w:pStyle w:val="TableText"/>
              <w:ind w:left="49"/>
              <w:rPr>
                <w:b/>
                <w:lang w:eastAsia="en-AU"/>
              </w:rPr>
            </w:pPr>
            <w:bookmarkStart w:id="47" w:name="_Hlk158968997"/>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546232E9" w14:textId="77777777" w:rsidR="00DA132A" w:rsidRDefault="00DA132A" w:rsidP="0010294B">
            <w:pPr>
              <w:pStyle w:val="TableText"/>
              <w:jc w:val="right"/>
              <w:rPr>
                <w:b/>
                <w:lang w:eastAsia="en-AU"/>
              </w:rPr>
            </w:pPr>
            <w:r>
              <w:rPr>
                <w:b/>
                <w:lang w:eastAsia="en-AU"/>
              </w:rPr>
              <w:t>Qtr 57</w:t>
            </w:r>
          </w:p>
        </w:tc>
        <w:tc>
          <w:tcPr>
            <w:tcW w:w="1250" w:type="dxa"/>
            <w:tcBorders>
              <w:top w:val="single" w:sz="4" w:space="0" w:color="auto"/>
              <w:left w:val="nil"/>
              <w:bottom w:val="single" w:sz="4" w:space="0" w:color="auto"/>
              <w:right w:val="single" w:sz="4" w:space="0" w:color="auto"/>
            </w:tcBorders>
          </w:tcPr>
          <w:p w14:paraId="5647F514" w14:textId="77777777" w:rsidR="00DA132A" w:rsidRDefault="00DA132A" w:rsidP="0010294B">
            <w:pPr>
              <w:pStyle w:val="TableText"/>
              <w:jc w:val="right"/>
              <w:rPr>
                <w:b/>
                <w:lang w:eastAsia="en-AU"/>
              </w:rPr>
            </w:pPr>
            <w:r>
              <w:rPr>
                <w:b/>
                <w:lang w:eastAsia="en-AU"/>
              </w:rPr>
              <w:t>Qtr 58</w:t>
            </w:r>
          </w:p>
        </w:tc>
        <w:tc>
          <w:tcPr>
            <w:tcW w:w="1250" w:type="dxa"/>
            <w:tcBorders>
              <w:top w:val="single" w:sz="4" w:space="0" w:color="auto"/>
              <w:left w:val="nil"/>
              <w:bottom w:val="single" w:sz="4" w:space="0" w:color="auto"/>
              <w:right w:val="single" w:sz="4" w:space="0" w:color="auto"/>
            </w:tcBorders>
          </w:tcPr>
          <w:p w14:paraId="2191D157" w14:textId="77777777" w:rsidR="00DA132A" w:rsidRDefault="00DA132A" w:rsidP="0010294B">
            <w:pPr>
              <w:pStyle w:val="TableText"/>
              <w:jc w:val="right"/>
              <w:rPr>
                <w:b/>
                <w:lang w:eastAsia="en-AU"/>
              </w:rPr>
            </w:pPr>
            <w:r>
              <w:rPr>
                <w:b/>
                <w:lang w:eastAsia="en-AU"/>
              </w:rPr>
              <w:t>Qtr 59</w:t>
            </w:r>
          </w:p>
        </w:tc>
        <w:tc>
          <w:tcPr>
            <w:tcW w:w="1250" w:type="dxa"/>
            <w:tcBorders>
              <w:top w:val="single" w:sz="4" w:space="0" w:color="auto"/>
              <w:left w:val="nil"/>
              <w:bottom w:val="single" w:sz="4" w:space="0" w:color="auto"/>
              <w:right w:val="single" w:sz="4" w:space="0" w:color="auto"/>
            </w:tcBorders>
          </w:tcPr>
          <w:p w14:paraId="7218BE9C" w14:textId="77777777" w:rsidR="00DA132A" w:rsidRDefault="00DA132A" w:rsidP="0010294B">
            <w:pPr>
              <w:pStyle w:val="TableText"/>
              <w:jc w:val="right"/>
              <w:rPr>
                <w:b/>
                <w:lang w:eastAsia="en-AU"/>
              </w:rPr>
            </w:pPr>
            <w:r>
              <w:rPr>
                <w:b/>
                <w:lang w:eastAsia="en-AU"/>
              </w:rPr>
              <w:t>Qtr 60</w:t>
            </w:r>
          </w:p>
        </w:tc>
        <w:tc>
          <w:tcPr>
            <w:tcW w:w="1250" w:type="dxa"/>
            <w:tcBorders>
              <w:top w:val="single" w:sz="4" w:space="0" w:color="auto"/>
              <w:left w:val="nil"/>
              <w:bottom w:val="single" w:sz="4" w:space="0" w:color="auto"/>
              <w:right w:val="single" w:sz="4" w:space="0" w:color="auto"/>
            </w:tcBorders>
          </w:tcPr>
          <w:p w14:paraId="3A5555DE" w14:textId="77777777" w:rsidR="00DA132A" w:rsidRDefault="00DA132A" w:rsidP="0010294B">
            <w:pPr>
              <w:pStyle w:val="TableText"/>
              <w:jc w:val="right"/>
              <w:rPr>
                <w:b/>
                <w:lang w:eastAsia="en-AU"/>
              </w:rPr>
            </w:pPr>
            <w:r>
              <w:rPr>
                <w:b/>
                <w:lang w:eastAsia="en-AU"/>
              </w:rPr>
              <w:t>Qtr 61</w:t>
            </w:r>
          </w:p>
        </w:tc>
      </w:tr>
      <w:tr w:rsidR="00DA132A" w:rsidRPr="00920636" w14:paraId="06DA3902" w14:textId="77777777" w:rsidTr="0010294B">
        <w:trPr>
          <w:trHeight w:val="255"/>
        </w:trPr>
        <w:tc>
          <w:tcPr>
            <w:tcW w:w="2596" w:type="dxa"/>
            <w:tcBorders>
              <w:top w:val="nil"/>
              <w:left w:val="single" w:sz="4" w:space="0" w:color="auto"/>
              <w:bottom w:val="single" w:sz="4" w:space="0" w:color="auto"/>
              <w:right w:val="single" w:sz="4" w:space="0" w:color="auto"/>
            </w:tcBorders>
            <w:noWrap/>
          </w:tcPr>
          <w:p w14:paraId="0885CD92" w14:textId="77777777" w:rsidR="00DA132A" w:rsidRPr="00E72DFB" w:rsidRDefault="00DA132A" w:rsidP="0010294B">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tcPr>
          <w:p w14:paraId="102C201A" w14:textId="77777777" w:rsidR="00DA132A" w:rsidRDefault="00DA132A" w:rsidP="0010294B">
            <w:pPr>
              <w:pStyle w:val="TableText"/>
              <w:jc w:val="right"/>
              <w:rPr>
                <w:rFonts w:cs="Arial"/>
              </w:rPr>
            </w:pPr>
            <w:r>
              <w:rPr>
                <w:rFonts w:cs="Arial"/>
              </w:rPr>
              <w:t>$322K</w:t>
            </w:r>
          </w:p>
        </w:tc>
        <w:tc>
          <w:tcPr>
            <w:tcW w:w="1250" w:type="dxa"/>
            <w:tcBorders>
              <w:top w:val="nil"/>
              <w:left w:val="nil"/>
              <w:bottom w:val="single" w:sz="4" w:space="0" w:color="auto"/>
              <w:right w:val="single" w:sz="4" w:space="0" w:color="auto"/>
            </w:tcBorders>
          </w:tcPr>
          <w:p w14:paraId="07D8328E" w14:textId="77777777" w:rsidR="00DA132A" w:rsidRDefault="00DA132A" w:rsidP="0010294B">
            <w:pPr>
              <w:pStyle w:val="TableText"/>
              <w:jc w:val="right"/>
              <w:rPr>
                <w:rFonts w:cs="Arial"/>
              </w:rPr>
            </w:pPr>
            <w:r>
              <w:rPr>
                <w:rFonts w:cs="Arial"/>
              </w:rPr>
              <w:t>308K</w:t>
            </w:r>
          </w:p>
        </w:tc>
        <w:tc>
          <w:tcPr>
            <w:tcW w:w="1250" w:type="dxa"/>
            <w:tcBorders>
              <w:top w:val="nil"/>
              <w:left w:val="nil"/>
              <w:bottom w:val="single" w:sz="4" w:space="0" w:color="auto"/>
              <w:right w:val="single" w:sz="4" w:space="0" w:color="auto"/>
            </w:tcBorders>
          </w:tcPr>
          <w:p w14:paraId="0C183267" w14:textId="77777777" w:rsidR="00DA132A" w:rsidRDefault="00DA132A" w:rsidP="0010294B">
            <w:pPr>
              <w:pStyle w:val="TableText"/>
              <w:jc w:val="right"/>
              <w:rPr>
                <w:rFonts w:cs="Arial"/>
              </w:rPr>
            </w:pPr>
            <w:r>
              <w:rPr>
                <w:rFonts w:cs="Arial"/>
              </w:rPr>
              <w:t>322K</w:t>
            </w:r>
          </w:p>
        </w:tc>
        <w:tc>
          <w:tcPr>
            <w:tcW w:w="1250" w:type="dxa"/>
            <w:tcBorders>
              <w:top w:val="nil"/>
              <w:left w:val="nil"/>
              <w:bottom w:val="single" w:sz="4" w:space="0" w:color="auto"/>
              <w:right w:val="single" w:sz="4" w:space="0" w:color="auto"/>
            </w:tcBorders>
          </w:tcPr>
          <w:p w14:paraId="17525178" w14:textId="77777777" w:rsidR="00DA132A" w:rsidRDefault="00DA132A" w:rsidP="0010294B">
            <w:pPr>
              <w:pStyle w:val="TableText"/>
              <w:jc w:val="right"/>
              <w:rPr>
                <w:rFonts w:cs="Arial"/>
              </w:rPr>
            </w:pPr>
            <w:r>
              <w:rPr>
                <w:rFonts w:cs="Arial"/>
              </w:rPr>
              <w:t>360K</w:t>
            </w:r>
          </w:p>
        </w:tc>
        <w:tc>
          <w:tcPr>
            <w:tcW w:w="1250" w:type="dxa"/>
            <w:tcBorders>
              <w:top w:val="nil"/>
              <w:left w:val="nil"/>
              <w:bottom w:val="single" w:sz="4" w:space="0" w:color="auto"/>
              <w:right w:val="single" w:sz="4" w:space="0" w:color="auto"/>
            </w:tcBorders>
          </w:tcPr>
          <w:p w14:paraId="4C0C16F9" w14:textId="77777777" w:rsidR="00DA132A" w:rsidRDefault="00DA132A" w:rsidP="0010294B">
            <w:pPr>
              <w:pStyle w:val="TableText"/>
              <w:jc w:val="right"/>
              <w:rPr>
                <w:rFonts w:cs="Arial"/>
              </w:rPr>
            </w:pPr>
            <w:r>
              <w:rPr>
                <w:rFonts w:cs="Arial"/>
              </w:rPr>
              <w:t>405K</w:t>
            </w:r>
          </w:p>
        </w:tc>
      </w:tr>
      <w:tr w:rsidR="00DA132A" w:rsidRPr="00920636" w14:paraId="70EC917D"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7CC9C070" w14:textId="77777777" w:rsidR="00DA132A" w:rsidRPr="00E72DFB" w:rsidRDefault="00DA132A" w:rsidP="0010294B">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tcPr>
          <w:p w14:paraId="62E88A29" w14:textId="77777777" w:rsidR="00DA132A" w:rsidRDefault="00DA132A" w:rsidP="0010294B">
            <w:pPr>
              <w:pStyle w:val="TableText"/>
              <w:jc w:val="right"/>
              <w:rPr>
                <w:rFonts w:cs="Arial"/>
              </w:rPr>
            </w:pPr>
            <w:r>
              <w:rPr>
                <w:rFonts w:cs="Arial"/>
              </w:rPr>
              <w:t>$384K</w:t>
            </w:r>
          </w:p>
        </w:tc>
        <w:tc>
          <w:tcPr>
            <w:tcW w:w="1250" w:type="dxa"/>
            <w:tcBorders>
              <w:top w:val="nil"/>
              <w:left w:val="nil"/>
              <w:bottom w:val="single" w:sz="4" w:space="0" w:color="auto"/>
              <w:right w:val="single" w:sz="4" w:space="0" w:color="auto"/>
            </w:tcBorders>
          </w:tcPr>
          <w:p w14:paraId="0E09424E" w14:textId="77777777" w:rsidR="00DA132A" w:rsidRDefault="00DA132A" w:rsidP="0010294B">
            <w:pPr>
              <w:pStyle w:val="TableText"/>
              <w:jc w:val="right"/>
              <w:rPr>
                <w:rFonts w:cs="Arial"/>
              </w:rPr>
            </w:pPr>
            <w:r>
              <w:rPr>
                <w:rFonts w:cs="Arial"/>
              </w:rPr>
              <w:t>348K</w:t>
            </w:r>
          </w:p>
        </w:tc>
        <w:tc>
          <w:tcPr>
            <w:tcW w:w="1250" w:type="dxa"/>
            <w:tcBorders>
              <w:top w:val="nil"/>
              <w:left w:val="nil"/>
              <w:bottom w:val="single" w:sz="4" w:space="0" w:color="auto"/>
              <w:right w:val="single" w:sz="4" w:space="0" w:color="auto"/>
            </w:tcBorders>
          </w:tcPr>
          <w:p w14:paraId="14416409" w14:textId="77777777" w:rsidR="00DA132A" w:rsidRDefault="00DA132A" w:rsidP="0010294B">
            <w:pPr>
              <w:pStyle w:val="TableText"/>
              <w:jc w:val="right"/>
              <w:rPr>
                <w:rFonts w:cs="Arial"/>
              </w:rPr>
            </w:pPr>
            <w:r>
              <w:rPr>
                <w:rFonts w:cs="Arial"/>
              </w:rPr>
              <w:t>352K</w:t>
            </w:r>
          </w:p>
        </w:tc>
        <w:tc>
          <w:tcPr>
            <w:tcW w:w="1250" w:type="dxa"/>
            <w:tcBorders>
              <w:top w:val="nil"/>
              <w:left w:val="nil"/>
              <w:bottom w:val="single" w:sz="4" w:space="0" w:color="auto"/>
              <w:right w:val="single" w:sz="4" w:space="0" w:color="auto"/>
            </w:tcBorders>
          </w:tcPr>
          <w:p w14:paraId="2BA75B80" w14:textId="77777777" w:rsidR="00DA132A" w:rsidRDefault="00DA132A" w:rsidP="0010294B">
            <w:pPr>
              <w:pStyle w:val="TableText"/>
              <w:jc w:val="right"/>
              <w:rPr>
                <w:rFonts w:cs="Arial"/>
              </w:rPr>
            </w:pPr>
            <w:r>
              <w:rPr>
                <w:rFonts w:cs="Arial"/>
              </w:rPr>
              <w:t>384K</w:t>
            </w:r>
          </w:p>
        </w:tc>
        <w:tc>
          <w:tcPr>
            <w:tcW w:w="1250" w:type="dxa"/>
            <w:tcBorders>
              <w:top w:val="nil"/>
              <w:left w:val="nil"/>
              <w:bottom w:val="single" w:sz="4" w:space="0" w:color="auto"/>
              <w:right w:val="single" w:sz="4" w:space="0" w:color="auto"/>
            </w:tcBorders>
          </w:tcPr>
          <w:p w14:paraId="4E6E1A1C" w14:textId="77777777" w:rsidR="00DA132A" w:rsidRDefault="00DA132A" w:rsidP="0010294B">
            <w:pPr>
              <w:pStyle w:val="TableText"/>
              <w:jc w:val="right"/>
              <w:rPr>
                <w:rFonts w:cs="Arial"/>
              </w:rPr>
            </w:pPr>
            <w:r>
              <w:rPr>
                <w:rFonts w:cs="Arial"/>
              </w:rPr>
              <w:t>417K</w:t>
            </w:r>
          </w:p>
        </w:tc>
      </w:tr>
      <w:tr w:rsidR="00DA132A" w:rsidRPr="00920636" w14:paraId="61719678" w14:textId="77777777" w:rsidTr="0010294B">
        <w:trPr>
          <w:trHeight w:val="255"/>
        </w:trPr>
        <w:tc>
          <w:tcPr>
            <w:tcW w:w="2596" w:type="dxa"/>
            <w:tcBorders>
              <w:top w:val="nil"/>
              <w:left w:val="single" w:sz="4" w:space="0" w:color="auto"/>
              <w:bottom w:val="single" w:sz="4" w:space="0" w:color="auto"/>
              <w:right w:val="single" w:sz="4" w:space="0" w:color="auto"/>
            </w:tcBorders>
            <w:noWrap/>
            <w:hideMark/>
          </w:tcPr>
          <w:p w14:paraId="3E966923" w14:textId="77777777" w:rsidR="00DA132A" w:rsidRPr="000F130C" w:rsidRDefault="00DA132A" w:rsidP="0010294B">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tcPr>
          <w:p w14:paraId="2B4C3FF4" w14:textId="77777777" w:rsidR="00DA132A" w:rsidRDefault="00DA132A" w:rsidP="0010294B">
            <w:pPr>
              <w:pStyle w:val="TableText"/>
              <w:jc w:val="right"/>
              <w:rPr>
                <w:rFonts w:cs="Arial"/>
                <w:b/>
                <w:bCs/>
              </w:rPr>
            </w:pPr>
            <w:r>
              <w:rPr>
                <w:rFonts w:cs="Arial"/>
                <w:b/>
                <w:bCs/>
              </w:rPr>
              <w:t>$706K</w:t>
            </w:r>
          </w:p>
        </w:tc>
        <w:tc>
          <w:tcPr>
            <w:tcW w:w="1250" w:type="dxa"/>
            <w:tcBorders>
              <w:top w:val="nil"/>
              <w:left w:val="nil"/>
              <w:bottom w:val="single" w:sz="4" w:space="0" w:color="auto"/>
              <w:right w:val="single" w:sz="4" w:space="0" w:color="auto"/>
            </w:tcBorders>
          </w:tcPr>
          <w:p w14:paraId="273E3E1F" w14:textId="77777777" w:rsidR="00DA132A" w:rsidRDefault="00DA132A" w:rsidP="0010294B">
            <w:pPr>
              <w:pStyle w:val="TableText"/>
              <w:jc w:val="right"/>
              <w:rPr>
                <w:rFonts w:cs="Arial"/>
                <w:b/>
                <w:bCs/>
              </w:rPr>
            </w:pPr>
            <w:r>
              <w:rPr>
                <w:rFonts w:cs="Arial"/>
                <w:b/>
                <w:bCs/>
              </w:rPr>
              <w:t>656K</w:t>
            </w:r>
          </w:p>
        </w:tc>
        <w:tc>
          <w:tcPr>
            <w:tcW w:w="1250" w:type="dxa"/>
            <w:tcBorders>
              <w:top w:val="nil"/>
              <w:left w:val="nil"/>
              <w:bottom w:val="single" w:sz="4" w:space="0" w:color="auto"/>
              <w:right w:val="single" w:sz="4" w:space="0" w:color="auto"/>
            </w:tcBorders>
          </w:tcPr>
          <w:p w14:paraId="19E1F3DF" w14:textId="77777777" w:rsidR="00DA132A" w:rsidRDefault="00DA132A" w:rsidP="0010294B">
            <w:pPr>
              <w:pStyle w:val="TableText"/>
              <w:jc w:val="right"/>
              <w:rPr>
                <w:rFonts w:cs="Arial"/>
                <w:b/>
                <w:bCs/>
              </w:rPr>
            </w:pPr>
            <w:r>
              <w:rPr>
                <w:rFonts w:cs="Arial"/>
                <w:b/>
                <w:bCs/>
              </w:rPr>
              <w:t>674K</w:t>
            </w:r>
          </w:p>
        </w:tc>
        <w:tc>
          <w:tcPr>
            <w:tcW w:w="1250" w:type="dxa"/>
            <w:tcBorders>
              <w:top w:val="nil"/>
              <w:left w:val="nil"/>
              <w:bottom w:val="single" w:sz="4" w:space="0" w:color="auto"/>
              <w:right w:val="single" w:sz="4" w:space="0" w:color="auto"/>
            </w:tcBorders>
          </w:tcPr>
          <w:p w14:paraId="0C5565DE" w14:textId="77777777" w:rsidR="00DA132A" w:rsidRDefault="00DA132A" w:rsidP="0010294B">
            <w:pPr>
              <w:pStyle w:val="TableText"/>
              <w:jc w:val="right"/>
              <w:rPr>
                <w:rFonts w:cs="Arial"/>
                <w:b/>
                <w:bCs/>
              </w:rPr>
            </w:pPr>
            <w:r>
              <w:rPr>
                <w:rFonts w:cs="Arial"/>
                <w:b/>
                <w:bCs/>
              </w:rPr>
              <w:t>744K</w:t>
            </w:r>
          </w:p>
        </w:tc>
        <w:tc>
          <w:tcPr>
            <w:tcW w:w="1250" w:type="dxa"/>
            <w:tcBorders>
              <w:top w:val="nil"/>
              <w:left w:val="nil"/>
              <w:bottom w:val="single" w:sz="4" w:space="0" w:color="auto"/>
              <w:right w:val="single" w:sz="4" w:space="0" w:color="auto"/>
            </w:tcBorders>
          </w:tcPr>
          <w:p w14:paraId="43319D6F" w14:textId="77777777" w:rsidR="00DA132A" w:rsidRDefault="00DA132A" w:rsidP="0010294B">
            <w:pPr>
              <w:pStyle w:val="TableText"/>
              <w:jc w:val="right"/>
              <w:rPr>
                <w:rFonts w:cs="Arial"/>
                <w:b/>
                <w:bCs/>
              </w:rPr>
            </w:pPr>
            <w:r>
              <w:rPr>
                <w:rFonts w:cs="Arial"/>
                <w:b/>
                <w:bCs/>
              </w:rPr>
              <w:t>822K</w:t>
            </w:r>
          </w:p>
        </w:tc>
      </w:tr>
      <w:bookmarkEnd w:id="47"/>
    </w:tbl>
    <w:p w14:paraId="686D0D7C" w14:textId="77777777" w:rsidR="00DA132A" w:rsidRPr="0070366B" w:rsidRDefault="00DA132A" w:rsidP="00994941">
      <w:pPr>
        <w:spacing w:line="240" w:lineRule="auto"/>
        <w:ind w:left="-142"/>
        <w:jc w:val="both"/>
        <w:rPr>
          <w:rFonts w:cs="Arial"/>
        </w:rPr>
      </w:pPr>
    </w:p>
    <w:p w14:paraId="791E5F7C" w14:textId="1D422118" w:rsidR="00D017C0" w:rsidRPr="0070366B" w:rsidRDefault="00D017C0" w:rsidP="00994941">
      <w:pPr>
        <w:spacing w:line="240" w:lineRule="auto"/>
        <w:ind w:left="-142"/>
        <w:jc w:val="both"/>
        <w:rPr>
          <w:rFonts w:cs="Arial"/>
        </w:rPr>
      </w:pPr>
    </w:p>
    <w:p w14:paraId="0CFC51BD" w14:textId="5837FB5E" w:rsidR="00D017C0" w:rsidRPr="0070366B" w:rsidRDefault="00D017C0">
      <w:pPr>
        <w:spacing w:line="240" w:lineRule="auto"/>
        <w:rPr>
          <w:rFonts w:cs="Arial"/>
        </w:rPr>
      </w:pPr>
      <w:r w:rsidRPr="0070366B">
        <w:rPr>
          <w:rFonts w:cs="Arial"/>
        </w:rPr>
        <w:br w:type="page"/>
      </w: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134"/>
        <w:gridCol w:w="1134"/>
        <w:gridCol w:w="1418"/>
        <w:gridCol w:w="1417"/>
        <w:gridCol w:w="1276"/>
        <w:gridCol w:w="1234"/>
        <w:gridCol w:w="3245"/>
      </w:tblGrid>
      <w:tr w:rsidR="000D6508" w:rsidRPr="0056129C" w14:paraId="23D22753" w14:textId="77777777" w:rsidTr="009416EA">
        <w:trPr>
          <w:trHeight w:val="279"/>
          <w:tblHeader/>
        </w:trPr>
        <w:tc>
          <w:tcPr>
            <w:tcW w:w="10858" w:type="dxa"/>
            <w:gridSpan w:val="7"/>
            <w:tcBorders>
              <w:top w:val="nil"/>
              <w:left w:val="nil"/>
              <w:bottom w:val="nil"/>
              <w:right w:val="nil"/>
            </w:tcBorders>
            <w:shd w:val="clear" w:color="auto" w:fill="auto"/>
            <w:vAlign w:val="center"/>
          </w:tcPr>
          <w:p w14:paraId="218C70DA" w14:textId="2EA2AB90" w:rsidR="000D6508" w:rsidRPr="00B22AF8" w:rsidRDefault="000D6508" w:rsidP="000D6508">
            <w:pPr>
              <w:rPr>
                <w:noProof/>
                <w:lang w:eastAsia="en-AU"/>
              </w:rPr>
            </w:pPr>
            <w:r>
              <w:rPr>
                <w:rFonts w:cs="Arial"/>
                <w:b/>
              </w:rPr>
              <w:lastRenderedPageBreak/>
              <w:t xml:space="preserve">APPENDIX </w:t>
            </w:r>
            <w:r w:rsidRPr="00E65AEC">
              <w:rPr>
                <w:rFonts w:cs="Arial"/>
                <w:b/>
              </w:rPr>
              <w:t>A</w:t>
            </w:r>
          </w:p>
        </w:tc>
      </w:tr>
      <w:tr w:rsidR="00D017C0" w:rsidRPr="0056129C" w14:paraId="344929DC" w14:textId="77777777" w:rsidTr="009416EA">
        <w:trPr>
          <w:trHeight w:val="1140"/>
          <w:tblHeader/>
        </w:trPr>
        <w:tc>
          <w:tcPr>
            <w:tcW w:w="1134" w:type="dxa"/>
            <w:tcBorders>
              <w:top w:val="nil"/>
              <w:left w:val="nil"/>
              <w:bottom w:val="single" w:sz="18" w:space="0" w:color="auto"/>
              <w:right w:val="nil"/>
            </w:tcBorders>
            <w:shd w:val="clear" w:color="auto" w:fill="auto"/>
            <w:vAlign w:val="center"/>
          </w:tcPr>
          <w:p w14:paraId="503B639B" w14:textId="4081A1A6" w:rsidR="00D017C0" w:rsidRPr="0056129C" w:rsidRDefault="00D017C0" w:rsidP="00E37E96">
            <w:pPr>
              <w:ind w:right="-100"/>
              <w:rPr>
                <w:rFonts w:ascii="Arial Narrow" w:hAnsi="Arial Narrow" w:cs="Arial"/>
                <w:b/>
                <w:bCs/>
              </w:rPr>
            </w:pPr>
            <w:r w:rsidRPr="00B9709A">
              <w:rPr>
                <w:rFonts w:cs="Arial"/>
              </w:rPr>
              <w:br w:type="page"/>
            </w:r>
          </w:p>
        </w:tc>
        <w:tc>
          <w:tcPr>
            <w:tcW w:w="6479" w:type="dxa"/>
            <w:gridSpan w:val="5"/>
            <w:tcBorders>
              <w:top w:val="nil"/>
              <w:left w:val="nil"/>
              <w:bottom w:val="single" w:sz="18" w:space="0" w:color="auto"/>
              <w:right w:val="nil"/>
            </w:tcBorders>
            <w:shd w:val="clear" w:color="auto" w:fill="auto"/>
            <w:vAlign w:val="center"/>
          </w:tcPr>
          <w:p w14:paraId="116923F4" w14:textId="42A9F6EC"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w:t>
            </w:r>
            <w:r w:rsidR="001A5CE8">
              <w:rPr>
                <w:rFonts w:ascii="Arial" w:hAnsi="Arial" w:cs="Arial"/>
                <w:b/>
                <w:bCs/>
                <w:noProof/>
                <w:lang w:val="en-US"/>
              </w:rPr>
              <w:t>2</w:t>
            </w:r>
            <w:r w:rsidR="00920BC4">
              <w:rPr>
                <w:rFonts w:ascii="Arial" w:hAnsi="Arial" w:cs="Arial"/>
                <w:b/>
                <w:bCs/>
                <w:noProof/>
                <w:lang w:val="en-US"/>
              </w:rPr>
              <w:t>3</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36BBE674" w:rsidR="00D017C0" w:rsidRPr="0056129C" w:rsidRDefault="00AD1CD5" w:rsidP="00E37E96">
            <w:pPr>
              <w:jc w:val="center"/>
              <w:rPr>
                <w:rFonts w:ascii="Arial Narrow" w:hAnsi="Arial Narrow" w:cs="Arial"/>
                <w:b/>
                <w:bCs/>
              </w:rPr>
            </w:pPr>
            <w:r>
              <w:rPr>
                <w:rFonts w:ascii="Arial" w:hAnsi="Arial" w:cs="Arial"/>
                <w:b/>
                <w:bCs/>
                <w:noProof/>
                <w:lang w:val="en-US"/>
              </w:rPr>
              <w:t xml:space="preserve">1 </w:t>
            </w:r>
            <w:r w:rsidR="002D7B26">
              <w:rPr>
                <w:rFonts w:ascii="Arial" w:hAnsi="Arial" w:cs="Arial"/>
                <w:b/>
                <w:bCs/>
                <w:noProof/>
                <w:lang w:val="en-US"/>
              </w:rPr>
              <w:t>July</w:t>
            </w:r>
            <w:r w:rsidR="00920BC4">
              <w:rPr>
                <w:rFonts w:ascii="Arial" w:hAnsi="Arial" w:cs="Arial"/>
                <w:b/>
                <w:bCs/>
                <w:noProof/>
                <w:lang w:val="en-US"/>
              </w:rPr>
              <w:t xml:space="preserve"> 2023</w:t>
            </w:r>
            <w:r>
              <w:rPr>
                <w:rFonts w:ascii="Arial" w:hAnsi="Arial" w:cs="Arial"/>
                <w:b/>
                <w:bCs/>
                <w:noProof/>
                <w:lang w:val="en-US"/>
              </w:rPr>
              <w:t xml:space="preserve"> to 3</w:t>
            </w:r>
            <w:r w:rsidR="002D7B26">
              <w:rPr>
                <w:rFonts w:ascii="Arial" w:hAnsi="Arial" w:cs="Arial"/>
                <w:b/>
                <w:bCs/>
                <w:noProof/>
                <w:lang w:val="en-US"/>
              </w:rPr>
              <w:t xml:space="preserve">1 December </w:t>
            </w:r>
            <w:r w:rsidR="00984BBB">
              <w:rPr>
                <w:rFonts w:ascii="Arial" w:hAnsi="Arial" w:cs="Arial"/>
                <w:b/>
                <w:bCs/>
                <w:noProof/>
                <w:lang w:val="en-US"/>
              </w:rPr>
              <w:t>2023</w:t>
            </w:r>
          </w:p>
        </w:tc>
        <w:tc>
          <w:tcPr>
            <w:tcW w:w="3245" w:type="dxa"/>
            <w:tcBorders>
              <w:top w:val="nil"/>
              <w:left w:val="nil"/>
              <w:bottom w:val="single" w:sz="18" w:space="0" w:color="auto"/>
              <w:right w:val="nil"/>
            </w:tcBorders>
            <w:shd w:val="clear" w:color="auto" w:fill="auto"/>
            <w:vAlign w:val="center"/>
          </w:tcPr>
          <w:p w14:paraId="79EDD674" w14:textId="482337E5" w:rsidR="00D017C0" w:rsidRPr="0056129C" w:rsidRDefault="00D017C0" w:rsidP="00E37E96">
            <w:pPr>
              <w:jc w:val="right"/>
              <w:rPr>
                <w:rFonts w:ascii="Arial Narrow" w:hAnsi="Arial Narrow" w:cs="Arial"/>
                <w:b/>
                <w:bCs/>
              </w:rPr>
            </w:pPr>
          </w:p>
        </w:tc>
      </w:tr>
      <w:tr w:rsidR="009416EA" w:rsidRPr="00BC2C5D" w14:paraId="2D8D131F" w14:textId="77777777" w:rsidTr="00247AC2">
        <w:trPr>
          <w:trHeight w:val="567"/>
          <w:tblHeader/>
        </w:trPr>
        <w:tc>
          <w:tcPr>
            <w:tcW w:w="1134"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134"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418"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417"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276"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234"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245" w:type="dxa"/>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9416EA" w:rsidRPr="00BC2C5D" w14:paraId="137E730A" w14:textId="77777777" w:rsidTr="006F2944">
        <w:trPr>
          <w:trHeight w:val="567"/>
        </w:trPr>
        <w:tc>
          <w:tcPr>
            <w:tcW w:w="1134"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1B9B8C4A" w:rsidR="00EB0D94" w:rsidRPr="00A634FA" w:rsidRDefault="002D7B26" w:rsidP="00EB0D94">
            <w:pPr>
              <w:jc w:val="center"/>
              <w:rPr>
                <w:rFonts w:ascii="Arial Narrow" w:hAnsi="Arial Narrow" w:cs="Arial"/>
                <w:sz w:val="16"/>
                <w:szCs w:val="16"/>
              </w:rPr>
            </w:pPr>
            <w:r>
              <w:rPr>
                <w:rFonts w:ascii="Arial Narrow" w:hAnsi="Arial Narrow" w:cs="Arial"/>
                <w:sz w:val="16"/>
                <w:szCs w:val="16"/>
              </w:rPr>
              <w:t>3 July</w:t>
            </w:r>
          </w:p>
        </w:tc>
        <w:tc>
          <w:tcPr>
            <w:tcW w:w="1134"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2411153D" w:rsidR="00EB0D94" w:rsidRPr="004D1666" w:rsidRDefault="00EB0D94" w:rsidP="00EB0D94">
            <w:pPr>
              <w:jc w:val="center"/>
              <w:rPr>
                <w:rFonts w:ascii="Arial Narrow" w:hAnsi="Arial Narrow" w:cs="Arial"/>
                <w:sz w:val="15"/>
                <w:szCs w:val="15"/>
              </w:rPr>
            </w:pPr>
          </w:p>
        </w:tc>
        <w:tc>
          <w:tcPr>
            <w:tcW w:w="1418"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EB0D94" w:rsidRPr="00A634FA" w:rsidRDefault="00EB0D94" w:rsidP="00EB0D94">
            <w:pPr>
              <w:jc w:val="center"/>
              <w:rPr>
                <w:rFonts w:ascii="Arial Narrow" w:hAnsi="Arial Narrow" w:cs="Arial"/>
                <w:sz w:val="16"/>
                <w:szCs w:val="16"/>
              </w:rPr>
            </w:pPr>
          </w:p>
        </w:tc>
        <w:tc>
          <w:tcPr>
            <w:tcW w:w="1417"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EB0D94" w:rsidRPr="00A634FA" w:rsidRDefault="00EB0D94" w:rsidP="00EB0D94">
            <w:pPr>
              <w:jc w:val="center"/>
              <w:rPr>
                <w:rFonts w:ascii="Arial Narrow" w:hAnsi="Arial Narrow" w:cs="Arial"/>
                <w:sz w:val="16"/>
                <w:szCs w:val="16"/>
              </w:rPr>
            </w:pPr>
          </w:p>
        </w:tc>
        <w:tc>
          <w:tcPr>
            <w:tcW w:w="1276"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EB0D94" w:rsidRPr="00A634FA" w:rsidRDefault="00EB0D94" w:rsidP="00EB0D94">
            <w:pPr>
              <w:jc w:val="center"/>
              <w:rPr>
                <w:rFonts w:ascii="Arial Narrow" w:hAnsi="Arial Narrow" w:cs="Arial"/>
                <w:sz w:val="16"/>
                <w:szCs w:val="16"/>
              </w:rPr>
            </w:pPr>
          </w:p>
        </w:tc>
        <w:tc>
          <w:tcPr>
            <w:tcW w:w="1234"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3BFDDFA9" w:rsidR="00EB0D94" w:rsidRPr="004D1666" w:rsidRDefault="00261DCA" w:rsidP="00EB0D94">
            <w:pPr>
              <w:jc w:val="center"/>
              <w:rPr>
                <w:rFonts w:ascii="Arial Narrow" w:hAnsi="Arial Narrow" w:cs="Arial"/>
                <w:sz w:val="15"/>
                <w:szCs w:val="15"/>
              </w:rPr>
            </w:pPr>
            <w:r w:rsidRPr="004D1666">
              <w:rPr>
                <w:rFonts w:ascii="Arial Narrow" w:hAnsi="Arial Narrow" w:cs="Arial"/>
                <w:b/>
                <w:bCs/>
                <w:sz w:val="15"/>
                <w:szCs w:val="15"/>
              </w:rPr>
              <w:t>Public Holiday – DM Only</w:t>
            </w:r>
          </w:p>
        </w:tc>
        <w:tc>
          <w:tcPr>
            <w:tcW w:w="3245" w:type="dxa"/>
            <w:tcBorders>
              <w:top w:val="single" w:sz="18" w:space="0" w:color="C0C0C0"/>
              <w:left w:val="single" w:sz="18" w:space="0" w:color="auto"/>
              <w:bottom w:val="single" w:sz="18" w:space="0" w:color="C0C0C0"/>
              <w:right w:val="single" w:sz="18" w:space="0" w:color="auto"/>
            </w:tcBorders>
            <w:shd w:val="clear" w:color="auto" w:fill="D9D9D9"/>
            <w:vAlign w:val="center"/>
          </w:tcPr>
          <w:p w14:paraId="675A7F68" w14:textId="77777777" w:rsidR="00261DCA" w:rsidRPr="004D1666" w:rsidRDefault="00261DCA" w:rsidP="00261DCA">
            <w:pPr>
              <w:jc w:val="center"/>
              <w:rPr>
                <w:rFonts w:ascii="Arial Narrow" w:hAnsi="Arial Narrow" w:cs="Arial"/>
                <w:b/>
                <w:bCs/>
                <w:sz w:val="15"/>
                <w:szCs w:val="15"/>
              </w:rPr>
            </w:pPr>
            <w:r w:rsidRPr="004D1666">
              <w:rPr>
                <w:rFonts w:ascii="Arial Narrow" w:hAnsi="Arial Narrow" w:cs="Arial"/>
                <w:b/>
                <w:bCs/>
                <w:sz w:val="15"/>
                <w:szCs w:val="15"/>
              </w:rPr>
              <w:t>7 - NAIDOC Day - DM</w:t>
            </w:r>
          </w:p>
          <w:p w14:paraId="476BF40D" w14:textId="15D6AA73" w:rsidR="00EB0D94" w:rsidRPr="004D1666" w:rsidRDefault="00261DCA" w:rsidP="00261DCA">
            <w:pPr>
              <w:jc w:val="center"/>
              <w:rPr>
                <w:rFonts w:ascii="Arial Narrow" w:hAnsi="Arial Narrow" w:cs="Arial"/>
                <w:b/>
                <w:bCs/>
                <w:sz w:val="15"/>
                <w:szCs w:val="15"/>
              </w:rPr>
            </w:pPr>
            <w:r w:rsidRPr="004D1666">
              <w:rPr>
                <w:rFonts w:ascii="Arial Narrow" w:hAnsi="Arial Narrow"/>
                <w:color w:val="31849B"/>
                <w:sz w:val="15"/>
                <w:szCs w:val="15"/>
              </w:rPr>
              <w:t>Cooktown – Circuit</w:t>
            </w:r>
          </w:p>
        </w:tc>
      </w:tr>
      <w:tr w:rsidR="009416EA" w:rsidRPr="00BC2C5D" w14:paraId="7C66C142" w14:textId="77777777" w:rsidTr="00247AC2">
        <w:trPr>
          <w:trHeight w:val="285"/>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750FF1B7" w14:textId="1CF92FEB" w:rsidR="00744B4F" w:rsidRPr="00A634FA" w:rsidRDefault="00744B4F" w:rsidP="00744B4F">
            <w:pPr>
              <w:jc w:val="center"/>
              <w:rPr>
                <w:rFonts w:ascii="Arial Narrow" w:hAnsi="Arial Narrow" w:cs="Arial"/>
                <w:sz w:val="16"/>
                <w:szCs w:val="16"/>
              </w:rPr>
            </w:pPr>
            <w:r>
              <w:rPr>
                <w:rFonts w:ascii="Arial Narrow" w:hAnsi="Arial Narrow" w:cs="Arial"/>
                <w:sz w:val="16"/>
                <w:szCs w:val="16"/>
              </w:rPr>
              <w:t>10 July</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7FB8E453" w14:textId="77777777" w:rsidR="00744B4F" w:rsidRPr="004D1666" w:rsidRDefault="00744B4F" w:rsidP="00744B4F">
            <w:pPr>
              <w:jc w:val="center"/>
              <w:rPr>
                <w:rFonts w:ascii="Arial Narrow" w:hAnsi="Arial Narrow" w:cs="Arial"/>
                <w:sz w:val="15"/>
                <w:szCs w:val="15"/>
              </w:rPr>
            </w:pP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731C4540" w14:textId="6C3B4E1F"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11 ICM</w:t>
            </w:r>
          </w:p>
        </w:tc>
        <w:tc>
          <w:tcPr>
            <w:tcW w:w="1417" w:type="dxa"/>
            <w:vMerge w:val="restart"/>
            <w:tcBorders>
              <w:top w:val="single" w:sz="18" w:space="0" w:color="C0C0C0"/>
              <w:left w:val="single" w:sz="18" w:space="0" w:color="BFBFBF"/>
              <w:right w:val="single" w:sz="18" w:space="0" w:color="C0C0C0"/>
            </w:tcBorders>
            <w:shd w:val="clear" w:color="auto" w:fill="FF0000"/>
            <w:vAlign w:val="center"/>
          </w:tcPr>
          <w:p w14:paraId="1E99A741" w14:textId="3A30F6D2"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12</w:t>
            </w:r>
          </w:p>
        </w:tc>
        <w:tc>
          <w:tcPr>
            <w:tcW w:w="1276" w:type="dxa"/>
            <w:vMerge w:val="restart"/>
            <w:tcBorders>
              <w:top w:val="single" w:sz="18" w:space="0" w:color="C0C0C0"/>
              <w:left w:val="single" w:sz="18" w:space="0" w:color="C0C0C0"/>
              <w:right w:val="single" w:sz="18" w:space="0" w:color="C0C0C0"/>
            </w:tcBorders>
            <w:shd w:val="clear" w:color="auto" w:fill="FF0000"/>
            <w:vAlign w:val="center"/>
          </w:tcPr>
          <w:p w14:paraId="07B23DF6" w14:textId="03799E00"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13 ICM</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5BFFB592" w14:textId="33428B97" w:rsidR="00744B4F" w:rsidRPr="004D1666" w:rsidRDefault="00744B4F" w:rsidP="00744B4F">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304C5BB3" w14:textId="23D765E0" w:rsidR="00744B4F" w:rsidRPr="004D1666" w:rsidRDefault="00744B4F" w:rsidP="00744B4F">
            <w:pPr>
              <w:jc w:val="center"/>
              <w:rPr>
                <w:rFonts w:ascii="Arial Narrow" w:hAnsi="Arial Narrow"/>
                <w:color w:val="31849B"/>
                <w:sz w:val="15"/>
                <w:szCs w:val="15"/>
              </w:rPr>
            </w:pPr>
            <w:r w:rsidRPr="004D1666">
              <w:rPr>
                <w:rFonts w:ascii="Arial Narrow" w:hAnsi="Arial Narrow"/>
                <w:color w:val="31849B"/>
                <w:sz w:val="15"/>
                <w:szCs w:val="15"/>
              </w:rPr>
              <w:t>Doomadgee Gulf Circuit</w:t>
            </w:r>
          </w:p>
        </w:tc>
      </w:tr>
      <w:tr w:rsidR="009416EA" w:rsidRPr="00BC2C5D" w14:paraId="3C1B07F5" w14:textId="77777777" w:rsidTr="00247AC2">
        <w:trPr>
          <w:trHeight w:val="285"/>
        </w:trPr>
        <w:tc>
          <w:tcPr>
            <w:tcW w:w="1134" w:type="dxa"/>
            <w:vMerge/>
            <w:tcBorders>
              <w:left w:val="single" w:sz="18" w:space="0" w:color="auto"/>
              <w:right w:val="single" w:sz="18" w:space="0" w:color="C0C0C0"/>
            </w:tcBorders>
            <w:shd w:val="clear" w:color="auto" w:fill="auto"/>
            <w:vAlign w:val="center"/>
          </w:tcPr>
          <w:p w14:paraId="260541BA" w14:textId="77777777" w:rsidR="000F3E04" w:rsidRDefault="000F3E04" w:rsidP="00EB0D94">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32B73AD6" w14:textId="77777777" w:rsidR="000F3E04" w:rsidRPr="004D1666" w:rsidRDefault="000F3E04" w:rsidP="00EB0D94">
            <w:pPr>
              <w:jc w:val="center"/>
              <w:rPr>
                <w:rFonts w:ascii="Arial Narrow" w:hAnsi="Arial Narrow" w:cs="Arial"/>
                <w:sz w:val="15"/>
                <w:szCs w:val="15"/>
              </w:rPr>
            </w:pPr>
          </w:p>
        </w:tc>
        <w:tc>
          <w:tcPr>
            <w:tcW w:w="1418" w:type="dxa"/>
            <w:tcBorders>
              <w:top w:val="nil"/>
              <w:left w:val="single" w:sz="18" w:space="0" w:color="C0C0C0"/>
              <w:bottom w:val="single" w:sz="18" w:space="0" w:color="BFBFBF"/>
              <w:right w:val="single" w:sz="18" w:space="0" w:color="BFBFBF"/>
            </w:tcBorders>
            <w:shd w:val="clear" w:color="auto" w:fill="FFFF00"/>
            <w:vAlign w:val="center"/>
          </w:tcPr>
          <w:p w14:paraId="3A58FB69" w14:textId="36771A3F" w:rsidR="000F3E04" w:rsidRPr="009416EA" w:rsidRDefault="00744B4F" w:rsidP="00EB0D94">
            <w:pPr>
              <w:jc w:val="center"/>
              <w:rPr>
                <w:rFonts w:ascii="Arial Narrow" w:hAnsi="Arial Narrow" w:cs="Arial"/>
                <w:sz w:val="16"/>
                <w:szCs w:val="16"/>
              </w:rPr>
            </w:pPr>
            <w:r w:rsidRPr="009416EA">
              <w:rPr>
                <w:rFonts w:ascii="Arial Narrow" w:hAnsi="Arial Narrow" w:cs="Arial"/>
                <w:b/>
                <w:bCs/>
                <w:sz w:val="16"/>
                <w:szCs w:val="16"/>
              </w:rPr>
              <w:t>11 ICM</w:t>
            </w:r>
          </w:p>
        </w:tc>
        <w:tc>
          <w:tcPr>
            <w:tcW w:w="1417" w:type="dxa"/>
            <w:vMerge/>
            <w:tcBorders>
              <w:left w:val="single" w:sz="18" w:space="0" w:color="BFBFBF"/>
              <w:right w:val="single" w:sz="18" w:space="0" w:color="C0C0C0"/>
            </w:tcBorders>
            <w:shd w:val="clear" w:color="auto" w:fill="FF0000"/>
            <w:vAlign w:val="center"/>
          </w:tcPr>
          <w:p w14:paraId="02B1B28E" w14:textId="77777777" w:rsidR="000F3E04" w:rsidRPr="009416EA" w:rsidRDefault="000F3E04" w:rsidP="00EB0D94">
            <w:pPr>
              <w:jc w:val="center"/>
              <w:rPr>
                <w:rFonts w:ascii="Arial Narrow" w:hAnsi="Arial Narrow" w:cs="Arial"/>
                <w:sz w:val="16"/>
                <w:szCs w:val="16"/>
              </w:rPr>
            </w:pPr>
          </w:p>
        </w:tc>
        <w:tc>
          <w:tcPr>
            <w:tcW w:w="1276" w:type="dxa"/>
            <w:vMerge/>
            <w:tcBorders>
              <w:left w:val="single" w:sz="18" w:space="0" w:color="C0C0C0"/>
              <w:right w:val="single" w:sz="18" w:space="0" w:color="C0C0C0"/>
            </w:tcBorders>
            <w:shd w:val="clear" w:color="auto" w:fill="FF0000"/>
            <w:vAlign w:val="center"/>
          </w:tcPr>
          <w:p w14:paraId="761BA908" w14:textId="77777777" w:rsidR="000F3E04" w:rsidRPr="009416EA" w:rsidRDefault="000F3E04" w:rsidP="00EB0D94">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1E3081A3" w14:textId="77777777" w:rsidR="000F3E04" w:rsidRPr="004D1666" w:rsidRDefault="000F3E04" w:rsidP="00EB0D94">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45E9F9A5" w14:textId="77777777" w:rsidR="000F3E04" w:rsidRPr="004D1666" w:rsidRDefault="000F3E04" w:rsidP="008D6D06">
            <w:pPr>
              <w:jc w:val="center"/>
              <w:rPr>
                <w:rFonts w:ascii="Arial Narrow" w:hAnsi="Arial Narrow"/>
                <w:color w:val="31849B"/>
                <w:sz w:val="15"/>
                <w:szCs w:val="15"/>
              </w:rPr>
            </w:pPr>
          </w:p>
        </w:tc>
      </w:tr>
      <w:tr w:rsidR="009416EA" w:rsidRPr="00BC2C5D" w14:paraId="5BA53CBD" w14:textId="77777777" w:rsidTr="00247AC2">
        <w:trPr>
          <w:trHeight w:val="285"/>
        </w:trPr>
        <w:tc>
          <w:tcPr>
            <w:tcW w:w="1134" w:type="dxa"/>
            <w:vMerge w:val="restart"/>
            <w:tcBorders>
              <w:top w:val="single" w:sz="18" w:space="0" w:color="BFBFBF"/>
              <w:left w:val="single" w:sz="18" w:space="0" w:color="auto"/>
              <w:right w:val="single" w:sz="18" w:space="0" w:color="C0C0C0"/>
            </w:tcBorders>
            <w:shd w:val="clear" w:color="auto" w:fill="auto"/>
            <w:vAlign w:val="center"/>
          </w:tcPr>
          <w:p w14:paraId="0D10FC03" w14:textId="7C4EE0C6" w:rsidR="00744B4F" w:rsidRPr="00A634FA" w:rsidRDefault="00744B4F" w:rsidP="00744B4F">
            <w:pPr>
              <w:jc w:val="center"/>
              <w:rPr>
                <w:rFonts w:ascii="Arial Narrow" w:hAnsi="Arial Narrow" w:cs="Arial"/>
                <w:sz w:val="16"/>
                <w:szCs w:val="16"/>
              </w:rPr>
            </w:pPr>
            <w:r>
              <w:rPr>
                <w:rFonts w:ascii="Arial Narrow" w:hAnsi="Arial Narrow" w:cs="Arial"/>
                <w:sz w:val="16"/>
                <w:szCs w:val="16"/>
              </w:rPr>
              <w:t>17 July</w:t>
            </w:r>
          </w:p>
        </w:tc>
        <w:tc>
          <w:tcPr>
            <w:tcW w:w="1134" w:type="dxa"/>
            <w:vMerge w:val="restart"/>
            <w:tcBorders>
              <w:top w:val="single" w:sz="18" w:space="0" w:color="BFBFBF"/>
              <w:left w:val="single" w:sz="18" w:space="0" w:color="C0C0C0"/>
              <w:right w:val="single" w:sz="18" w:space="0" w:color="C0C0C0"/>
            </w:tcBorders>
            <w:shd w:val="clear" w:color="auto" w:fill="auto"/>
            <w:vAlign w:val="center"/>
          </w:tcPr>
          <w:p w14:paraId="5FA0BC74" w14:textId="1101B3A4" w:rsidR="00744B4F" w:rsidRPr="004D1666" w:rsidRDefault="00744B4F" w:rsidP="00744B4F">
            <w:pPr>
              <w:jc w:val="center"/>
              <w:rPr>
                <w:rFonts w:ascii="Arial Narrow" w:hAnsi="Arial Narrow" w:cs="Arial"/>
                <w:sz w:val="15"/>
                <w:szCs w:val="15"/>
              </w:rPr>
            </w:pPr>
          </w:p>
        </w:tc>
        <w:tc>
          <w:tcPr>
            <w:tcW w:w="1418" w:type="dxa"/>
            <w:vMerge w:val="restart"/>
            <w:tcBorders>
              <w:top w:val="single" w:sz="18" w:space="0" w:color="BFBFBF"/>
              <w:left w:val="single" w:sz="18" w:space="0" w:color="C0C0C0"/>
              <w:right w:val="single" w:sz="18" w:space="0" w:color="BFBFBF"/>
              <w:tr2bl w:val="nil"/>
            </w:tcBorders>
            <w:shd w:val="clear" w:color="auto" w:fill="A972A9"/>
            <w:vAlign w:val="center"/>
          </w:tcPr>
          <w:p w14:paraId="346AA547" w14:textId="786282EC"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18</w:t>
            </w:r>
          </w:p>
        </w:tc>
        <w:tc>
          <w:tcPr>
            <w:tcW w:w="1417" w:type="dxa"/>
            <w:tcBorders>
              <w:top w:val="single" w:sz="18" w:space="0" w:color="BFBFBF"/>
              <w:left w:val="single" w:sz="18" w:space="0" w:color="BFBFBF"/>
              <w:bottom w:val="nil"/>
              <w:right w:val="single" w:sz="18" w:space="0" w:color="C0C0C0"/>
            </w:tcBorders>
            <w:shd w:val="clear" w:color="auto" w:fill="A972A9"/>
            <w:vAlign w:val="center"/>
          </w:tcPr>
          <w:p w14:paraId="7A536749" w14:textId="76457FCF"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19</w:t>
            </w:r>
          </w:p>
        </w:tc>
        <w:tc>
          <w:tcPr>
            <w:tcW w:w="1276" w:type="dxa"/>
            <w:vMerge w:val="restart"/>
            <w:tcBorders>
              <w:top w:val="single" w:sz="18" w:space="0" w:color="BFBFBF"/>
              <w:left w:val="single" w:sz="18" w:space="0" w:color="C0C0C0"/>
              <w:right w:val="single" w:sz="18" w:space="0" w:color="C0C0C0"/>
            </w:tcBorders>
            <w:shd w:val="clear" w:color="auto" w:fill="A972A9"/>
            <w:vAlign w:val="center"/>
          </w:tcPr>
          <w:p w14:paraId="6CAE5B32" w14:textId="63450D93"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20</w:t>
            </w:r>
          </w:p>
        </w:tc>
        <w:tc>
          <w:tcPr>
            <w:tcW w:w="1234" w:type="dxa"/>
            <w:vMerge w:val="restart"/>
            <w:tcBorders>
              <w:top w:val="single" w:sz="18" w:space="0" w:color="BFBFBF"/>
              <w:left w:val="single" w:sz="18" w:space="0" w:color="C0C0C0"/>
              <w:right w:val="single" w:sz="18" w:space="0" w:color="auto"/>
            </w:tcBorders>
            <w:shd w:val="clear" w:color="auto" w:fill="auto"/>
            <w:vAlign w:val="center"/>
          </w:tcPr>
          <w:p w14:paraId="77ED7AC8" w14:textId="1AF1F461" w:rsidR="00744B4F" w:rsidRPr="004D1666" w:rsidRDefault="00744B4F" w:rsidP="00744B4F">
            <w:pPr>
              <w:jc w:val="center"/>
              <w:rPr>
                <w:rFonts w:ascii="Arial Narrow" w:hAnsi="Arial Narrow" w:cs="Arial"/>
                <w:sz w:val="15"/>
                <w:szCs w:val="15"/>
              </w:rPr>
            </w:pPr>
            <w:r w:rsidRPr="004D1666">
              <w:rPr>
                <w:rFonts w:ascii="Arial Narrow" w:hAnsi="Arial Narrow" w:cs="Arial"/>
                <w:b/>
                <w:bCs/>
                <w:sz w:val="15"/>
                <w:szCs w:val="15"/>
              </w:rPr>
              <w:t>Public Holiday</w:t>
            </w:r>
          </w:p>
        </w:tc>
        <w:tc>
          <w:tcPr>
            <w:tcW w:w="3245" w:type="dxa"/>
            <w:vMerge w:val="restart"/>
            <w:tcBorders>
              <w:top w:val="single" w:sz="18" w:space="0" w:color="BFBFBF"/>
              <w:left w:val="single" w:sz="18" w:space="0" w:color="auto"/>
              <w:right w:val="single" w:sz="18" w:space="0" w:color="auto"/>
            </w:tcBorders>
            <w:shd w:val="clear" w:color="auto" w:fill="auto"/>
            <w:vAlign w:val="center"/>
          </w:tcPr>
          <w:p w14:paraId="009E9927" w14:textId="77777777" w:rsidR="00744B4F" w:rsidRPr="004D1666" w:rsidRDefault="00744B4F" w:rsidP="00744B4F">
            <w:pPr>
              <w:jc w:val="center"/>
              <w:rPr>
                <w:rFonts w:ascii="Arial Narrow" w:hAnsi="Arial Narrow" w:cs="Arial"/>
                <w:b/>
                <w:bCs/>
                <w:sz w:val="15"/>
                <w:szCs w:val="15"/>
              </w:rPr>
            </w:pPr>
            <w:r w:rsidRPr="004D1666">
              <w:rPr>
                <w:rFonts w:ascii="Arial Narrow" w:hAnsi="Arial Narrow" w:cs="Arial"/>
                <w:b/>
                <w:bCs/>
                <w:sz w:val="15"/>
                <w:szCs w:val="15"/>
              </w:rPr>
              <w:t>21 - Cairns Show Day</w:t>
            </w:r>
          </w:p>
          <w:p w14:paraId="6C8C40F7" w14:textId="5F661CBF" w:rsidR="00744B4F" w:rsidRPr="004D1666" w:rsidRDefault="00744B4F" w:rsidP="00744B4F">
            <w:pPr>
              <w:jc w:val="center"/>
              <w:rPr>
                <w:rFonts w:ascii="Arial Narrow" w:hAnsi="Arial Narrow"/>
                <w:color w:val="31849B"/>
                <w:sz w:val="15"/>
                <w:szCs w:val="15"/>
              </w:rPr>
            </w:pPr>
            <w:r w:rsidRPr="004D1666">
              <w:rPr>
                <w:rFonts w:ascii="Arial Narrow" w:hAnsi="Arial Narrow"/>
                <w:color w:val="31849B"/>
                <w:sz w:val="15"/>
                <w:szCs w:val="15"/>
              </w:rPr>
              <w:t>Aurukun Cape B &amp; Coen Cape A Circuit</w:t>
            </w:r>
          </w:p>
        </w:tc>
      </w:tr>
      <w:tr w:rsidR="009416EA" w:rsidRPr="00BC2C5D" w14:paraId="033D7F29" w14:textId="77777777" w:rsidTr="00247AC2">
        <w:trPr>
          <w:trHeight w:val="285"/>
        </w:trPr>
        <w:tc>
          <w:tcPr>
            <w:tcW w:w="1134" w:type="dxa"/>
            <w:vMerge/>
            <w:tcBorders>
              <w:left w:val="single" w:sz="18" w:space="0" w:color="auto"/>
              <w:right w:val="single" w:sz="18" w:space="0" w:color="C0C0C0"/>
            </w:tcBorders>
            <w:shd w:val="clear" w:color="auto" w:fill="auto"/>
            <w:vAlign w:val="center"/>
          </w:tcPr>
          <w:p w14:paraId="5FE718EB" w14:textId="77777777" w:rsidR="000F3E04" w:rsidRDefault="000F3E04"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3FB3D8F2" w14:textId="77777777" w:rsidR="000F3E04" w:rsidRPr="004D1666" w:rsidRDefault="000F3E04" w:rsidP="00C344F6">
            <w:pPr>
              <w:jc w:val="center"/>
              <w:rPr>
                <w:rFonts w:ascii="Arial Narrow" w:hAnsi="Arial Narrow" w:cs="Arial"/>
                <w:sz w:val="15"/>
                <w:szCs w:val="15"/>
              </w:rPr>
            </w:pPr>
          </w:p>
        </w:tc>
        <w:tc>
          <w:tcPr>
            <w:tcW w:w="1418" w:type="dxa"/>
            <w:vMerge/>
            <w:tcBorders>
              <w:left w:val="single" w:sz="18" w:space="0" w:color="C0C0C0"/>
              <w:right w:val="single" w:sz="18" w:space="0" w:color="BFBFBF"/>
              <w:tr2bl w:val="nil"/>
            </w:tcBorders>
            <w:shd w:val="clear" w:color="auto" w:fill="A972A9"/>
            <w:vAlign w:val="center"/>
          </w:tcPr>
          <w:p w14:paraId="71969321" w14:textId="77777777" w:rsidR="000F3E04" w:rsidRPr="009416EA" w:rsidRDefault="000F3E04" w:rsidP="00C344F6">
            <w:pPr>
              <w:jc w:val="center"/>
              <w:rPr>
                <w:rFonts w:ascii="Arial Narrow" w:hAnsi="Arial Narrow" w:cs="Arial"/>
                <w:sz w:val="16"/>
                <w:szCs w:val="16"/>
              </w:rPr>
            </w:pPr>
          </w:p>
        </w:tc>
        <w:tc>
          <w:tcPr>
            <w:tcW w:w="1417" w:type="dxa"/>
            <w:tcBorders>
              <w:top w:val="nil"/>
              <w:left w:val="single" w:sz="18" w:space="0" w:color="BFBFBF"/>
              <w:bottom w:val="single" w:sz="18" w:space="0" w:color="C0C0C0"/>
              <w:right w:val="single" w:sz="18" w:space="0" w:color="C0C0C0"/>
            </w:tcBorders>
            <w:shd w:val="clear" w:color="auto" w:fill="769250"/>
            <w:vAlign w:val="center"/>
          </w:tcPr>
          <w:p w14:paraId="38974350" w14:textId="47591BC2" w:rsidR="000F3E04" w:rsidRPr="009416EA" w:rsidRDefault="00744B4F" w:rsidP="00C344F6">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19 ICM</w:t>
            </w:r>
          </w:p>
        </w:tc>
        <w:tc>
          <w:tcPr>
            <w:tcW w:w="1276" w:type="dxa"/>
            <w:vMerge/>
            <w:tcBorders>
              <w:left w:val="single" w:sz="18" w:space="0" w:color="C0C0C0"/>
              <w:right w:val="single" w:sz="18" w:space="0" w:color="C0C0C0"/>
            </w:tcBorders>
            <w:shd w:val="clear" w:color="auto" w:fill="A972A9"/>
            <w:vAlign w:val="center"/>
          </w:tcPr>
          <w:p w14:paraId="1DFE2450" w14:textId="77777777" w:rsidR="000F3E04" w:rsidRPr="009416EA" w:rsidRDefault="000F3E04" w:rsidP="00C344F6">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39C3D925" w14:textId="77777777" w:rsidR="000F3E04" w:rsidRPr="004D1666" w:rsidRDefault="000F3E04" w:rsidP="00C344F6">
            <w:pPr>
              <w:jc w:val="center"/>
              <w:rPr>
                <w:rFonts w:ascii="Arial Narrow" w:hAnsi="Arial Narrow" w:cs="Arial"/>
                <w:b/>
                <w:bCs/>
                <w:sz w:val="15"/>
                <w:szCs w:val="15"/>
              </w:rPr>
            </w:pPr>
          </w:p>
        </w:tc>
        <w:tc>
          <w:tcPr>
            <w:tcW w:w="3245" w:type="dxa"/>
            <w:vMerge/>
            <w:tcBorders>
              <w:left w:val="single" w:sz="18" w:space="0" w:color="auto"/>
              <w:right w:val="single" w:sz="18" w:space="0" w:color="auto"/>
            </w:tcBorders>
            <w:shd w:val="clear" w:color="auto" w:fill="auto"/>
            <w:vAlign w:val="center"/>
          </w:tcPr>
          <w:p w14:paraId="296E303E" w14:textId="77777777" w:rsidR="000F3E04" w:rsidRPr="004D1666" w:rsidRDefault="000F3E04" w:rsidP="00261DCA">
            <w:pPr>
              <w:jc w:val="center"/>
              <w:rPr>
                <w:rFonts w:ascii="Arial Narrow" w:hAnsi="Arial Narrow" w:cs="Arial"/>
                <w:b/>
                <w:bCs/>
                <w:sz w:val="15"/>
                <w:szCs w:val="15"/>
              </w:rPr>
            </w:pPr>
          </w:p>
        </w:tc>
      </w:tr>
      <w:tr w:rsidR="009416EA" w:rsidRPr="00BC2C5D" w14:paraId="3FC520FE" w14:textId="77777777" w:rsidTr="00A975E3">
        <w:trPr>
          <w:trHeight w:hRule="exact" w:val="284"/>
        </w:trPr>
        <w:tc>
          <w:tcPr>
            <w:tcW w:w="1134" w:type="dxa"/>
            <w:vMerge w:val="restart"/>
            <w:tcBorders>
              <w:top w:val="single" w:sz="18" w:space="0" w:color="BFBFBF"/>
              <w:left w:val="single" w:sz="18" w:space="0" w:color="auto"/>
              <w:right w:val="single" w:sz="18" w:space="0" w:color="C0C0C0"/>
            </w:tcBorders>
            <w:shd w:val="clear" w:color="auto" w:fill="auto"/>
            <w:vAlign w:val="center"/>
          </w:tcPr>
          <w:p w14:paraId="6D1805FC" w14:textId="314D0E09" w:rsidR="00744B4F" w:rsidRPr="00A634FA" w:rsidRDefault="00744B4F" w:rsidP="00744B4F">
            <w:pPr>
              <w:jc w:val="center"/>
              <w:rPr>
                <w:rFonts w:ascii="Arial Narrow" w:hAnsi="Arial Narrow" w:cs="Arial"/>
                <w:sz w:val="16"/>
                <w:szCs w:val="16"/>
              </w:rPr>
            </w:pPr>
            <w:r>
              <w:rPr>
                <w:rFonts w:ascii="Arial Narrow" w:hAnsi="Arial Narrow" w:cs="Arial"/>
                <w:sz w:val="16"/>
                <w:szCs w:val="16"/>
              </w:rPr>
              <w:t>24 July</w:t>
            </w:r>
          </w:p>
        </w:tc>
        <w:tc>
          <w:tcPr>
            <w:tcW w:w="1134" w:type="dxa"/>
            <w:vMerge w:val="restart"/>
            <w:tcBorders>
              <w:top w:val="single" w:sz="18" w:space="0" w:color="BFBFBF"/>
              <w:left w:val="single" w:sz="18" w:space="0" w:color="C0C0C0"/>
              <w:right w:val="single" w:sz="18" w:space="0" w:color="C0C0C0"/>
            </w:tcBorders>
            <w:shd w:val="clear" w:color="auto" w:fill="auto"/>
            <w:vAlign w:val="center"/>
          </w:tcPr>
          <w:p w14:paraId="4DAA80E5" w14:textId="66E113C9" w:rsidR="00744B4F" w:rsidRPr="004D1666" w:rsidRDefault="00744B4F" w:rsidP="00744B4F">
            <w:pPr>
              <w:jc w:val="center"/>
              <w:rPr>
                <w:rFonts w:ascii="Arial Narrow" w:hAnsi="Arial Narrow" w:cs="Arial"/>
                <w:sz w:val="15"/>
                <w:szCs w:val="15"/>
              </w:rPr>
            </w:pPr>
            <w:r w:rsidRPr="004D1666">
              <w:rPr>
                <w:rFonts w:ascii="Arial Narrow" w:hAnsi="Arial Narrow" w:cs="Arial"/>
                <w:b/>
                <w:bCs/>
                <w:sz w:val="15"/>
                <w:szCs w:val="15"/>
              </w:rPr>
              <w:t>Public Holiday – MG Only</w:t>
            </w:r>
          </w:p>
        </w:tc>
        <w:tc>
          <w:tcPr>
            <w:tcW w:w="1418" w:type="dxa"/>
            <w:vMerge w:val="restart"/>
            <w:tcBorders>
              <w:top w:val="single" w:sz="18" w:space="0" w:color="C0C0C0"/>
              <w:left w:val="single" w:sz="18" w:space="0" w:color="C0C0C0"/>
              <w:right w:val="single" w:sz="18" w:space="0" w:color="BFBFBF"/>
              <w:tr2bl w:val="nil"/>
            </w:tcBorders>
            <w:shd w:val="clear" w:color="auto" w:fill="FF0000"/>
            <w:vAlign w:val="center"/>
          </w:tcPr>
          <w:p w14:paraId="211F9DD8" w14:textId="1DBE741A"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25</w:t>
            </w:r>
          </w:p>
        </w:tc>
        <w:tc>
          <w:tcPr>
            <w:tcW w:w="1417" w:type="dxa"/>
            <w:tcBorders>
              <w:top w:val="single" w:sz="18" w:space="0" w:color="C0C0C0"/>
              <w:left w:val="single" w:sz="18" w:space="0" w:color="BFBFBF"/>
              <w:bottom w:val="nil"/>
              <w:right w:val="single" w:sz="18" w:space="0" w:color="C0C0C0"/>
            </w:tcBorders>
            <w:shd w:val="clear" w:color="auto" w:fill="FF0000"/>
            <w:vAlign w:val="center"/>
          </w:tcPr>
          <w:p w14:paraId="54F73A57" w14:textId="2E78C9CF"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26</w:t>
            </w:r>
          </w:p>
        </w:tc>
        <w:tc>
          <w:tcPr>
            <w:tcW w:w="1276" w:type="dxa"/>
            <w:tcBorders>
              <w:top w:val="single" w:sz="18" w:space="0" w:color="C0C0C0"/>
              <w:left w:val="single" w:sz="18" w:space="0" w:color="C0C0C0"/>
              <w:bottom w:val="nil"/>
              <w:right w:val="single" w:sz="18" w:space="0" w:color="C0C0C0"/>
            </w:tcBorders>
            <w:shd w:val="clear" w:color="auto" w:fill="FF0000"/>
            <w:vAlign w:val="center"/>
          </w:tcPr>
          <w:p w14:paraId="2B85F166" w14:textId="6AE2E529"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27 ICM</w:t>
            </w:r>
          </w:p>
        </w:tc>
        <w:tc>
          <w:tcPr>
            <w:tcW w:w="1234" w:type="dxa"/>
            <w:vMerge w:val="restart"/>
            <w:tcBorders>
              <w:top w:val="single" w:sz="18" w:space="0" w:color="BFBFBF"/>
              <w:left w:val="single" w:sz="18" w:space="0" w:color="C0C0C0"/>
              <w:right w:val="single" w:sz="18" w:space="0" w:color="auto"/>
            </w:tcBorders>
            <w:shd w:val="clear" w:color="auto" w:fill="auto"/>
            <w:vAlign w:val="center"/>
          </w:tcPr>
          <w:p w14:paraId="4C8AAF12" w14:textId="6BB98184" w:rsidR="00744B4F" w:rsidRPr="004D1666" w:rsidRDefault="00744B4F" w:rsidP="00744B4F">
            <w:pPr>
              <w:jc w:val="center"/>
              <w:rPr>
                <w:rFonts w:ascii="Arial Narrow" w:hAnsi="Arial Narrow" w:cs="Arial"/>
                <w:sz w:val="15"/>
                <w:szCs w:val="15"/>
              </w:rPr>
            </w:pPr>
          </w:p>
        </w:tc>
        <w:tc>
          <w:tcPr>
            <w:tcW w:w="3245" w:type="dxa"/>
            <w:vMerge w:val="restart"/>
            <w:tcBorders>
              <w:top w:val="single" w:sz="18" w:space="0" w:color="BFBFBF"/>
              <w:left w:val="single" w:sz="18" w:space="0" w:color="auto"/>
              <w:right w:val="single" w:sz="18" w:space="0" w:color="auto"/>
            </w:tcBorders>
            <w:shd w:val="clear" w:color="auto" w:fill="auto"/>
            <w:vAlign w:val="center"/>
          </w:tcPr>
          <w:p w14:paraId="4A692BE1" w14:textId="48D178EA" w:rsidR="00744B4F" w:rsidRPr="004D1666" w:rsidRDefault="00744B4F" w:rsidP="00744B4F">
            <w:pPr>
              <w:jc w:val="center"/>
              <w:rPr>
                <w:rFonts w:ascii="Arial Narrow" w:hAnsi="Arial Narrow" w:cs="Arial"/>
                <w:sz w:val="15"/>
                <w:szCs w:val="15"/>
              </w:rPr>
            </w:pPr>
            <w:r w:rsidRPr="004D1666">
              <w:rPr>
                <w:rFonts w:ascii="Arial Narrow" w:hAnsi="Arial Narrow" w:cs="Arial"/>
                <w:b/>
                <w:bCs/>
                <w:sz w:val="15"/>
                <w:szCs w:val="15"/>
              </w:rPr>
              <w:t>24 - Mossman Show Day</w:t>
            </w:r>
          </w:p>
        </w:tc>
      </w:tr>
      <w:tr w:rsidR="009416EA" w:rsidRPr="00BC2C5D" w14:paraId="72382FA7" w14:textId="77777777" w:rsidTr="00A975E3">
        <w:trPr>
          <w:trHeight w:hRule="exact" w:val="284"/>
        </w:trPr>
        <w:tc>
          <w:tcPr>
            <w:tcW w:w="1134"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558FE468" w14:textId="77777777" w:rsidR="00744B4F" w:rsidRDefault="00744B4F" w:rsidP="00744B4F">
            <w:pPr>
              <w:jc w:val="center"/>
              <w:rPr>
                <w:rFonts w:ascii="Arial Narrow" w:hAnsi="Arial Narrow" w:cs="Arial"/>
                <w:sz w:val="16"/>
                <w:szCs w:val="16"/>
              </w:rPr>
            </w:pPr>
          </w:p>
        </w:tc>
        <w:tc>
          <w:tcPr>
            <w:tcW w:w="1134"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0C3A51A3" w14:textId="77777777" w:rsidR="00744B4F" w:rsidRPr="004D1666" w:rsidRDefault="00744B4F" w:rsidP="00744B4F">
            <w:pPr>
              <w:jc w:val="center"/>
              <w:rPr>
                <w:rFonts w:ascii="Arial Narrow" w:hAnsi="Arial Narrow" w:cs="Arial"/>
                <w:b/>
                <w:bCs/>
                <w:sz w:val="15"/>
                <w:szCs w:val="15"/>
              </w:rPr>
            </w:pPr>
          </w:p>
        </w:tc>
        <w:tc>
          <w:tcPr>
            <w:tcW w:w="1418" w:type="dxa"/>
            <w:vMerge/>
            <w:tcBorders>
              <w:left w:val="single" w:sz="18" w:space="0" w:color="C0C0C0"/>
              <w:bottom w:val="single" w:sz="18" w:space="0" w:color="BFBFBF" w:themeColor="background1" w:themeShade="BF"/>
              <w:right w:val="single" w:sz="18" w:space="0" w:color="BFBFBF"/>
              <w:tr2bl w:val="nil"/>
            </w:tcBorders>
            <w:shd w:val="clear" w:color="auto" w:fill="FF0000"/>
            <w:vAlign w:val="center"/>
          </w:tcPr>
          <w:p w14:paraId="345A8440" w14:textId="77777777" w:rsidR="00744B4F" w:rsidRPr="009416EA" w:rsidRDefault="00744B4F" w:rsidP="00744B4F">
            <w:pPr>
              <w:jc w:val="center"/>
              <w:rPr>
                <w:rFonts w:ascii="Arial Narrow" w:hAnsi="Arial Narrow" w:cs="Arial"/>
                <w:color w:val="FFFFFF" w:themeColor="background1"/>
                <w:sz w:val="16"/>
                <w:szCs w:val="16"/>
              </w:rPr>
            </w:pPr>
          </w:p>
        </w:tc>
        <w:tc>
          <w:tcPr>
            <w:tcW w:w="1417" w:type="dxa"/>
            <w:tcBorders>
              <w:top w:val="nil"/>
              <w:left w:val="single" w:sz="18" w:space="0" w:color="BFBFBF"/>
              <w:bottom w:val="single" w:sz="18" w:space="0" w:color="BFBFBF" w:themeColor="background1" w:themeShade="BF"/>
              <w:right w:val="single" w:sz="18" w:space="0" w:color="C0C0C0"/>
            </w:tcBorders>
            <w:shd w:val="clear" w:color="auto" w:fill="31849B"/>
            <w:vAlign w:val="center"/>
          </w:tcPr>
          <w:p w14:paraId="0F906145" w14:textId="0FC4E619"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26 ICM</w:t>
            </w:r>
          </w:p>
        </w:tc>
        <w:tc>
          <w:tcPr>
            <w:tcW w:w="1276" w:type="dxa"/>
            <w:tcBorders>
              <w:top w:val="nil"/>
              <w:left w:val="single" w:sz="18" w:space="0" w:color="C0C0C0"/>
              <w:bottom w:val="single" w:sz="18" w:space="0" w:color="BFBFBF" w:themeColor="background1" w:themeShade="BF"/>
              <w:right w:val="single" w:sz="18" w:space="0" w:color="C0C0C0"/>
            </w:tcBorders>
            <w:shd w:val="clear" w:color="auto" w:fill="31849B"/>
            <w:vAlign w:val="center"/>
          </w:tcPr>
          <w:p w14:paraId="30F05BA0" w14:textId="0FBBFC71" w:rsidR="00744B4F" w:rsidRPr="009416EA" w:rsidRDefault="00744B4F" w:rsidP="00744B4F">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27 ½ day ICM</w:t>
            </w:r>
          </w:p>
        </w:tc>
        <w:tc>
          <w:tcPr>
            <w:tcW w:w="1234"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0FF7CE83" w14:textId="77777777" w:rsidR="00744B4F" w:rsidRPr="004D1666" w:rsidRDefault="00744B4F" w:rsidP="00744B4F">
            <w:pPr>
              <w:jc w:val="center"/>
              <w:rPr>
                <w:rFonts w:ascii="Arial Narrow" w:hAnsi="Arial Narrow" w:cs="Arial"/>
                <w:sz w:val="15"/>
                <w:szCs w:val="15"/>
              </w:rPr>
            </w:pPr>
          </w:p>
        </w:tc>
        <w:tc>
          <w:tcPr>
            <w:tcW w:w="3245" w:type="dxa"/>
            <w:vMerge/>
            <w:tcBorders>
              <w:left w:val="single" w:sz="18" w:space="0" w:color="auto"/>
              <w:bottom w:val="single" w:sz="18" w:space="0" w:color="BFBFBF" w:themeColor="background1" w:themeShade="BF"/>
              <w:right w:val="single" w:sz="18" w:space="0" w:color="auto"/>
            </w:tcBorders>
            <w:shd w:val="clear" w:color="auto" w:fill="auto"/>
            <w:vAlign w:val="center"/>
          </w:tcPr>
          <w:p w14:paraId="30BA32B6" w14:textId="77777777" w:rsidR="00744B4F" w:rsidRPr="004D1666" w:rsidRDefault="00744B4F" w:rsidP="00744B4F">
            <w:pPr>
              <w:jc w:val="center"/>
              <w:rPr>
                <w:rFonts w:ascii="Arial Narrow" w:hAnsi="Arial Narrow" w:cs="Arial"/>
                <w:b/>
                <w:bCs/>
                <w:sz w:val="15"/>
                <w:szCs w:val="15"/>
              </w:rPr>
            </w:pPr>
          </w:p>
        </w:tc>
      </w:tr>
      <w:tr w:rsidR="009416EA" w:rsidRPr="00BC2C5D" w14:paraId="2A3C72E2" w14:textId="77777777" w:rsidTr="00247AC2">
        <w:trPr>
          <w:trHeight w:val="285"/>
        </w:trPr>
        <w:tc>
          <w:tcPr>
            <w:tcW w:w="1134"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2C84293E" w14:textId="5CAD8ABC" w:rsidR="00744B4F" w:rsidRDefault="00744B4F" w:rsidP="00744B4F">
            <w:pPr>
              <w:jc w:val="center"/>
              <w:rPr>
                <w:rFonts w:ascii="Arial Narrow" w:hAnsi="Arial Narrow" w:cs="Arial"/>
                <w:sz w:val="16"/>
                <w:szCs w:val="16"/>
              </w:rPr>
            </w:pPr>
            <w:r>
              <w:rPr>
                <w:rFonts w:ascii="Arial Narrow" w:hAnsi="Arial Narrow" w:cs="Arial"/>
                <w:sz w:val="16"/>
                <w:szCs w:val="16"/>
              </w:rPr>
              <w:t>31 July</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652F01DE" w14:textId="77777777" w:rsidR="00744B4F" w:rsidRPr="004D1666" w:rsidRDefault="00744B4F" w:rsidP="00744B4F">
            <w:pPr>
              <w:jc w:val="center"/>
              <w:rPr>
                <w:rFonts w:ascii="Arial Narrow" w:hAnsi="Arial Narrow" w:cs="Arial"/>
                <w:sz w:val="15"/>
                <w:szCs w:val="15"/>
              </w:rPr>
            </w:pPr>
          </w:p>
        </w:tc>
        <w:tc>
          <w:tcPr>
            <w:tcW w:w="1418" w:type="dxa"/>
            <w:vMerge w:val="restart"/>
            <w:tcBorders>
              <w:top w:val="single" w:sz="18" w:space="0" w:color="BFBFBF" w:themeColor="background1" w:themeShade="BF"/>
              <w:left w:val="single" w:sz="18" w:space="0" w:color="C0C0C0"/>
              <w:right w:val="single" w:sz="18" w:space="0" w:color="BFBFBF"/>
              <w:tr2bl w:val="nil"/>
            </w:tcBorders>
            <w:shd w:val="clear" w:color="auto" w:fill="FFFF00"/>
            <w:vAlign w:val="center"/>
          </w:tcPr>
          <w:p w14:paraId="57679363" w14:textId="39D026BC" w:rsidR="00744B4F" w:rsidRPr="009416EA" w:rsidRDefault="00744B4F" w:rsidP="00744B4F">
            <w:pPr>
              <w:jc w:val="center"/>
              <w:rPr>
                <w:rFonts w:ascii="Arial Narrow" w:hAnsi="Arial Narrow" w:cs="Arial"/>
                <w:b/>
                <w:bCs/>
                <w:sz w:val="16"/>
                <w:szCs w:val="16"/>
              </w:rPr>
            </w:pPr>
            <w:r w:rsidRPr="009416EA">
              <w:rPr>
                <w:rFonts w:ascii="Arial Narrow" w:hAnsi="Arial Narrow" w:cs="Arial"/>
                <w:b/>
                <w:bCs/>
                <w:sz w:val="16"/>
                <w:szCs w:val="16"/>
              </w:rPr>
              <w:t>1</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3B8E32D4" w14:textId="7B4C3A1C" w:rsidR="00744B4F"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 ICM</w:t>
            </w:r>
          </w:p>
        </w:tc>
        <w:tc>
          <w:tcPr>
            <w:tcW w:w="1276" w:type="dxa"/>
            <w:vMerge w:val="restart"/>
            <w:tcBorders>
              <w:top w:val="single" w:sz="18" w:space="0" w:color="BFBFBF" w:themeColor="background1" w:themeShade="BF"/>
              <w:left w:val="single" w:sz="18" w:space="0" w:color="C0C0C0"/>
              <w:right w:val="single" w:sz="18" w:space="0" w:color="C0C0C0"/>
            </w:tcBorders>
            <w:shd w:val="clear" w:color="auto" w:fill="A972A9"/>
            <w:vAlign w:val="center"/>
          </w:tcPr>
          <w:p w14:paraId="5940BE24" w14:textId="365E3743" w:rsidR="00744B4F"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3 ICM</w:t>
            </w:r>
          </w:p>
        </w:tc>
        <w:tc>
          <w:tcPr>
            <w:tcW w:w="1234"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23CB3DBA" w14:textId="34B42601" w:rsidR="00744B4F" w:rsidRPr="004D1666" w:rsidRDefault="00744B4F" w:rsidP="00744B4F">
            <w:pPr>
              <w:jc w:val="center"/>
              <w:rPr>
                <w:rFonts w:ascii="Arial Narrow" w:hAnsi="Arial Narrow" w:cs="Arial"/>
                <w:sz w:val="15"/>
                <w:szCs w:val="15"/>
              </w:rPr>
            </w:pPr>
            <w:r w:rsidRPr="004D1666">
              <w:rPr>
                <w:rFonts w:ascii="Arial Narrow" w:hAnsi="Arial Narrow" w:cs="Arial"/>
                <w:b/>
                <w:bCs/>
                <w:sz w:val="15"/>
                <w:szCs w:val="15"/>
              </w:rPr>
              <w:t>Public Holiday – AU Only</w:t>
            </w:r>
          </w:p>
        </w:tc>
        <w:tc>
          <w:tcPr>
            <w:tcW w:w="3245"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221F6C58" w14:textId="77777777" w:rsidR="00744B4F" w:rsidRPr="004D1666" w:rsidRDefault="00744B4F" w:rsidP="00744B4F">
            <w:pPr>
              <w:jc w:val="center"/>
              <w:rPr>
                <w:rFonts w:ascii="Arial Narrow" w:hAnsi="Arial Narrow" w:cs="Arial"/>
                <w:b/>
                <w:bCs/>
                <w:sz w:val="15"/>
                <w:szCs w:val="15"/>
              </w:rPr>
            </w:pPr>
            <w:r w:rsidRPr="004D1666">
              <w:rPr>
                <w:rFonts w:ascii="Arial Narrow" w:hAnsi="Arial Narrow" w:cs="Arial"/>
                <w:b/>
                <w:bCs/>
                <w:sz w:val="15"/>
                <w:szCs w:val="15"/>
              </w:rPr>
              <w:t>4 - Aurukun Day Public Holiday</w:t>
            </w:r>
          </w:p>
          <w:p w14:paraId="470BC975" w14:textId="2A8C23CB" w:rsidR="00744B4F" w:rsidRPr="004D1666" w:rsidRDefault="00744B4F" w:rsidP="00744B4F">
            <w:pPr>
              <w:jc w:val="center"/>
              <w:rPr>
                <w:rFonts w:ascii="Arial Narrow" w:hAnsi="Arial Narrow"/>
                <w:sz w:val="15"/>
                <w:szCs w:val="15"/>
              </w:rPr>
            </w:pPr>
            <w:r w:rsidRPr="004D1666">
              <w:rPr>
                <w:rFonts w:ascii="Arial Narrow" w:hAnsi="Arial Narrow" w:cs="Arial"/>
                <w:color w:val="FF0000"/>
                <w:sz w:val="15"/>
                <w:szCs w:val="15"/>
              </w:rPr>
              <w:t>Estimates: Tuesday 1/08/2023 – Friday 4/08/2023</w:t>
            </w:r>
          </w:p>
        </w:tc>
      </w:tr>
      <w:tr w:rsidR="009416EA" w:rsidRPr="00BC2C5D" w14:paraId="66FA98D1" w14:textId="77777777" w:rsidTr="00247AC2">
        <w:trPr>
          <w:trHeight w:val="285"/>
        </w:trPr>
        <w:tc>
          <w:tcPr>
            <w:tcW w:w="1134" w:type="dxa"/>
            <w:vMerge/>
            <w:tcBorders>
              <w:left w:val="single" w:sz="18" w:space="0" w:color="auto"/>
              <w:bottom w:val="single" w:sz="18" w:space="0" w:color="auto"/>
              <w:right w:val="single" w:sz="18" w:space="0" w:color="C0C0C0"/>
            </w:tcBorders>
            <w:shd w:val="clear" w:color="auto" w:fill="auto"/>
            <w:vAlign w:val="center"/>
          </w:tcPr>
          <w:p w14:paraId="0A7F7656" w14:textId="77777777" w:rsidR="000F3E04" w:rsidRDefault="000F3E04" w:rsidP="00C344F6">
            <w:pPr>
              <w:jc w:val="center"/>
              <w:rPr>
                <w:rFonts w:ascii="Arial Narrow" w:hAnsi="Arial Narrow" w:cs="Arial"/>
                <w:sz w:val="16"/>
                <w:szCs w:val="16"/>
              </w:rPr>
            </w:pPr>
          </w:p>
        </w:tc>
        <w:tc>
          <w:tcPr>
            <w:tcW w:w="1134" w:type="dxa"/>
            <w:vMerge/>
            <w:tcBorders>
              <w:left w:val="single" w:sz="18" w:space="0" w:color="C0C0C0"/>
              <w:bottom w:val="single" w:sz="18" w:space="0" w:color="auto"/>
              <w:right w:val="single" w:sz="18" w:space="0" w:color="C0C0C0"/>
            </w:tcBorders>
            <w:shd w:val="clear" w:color="auto" w:fill="auto"/>
            <w:vAlign w:val="center"/>
          </w:tcPr>
          <w:p w14:paraId="56EB6A4D" w14:textId="77777777" w:rsidR="000F3E04" w:rsidRPr="004D1666" w:rsidRDefault="000F3E04" w:rsidP="00C344F6">
            <w:pPr>
              <w:jc w:val="center"/>
              <w:rPr>
                <w:rFonts w:ascii="Arial Narrow" w:hAnsi="Arial Narrow" w:cs="Arial"/>
                <w:sz w:val="15"/>
                <w:szCs w:val="15"/>
              </w:rPr>
            </w:pPr>
          </w:p>
        </w:tc>
        <w:tc>
          <w:tcPr>
            <w:tcW w:w="1418" w:type="dxa"/>
            <w:vMerge/>
            <w:tcBorders>
              <w:left w:val="single" w:sz="18" w:space="0" w:color="C0C0C0"/>
              <w:bottom w:val="single" w:sz="18" w:space="0" w:color="auto"/>
              <w:right w:val="single" w:sz="18" w:space="0" w:color="BFBFBF"/>
              <w:tr2bl w:val="nil"/>
            </w:tcBorders>
            <w:shd w:val="clear" w:color="auto" w:fill="FFFF00"/>
            <w:vAlign w:val="center"/>
          </w:tcPr>
          <w:p w14:paraId="2059FA7F" w14:textId="77777777" w:rsidR="000F3E04" w:rsidRPr="009416EA" w:rsidRDefault="000F3E04" w:rsidP="00C344F6">
            <w:pPr>
              <w:jc w:val="center"/>
              <w:rPr>
                <w:rFonts w:ascii="Arial Narrow" w:hAnsi="Arial Narrow" w:cs="Arial"/>
                <w:b/>
                <w:bCs/>
                <w:sz w:val="16"/>
                <w:szCs w:val="16"/>
              </w:rPr>
            </w:pPr>
          </w:p>
        </w:tc>
        <w:tc>
          <w:tcPr>
            <w:tcW w:w="1417" w:type="dxa"/>
            <w:tcBorders>
              <w:top w:val="nil"/>
              <w:left w:val="single" w:sz="18" w:space="0" w:color="BFBFBF"/>
              <w:bottom w:val="single" w:sz="18" w:space="0" w:color="auto"/>
              <w:right w:val="single" w:sz="18" w:space="0" w:color="C0C0C0"/>
            </w:tcBorders>
            <w:shd w:val="clear" w:color="auto" w:fill="769250"/>
            <w:vAlign w:val="center"/>
          </w:tcPr>
          <w:p w14:paraId="36EB8A8B" w14:textId="1FD0B963" w:rsidR="000F3E04" w:rsidRPr="009416EA" w:rsidRDefault="00744B4F" w:rsidP="00C344F6">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w:t>
            </w:r>
          </w:p>
        </w:tc>
        <w:tc>
          <w:tcPr>
            <w:tcW w:w="1276" w:type="dxa"/>
            <w:vMerge/>
            <w:tcBorders>
              <w:left w:val="single" w:sz="18" w:space="0" w:color="C0C0C0"/>
              <w:bottom w:val="single" w:sz="18" w:space="0" w:color="auto"/>
              <w:right w:val="single" w:sz="18" w:space="0" w:color="C0C0C0"/>
            </w:tcBorders>
            <w:shd w:val="clear" w:color="auto" w:fill="A972A9"/>
            <w:vAlign w:val="center"/>
          </w:tcPr>
          <w:p w14:paraId="052EB703" w14:textId="77777777" w:rsidR="000F3E04" w:rsidRPr="009416EA" w:rsidRDefault="000F3E04" w:rsidP="00C344F6">
            <w:pPr>
              <w:jc w:val="center"/>
              <w:rPr>
                <w:rFonts w:ascii="Arial Narrow" w:hAnsi="Arial Narrow" w:cs="Arial"/>
                <w:b/>
                <w:bCs/>
                <w:sz w:val="16"/>
                <w:szCs w:val="16"/>
              </w:rPr>
            </w:pPr>
          </w:p>
        </w:tc>
        <w:tc>
          <w:tcPr>
            <w:tcW w:w="1234" w:type="dxa"/>
            <w:vMerge/>
            <w:tcBorders>
              <w:left w:val="single" w:sz="18" w:space="0" w:color="C0C0C0"/>
              <w:bottom w:val="single" w:sz="18" w:space="0" w:color="auto"/>
              <w:right w:val="single" w:sz="18" w:space="0" w:color="auto"/>
            </w:tcBorders>
            <w:shd w:val="clear" w:color="auto" w:fill="auto"/>
            <w:vAlign w:val="center"/>
          </w:tcPr>
          <w:p w14:paraId="6C2FB0A0" w14:textId="77777777" w:rsidR="000F3E04" w:rsidRPr="004D1666" w:rsidRDefault="000F3E04" w:rsidP="00C344F6">
            <w:pPr>
              <w:jc w:val="center"/>
              <w:rPr>
                <w:rFonts w:ascii="Arial Narrow" w:hAnsi="Arial Narrow" w:cs="Arial"/>
                <w:b/>
                <w:bCs/>
                <w:sz w:val="15"/>
                <w:szCs w:val="15"/>
              </w:rPr>
            </w:pPr>
          </w:p>
        </w:tc>
        <w:tc>
          <w:tcPr>
            <w:tcW w:w="3245" w:type="dxa"/>
            <w:vMerge/>
            <w:tcBorders>
              <w:left w:val="single" w:sz="18" w:space="0" w:color="auto"/>
              <w:bottom w:val="single" w:sz="18" w:space="0" w:color="auto"/>
              <w:right w:val="single" w:sz="18" w:space="0" w:color="auto"/>
            </w:tcBorders>
            <w:shd w:val="clear" w:color="auto" w:fill="auto"/>
            <w:vAlign w:val="center"/>
          </w:tcPr>
          <w:p w14:paraId="7C97CF5A" w14:textId="77777777" w:rsidR="000F3E04" w:rsidRPr="004D1666" w:rsidRDefault="000F3E04" w:rsidP="00261DCA">
            <w:pPr>
              <w:jc w:val="center"/>
              <w:rPr>
                <w:rFonts w:ascii="Arial Narrow" w:hAnsi="Arial Narrow" w:cs="Arial"/>
                <w:b/>
                <w:bCs/>
                <w:sz w:val="15"/>
                <w:szCs w:val="15"/>
              </w:rPr>
            </w:pPr>
          </w:p>
        </w:tc>
      </w:tr>
      <w:tr w:rsidR="009416EA" w:rsidRPr="00BC2C5D" w14:paraId="20327535" w14:textId="77777777" w:rsidTr="00203195">
        <w:trPr>
          <w:trHeight w:val="567"/>
        </w:trPr>
        <w:tc>
          <w:tcPr>
            <w:tcW w:w="1134" w:type="dxa"/>
            <w:tcBorders>
              <w:top w:val="single" w:sz="18" w:space="0" w:color="auto"/>
              <w:left w:val="single" w:sz="18" w:space="0" w:color="auto"/>
              <w:right w:val="single" w:sz="18" w:space="0" w:color="C0C0C0"/>
            </w:tcBorders>
            <w:shd w:val="clear" w:color="auto" w:fill="auto"/>
            <w:vAlign w:val="center"/>
          </w:tcPr>
          <w:p w14:paraId="088F8A57" w14:textId="290EE582" w:rsidR="003B05FB" w:rsidRPr="00A634FA" w:rsidRDefault="003B05FB" w:rsidP="00C344F6">
            <w:pPr>
              <w:jc w:val="center"/>
              <w:rPr>
                <w:rFonts w:ascii="Arial Narrow" w:hAnsi="Arial Narrow" w:cs="Arial"/>
                <w:sz w:val="16"/>
                <w:szCs w:val="16"/>
              </w:rPr>
            </w:pPr>
            <w:r>
              <w:rPr>
                <w:rFonts w:ascii="Arial Narrow" w:hAnsi="Arial Narrow" w:cs="Arial"/>
                <w:sz w:val="16"/>
                <w:szCs w:val="16"/>
              </w:rPr>
              <w:t>7 August</w:t>
            </w:r>
          </w:p>
        </w:tc>
        <w:tc>
          <w:tcPr>
            <w:tcW w:w="1134" w:type="dxa"/>
            <w:tcBorders>
              <w:top w:val="single" w:sz="18" w:space="0" w:color="auto"/>
              <w:left w:val="single" w:sz="18" w:space="0" w:color="C0C0C0"/>
              <w:right w:val="single" w:sz="18" w:space="0" w:color="C0C0C0"/>
            </w:tcBorders>
            <w:shd w:val="clear" w:color="auto" w:fill="auto"/>
            <w:vAlign w:val="center"/>
          </w:tcPr>
          <w:p w14:paraId="05BAEBD3" w14:textId="77777777" w:rsidR="003B05FB" w:rsidRPr="004D1666" w:rsidRDefault="003B05FB" w:rsidP="00C344F6">
            <w:pPr>
              <w:jc w:val="center"/>
              <w:rPr>
                <w:rFonts w:ascii="Arial Narrow" w:hAnsi="Arial Narrow" w:cs="Arial"/>
                <w:sz w:val="15"/>
                <w:szCs w:val="15"/>
              </w:rPr>
            </w:pPr>
          </w:p>
        </w:tc>
        <w:tc>
          <w:tcPr>
            <w:tcW w:w="1418" w:type="dxa"/>
            <w:tcBorders>
              <w:top w:val="single" w:sz="18" w:space="0" w:color="auto"/>
              <w:left w:val="single" w:sz="18" w:space="0" w:color="C0C0C0"/>
              <w:right w:val="single" w:sz="18" w:space="0" w:color="BFBFBF"/>
            </w:tcBorders>
            <w:shd w:val="clear" w:color="auto" w:fill="auto"/>
            <w:vAlign w:val="center"/>
          </w:tcPr>
          <w:p w14:paraId="6EF5A450" w14:textId="05607BCF" w:rsidR="003B05FB" w:rsidRPr="009416EA" w:rsidRDefault="003B05FB" w:rsidP="00C344F6">
            <w:pPr>
              <w:jc w:val="center"/>
              <w:rPr>
                <w:rFonts w:ascii="Arial Narrow" w:hAnsi="Arial Narrow" w:cs="Arial"/>
                <w:b/>
                <w:bCs/>
                <w:sz w:val="16"/>
                <w:szCs w:val="16"/>
              </w:rPr>
            </w:pPr>
          </w:p>
        </w:tc>
        <w:tc>
          <w:tcPr>
            <w:tcW w:w="1417" w:type="dxa"/>
            <w:tcBorders>
              <w:top w:val="single" w:sz="18" w:space="0" w:color="auto"/>
              <w:left w:val="single" w:sz="18" w:space="0" w:color="BFBFBF"/>
              <w:bottom w:val="single" w:sz="18" w:space="0" w:color="BFBFBF" w:themeColor="background1" w:themeShade="BF"/>
              <w:right w:val="single" w:sz="18" w:space="0" w:color="C0C0C0"/>
            </w:tcBorders>
            <w:shd w:val="clear" w:color="auto" w:fill="auto"/>
            <w:vAlign w:val="center"/>
          </w:tcPr>
          <w:p w14:paraId="60AD86C6" w14:textId="2BD0D3F7" w:rsidR="003B05FB" w:rsidRPr="009416EA" w:rsidRDefault="003B05FB" w:rsidP="00DC638E">
            <w:pPr>
              <w:jc w:val="center"/>
              <w:rPr>
                <w:rFonts w:ascii="Arial Narrow" w:hAnsi="Arial Narrow" w:cs="Arial"/>
                <w:b/>
                <w:bCs/>
                <w:sz w:val="16"/>
                <w:szCs w:val="16"/>
              </w:rPr>
            </w:pPr>
          </w:p>
        </w:tc>
        <w:tc>
          <w:tcPr>
            <w:tcW w:w="1276" w:type="dxa"/>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7C18418D" w14:textId="574C7928" w:rsidR="003B05FB" w:rsidRPr="009416EA" w:rsidRDefault="003B05FB" w:rsidP="00C344F6">
            <w:pPr>
              <w:jc w:val="center"/>
              <w:rPr>
                <w:rFonts w:ascii="Arial Narrow" w:hAnsi="Arial Narrow" w:cs="Arial"/>
                <w:b/>
                <w:bCs/>
                <w:sz w:val="16"/>
                <w:szCs w:val="16"/>
              </w:rPr>
            </w:pPr>
          </w:p>
        </w:tc>
        <w:tc>
          <w:tcPr>
            <w:tcW w:w="1234" w:type="dxa"/>
            <w:tcBorders>
              <w:top w:val="single" w:sz="18" w:space="0" w:color="auto"/>
              <w:left w:val="single" w:sz="18" w:space="0" w:color="C0C0C0"/>
              <w:right w:val="single" w:sz="18" w:space="0" w:color="auto"/>
            </w:tcBorders>
            <w:shd w:val="clear" w:color="auto" w:fill="auto"/>
            <w:vAlign w:val="center"/>
          </w:tcPr>
          <w:p w14:paraId="4997C671" w14:textId="77777777" w:rsidR="003B05FB" w:rsidRPr="004D1666" w:rsidRDefault="003B05FB" w:rsidP="00C344F6">
            <w:pPr>
              <w:jc w:val="center"/>
              <w:rPr>
                <w:rFonts w:ascii="Arial Narrow" w:hAnsi="Arial Narrow" w:cs="Arial"/>
                <w:sz w:val="15"/>
                <w:szCs w:val="15"/>
              </w:rPr>
            </w:pPr>
          </w:p>
        </w:tc>
        <w:tc>
          <w:tcPr>
            <w:tcW w:w="3245" w:type="dxa"/>
            <w:tcBorders>
              <w:top w:val="single" w:sz="18" w:space="0" w:color="auto"/>
              <w:left w:val="single" w:sz="18" w:space="0" w:color="auto"/>
              <w:right w:val="single" w:sz="18" w:space="0" w:color="auto"/>
            </w:tcBorders>
            <w:shd w:val="clear" w:color="auto" w:fill="auto"/>
            <w:vAlign w:val="center"/>
          </w:tcPr>
          <w:p w14:paraId="604F4912" w14:textId="77777777" w:rsidR="00A6437C" w:rsidRPr="004D1666" w:rsidRDefault="00A6437C" w:rsidP="00A6437C">
            <w:pPr>
              <w:jc w:val="center"/>
              <w:rPr>
                <w:rFonts w:ascii="Arial Narrow" w:hAnsi="Arial Narrow"/>
                <w:color w:val="31849B"/>
                <w:sz w:val="15"/>
                <w:szCs w:val="15"/>
              </w:rPr>
            </w:pPr>
            <w:r w:rsidRPr="004D1666">
              <w:rPr>
                <w:rFonts w:ascii="Arial Narrow" w:hAnsi="Arial Narrow"/>
                <w:color w:val="31849B"/>
                <w:sz w:val="15"/>
                <w:szCs w:val="15"/>
              </w:rPr>
              <w:t>Cooktown – Circuit</w:t>
            </w:r>
          </w:p>
          <w:p w14:paraId="5CB314C0" w14:textId="77777777" w:rsidR="00A6437C" w:rsidRPr="004D1666" w:rsidRDefault="00A6437C" w:rsidP="00A6437C">
            <w:pPr>
              <w:jc w:val="center"/>
              <w:rPr>
                <w:rFonts w:ascii="Arial Narrow" w:hAnsi="Arial Narrow" w:cs="Arial"/>
                <w:sz w:val="15"/>
                <w:szCs w:val="15"/>
              </w:rPr>
            </w:pPr>
            <w:r w:rsidRPr="004D1666">
              <w:rPr>
                <w:rFonts w:ascii="Arial Narrow" w:hAnsi="Arial Narrow" w:cs="Arial"/>
                <w:sz w:val="15"/>
                <w:szCs w:val="15"/>
              </w:rPr>
              <w:t>10-13 Mount Isa Mines Rodeo</w:t>
            </w:r>
          </w:p>
          <w:p w14:paraId="5D2FE217" w14:textId="77777777" w:rsidR="00A6437C" w:rsidRPr="004D1666" w:rsidRDefault="00A6437C" w:rsidP="00A6437C">
            <w:pPr>
              <w:jc w:val="center"/>
              <w:rPr>
                <w:rFonts w:ascii="Arial Narrow" w:hAnsi="Arial Narrow" w:cs="Arial"/>
                <w:color w:val="FF0000"/>
                <w:sz w:val="15"/>
                <w:szCs w:val="15"/>
              </w:rPr>
            </w:pPr>
            <w:r w:rsidRPr="004D1666">
              <w:rPr>
                <w:rFonts w:ascii="Arial Narrow" w:hAnsi="Arial Narrow" w:cs="Arial"/>
                <w:color w:val="FF0000"/>
                <w:sz w:val="15"/>
                <w:szCs w:val="15"/>
              </w:rPr>
              <w:t>Estimates: Tuesday 8/08/2023 – Thursday 10/08/2023</w:t>
            </w:r>
          </w:p>
          <w:p w14:paraId="71568B7F" w14:textId="11016C1E" w:rsidR="003B05FB" w:rsidRPr="004D1666" w:rsidRDefault="00A6437C" w:rsidP="00A6437C">
            <w:pPr>
              <w:jc w:val="center"/>
              <w:rPr>
                <w:rFonts w:ascii="Arial Narrow" w:hAnsi="Arial Narrow"/>
                <w:color w:val="31849B"/>
                <w:sz w:val="15"/>
                <w:szCs w:val="15"/>
              </w:rPr>
            </w:pPr>
            <w:r w:rsidRPr="004D1666">
              <w:rPr>
                <w:rFonts w:ascii="Arial Narrow" w:hAnsi="Arial Narrow" w:cs="Arial"/>
                <w:color w:val="FF0000"/>
                <w:sz w:val="15"/>
                <w:szCs w:val="15"/>
              </w:rPr>
              <w:t>The FRC will appear before the committee on the morning of 10 August 2023.</w:t>
            </w:r>
          </w:p>
        </w:tc>
      </w:tr>
      <w:tr w:rsidR="009416EA" w:rsidRPr="00BC2C5D" w14:paraId="34AF6A84" w14:textId="77777777" w:rsidTr="00800F51">
        <w:trPr>
          <w:trHeight w:val="284"/>
        </w:trPr>
        <w:tc>
          <w:tcPr>
            <w:tcW w:w="1134"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166DE05A" w14:textId="5CCA0539" w:rsidR="00674F6C" w:rsidRDefault="00674F6C" w:rsidP="00C344F6">
            <w:pPr>
              <w:jc w:val="center"/>
              <w:rPr>
                <w:rFonts w:ascii="Arial Narrow" w:hAnsi="Arial Narrow" w:cs="Arial"/>
                <w:sz w:val="16"/>
                <w:szCs w:val="16"/>
              </w:rPr>
            </w:pPr>
            <w:r>
              <w:rPr>
                <w:rFonts w:ascii="Arial Narrow" w:hAnsi="Arial Narrow" w:cs="Arial"/>
                <w:sz w:val="16"/>
                <w:szCs w:val="16"/>
              </w:rPr>
              <w:t>14 August</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1044A681" w14:textId="77777777" w:rsidR="00674F6C" w:rsidRPr="004D1666" w:rsidRDefault="00674F6C" w:rsidP="00C344F6">
            <w:pPr>
              <w:jc w:val="center"/>
              <w:rPr>
                <w:rFonts w:ascii="Arial Narrow" w:hAnsi="Arial Narrow" w:cs="Arial"/>
                <w:sz w:val="15"/>
                <w:szCs w:val="15"/>
              </w:rPr>
            </w:pPr>
          </w:p>
        </w:tc>
        <w:tc>
          <w:tcPr>
            <w:tcW w:w="1418" w:type="dxa"/>
            <w:vMerge w:val="restart"/>
            <w:tcBorders>
              <w:top w:val="single" w:sz="18" w:space="0" w:color="BFBFBF" w:themeColor="background1" w:themeShade="BF"/>
              <w:left w:val="single" w:sz="18" w:space="0" w:color="C0C0C0"/>
              <w:right w:val="single" w:sz="18" w:space="0" w:color="BFBFBF"/>
            </w:tcBorders>
            <w:shd w:val="clear" w:color="auto" w:fill="FF0000"/>
            <w:vAlign w:val="center"/>
          </w:tcPr>
          <w:p w14:paraId="5254BA5E" w14:textId="77777777" w:rsidR="00744B4F"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15 ½ day Conf</w:t>
            </w:r>
          </w:p>
          <w:p w14:paraId="34B4531E" w14:textId="177E8FED" w:rsidR="00674F6C"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15 ½ day ICM</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04E57ED8" w14:textId="63B119C0" w:rsidR="00674F6C" w:rsidRPr="009416EA" w:rsidRDefault="00744B4F" w:rsidP="00C344F6">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16</w:t>
            </w:r>
          </w:p>
        </w:tc>
        <w:tc>
          <w:tcPr>
            <w:tcW w:w="1276" w:type="dxa"/>
            <w:vMerge w:val="restart"/>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733FC8E2" w14:textId="7E614D7C" w:rsidR="00674F6C" w:rsidRPr="009416EA" w:rsidRDefault="00744B4F" w:rsidP="003B05FB">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17</w:t>
            </w:r>
          </w:p>
        </w:tc>
        <w:tc>
          <w:tcPr>
            <w:tcW w:w="1234"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10A6A94" w14:textId="77777777" w:rsidR="00674F6C" w:rsidRPr="004D1666" w:rsidRDefault="00674F6C" w:rsidP="00C344F6">
            <w:pPr>
              <w:jc w:val="center"/>
              <w:rPr>
                <w:rFonts w:ascii="Arial Narrow" w:hAnsi="Arial Narrow" w:cs="Arial"/>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4A70267F" w14:textId="77777777" w:rsidR="00674F6C" w:rsidRPr="004D1666" w:rsidRDefault="00674F6C" w:rsidP="00A6437C">
            <w:pPr>
              <w:jc w:val="center"/>
              <w:rPr>
                <w:rFonts w:ascii="Arial Narrow" w:hAnsi="Arial Narrow"/>
                <w:sz w:val="15"/>
                <w:szCs w:val="15"/>
              </w:rPr>
            </w:pPr>
            <w:r w:rsidRPr="004D1666">
              <w:rPr>
                <w:rFonts w:ascii="Arial Narrow" w:hAnsi="Arial Narrow"/>
                <w:sz w:val="15"/>
                <w:szCs w:val="15"/>
                <w:highlight w:val="magenta"/>
              </w:rPr>
              <w:t>Doomadgee Gulf Circuit</w:t>
            </w:r>
          </w:p>
          <w:p w14:paraId="37A79FEF" w14:textId="4B81BED0" w:rsidR="00674F6C" w:rsidRPr="004D1666" w:rsidRDefault="00674F6C" w:rsidP="00A6437C">
            <w:pPr>
              <w:jc w:val="center"/>
              <w:rPr>
                <w:rFonts w:ascii="Arial Narrow" w:hAnsi="Arial Narrow"/>
                <w:color w:val="31849B"/>
                <w:sz w:val="15"/>
                <w:szCs w:val="15"/>
              </w:rPr>
            </w:pPr>
            <w:r w:rsidRPr="004D1666">
              <w:rPr>
                <w:rFonts w:ascii="Arial Narrow" w:hAnsi="Arial Narrow"/>
                <w:color w:val="31849B"/>
                <w:sz w:val="15"/>
                <w:szCs w:val="15"/>
              </w:rPr>
              <w:t>Aurukun Cape B Circuit</w:t>
            </w:r>
          </w:p>
        </w:tc>
      </w:tr>
      <w:tr w:rsidR="009416EA" w:rsidRPr="00BC2C5D" w14:paraId="1F180239" w14:textId="77777777" w:rsidTr="00247AC2">
        <w:trPr>
          <w:trHeight w:val="157"/>
        </w:trPr>
        <w:tc>
          <w:tcPr>
            <w:tcW w:w="1134" w:type="dxa"/>
            <w:vMerge/>
            <w:tcBorders>
              <w:left w:val="single" w:sz="18" w:space="0" w:color="auto"/>
              <w:right w:val="single" w:sz="18" w:space="0" w:color="C0C0C0"/>
            </w:tcBorders>
            <w:shd w:val="clear" w:color="auto" w:fill="auto"/>
            <w:vAlign w:val="center"/>
          </w:tcPr>
          <w:p w14:paraId="73991F17" w14:textId="77777777" w:rsidR="00674F6C" w:rsidRDefault="00674F6C"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544A9C62" w14:textId="77777777" w:rsidR="00674F6C" w:rsidRPr="004D1666" w:rsidRDefault="00674F6C" w:rsidP="00C344F6">
            <w:pPr>
              <w:jc w:val="center"/>
              <w:rPr>
                <w:rFonts w:ascii="Arial Narrow" w:hAnsi="Arial Narrow" w:cs="Arial"/>
                <w:sz w:val="15"/>
                <w:szCs w:val="15"/>
              </w:rPr>
            </w:pPr>
          </w:p>
        </w:tc>
        <w:tc>
          <w:tcPr>
            <w:tcW w:w="1418" w:type="dxa"/>
            <w:vMerge/>
            <w:tcBorders>
              <w:left w:val="single" w:sz="18" w:space="0" w:color="C0C0C0"/>
              <w:right w:val="single" w:sz="18" w:space="0" w:color="BFBFBF"/>
            </w:tcBorders>
            <w:shd w:val="clear" w:color="auto" w:fill="FF0000"/>
            <w:vAlign w:val="center"/>
          </w:tcPr>
          <w:p w14:paraId="4D5E2C26" w14:textId="77777777" w:rsidR="00674F6C" w:rsidRPr="009416EA" w:rsidRDefault="00674F6C" w:rsidP="00DC638E">
            <w:pPr>
              <w:jc w:val="center"/>
              <w:rPr>
                <w:rFonts w:ascii="Arial Narrow" w:hAnsi="Arial Narrow" w:cs="Arial"/>
                <w:b/>
                <w:bCs/>
                <w:color w:val="FFFFFF" w:themeColor="background1"/>
                <w:sz w:val="16"/>
                <w:szCs w:val="16"/>
              </w:rPr>
            </w:pPr>
          </w:p>
        </w:tc>
        <w:tc>
          <w:tcPr>
            <w:tcW w:w="1417" w:type="dxa"/>
            <w:tcBorders>
              <w:top w:val="nil"/>
              <w:left w:val="single" w:sz="18" w:space="0" w:color="BFBFBF"/>
              <w:bottom w:val="nil"/>
              <w:right w:val="single" w:sz="18" w:space="0" w:color="C0C0C0"/>
            </w:tcBorders>
            <w:shd w:val="clear" w:color="auto" w:fill="769250"/>
            <w:vAlign w:val="center"/>
          </w:tcPr>
          <w:p w14:paraId="30D091C3" w14:textId="2A9D82EA" w:rsidR="00674F6C" w:rsidRPr="009416EA" w:rsidRDefault="00744B4F" w:rsidP="00C344F6">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16</w:t>
            </w:r>
          </w:p>
        </w:tc>
        <w:tc>
          <w:tcPr>
            <w:tcW w:w="1276" w:type="dxa"/>
            <w:vMerge/>
            <w:tcBorders>
              <w:top w:val="single" w:sz="18" w:space="0" w:color="FFFFFF"/>
              <w:left w:val="single" w:sz="18" w:space="0" w:color="C0C0C0"/>
              <w:bottom w:val="nil"/>
              <w:right w:val="single" w:sz="18" w:space="0" w:color="C0C0C0"/>
            </w:tcBorders>
            <w:shd w:val="clear" w:color="auto" w:fill="A972A9"/>
            <w:vAlign w:val="center"/>
          </w:tcPr>
          <w:p w14:paraId="4C74A527" w14:textId="77777777" w:rsidR="00674F6C" w:rsidRPr="009416EA" w:rsidRDefault="00674F6C" w:rsidP="003B05FB">
            <w:pPr>
              <w:jc w:val="center"/>
              <w:rPr>
                <w:rFonts w:ascii="Arial Narrow" w:hAnsi="Arial Narrow" w:cs="Arial"/>
                <w:b/>
                <w:bCs/>
                <w:color w:val="FFFFFF" w:themeColor="background1"/>
                <w:sz w:val="16"/>
                <w:szCs w:val="16"/>
              </w:rPr>
            </w:pPr>
          </w:p>
        </w:tc>
        <w:tc>
          <w:tcPr>
            <w:tcW w:w="1234" w:type="dxa"/>
            <w:vMerge/>
            <w:tcBorders>
              <w:left w:val="single" w:sz="18" w:space="0" w:color="C0C0C0"/>
              <w:right w:val="single" w:sz="18" w:space="0" w:color="auto"/>
            </w:tcBorders>
            <w:shd w:val="clear" w:color="auto" w:fill="auto"/>
            <w:vAlign w:val="center"/>
          </w:tcPr>
          <w:p w14:paraId="31F0B5AA" w14:textId="77777777" w:rsidR="00674F6C" w:rsidRPr="004D1666" w:rsidRDefault="00674F6C" w:rsidP="00C344F6">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7A761531" w14:textId="77777777" w:rsidR="00674F6C" w:rsidRPr="004D1666" w:rsidRDefault="00674F6C" w:rsidP="00A6437C">
            <w:pPr>
              <w:jc w:val="center"/>
              <w:rPr>
                <w:rFonts w:ascii="Arial Narrow" w:hAnsi="Arial Narrow"/>
                <w:sz w:val="15"/>
                <w:szCs w:val="15"/>
                <w:highlight w:val="magenta"/>
              </w:rPr>
            </w:pPr>
          </w:p>
        </w:tc>
      </w:tr>
      <w:tr w:rsidR="009416EA" w:rsidRPr="00BC2C5D" w14:paraId="2FD09AF1" w14:textId="77777777" w:rsidTr="00800F51">
        <w:trPr>
          <w:trHeight w:val="284"/>
        </w:trPr>
        <w:tc>
          <w:tcPr>
            <w:tcW w:w="1134" w:type="dxa"/>
            <w:vMerge/>
            <w:tcBorders>
              <w:left w:val="single" w:sz="18" w:space="0" w:color="auto"/>
              <w:right w:val="single" w:sz="18" w:space="0" w:color="C0C0C0"/>
            </w:tcBorders>
            <w:shd w:val="clear" w:color="auto" w:fill="auto"/>
            <w:vAlign w:val="center"/>
          </w:tcPr>
          <w:p w14:paraId="533AE4E8" w14:textId="77777777" w:rsidR="00674F6C" w:rsidRDefault="00674F6C"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156C6922" w14:textId="77777777" w:rsidR="00674F6C" w:rsidRPr="004D1666" w:rsidRDefault="00674F6C" w:rsidP="00C344F6">
            <w:pPr>
              <w:jc w:val="center"/>
              <w:rPr>
                <w:rFonts w:ascii="Arial Narrow" w:hAnsi="Arial Narrow" w:cs="Arial"/>
                <w:sz w:val="15"/>
                <w:szCs w:val="15"/>
              </w:rPr>
            </w:pPr>
          </w:p>
        </w:tc>
        <w:tc>
          <w:tcPr>
            <w:tcW w:w="1418" w:type="dxa"/>
            <w:vMerge/>
            <w:tcBorders>
              <w:left w:val="single" w:sz="18" w:space="0" w:color="C0C0C0"/>
              <w:right w:val="single" w:sz="18" w:space="0" w:color="BFBFBF"/>
            </w:tcBorders>
            <w:shd w:val="clear" w:color="auto" w:fill="FF0000"/>
            <w:vAlign w:val="center"/>
          </w:tcPr>
          <w:p w14:paraId="7B09F073" w14:textId="77777777" w:rsidR="00674F6C" w:rsidRPr="009416EA" w:rsidRDefault="00674F6C" w:rsidP="00DC638E">
            <w:pPr>
              <w:jc w:val="center"/>
              <w:rPr>
                <w:rFonts w:ascii="Arial Narrow" w:hAnsi="Arial Narrow" w:cs="Arial"/>
                <w:b/>
                <w:bCs/>
                <w:color w:val="FFFFFF" w:themeColor="background1"/>
                <w:sz w:val="16"/>
                <w:szCs w:val="16"/>
              </w:rPr>
            </w:pPr>
          </w:p>
        </w:tc>
        <w:tc>
          <w:tcPr>
            <w:tcW w:w="1417" w:type="dxa"/>
            <w:tcBorders>
              <w:top w:val="nil"/>
              <w:left w:val="single" w:sz="18" w:space="0" w:color="BFBFBF"/>
              <w:right w:val="single" w:sz="18" w:space="0" w:color="C0C0C0"/>
            </w:tcBorders>
            <w:shd w:val="clear" w:color="auto" w:fill="FF0000"/>
            <w:vAlign w:val="center"/>
          </w:tcPr>
          <w:p w14:paraId="475A6755" w14:textId="19190436" w:rsidR="00674F6C" w:rsidRPr="009416EA" w:rsidRDefault="00744B4F" w:rsidP="00C344F6">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16</w:t>
            </w:r>
          </w:p>
        </w:tc>
        <w:tc>
          <w:tcPr>
            <w:tcW w:w="1276" w:type="dxa"/>
            <w:tcBorders>
              <w:top w:val="nil"/>
              <w:left w:val="single" w:sz="18" w:space="0" w:color="C0C0C0"/>
              <w:bottom w:val="single" w:sz="18" w:space="0" w:color="C0C0C0"/>
              <w:right w:val="single" w:sz="18" w:space="0" w:color="C0C0C0"/>
            </w:tcBorders>
            <w:shd w:val="clear" w:color="auto" w:fill="FF0000"/>
            <w:vAlign w:val="center"/>
          </w:tcPr>
          <w:p w14:paraId="723B15F2" w14:textId="1F533252" w:rsidR="00674F6C" w:rsidRPr="009416EA" w:rsidRDefault="00744B4F" w:rsidP="003B05FB">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17 ICM</w:t>
            </w:r>
          </w:p>
        </w:tc>
        <w:tc>
          <w:tcPr>
            <w:tcW w:w="1234" w:type="dxa"/>
            <w:vMerge/>
            <w:tcBorders>
              <w:left w:val="single" w:sz="18" w:space="0" w:color="C0C0C0"/>
              <w:right w:val="single" w:sz="18" w:space="0" w:color="auto"/>
            </w:tcBorders>
            <w:shd w:val="clear" w:color="auto" w:fill="auto"/>
            <w:vAlign w:val="center"/>
          </w:tcPr>
          <w:p w14:paraId="5FC5DE99" w14:textId="77777777" w:rsidR="00674F6C" w:rsidRPr="004D1666" w:rsidRDefault="00674F6C" w:rsidP="00C344F6">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44F96CD2" w14:textId="77777777" w:rsidR="00674F6C" w:rsidRPr="004D1666" w:rsidRDefault="00674F6C" w:rsidP="00A6437C">
            <w:pPr>
              <w:jc w:val="center"/>
              <w:rPr>
                <w:rFonts w:ascii="Arial Narrow" w:hAnsi="Arial Narrow"/>
                <w:sz w:val="15"/>
                <w:szCs w:val="15"/>
                <w:highlight w:val="magenta"/>
              </w:rPr>
            </w:pPr>
          </w:p>
        </w:tc>
      </w:tr>
      <w:tr w:rsidR="009416EA" w:rsidRPr="00BC2C5D" w14:paraId="2980BC10" w14:textId="77777777" w:rsidTr="00A975E3">
        <w:trPr>
          <w:trHeight w:val="284"/>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4AC745A6" w14:textId="18BBDA10" w:rsidR="00744B4F" w:rsidRPr="00A634FA" w:rsidRDefault="00744B4F" w:rsidP="00744B4F">
            <w:pPr>
              <w:jc w:val="center"/>
              <w:rPr>
                <w:rFonts w:ascii="Arial Narrow" w:hAnsi="Arial Narrow" w:cs="Arial"/>
                <w:sz w:val="16"/>
                <w:szCs w:val="16"/>
              </w:rPr>
            </w:pPr>
            <w:r>
              <w:rPr>
                <w:rFonts w:ascii="Arial Narrow" w:hAnsi="Arial Narrow" w:cs="Arial"/>
                <w:sz w:val="16"/>
                <w:szCs w:val="16"/>
              </w:rPr>
              <w:t>21 August</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59C7D183" w14:textId="77777777" w:rsidR="00744B4F" w:rsidRPr="004D1666" w:rsidRDefault="00744B4F" w:rsidP="00744B4F">
            <w:pPr>
              <w:jc w:val="center"/>
              <w:rPr>
                <w:rFonts w:ascii="Arial Narrow" w:hAnsi="Arial Narrow" w:cs="Arial"/>
                <w:sz w:val="15"/>
                <w:szCs w:val="15"/>
              </w:rPr>
            </w:pPr>
          </w:p>
        </w:tc>
        <w:tc>
          <w:tcPr>
            <w:tcW w:w="1418" w:type="dxa"/>
            <w:tcBorders>
              <w:top w:val="single" w:sz="18" w:space="0" w:color="C0C0C0"/>
              <w:left w:val="single" w:sz="18" w:space="0" w:color="C0C0C0"/>
              <w:bottom w:val="nil"/>
              <w:right w:val="single" w:sz="18" w:space="0" w:color="BFBFBF"/>
            </w:tcBorders>
            <w:shd w:val="clear" w:color="auto" w:fill="FFFF00"/>
            <w:vAlign w:val="center"/>
          </w:tcPr>
          <w:p w14:paraId="61BD711E" w14:textId="1A167039" w:rsidR="00744B4F" w:rsidRPr="00A975E3" w:rsidRDefault="00A975E3" w:rsidP="00744B4F">
            <w:pPr>
              <w:jc w:val="center"/>
              <w:rPr>
                <w:rFonts w:ascii="Arial Narrow" w:hAnsi="Arial Narrow" w:cs="Arial"/>
                <w:sz w:val="16"/>
                <w:szCs w:val="16"/>
              </w:rPr>
            </w:pPr>
            <w:r w:rsidRPr="00A975E3">
              <w:rPr>
                <w:rFonts w:ascii="Arial Narrow" w:hAnsi="Arial Narrow" w:cs="Arial"/>
                <w:b/>
                <w:bCs/>
                <w:sz w:val="16"/>
                <w:szCs w:val="16"/>
              </w:rPr>
              <w:t>22</w:t>
            </w:r>
          </w:p>
        </w:tc>
        <w:tc>
          <w:tcPr>
            <w:tcW w:w="1417" w:type="dxa"/>
            <w:vMerge w:val="restart"/>
            <w:tcBorders>
              <w:top w:val="single" w:sz="18" w:space="0" w:color="C0C0C0"/>
              <w:left w:val="single" w:sz="18" w:space="0" w:color="BFBFBF"/>
              <w:right w:val="single" w:sz="18" w:space="0" w:color="C0C0C0"/>
            </w:tcBorders>
            <w:shd w:val="clear" w:color="auto" w:fill="FF0000"/>
            <w:vAlign w:val="center"/>
          </w:tcPr>
          <w:p w14:paraId="17CC326B" w14:textId="77777777" w:rsidR="00744B4F"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23 ½ day Conf</w:t>
            </w:r>
          </w:p>
          <w:p w14:paraId="3BA986A2" w14:textId="0FB6F70F" w:rsidR="00744B4F"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23 ½ day ESR/ICM</w:t>
            </w:r>
          </w:p>
        </w:tc>
        <w:tc>
          <w:tcPr>
            <w:tcW w:w="1276" w:type="dxa"/>
            <w:vMerge w:val="restart"/>
            <w:tcBorders>
              <w:top w:val="single" w:sz="18" w:space="0" w:color="C0C0C0"/>
              <w:left w:val="single" w:sz="18" w:space="0" w:color="C0C0C0"/>
              <w:right w:val="single" w:sz="18" w:space="0" w:color="C0C0C0"/>
            </w:tcBorders>
            <w:shd w:val="clear" w:color="auto" w:fill="FF0000"/>
            <w:vAlign w:val="center"/>
          </w:tcPr>
          <w:p w14:paraId="719EBC8E" w14:textId="7930B929" w:rsidR="00744B4F"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24 ICM</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71B48D44" w14:textId="46BAD1CE" w:rsidR="00744B4F" w:rsidRPr="004D1666" w:rsidRDefault="00744B4F" w:rsidP="00744B4F">
            <w:pPr>
              <w:jc w:val="center"/>
              <w:rPr>
                <w:rFonts w:ascii="Arial Narrow" w:hAnsi="Arial Narrow" w:cs="Arial"/>
                <w:sz w:val="15"/>
                <w:szCs w:val="15"/>
              </w:rPr>
            </w:pPr>
            <w:r w:rsidRPr="004D1666">
              <w:rPr>
                <w:rFonts w:ascii="Arial Narrow" w:hAnsi="Arial Narrow" w:cs="Arial"/>
                <w:b/>
                <w:bCs/>
                <w:sz w:val="15"/>
                <w:szCs w:val="15"/>
              </w:rPr>
              <w:t>Public Holiday – DM Only</w:t>
            </w: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49073902" w14:textId="77777777" w:rsidR="00744B4F" w:rsidRPr="004D1666" w:rsidRDefault="00744B4F" w:rsidP="00744B4F">
            <w:pPr>
              <w:jc w:val="center"/>
              <w:rPr>
                <w:rFonts w:ascii="Arial Narrow" w:hAnsi="Arial Narrow" w:cs="Arial"/>
                <w:sz w:val="15"/>
                <w:szCs w:val="15"/>
              </w:rPr>
            </w:pPr>
            <w:r w:rsidRPr="004D1666">
              <w:rPr>
                <w:rFonts w:ascii="Arial Narrow" w:hAnsi="Arial Narrow" w:cs="Arial"/>
                <w:b/>
                <w:bCs/>
                <w:sz w:val="15"/>
                <w:szCs w:val="15"/>
              </w:rPr>
              <w:t>25 - Doomadgee Day Public Holiday</w:t>
            </w:r>
          </w:p>
          <w:p w14:paraId="369C694F" w14:textId="3522CA8F" w:rsidR="00744B4F" w:rsidRPr="004D1666" w:rsidRDefault="00744B4F" w:rsidP="00744B4F">
            <w:pPr>
              <w:jc w:val="center"/>
              <w:rPr>
                <w:rFonts w:ascii="Arial Narrow" w:hAnsi="Arial Narrow"/>
                <w:color w:val="31849B"/>
                <w:sz w:val="15"/>
                <w:szCs w:val="15"/>
              </w:rPr>
            </w:pPr>
            <w:r w:rsidRPr="004D1666">
              <w:rPr>
                <w:rFonts w:ascii="Arial Narrow" w:hAnsi="Arial Narrow" w:cs="Arial"/>
                <w:sz w:val="15"/>
                <w:szCs w:val="15"/>
              </w:rPr>
              <w:t>25-27 Camooweal Drovers Camp Festival</w:t>
            </w:r>
          </w:p>
        </w:tc>
      </w:tr>
      <w:tr w:rsidR="009416EA" w:rsidRPr="00BC2C5D" w14:paraId="6DC100E3" w14:textId="77777777" w:rsidTr="00A975E3">
        <w:trPr>
          <w:trHeight w:val="284"/>
        </w:trPr>
        <w:tc>
          <w:tcPr>
            <w:tcW w:w="1134" w:type="dxa"/>
            <w:vMerge/>
            <w:tcBorders>
              <w:left w:val="single" w:sz="18" w:space="0" w:color="auto"/>
              <w:right w:val="single" w:sz="18" w:space="0" w:color="C0C0C0"/>
            </w:tcBorders>
            <w:shd w:val="clear" w:color="auto" w:fill="auto"/>
            <w:vAlign w:val="center"/>
          </w:tcPr>
          <w:p w14:paraId="5973006D" w14:textId="77777777" w:rsidR="000F3E04" w:rsidRDefault="000F3E04"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2BE43A74" w14:textId="77777777" w:rsidR="000F3E04" w:rsidRPr="004D1666" w:rsidRDefault="000F3E04" w:rsidP="00C344F6">
            <w:pPr>
              <w:jc w:val="center"/>
              <w:rPr>
                <w:rFonts w:ascii="Arial Narrow" w:hAnsi="Arial Narrow" w:cs="Arial"/>
                <w:sz w:val="15"/>
                <w:szCs w:val="15"/>
              </w:rPr>
            </w:pPr>
          </w:p>
        </w:tc>
        <w:tc>
          <w:tcPr>
            <w:tcW w:w="1418" w:type="dxa"/>
            <w:tcBorders>
              <w:top w:val="nil"/>
              <w:left w:val="single" w:sz="18" w:space="0" w:color="C0C0C0"/>
              <w:bottom w:val="single" w:sz="18" w:space="0" w:color="BFBFBF"/>
              <w:right w:val="single" w:sz="18" w:space="0" w:color="BFBFBF"/>
            </w:tcBorders>
            <w:shd w:val="clear" w:color="auto" w:fill="FF0000"/>
            <w:vAlign w:val="center"/>
          </w:tcPr>
          <w:p w14:paraId="0BCA5013" w14:textId="77777777" w:rsidR="00A975E3" w:rsidRPr="009416EA" w:rsidRDefault="00A975E3" w:rsidP="00A975E3">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22 ½ day Conf</w:t>
            </w:r>
          </w:p>
          <w:p w14:paraId="6DA33A59" w14:textId="6B6E96FB" w:rsidR="000F3E04" w:rsidRPr="009416EA" w:rsidRDefault="00A975E3" w:rsidP="00A975E3">
            <w:pPr>
              <w:jc w:val="center"/>
              <w:rPr>
                <w:rFonts w:ascii="Arial Narrow" w:hAnsi="Arial Narrow" w:cs="Arial"/>
                <w:b/>
                <w:bCs/>
                <w:sz w:val="16"/>
                <w:szCs w:val="16"/>
              </w:rPr>
            </w:pPr>
            <w:r w:rsidRPr="009416EA">
              <w:rPr>
                <w:rFonts w:ascii="Arial Narrow" w:hAnsi="Arial Narrow" w:cs="Arial"/>
                <w:b/>
                <w:bCs/>
                <w:color w:val="FFFFFF" w:themeColor="background1"/>
                <w:sz w:val="16"/>
                <w:szCs w:val="16"/>
              </w:rPr>
              <w:t>22 ½ day ESR/ICM</w:t>
            </w:r>
          </w:p>
        </w:tc>
        <w:tc>
          <w:tcPr>
            <w:tcW w:w="1417" w:type="dxa"/>
            <w:vMerge/>
            <w:tcBorders>
              <w:left w:val="single" w:sz="18" w:space="0" w:color="BFBFBF"/>
              <w:right w:val="single" w:sz="18" w:space="0" w:color="C0C0C0"/>
            </w:tcBorders>
            <w:shd w:val="clear" w:color="auto" w:fill="FF0000"/>
            <w:vAlign w:val="center"/>
          </w:tcPr>
          <w:p w14:paraId="2A0249BE" w14:textId="77777777" w:rsidR="000F3E04" w:rsidRPr="009416EA" w:rsidRDefault="000F3E04" w:rsidP="00C344F6">
            <w:pPr>
              <w:jc w:val="center"/>
              <w:rPr>
                <w:rFonts w:ascii="Arial Narrow" w:hAnsi="Arial Narrow" w:cs="Arial"/>
                <w:b/>
                <w:bCs/>
                <w:sz w:val="16"/>
                <w:szCs w:val="16"/>
              </w:rPr>
            </w:pPr>
          </w:p>
        </w:tc>
        <w:tc>
          <w:tcPr>
            <w:tcW w:w="1276" w:type="dxa"/>
            <w:vMerge/>
            <w:tcBorders>
              <w:left w:val="single" w:sz="18" w:space="0" w:color="C0C0C0"/>
              <w:right w:val="single" w:sz="18" w:space="0" w:color="C0C0C0"/>
            </w:tcBorders>
            <w:shd w:val="clear" w:color="auto" w:fill="FF0000"/>
            <w:vAlign w:val="center"/>
          </w:tcPr>
          <w:p w14:paraId="34D3B698" w14:textId="77777777" w:rsidR="000F3E04" w:rsidRPr="009416EA" w:rsidRDefault="000F3E04" w:rsidP="003B05FB">
            <w:pPr>
              <w:jc w:val="center"/>
              <w:rPr>
                <w:rFonts w:ascii="Arial Narrow" w:hAnsi="Arial Narrow" w:cs="Arial"/>
                <w:b/>
                <w:bCs/>
                <w:sz w:val="16"/>
                <w:szCs w:val="16"/>
              </w:rPr>
            </w:pPr>
          </w:p>
        </w:tc>
        <w:tc>
          <w:tcPr>
            <w:tcW w:w="1234" w:type="dxa"/>
            <w:vMerge/>
            <w:tcBorders>
              <w:left w:val="single" w:sz="18" w:space="0" w:color="C0C0C0"/>
              <w:right w:val="single" w:sz="18" w:space="0" w:color="auto"/>
            </w:tcBorders>
            <w:shd w:val="clear" w:color="auto" w:fill="auto"/>
            <w:vAlign w:val="center"/>
          </w:tcPr>
          <w:p w14:paraId="3910C461" w14:textId="77777777" w:rsidR="000F3E04" w:rsidRPr="004D1666" w:rsidRDefault="000F3E04" w:rsidP="00C344F6">
            <w:pPr>
              <w:jc w:val="center"/>
              <w:rPr>
                <w:rFonts w:ascii="Arial Narrow" w:hAnsi="Arial Narrow" w:cs="Arial"/>
                <w:b/>
                <w:bCs/>
                <w:sz w:val="15"/>
                <w:szCs w:val="15"/>
              </w:rPr>
            </w:pPr>
          </w:p>
        </w:tc>
        <w:tc>
          <w:tcPr>
            <w:tcW w:w="3245" w:type="dxa"/>
            <w:vMerge/>
            <w:tcBorders>
              <w:left w:val="single" w:sz="18" w:space="0" w:color="auto"/>
              <w:right w:val="single" w:sz="18" w:space="0" w:color="auto"/>
            </w:tcBorders>
            <w:shd w:val="clear" w:color="auto" w:fill="auto"/>
            <w:vAlign w:val="center"/>
          </w:tcPr>
          <w:p w14:paraId="534A8AF0" w14:textId="77777777" w:rsidR="000F3E04" w:rsidRPr="004D1666" w:rsidRDefault="000F3E04" w:rsidP="00A6437C">
            <w:pPr>
              <w:jc w:val="center"/>
              <w:rPr>
                <w:rFonts w:ascii="Arial Narrow" w:hAnsi="Arial Narrow" w:cs="Arial"/>
                <w:b/>
                <w:bCs/>
                <w:sz w:val="15"/>
                <w:szCs w:val="15"/>
              </w:rPr>
            </w:pPr>
          </w:p>
        </w:tc>
      </w:tr>
      <w:tr w:rsidR="009416EA" w:rsidRPr="00BC2C5D" w14:paraId="3066009B" w14:textId="77777777" w:rsidTr="00203195">
        <w:trPr>
          <w:trHeight w:val="284"/>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4ABB8CC6" w14:textId="7E127FEC" w:rsidR="00744B4F" w:rsidRPr="00A634FA" w:rsidRDefault="00744B4F" w:rsidP="00744B4F">
            <w:pPr>
              <w:jc w:val="center"/>
              <w:rPr>
                <w:rFonts w:ascii="Arial Narrow" w:hAnsi="Arial Narrow" w:cs="Arial"/>
                <w:sz w:val="16"/>
                <w:szCs w:val="16"/>
              </w:rPr>
            </w:pPr>
            <w:r>
              <w:rPr>
                <w:rFonts w:ascii="Arial Narrow" w:hAnsi="Arial Narrow" w:cs="Arial"/>
                <w:sz w:val="16"/>
                <w:szCs w:val="16"/>
              </w:rPr>
              <w:t>28 August</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18147567" w14:textId="77777777" w:rsidR="00744B4F" w:rsidRPr="004D1666" w:rsidRDefault="00744B4F" w:rsidP="00744B4F">
            <w:pPr>
              <w:jc w:val="center"/>
              <w:rPr>
                <w:rFonts w:ascii="Arial Narrow" w:hAnsi="Arial Narrow" w:cs="Arial"/>
                <w:sz w:val="15"/>
                <w:szCs w:val="15"/>
              </w:rPr>
            </w:pPr>
          </w:p>
        </w:tc>
        <w:tc>
          <w:tcPr>
            <w:tcW w:w="1418" w:type="dxa"/>
            <w:vMerge w:val="restart"/>
            <w:tcBorders>
              <w:top w:val="single" w:sz="18" w:space="0" w:color="BFBFBF"/>
              <w:left w:val="single" w:sz="18" w:space="0" w:color="C0C0C0"/>
              <w:right w:val="single" w:sz="18" w:space="0" w:color="BFBFBF"/>
            </w:tcBorders>
            <w:shd w:val="clear" w:color="auto" w:fill="769250"/>
            <w:vAlign w:val="center"/>
          </w:tcPr>
          <w:p w14:paraId="63E8B25A" w14:textId="756AD9AF" w:rsidR="00744B4F"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29 ICM</w:t>
            </w:r>
          </w:p>
        </w:tc>
        <w:tc>
          <w:tcPr>
            <w:tcW w:w="1417" w:type="dxa"/>
            <w:tcBorders>
              <w:top w:val="single" w:sz="18" w:space="0" w:color="BFBFBF"/>
              <w:left w:val="single" w:sz="18" w:space="0" w:color="BFBFBF"/>
              <w:bottom w:val="nil"/>
              <w:right w:val="single" w:sz="18" w:space="0" w:color="C0C0C0"/>
            </w:tcBorders>
            <w:shd w:val="clear" w:color="auto" w:fill="A972A9"/>
            <w:vAlign w:val="center"/>
          </w:tcPr>
          <w:p w14:paraId="710F20E7" w14:textId="500A6704" w:rsidR="00744B4F"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30</w:t>
            </w:r>
          </w:p>
        </w:tc>
        <w:tc>
          <w:tcPr>
            <w:tcW w:w="1276" w:type="dxa"/>
            <w:vMerge w:val="restart"/>
            <w:tcBorders>
              <w:top w:val="single" w:sz="18" w:space="0" w:color="C0C0C0"/>
              <w:left w:val="single" w:sz="18" w:space="0" w:color="C0C0C0"/>
              <w:right w:val="single" w:sz="18" w:space="0" w:color="C0C0C0"/>
            </w:tcBorders>
            <w:shd w:val="clear" w:color="auto" w:fill="A972A9"/>
            <w:vAlign w:val="center"/>
          </w:tcPr>
          <w:p w14:paraId="6C6E2192" w14:textId="3A1ED886" w:rsidR="00744B4F" w:rsidRPr="009416EA" w:rsidRDefault="00744B4F" w:rsidP="00744B4F">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31 ICM</w:t>
            </w:r>
          </w:p>
        </w:tc>
        <w:tc>
          <w:tcPr>
            <w:tcW w:w="1234" w:type="dxa"/>
            <w:vMerge w:val="restart"/>
            <w:tcBorders>
              <w:top w:val="single" w:sz="18" w:space="0" w:color="C0C0C0"/>
              <w:left w:val="single" w:sz="18" w:space="0" w:color="C0C0C0"/>
              <w:right w:val="single" w:sz="18" w:space="0" w:color="auto"/>
            </w:tcBorders>
            <w:shd w:val="clear" w:color="auto" w:fill="D9D9D9" w:themeFill="background1" w:themeFillShade="D9"/>
            <w:vAlign w:val="center"/>
          </w:tcPr>
          <w:p w14:paraId="580ACE5B" w14:textId="2A1E0B40" w:rsidR="00744B4F" w:rsidRPr="004D1666" w:rsidRDefault="00744B4F" w:rsidP="00744B4F">
            <w:pPr>
              <w:jc w:val="center"/>
              <w:rPr>
                <w:rFonts w:ascii="Arial Narrow" w:hAnsi="Arial Narrow" w:cs="Arial"/>
                <w:sz w:val="15"/>
                <w:szCs w:val="15"/>
              </w:rPr>
            </w:pPr>
            <w:r w:rsidRPr="004D1666">
              <w:rPr>
                <w:rFonts w:ascii="Arial Narrow" w:hAnsi="Arial Narrow" w:cs="Arial"/>
                <w:sz w:val="15"/>
                <w:szCs w:val="15"/>
              </w:rPr>
              <w:t>Student Free Day</w:t>
            </w: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319B5DB0" w14:textId="5D991A9C" w:rsidR="00744B4F" w:rsidRPr="004D1666" w:rsidRDefault="00744B4F" w:rsidP="00744B4F">
            <w:pPr>
              <w:jc w:val="center"/>
              <w:rPr>
                <w:rFonts w:ascii="Arial Narrow" w:hAnsi="Arial Narrow"/>
                <w:sz w:val="15"/>
                <w:szCs w:val="15"/>
              </w:rPr>
            </w:pPr>
          </w:p>
        </w:tc>
      </w:tr>
      <w:tr w:rsidR="009416EA" w:rsidRPr="00BC2C5D" w14:paraId="512D2EA6" w14:textId="77777777" w:rsidTr="00203195">
        <w:trPr>
          <w:trHeight w:val="284"/>
        </w:trPr>
        <w:tc>
          <w:tcPr>
            <w:tcW w:w="1134" w:type="dxa"/>
            <w:vMerge/>
            <w:tcBorders>
              <w:left w:val="single" w:sz="18" w:space="0" w:color="auto"/>
              <w:right w:val="single" w:sz="18" w:space="0" w:color="C0C0C0"/>
            </w:tcBorders>
            <w:shd w:val="clear" w:color="auto" w:fill="auto"/>
            <w:vAlign w:val="center"/>
          </w:tcPr>
          <w:p w14:paraId="42F409EC" w14:textId="77777777" w:rsidR="000F3E04" w:rsidRDefault="000F3E04"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272D826B" w14:textId="77777777" w:rsidR="000F3E04" w:rsidRPr="004D1666" w:rsidRDefault="000F3E04" w:rsidP="00C344F6">
            <w:pPr>
              <w:jc w:val="center"/>
              <w:rPr>
                <w:rFonts w:ascii="Arial Narrow" w:hAnsi="Arial Narrow" w:cs="Arial"/>
                <w:sz w:val="15"/>
                <w:szCs w:val="15"/>
              </w:rPr>
            </w:pPr>
          </w:p>
        </w:tc>
        <w:tc>
          <w:tcPr>
            <w:tcW w:w="1418" w:type="dxa"/>
            <w:vMerge/>
            <w:tcBorders>
              <w:left w:val="single" w:sz="18" w:space="0" w:color="C0C0C0"/>
              <w:right w:val="single" w:sz="18" w:space="0" w:color="BFBFBF"/>
            </w:tcBorders>
            <w:shd w:val="clear" w:color="auto" w:fill="769250"/>
            <w:vAlign w:val="center"/>
          </w:tcPr>
          <w:p w14:paraId="17F11AFD" w14:textId="77777777" w:rsidR="000F3E04" w:rsidRPr="009416EA" w:rsidRDefault="000F3E04" w:rsidP="003B05FB">
            <w:pPr>
              <w:jc w:val="center"/>
              <w:rPr>
                <w:rFonts w:ascii="Arial Narrow" w:hAnsi="Arial Narrow" w:cs="Arial"/>
                <w:b/>
                <w:bCs/>
                <w:sz w:val="16"/>
                <w:szCs w:val="16"/>
              </w:rPr>
            </w:pPr>
          </w:p>
        </w:tc>
        <w:tc>
          <w:tcPr>
            <w:tcW w:w="1417" w:type="dxa"/>
            <w:tcBorders>
              <w:top w:val="nil"/>
              <w:left w:val="single" w:sz="18" w:space="0" w:color="BFBFBF"/>
              <w:bottom w:val="single" w:sz="18" w:space="0" w:color="auto"/>
              <w:right w:val="single" w:sz="18" w:space="0" w:color="C0C0C0"/>
            </w:tcBorders>
            <w:shd w:val="clear" w:color="auto" w:fill="31849B"/>
            <w:vAlign w:val="center"/>
          </w:tcPr>
          <w:p w14:paraId="17A526C4" w14:textId="67F59B2D" w:rsidR="000F3E04" w:rsidRPr="009416EA" w:rsidRDefault="00744B4F" w:rsidP="00C344F6">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30</w:t>
            </w:r>
          </w:p>
        </w:tc>
        <w:tc>
          <w:tcPr>
            <w:tcW w:w="1276" w:type="dxa"/>
            <w:vMerge/>
            <w:tcBorders>
              <w:left w:val="single" w:sz="18" w:space="0" w:color="C0C0C0"/>
              <w:right w:val="single" w:sz="18" w:space="0" w:color="C0C0C0"/>
            </w:tcBorders>
            <w:shd w:val="clear" w:color="auto" w:fill="auto"/>
            <w:vAlign w:val="center"/>
          </w:tcPr>
          <w:p w14:paraId="35CCF24A" w14:textId="77777777" w:rsidR="000F3E04" w:rsidRPr="009416EA" w:rsidRDefault="000F3E04" w:rsidP="00C344F6">
            <w:pPr>
              <w:jc w:val="center"/>
              <w:rPr>
                <w:rFonts w:ascii="Arial Narrow" w:hAnsi="Arial Narrow" w:cs="Arial"/>
                <w:b/>
                <w:bCs/>
                <w:sz w:val="16"/>
                <w:szCs w:val="16"/>
              </w:rPr>
            </w:pPr>
          </w:p>
        </w:tc>
        <w:tc>
          <w:tcPr>
            <w:tcW w:w="1234" w:type="dxa"/>
            <w:vMerge/>
            <w:tcBorders>
              <w:left w:val="single" w:sz="18" w:space="0" w:color="C0C0C0"/>
              <w:right w:val="single" w:sz="18" w:space="0" w:color="auto"/>
            </w:tcBorders>
            <w:shd w:val="clear" w:color="auto" w:fill="D9D9D9" w:themeFill="background1" w:themeFillShade="D9"/>
            <w:vAlign w:val="center"/>
          </w:tcPr>
          <w:p w14:paraId="1277C67F" w14:textId="77777777" w:rsidR="000F3E04" w:rsidRDefault="000F3E04" w:rsidP="00C344F6">
            <w:pPr>
              <w:jc w:val="center"/>
              <w:rPr>
                <w:rFonts w:ascii="Arial Narrow" w:hAnsi="Arial Narrow" w:cs="Arial"/>
                <w:sz w:val="16"/>
                <w:szCs w:val="16"/>
              </w:rPr>
            </w:pPr>
          </w:p>
        </w:tc>
        <w:tc>
          <w:tcPr>
            <w:tcW w:w="3245" w:type="dxa"/>
            <w:vMerge/>
            <w:tcBorders>
              <w:left w:val="single" w:sz="18" w:space="0" w:color="auto"/>
              <w:right w:val="single" w:sz="18" w:space="0" w:color="auto"/>
            </w:tcBorders>
            <w:shd w:val="clear" w:color="auto" w:fill="auto"/>
            <w:vAlign w:val="center"/>
          </w:tcPr>
          <w:p w14:paraId="18069FCD" w14:textId="77777777" w:rsidR="000F3E04" w:rsidRPr="004D1666" w:rsidRDefault="000F3E04" w:rsidP="00C344F6">
            <w:pPr>
              <w:jc w:val="center"/>
              <w:rPr>
                <w:rFonts w:ascii="Arial Narrow" w:hAnsi="Arial Narrow"/>
                <w:sz w:val="15"/>
                <w:szCs w:val="15"/>
              </w:rPr>
            </w:pPr>
          </w:p>
        </w:tc>
      </w:tr>
      <w:tr w:rsidR="009416EA" w:rsidRPr="00BC2C5D" w14:paraId="4F42726F" w14:textId="77777777" w:rsidTr="00247AC2">
        <w:trPr>
          <w:trHeight w:val="567"/>
        </w:trPr>
        <w:tc>
          <w:tcPr>
            <w:tcW w:w="1134" w:type="dxa"/>
            <w:tcBorders>
              <w:top w:val="single" w:sz="18" w:space="0" w:color="auto"/>
              <w:left w:val="single" w:sz="18" w:space="0" w:color="auto"/>
              <w:right w:val="single" w:sz="18" w:space="0" w:color="C0C0C0"/>
            </w:tcBorders>
            <w:shd w:val="clear" w:color="auto" w:fill="auto"/>
            <w:vAlign w:val="center"/>
          </w:tcPr>
          <w:p w14:paraId="547AAE0E" w14:textId="1C766025" w:rsidR="00744B4F" w:rsidRPr="00A634FA" w:rsidRDefault="00744B4F" w:rsidP="00744B4F">
            <w:pPr>
              <w:jc w:val="center"/>
              <w:rPr>
                <w:rFonts w:ascii="Arial Narrow" w:hAnsi="Arial Narrow" w:cs="Arial"/>
                <w:sz w:val="16"/>
                <w:szCs w:val="16"/>
              </w:rPr>
            </w:pPr>
            <w:r>
              <w:rPr>
                <w:rFonts w:ascii="Arial Narrow" w:hAnsi="Arial Narrow" w:cs="Arial"/>
                <w:sz w:val="16"/>
                <w:szCs w:val="16"/>
              </w:rPr>
              <w:t>4 September</w:t>
            </w:r>
          </w:p>
        </w:tc>
        <w:tc>
          <w:tcPr>
            <w:tcW w:w="1134" w:type="dxa"/>
            <w:tcBorders>
              <w:top w:val="single" w:sz="18" w:space="0" w:color="auto"/>
              <w:left w:val="single" w:sz="18" w:space="0" w:color="C0C0C0"/>
              <w:right w:val="single" w:sz="18" w:space="0" w:color="C0C0C0"/>
            </w:tcBorders>
            <w:shd w:val="clear" w:color="auto" w:fill="auto"/>
            <w:vAlign w:val="center"/>
          </w:tcPr>
          <w:p w14:paraId="01743E49" w14:textId="77777777" w:rsidR="00744B4F" w:rsidRPr="004D1666" w:rsidRDefault="00744B4F" w:rsidP="00744B4F">
            <w:pPr>
              <w:jc w:val="center"/>
              <w:rPr>
                <w:rFonts w:ascii="Arial Narrow" w:hAnsi="Arial Narrow" w:cs="Arial"/>
                <w:sz w:val="15"/>
                <w:szCs w:val="15"/>
              </w:rPr>
            </w:pPr>
          </w:p>
        </w:tc>
        <w:tc>
          <w:tcPr>
            <w:tcW w:w="1418" w:type="dxa"/>
            <w:tcBorders>
              <w:top w:val="single" w:sz="18" w:space="0" w:color="auto"/>
              <w:left w:val="single" w:sz="18" w:space="0" w:color="C0C0C0"/>
              <w:right w:val="single" w:sz="18" w:space="0" w:color="BFBFBF"/>
            </w:tcBorders>
            <w:shd w:val="clear" w:color="auto" w:fill="53D2FF"/>
            <w:vAlign w:val="center"/>
          </w:tcPr>
          <w:p w14:paraId="638618E9" w14:textId="3B9ECCAC" w:rsidR="00744B4F" w:rsidRPr="009416EA" w:rsidRDefault="00744B4F" w:rsidP="00744B4F">
            <w:pPr>
              <w:jc w:val="center"/>
              <w:rPr>
                <w:rFonts w:ascii="Arial Narrow" w:hAnsi="Arial Narrow" w:cs="Arial"/>
                <w:sz w:val="16"/>
                <w:szCs w:val="16"/>
              </w:rPr>
            </w:pPr>
            <w:r w:rsidRPr="009416EA">
              <w:rPr>
                <w:rFonts w:ascii="Arial Narrow" w:hAnsi="Arial Narrow" w:cs="Arial"/>
                <w:b/>
                <w:bCs/>
                <w:sz w:val="16"/>
                <w:szCs w:val="16"/>
              </w:rPr>
              <w:t>5</w:t>
            </w:r>
          </w:p>
        </w:tc>
        <w:tc>
          <w:tcPr>
            <w:tcW w:w="1417" w:type="dxa"/>
            <w:tcBorders>
              <w:top w:val="single" w:sz="18" w:space="0" w:color="auto"/>
              <w:left w:val="single" w:sz="18" w:space="0" w:color="BFBFBF"/>
              <w:right w:val="single" w:sz="18" w:space="0" w:color="C0C0C0"/>
            </w:tcBorders>
            <w:shd w:val="clear" w:color="auto" w:fill="53D2FF"/>
            <w:vAlign w:val="center"/>
          </w:tcPr>
          <w:p w14:paraId="2A768ACC" w14:textId="561EB43B" w:rsidR="00744B4F" w:rsidRPr="009416EA" w:rsidRDefault="00744B4F" w:rsidP="00744B4F">
            <w:pPr>
              <w:jc w:val="center"/>
              <w:rPr>
                <w:rFonts w:ascii="Arial Narrow" w:hAnsi="Arial Narrow" w:cs="Arial"/>
                <w:b/>
                <w:bCs/>
                <w:sz w:val="16"/>
                <w:szCs w:val="16"/>
              </w:rPr>
            </w:pPr>
            <w:r w:rsidRPr="009416EA">
              <w:rPr>
                <w:rFonts w:ascii="Arial Narrow" w:hAnsi="Arial Narrow" w:cs="Arial"/>
                <w:b/>
                <w:bCs/>
                <w:sz w:val="16"/>
                <w:szCs w:val="16"/>
              </w:rPr>
              <w:t>6</w:t>
            </w:r>
          </w:p>
        </w:tc>
        <w:tc>
          <w:tcPr>
            <w:tcW w:w="1276" w:type="dxa"/>
            <w:tcBorders>
              <w:top w:val="single" w:sz="18" w:space="0" w:color="auto"/>
              <w:left w:val="single" w:sz="18" w:space="0" w:color="C0C0C0"/>
              <w:right w:val="single" w:sz="18" w:space="0" w:color="C0C0C0"/>
            </w:tcBorders>
            <w:shd w:val="clear" w:color="auto" w:fill="53D2FF"/>
            <w:vAlign w:val="center"/>
          </w:tcPr>
          <w:p w14:paraId="20B7857C" w14:textId="72F51BCA" w:rsidR="00744B4F" w:rsidRPr="009416EA" w:rsidRDefault="00744B4F" w:rsidP="00744B4F">
            <w:pPr>
              <w:jc w:val="center"/>
              <w:rPr>
                <w:rFonts w:ascii="Arial Narrow" w:hAnsi="Arial Narrow" w:cs="Arial"/>
                <w:b/>
                <w:bCs/>
                <w:sz w:val="16"/>
                <w:szCs w:val="16"/>
              </w:rPr>
            </w:pPr>
            <w:r w:rsidRPr="009416EA">
              <w:rPr>
                <w:rFonts w:ascii="Arial Narrow" w:hAnsi="Arial Narrow" w:cs="Arial"/>
                <w:b/>
                <w:bCs/>
                <w:sz w:val="16"/>
                <w:szCs w:val="16"/>
              </w:rPr>
              <w:t>7</w:t>
            </w:r>
          </w:p>
        </w:tc>
        <w:tc>
          <w:tcPr>
            <w:tcW w:w="1234" w:type="dxa"/>
            <w:tcBorders>
              <w:top w:val="single" w:sz="18" w:space="0" w:color="auto"/>
              <w:left w:val="single" w:sz="18" w:space="0" w:color="C0C0C0"/>
              <w:right w:val="single" w:sz="18" w:space="0" w:color="auto"/>
            </w:tcBorders>
            <w:shd w:val="clear" w:color="auto" w:fill="auto"/>
            <w:vAlign w:val="center"/>
          </w:tcPr>
          <w:p w14:paraId="3B88A390" w14:textId="77777777" w:rsidR="00744B4F" w:rsidRPr="004D1666" w:rsidRDefault="00744B4F" w:rsidP="00744B4F">
            <w:pPr>
              <w:jc w:val="center"/>
              <w:rPr>
                <w:rFonts w:ascii="Arial Narrow" w:hAnsi="Arial Narrow" w:cs="Arial"/>
                <w:color w:val="000000"/>
                <w:sz w:val="15"/>
                <w:szCs w:val="15"/>
              </w:rPr>
            </w:pPr>
          </w:p>
        </w:tc>
        <w:tc>
          <w:tcPr>
            <w:tcW w:w="3245" w:type="dxa"/>
            <w:tcBorders>
              <w:top w:val="single" w:sz="18" w:space="0" w:color="auto"/>
              <w:left w:val="single" w:sz="18" w:space="0" w:color="auto"/>
              <w:right w:val="single" w:sz="18" w:space="0" w:color="auto"/>
            </w:tcBorders>
            <w:shd w:val="clear" w:color="auto" w:fill="auto"/>
            <w:vAlign w:val="center"/>
          </w:tcPr>
          <w:p w14:paraId="4758DA6D" w14:textId="77777777" w:rsidR="00744B4F" w:rsidRPr="004D1666" w:rsidRDefault="00744B4F" w:rsidP="00744B4F">
            <w:pPr>
              <w:jc w:val="center"/>
              <w:rPr>
                <w:rFonts w:ascii="Arial Narrow" w:hAnsi="Arial Narrow"/>
                <w:sz w:val="15"/>
                <w:szCs w:val="15"/>
              </w:rPr>
            </w:pPr>
            <w:r w:rsidRPr="004D1666">
              <w:rPr>
                <w:rFonts w:ascii="Arial Narrow" w:hAnsi="Arial Narrow"/>
                <w:sz w:val="15"/>
                <w:szCs w:val="15"/>
              </w:rPr>
              <w:t>Local Commissioner Development Week</w:t>
            </w:r>
          </w:p>
          <w:p w14:paraId="36C059CB" w14:textId="77777777" w:rsidR="00744B4F" w:rsidRPr="004D1666" w:rsidRDefault="00744B4F" w:rsidP="00744B4F">
            <w:pPr>
              <w:jc w:val="center"/>
              <w:rPr>
                <w:rFonts w:ascii="Arial Narrow" w:hAnsi="Arial Narrow"/>
                <w:color w:val="31849B"/>
                <w:sz w:val="15"/>
                <w:szCs w:val="15"/>
              </w:rPr>
            </w:pPr>
            <w:r w:rsidRPr="004D1666">
              <w:rPr>
                <w:rFonts w:ascii="Arial Narrow" w:hAnsi="Arial Narrow"/>
                <w:color w:val="31849B"/>
                <w:sz w:val="15"/>
                <w:szCs w:val="15"/>
              </w:rPr>
              <w:t>Cooktown – Circuit</w:t>
            </w:r>
          </w:p>
          <w:p w14:paraId="03F7AA07" w14:textId="0C41A48E" w:rsidR="00744B4F" w:rsidRPr="004D1666" w:rsidRDefault="00744B4F" w:rsidP="00744B4F">
            <w:pPr>
              <w:jc w:val="center"/>
              <w:rPr>
                <w:rFonts w:ascii="Arial Narrow" w:hAnsi="Arial Narrow"/>
                <w:color w:val="31849B"/>
                <w:sz w:val="15"/>
                <w:szCs w:val="15"/>
              </w:rPr>
            </w:pPr>
            <w:r w:rsidRPr="004D1666">
              <w:rPr>
                <w:rFonts w:ascii="Arial Narrow" w:hAnsi="Arial Narrow"/>
                <w:color w:val="31849B"/>
                <w:sz w:val="15"/>
                <w:szCs w:val="15"/>
              </w:rPr>
              <w:t>Doomadgee – Gulf Circuit</w:t>
            </w:r>
          </w:p>
        </w:tc>
      </w:tr>
      <w:tr w:rsidR="009416EA" w:rsidRPr="00BC2C5D" w14:paraId="1709D6A1" w14:textId="77777777" w:rsidTr="00247AC2">
        <w:trPr>
          <w:trHeight w:val="285"/>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51BF0A00" w14:textId="2B73667C" w:rsidR="000E48A0" w:rsidRPr="00390B39" w:rsidRDefault="000E48A0" w:rsidP="000E48A0">
            <w:pPr>
              <w:jc w:val="center"/>
              <w:rPr>
                <w:rFonts w:ascii="Arial Narrow" w:hAnsi="Arial Narrow" w:cs="Arial"/>
                <w:sz w:val="16"/>
                <w:szCs w:val="16"/>
              </w:rPr>
            </w:pPr>
            <w:r>
              <w:rPr>
                <w:rFonts w:ascii="Arial Narrow" w:hAnsi="Arial Narrow" w:cs="Arial"/>
                <w:sz w:val="16"/>
                <w:szCs w:val="16"/>
              </w:rPr>
              <w:t>11 September</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28EF7F10" w14:textId="77777777" w:rsidR="000E48A0" w:rsidRPr="004D1666" w:rsidRDefault="000E48A0" w:rsidP="000E48A0">
            <w:pPr>
              <w:jc w:val="center"/>
              <w:rPr>
                <w:rFonts w:ascii="Arial Narrow" w:hAnsi="Arial Narrow" w:cs="Arial"/>
                <w:color w:val="000000"/>
                <w:sz w:val="15"/>
                <w:szCs w:val="15"/>
              </w:rPr>
            </w:pPr>
          </w:p>
        </w:tc>
        <w:tc>
          <w:tcPr>
            <w:tcW w:w="1418" w:type="dxa"/>
            <w:vMerge w:val="restart"/>
            <w:tcBorders>
              <w:top w:val="single" w:sz="18" w:space="0" w:color="C0C0C0"/>
              <w:left w:val="single" w:sz="18" w:space="0" w:color="C0C0C0"/>
              <w:right w:val="single" w:sz="18" w:space="0" w:color="BFBFBF"/>
            </w:tcBorders>
            <w:shd w:val="clear" w:color="auto" w:fill="FFFF00"/>
            <w:vAlign w:val="center"/>
          </w:tcPr>
          <w:p w14:paraId="06EA5338" w14:textId="0C182DD4" w:rsidR="000E48A0" w:rsidRPr="009416EA" w:rsidRDefault="000E48A0" w:rsidP="000E48A0">
            <w:pPr>
              <w:jc w:val="center"/>
              <w:rPr>
                <w:rFonts w:ascii="Arial Narrow" w:hAnsi="Arial Narrow" w:cs="Arial"/>
                <w:sz w:val="16"/>
                <w:szCs w:val="16"/>
              </w:rPr>
            </w:pPr>
            <w:r w:rsidRPr="009416EA">
              <w:rPr>
                <w:rFonts w:ascii="Arial Narrow" w:hAnsi="Arial Narrow" w:cs="Arial"/>
                <w:b/>
                <w:bCs/>
                <w:sz w:val="16"/>
                <w:szCs w:val="16"/>
              </w:rPr>
              <w:t>12 ICM</w:t>
            </w:r>
          </w:p>
        </w:tc>
        <w:tc>
          <w:tcPr>
            <w:tcW w:w="1417" w:type="dxa"/>
            <w:tcBorders>
              <w:top w:val="single" w:sz="18" w:space="0" w:color="C0C0C0"/>
              <w:left w:val="single" w:sz="18" w:space="0" w:color="BFBFBF"/>
              <w:bottom w:val="nil"/>
              <w:right w:val="single" w:sz="18" w:space="0" w:color="C0C0C0"/>
            </w:tcBorders>
            <w:shd w:val="clear" w:color="auto" w:fill="A972A9"/>
            <w:vAlign w:val="center"/>
          </w:tcPr>
          <w:p w14:paraId="66874CFB" w14:textId="375EC6A3" w:rsidR="000E48A0" w:rsidRPr="009416EA" w:rsidRDefault="000E48A0" w:rsidP="000E48A0">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13 ICM</w:t>
            </w:r>
          </w:p>
        </w:tc>
        <w:tc>
          <w:tcPr>
            <w:tcW w:w="1276" w:type="dxa"/>
            <w:vMerge w:val="restart"/>
            <w:tcBorders>
              <w:top w:val="single" w:sz="18" w:space="0" w:color="C0C0C0"/>
              <w:left w:val="single" w:sz="18" w:space="0" w:color="C0C0C0"/>
              <w:right w:val="single" w:sz="18" w:space="0" w:color="C0C0C0"/>
            </w:tcBorders>
            <w:shd w:val="clear" w:color="auto" w:fill="A972A9"/>
            <w:vAlign w:val="center"/>
          </w:tcPr>
          <w:p w14:paraId="6FA11784" w14:textId="49F722EC" w:rsidR="000E48A0" w:rsidRPr="009416EA" w:rsidRDefault="000E48A0" w:rsidP="000E48A0">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14</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12101718" w14:textId="77777777" w:rsidR="000E48A0" w:rsidRPr="004D1666" w:rsidRDefault="000E48A0" w:rsidP="000E48A0">
            <w:pPr>
              <w:jc w:val="center"/>
              <w:rPr>
                <w:rFonts w:ascii="Arial Narrow" w:hAnsi="Arial Narrow" w:cs="Arial"/>
                <w:color w:val="000000"/>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0E52BC2E" w14:textId="35BEDF51" w:rsidR="000E48A0" w:rsidRPr="004D1666" w:rsidRDefault="000E48A0" w:rsidP="000E48A0">
            <w:pPr>
              <w:jc w:val="center"/>
              <w:rPr>
                <w:rFonts w:ascii="Arial Narrow" w:hAnsi="Arial Narrow"/>
                <w:color w:val="31849B"/>
                <w:sz w:val="15"/>
                <w:szCs w:val="15"/>
              </w:rPr>
            </w:pPr>
            <w:r w:rsidRPr="004D1666">
              <w:rPr>
                <w:rFonts w:ascii="Arial Narrow" w:hAnsi="Arial Narrow"/>
                <w:color w:val="31849B"/>
                <w:sz w:val="15"/>
                <w:szCs w:val="15"/>
              </w:rPr>
              <w:t>Aurukun Cape B &amp; Coen Cape A Circuit</w:t>
            </w:r>
          </w:p>
        </w:tc>
      </w:tr>
      <w:tr w:rsidR="009416EA" w:rsidRPr="00BC2C5D" w14:paraId="190AC1B4" w14:textId="77777777" w:rsidTr="00247AC2">
        <w:trPr>
          <w:trHeight w:val="285"/>
        </w:trPr>
        <w:tc>
          <w:tcPr>
            <w:tcW w:w="1134" w:type="dxa"/>
            <w:vMerge/>
            <w:tcBorders>
              <w:left w:val="single" w:sz="18" w:space="0" w:color="auto"/>
              <w:right w:val="single" w:sz="18" w:space="0" w:color="C0C0C0"/>
            </w:tcBorders>
            <w:shd w:val="clear" w:color="auto" w:fill="auto"/>
            <w:vAlign w:val="center"/>
          </w:tcPr>
          <w:p w14:paraId="681A30CB" w14:textId="77777777" w:rsidR="000F3E04" w:rsidRDefault="000F3E04"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4FCEC3F9" w14:textId="77777777" w:rsidR="000F3E04" w:rsidRPr="004D1666" w:rsidRDefault="000F3E04" w:rsidP="00C344F6">
            <w:pPr>
              <w:jc w:val="center"/>
              <w:rPr>
                <w:rFonts w:ascii="Arial Narrow" w:hAnsi="Arial Narrow" w:cs="Arial"/>
                <w:color w:val="000000"/>
                <w:sz w:val="15"/>
                <w:szCs w:val="15"/>
              </w:rPr>
            </w:pPr>
          </w:p>
        </w:tc>
        <w:tc>
          <w:tcPr>
            <w:tcW w:w="1418" w:type="dxa"/>
            <w:vMerge/>
            <w:tcBorders>
              <w:left w:val="single" w:sz="18" w:space="0" w:color="C0C0C0"/>
              <w:right w:val="single" w:sz="18" w:space="0" w:color="BFBFBF"/>
            </w:tcBorders>
            <w:shd w:val="clear" w:color="auto" w:fill="FFFF00"/>
            <w:vAlign w:val="center"/>
          </w:tcPr>
          <w:p w14:paraId="4A40F455" w14:textId="77777777" w:rsidR="000F3E04" w:rsidRPr="009416EA" w:rsidRDefault="000F3E04" w:rsidP="00C344F6">
            <w:pPr>
              <w:jc w:val="center"/>
              <w:rPr>
                <w:rFonts w:ascii="Arial Narrow" w:hAnsi="Arial Narrow" w:cs="Arial"/>
                <w:sz w:val="16"/>
                <w:szCs w:val="16"/>
              </w:rPr>
            </w:pPr>
          </w:p>
        </w:tc>
        <w:tc>
          <w:tcPr>
            <w:tcW w:w="1417" w:type="dxa"/>
            <w:tcBorders>
              <w:top w:val="nil"/>
              <w:left w:val="single" w:sz="18" w:space="0" w:color="BFBFBF"/>
              <w:bottom w:val="single" w:sz="18" w:space="0" w:color="BFBFBF" w:themeColor="background1" w:themeShade="BF"/>
              <w:right w:val="single" w:sz="18" w:space="0" w:color="C0C0C0"/>
            </w:tcBorders>
            <w:shd w:val="clear" w:color="auto" w:fill="769250"/>
            <w:vAlign w:val="center"/>
          </w:tcPr>
          <w:p w14:paraId="38EA48A8" w14:textId="07FA7154" w:rsidR="000F3E04" w:rsidRPr="009416EA" w:rsidRDefault="000E48A0" w:rsidP="00C344F6">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13</w:t>
            </w:r>
          </w:p>
        </w:tc>
        <w:tc>
          <w:tcPr>
            <w:tcW w:w="1276" w:type="dxa"/>
            <w:vMerge/>
            <w:tcBorders>
              <w:left w:val="single" w:sz="18" w:space="0" w:color="C0C0C0"/>
              <w:right w:val="single" w:sz="18" w:space="0" w:color="C0C0C0"/>
            </w:tcBorders>
            <w:shd w:val="clear" w:color="auto" w:fill="auto"/>
            <w:vAlign w:val="center"/>
          </w:tcPr>
          <w:p w14:paraId="0EF21E77" w14:textId="77777777" w:rsidR="000F3E04" w:rsidRPr="009416EA" w:rsidRDefault="000F3E04" w:rsidP="00C344F6">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79876F01" w14:textId="77777777" w:rsidR="000F3E04" w:rsidRPr="004D1666" w:rsidRDefault="000F3E04" w:rsidP="00C344F6">
            <w:pPr>
              <w:jc w:val="center"/>
              <w:rPr>
                <w:rFonts w:ascii="Arial Narrow" w:hAnsi="Arial Narrow" w:cs="Arial"/>
                <w:color w:val="000000"/>
                <w:sz w:val="15"/>
                <w:szCs w:val="15"/>
              </w:rPr>
            </w:pPr>
          </w:p>
        </w:tc>
        <w:tc>
          <w:tcPr>
            <w:tcW w:w="3245" w:type="dxa"/>
            <w:vMerge/>
            <w:tcBorders>
              <w:left w:val="single" w:sz="18" w:space="0" w:color="auto"/>
              <w:right w:val="single" w:sz="18" w:space="0" w:color="auto"/>
            </w:tcBorders>
            <w:shd w:val="clear" w:color="auto" w:fill="auto"/>
            <w:vAlign w:val="center"/>
          </w:tcPr>
          <w:p w14:paraId="5BBA66E8" w14:textId="77777777" w:rsidR="000F3E04" w:rsidRPr="004D1666" w:rsidRDefault="000F3E04" w:rsidP="00A01211">
            <w:pPr>
              <w:jc w:val="center"/>
              <w:rPr>
                <w:rFonts w:ascii="Arial Narrow" w:hAnsi="Arial Narrow"/>
                <w:color w:val="31849B"/>
                <w:sz w:val="15"/>
                <w:szCs w:val="15"/>
              </w:rPr>
            </w:pPr>
          </w:p>
        </w:tc>
      </w:tr>
      <w:tr w:rsidR="009416EA" w:rsidRPr="00BC2C5D" w14:paraId="73DF2101" w14:textId="77777777" w:rsidTr="005E126D">
        <w:trPr>
          <w:trHeight w:val="567"/>
        </w:trPr>
        <w:tc>
          <w:tcPr>
            <w:tcW w:w="1134" w:type="dxa"/>
            <w:tcBorders>
              <w:top w:val="single" w:sz="18" w:space="0" w:color="BFBFBF" w:themeColor="background1" w:themeShade="BF"/>
              <w:left w:val="single" w:sz="18" w:space="0" w:color="auto"/>
              <w:right w:val="single" w:sz="18" w:space="0" w:color="C0C0C0"/>
            </w:tcBorders>
            <w:shd w:val="clear" w:color="auto" w:fill="auto"/>
            <w:vAlign w:val="center"/>
          </w:tcPr>
          <w:p w14:paraId="6F7B8E84" w14:textId="204B00D1" w:rsidR="003B05FB" w:rsidRPr="00390B39" w:rsidRDefault="003B05FB" w:rsidP="00C344F6">
            <w:pPr>
              <w:jc w:val="center"/>
              <w:rPr>
                <w:rFonts w:ascii="Arial Narrow" w:hAnsi="Arial Narrow" w:cs="Arial"/>
                <w:sz w:val="16"/>
                <w:szCs w:val="16"/>
              </w:rPr>
            </w:pPr>
            <w:r>
              <w:rPr>
                <w:rFonts w:ascii="Arial Narrow" w:hAnsi="Arial Narrow" w:cs="Arial"/>
                <w:sz w:val="16"/>
                <w:szCs w:val="16"/>
              </w:rPr>
              <w:t>18 September</w:t>
            </w:r>
          </w:p>
        </w:tc>
        <w:tc>
          <w:tcPr>
            <w:tcW w:w="1134" w:type="dxa"/>
            <w:tcBorders>
              <w:top w:val="single" w:sz="18" w:space="0" w:color="BFBFBF" w:themeColor="background1" w:themeShade="BF"/>
              <w:left w:val="single" w:sz="18" w:space="0" w:color="C0C0C0"/>
              <w:right w:val="single" w:sz="18" w:space="0" w:color="C0C0C0"/>
            </w:tcBorders>
            <w:shd w:val="clear" w:color="auto" w:fill="D9D9D9" w:themeFill="background1" w:themeFillShade="D9"/>
            <w:vAlign w:val="center"/>
          </w:tcPr>
          <w:p w14:paraId="72174859" w14:textId="1CD78D80" w:rsidR="003B05FB" w:rsidRPr="004D1666" w:rsidRDefault="00261DCA" w:rsidP="00C344F6">
            <w:pPr>
              <w:jc w:val="center"/>
              <w:rPr>
                <w:rFonts w:ascii="Arial Narrow" w:hAnsi="Arial Narrow" w:cs="Arial"/>
                <w:color w:val="000000"/>
                <w:sz w:val="15"/>
                <w:szCs w:val="15"/>
              </w:rPr>
            </w:pPr>
            <w:r w:rsidRPr="004D1666">
              <w:rPr>
                <w:rFonts w:ascii="Arial Narrow" w:hAnsi="Arial Narrow" w:cs="Arial"/>
                <w:b/>
                <w:bCs/>
                <w:sz w:val="15"/>
                <w:szCs w:val="15"/>
              </w:rPr>
              <w:t>Public Holiday – AU Only</w:t>
            </w:r>
          </w:p>
        </w:tc>
        <w:tc>
          <w:tcPr>
            <w:tcW w:w="1418" w:type="dxa"/>
            <w:tcBorders>
              <w:top w:val="single" w:sz="18" w:space="0" w:color="BFBFBF" w:themeColor="background1" w:themeShade="BF"/>
              <w:left w:val="single" w:sz="18" w:space="0" w:color="C0C0C0"/>
              <w:right w:val="single" w:sz="18" w:space="0" w:color="BFBFBF"/>
            </w:tcBorders>
            <w:shd w:val="clear" w:color="auto" w:fill="D9D9D9" w:themeFill="background1" w:themeFillShade="D9"/>
            <w:vAlign w:val="center"/>
          </w:tcPr>
          <w:p w14:paraId="023F7BD7" w14:textId="28A65959" w:rsidR="003B05FB" w:rsidRPr="009416EA" w:rsidRDefault="003B05FB" w:rsidP="00236E17">
            <w:pPr>
              <w:jc w:val="center"/>
              <w:rPr>
                <w:rFonts w:ascii="Arial Narrow" w:hAnsi="Arial Narrow" w:cs="Arial"/>
                <w:b/>
                <w:bCs/>
                <w:sz w:val="16"/>
                <w:szCs w:val="16"/>
              </w:rPr>
            </w:pPr>
          </w:p>
        </w:tc>
        <w:tc>
          <w:tcPr>
            <w:tcW w:w="1417" w:type="dxa"/>
            <w:tcBorders>
              <w:top w:val="single" w:sz="18" w:space="0" w:color="BFBFBF" w:themeColor="background1" w:themeShade="BF"/>
              <w:left w:val="single" w:sz="18" w:space="0" w:color="BFBFBF"/>
              <w:right w:val="single" w:sz="18" w:space="0" w:color="C0C0C0"/>
            </w:tcBorders>
            <w:shd w:val="clear" w:color="auto" w:fill="D9D9D9" w:themeFill="background1" w:themeFillShade="D9"/>
            <w:vAlign w:val="center"/>
          </w:tcPr>
          <w:p w14:paraId="587EA42C" w14:textId="49CF16B1" w:rsidR="003B05FB" w:rsidRPr="009416EA" w:rsidRDefault="003B05FB" w:rsidP="00236E17">
            <w:pPr>
              <w:jc w:val="center"/>
              <w:rPr>
                <w:rFonts w:ascii="Arial Narrow" w:hAnsi="Arial Narrow" w:cs="Arial"/>
                <w:b/>
                <w:bCs/>
                <w:sz w:val="16"/>
                <w:szCs w:val="16"/>
              </w:rPr>
            </w:pPr>
          </w:p>
        </w:tc>
        <w:tc>
          <w:tcPr>
            <w:tcW w:w="1276" w:type="dxa"/>
            <w:tcBorders>
              <w:top w:val="single" w:sz="18" w:space="0" w:color="BFBFBF" w:themeColor="background1" w:themeShade="BF"/>
              <w:left w:val="single" w:sz="18" w:space="0" w:color="C0C0C0"/>
              <w:right w:val="single" w:sz="18" w:space="0" w:color="C0C0C0"/>
            </w:tcBorders>
            <w:shd w:val="clear" w:color="auto" w:fill="D9D9D9" w:themeFill="background1" w:themeFillShade="D9"/>
            <w:vAlign w:val="center"/>
          </w:tcPr>
          <w:p w14:paraId="0D6D0741" w14:textId="4665C8A4" w:rsidR="003B05FB" w:rsidRPr="009416EA" w:rsidRDefault="003B05FB" w:rsidP="003B05FB">
            <w:pPr>
              <w:jc w:val="center"/>
              <w:rPr>
                <w:rFonts w:ascii="Arial Narrow" w:hAnsi="Arial Narrow" w:cs="Arial"/>
                <w:b/>
                <w:bCs/>
                <w:sz w:val="16"/>
                <w:szCs w:val="16"/>
              </w:rPr>
            </w:pPr>
          </w:p>
        </w:tc>
        <w:tc>
          <w:tcPr>
            <w:tcW w:w="1234" w:type="dxa"/>
            <w:tcBorders>
              <w:top w:val="single" w:sz="18" w:space="0" w:color="BFBFBF" w:themeColor="background1" w:themeShade="BF"/>
              <w:left w:val="single" w:sz="18" w:space="0" w:color="C0C0C0"/>
              <w:right w:val="single" w:sz="18" w:space="0" w:color="auto"/>
            </w:tcBorders>
            <w:shd w:val="clear" w:color="auto" w:fill="D9D9D9" w:themeFill="background1" w:themeFillShade="D9"/>
            <w:vAlign w:val="center"/>
          </w:tcPr>
          <w:p w14:paraId="2ABBF5DF" w14:textId="77777777" w:rsidR="003B05FB" w:rsidRPr="004D1666" w:rsidRDefault="003B05FB" w:rsidP="00C344F6">
            <w:pPr>
              <w:jc w:val="center"/>
              <w:rPr>
                <w:rFonts w:ascii="Arial Narrow" w:hAnsi="Arial Narrow" w:cs="Arial"/>
                <w:color w:val="000000"/>
                <w:sz w:val="15"/>
                <w:szCs w:val="15"/>
              </w:rPr>
            </w:pPr>
          </w:p>
        </w:tc>
        <w:tc>
          <w:tcPr>
            <w:tcW w:w="3245" w:type="dxa"/>
            <w:tcBorders>
              <w:top w:val="single" w:sz="18" w:space="0" w:color="BFBFBF" w:themeColor="background1" w:themeShade="BF"/>
              <w:left w:val="single" w:sz="18" w:space="0" w:color="auto"/>
              <w:right w:val="single" w:sz="18" w:space="0" w:color="auto"/>
            </w:tcBorders>
            <w:shd w:val="clear" w:color="auto" w:fill="D9D9D9" w:themeFill="background1" w:themeFillShade="D9"/>
            <w:vAlign w:val="center"/>
          </w:tcPr>
          <w:p w14:paraId="07D43AC4" w14:textId="783051C6" w:rsidR="003B05FB" w:rsidRPr="004D1666" w:rsidRDefault="00A6437C" w:rsidP="00C344F6">
            <w:pPr>
              <w:jc w:val="center"/>
              <w:rPr>
                <w:rFonts w:ascii="Arial Narrow" w:hAnsi="Arial Narrow"/>
                <w:color w:val="31849B"/>
                <w:sz w:val="15"/>
                <w:szCs w:val="15"/>
              </w:rPr>
            </w:pPr>
            <w:r w:rsidRPr="004D1666">
              <w:rPr>
                <w:rFonts w:ascii="Arial Narrow" w:hAnsi="Arial Narrow" w:cs="Arial"/>
                <w:b/>
                <w:bCs/>
                <w:sz w:val="15"/>
                <w:szCs w:val="15"/>
              </w:rPr>
              <w:t>18 – Aak Ngamparam Public Holiday - AU</w:t>
            </w:r>
          </w:p>
        </w:tc>
      </w:tr>
      <w:tr w:rsidR="00247AC2" w:rsidRPr="00BC2C5D" w14:paraId="307A9FC1" w14:textId="77777777" w:rsidTr="005E126D">
        <w:trPr>
          <w:trHeight w:val="567"/>
        </w:trPr>
        <w:tc>
          <w:tcPr>
            <w:tcW w:w="1134" w:type="dxa"/>
            <w:tcBorders>
              <w:top w:val="single" w:sz="18" w:space="0" w:color="BFBFBF" w:themeColor="background1" w:themeShade="BF"/>
              <w:left w:val="single" w:sz="18" w:space="0" w:color="auto"/>
              <w:right w:val="single" w:sz="18" w:space="0" w:color="C0C0C0"/>
            </w:tcBorders>
            <w:shd w:val="clear" w:color="auto" w:fill="auto"/>
            <w:vAlign w:val="center"/>
          </w:tcPr>
          <w:p w14:paraId="3CB29D9B" w14:textId="164A63FE" w:rsidR="000E48A0" w:rsidRPr="00390B39" w:rsidRDefault="000E48A0" w:rsidP="000E48A0">
            <w:pPr>
              <w:jc w:val="center"/>
              <w:rPr>
                <w:rFonts w:ascii="Arial Narrow" w:hAnsi="Arial Narrow" w:cs="Arial"/>
                <w:sz w:val="16"/>
                <w:szCs w:val="16"/>
              </w:rPr>
            </w:pPr>
            <w:r>
              <w:rPr>
                <w:rFonts w:ascii="Arial Narrow" w:hAnsi="Arial Narrow" w:cs="Arial"/>
                <w:sz w:val="16"/>
                <w:szCs w:val="16"/>
              </w:rPr>
              <w:t>25 September</w:t>
            </w:r>
          </w:p>
        </w:tc>
        <w:tc>
          <w:tcPr>
            <w:tcW w:w="1134" w:type="dxa"/>
            <w:tcBorders>
              <w:top w:val="single" w:sz="18" w:space="0" w:color="BFBFBF" w:themeColor="background1" w:themeShade="BF"/>
              <w:left w:val="single" w:sz="18" w:space="0" w:color="C0C0C0"/>
              <w:right w:val="single" w:sz="18" w:space="0" w:color="C0C0C0"/>
            </w:tcBorders>
            <w:shd w:val="clear" w:color="auto" w:fill="FF0000"/>
            <w:vAlign w:val="center"/>
          </w:tcPr>
          <w:p w14:paraId="2B552431" w14:textId="611245E5" w:rsidR="000E48A0" w:rsidRPr="009416EA" w:rsidRDefault="000E48A0" w:rsidP="000E48A0">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25 ICM</w:t>
            </w:r>
          </w:p>
        </w:tc>
        <w:tc>
          <w:tcPr>
            <w:tcW w:w="1418" w:type="dxa"/>
            <w:tcBorders>
              <w:top w:val="single" w:sz="18" w:space="0" w:color="BFBFBF"/>
              <w:left w:val="single" w:sz="18" w:space="0" w:color="C0C0C0"/>
              <w:right w:val="single" w:sz="18" w:space="0" w:color="BFBFBF"/>
            </w:tcBorders>
            <w:shd w:val="clear" w:color="auto" w:fill="FF0000"/>
            <w:vAlign w:val="center"/>
          </w:tcPr>
          <w:p w14:paraId="7C5A4051" w14:textId="15104DB7" w:rsidR="000E48A0" w:rsidRPr="009416EA" w:rsidRDefault="000E48A0" w:rsidP="000E48A0">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26 ICM</w:t>
            </w:r>
          </w:p>
        </w:tc>
        <w:tc>
          <w:tcPr>
            <w:tcW w:w="1417" w:type="dxa"/>
            <w:tcBorders>
              <w:top w:val="single" w:sz="18" w:space="0" w:color="BFBFBF" w:themeColor="background1" w:themeShade="BF"/>
              <w:left w:val="single" w:sz="18" w:space="0" w:color="BFBFBF"/>
              <w:right w:val="single" w:sz="18" w:space="0" w:color="C0C0C0"/>
            </w:tcBorders>
            <w:shd w:val="clear" w:color="auto" w:fill="FF0000"/>
            <w:vAlign w:val="center"/>
          </w:tcPr>
          <w:p w14:paraId="2D625F6F" w14:textId="2D82320F" w:rsidR="000E48A0" w:rsidRPr="009416EA" w:rsidRDefault="000E48A0" w:rsidP="000E48A0">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27 ICM</w:t>
            </w:r>
          </w:p>
        </w:tc>
        <w:tc>
          <w:tcPr>
            <w:tcW w:w="1276" w:type="dxa"/>
            <w:tcBorders>
              <w:top w:val="single" w:sz="18" w:space="0" w:color="C0C0C0"/>
              <w:left w:val="single" w:sz="18" w:space="0" w:color="C0C0C0"/>
              <w:right w:val="single" w:sz="18" w:space="0" w:color="C0C0C0"/>
            </w:tcBorders>
            <w:shd w:val="clear" w:color="auto" w:fill="FF0000"/>
            <w:vAlign w:val="center"/>
          </w:tcPr>
          <w:p w14:paraId="31F3F07A" w14:textId="76C73559" w:rsidR="000E48A0" w:rsidRPr="009416EA" w:rsidRDefault="000E48A0" w:rsidP="000E48A0">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28 ICM</w:t>
            </w:r>
          </w:p>
        </w:tc>
        <w:tc>
          <w:tcPr>
            <w:tcW w:w="1234" w:type="dxa"/>
            <w:tcBorders>
              <w:top w:val="single" w:sz="18" w:space="0" w:color="BFBFBF" w:themeColor="background1" w:themeShade="BF"/>
              <w:left w:val="single" w:sz="18" w:space="0" w:color="C0C0C0"/>
              <w:right w:val="single" w:sz="18" w:space="0" w:color="auto"/>
            </w:tcBorders>
            <w:shd w:val="clear" w:color="auto" w:fill="D9D9D9"/>
            <w:vAlign w:val="center"/>
          </w:tcPr>
          <w:p w14:paraId="765D5946" w14:textId="173FB798" w:rsidR="000E48A0" w:rsidRPr="004D1666" w:rsidRDefault="000E48A0" w:rsidP="000E48A0">
            <w:pPr>
              <w:jc w:val="center"/>
              <w:rPr>
                <w:rFonts w:ascii="Arial Narrow" w:hAnsi="Arial Narrow" w:cs="Arial"/>
                <w:sz w:val="15"/>
                <w:szCs w:val="15"/>
              </w:rPr>
            </w:pPr>
          </w:p>
        </w:tc>
        <w:tc>
          <w:tcPr>
            <w:tcW w:w="3245" w:type="dxa"/>
            <w:tcBorders>
              <w:top w:val="single" w:sz="18" w:space="0" w:color="BFBFBF" w:themeColor="background1" w:themeShade="BF"/>
              <w:left w:val="single" w:sz="18" w:space="0" w:color="auto"/>
              <w:right w:val="single" w:sz="18" w:space="0" w:color="auto"/>
            </w:tcBorders>
            <w:shd w:val="clear" w:color="auto" w:fill="D9D9D9" w:themeFill="background1" w:themeFillShade="D9"/>
            <w:vAlign w:val="center"/>
          </w:tcPr>
          <w:p w14:paraId="7636D447" w14:textId="42568CCD" w:rsidR="000E48A0" w:rsidRPr="004D1666" w:rsidRDefault="000E48A0" w:rsidP="000E48A0">
            <w:pPr>
              <w:jc w:val="center"/>
              <w:rPr>
                <w:rFonts w:ascii="Arial Narrow" w:hAnsi="Arial Narrow"/>
                <w:sz w:val="15"/>
                <w:szCs w:val="15"/>
              </w:rPr>
            </w:pPr>
          </w:p>
        </w:tc>
      </w:tr>
      <w:tr w:rsidR="009416EA" w:rsidRPr="00BC2C5D" w14:paraId="04B98309" w14:textId="77777777" w:rsidTr="00247AC2">
        <w:trPr>
          <w:trHeight w:val="285"/>
        </w:trPr>
        <w:tc>
          <w:tcPr>
            <w:tcW w:w="1134" w:type="dxa"/>
            <w:vMerge w:val="restart"/>
            <w:tcBorders>
              <w:top w:val="single" w:sz="18" w:space="0" w:color="auto"/>
              <w:left w:val="single" w:sz="18" w:space="0" w:color="auto"/>
              <w:right w:val="single" w:sz="18" w:space="0" w:color="C0C0C0"/>
            </w:tcBorders>
            <w:shd w:val="clear" w:color="auto" w:fill="auto"/>
            <w:vAlign w:val="center"/>
          </w:tcPr>
          <w:p w14:paraId="6B4F819B" w14:textId="6AAF4F83" w:rsidR="00E40E6A" w:rsidRPr="00390B39" w:rsidRDefault="00E40E6A" w:rsidP="00E40E6A">
            <w:pPr>
              <w:jc w:val="center"/>
              <w:rPr>
                <w:rFonts w:ascii="Arial Narrow" w:hAnsi="Arial Narrow" w:cs="Arial"/>
                <w:sz w:val="16"/>
                <w:szCs w:val="16"/>
              </w:rPr>
            </w:pPr>
            <w:r>
              <w:rPr>
                <w:rFonts w:ascii="Arial Narrow" w:hAnsi="Arial Narrow" w:cs="Arial"/>
                <w:sz w:val="16"/>
                <w:szCs w:val="16"/>
              </w:rPr>
              <w:t>2 October</w:t>
            </w:r>
          </w:p>
        </w:tc>
        <w:tc>
          <w:tcPr>
            <w:tcW w:w="1134" w:type="dxa"/>
            <w:vMerge w:val="restart"/>
            <w:tcBorders>
              <w:top w:val="single" w:sz="18" w:space="0" w:color="auto"/>
              <w:left w:val="single" w:sz="18" w:space="0" w:color="C0C0C0"/>
              <w:right w:val="single" w:sz="18" w:space="0" w:color="C0C0C0"/>
            </w:tcBorders>
            <w:shd w:val="clear" w:color="auto" w:fill="D9D9D9" w:themeFill="background1" w:themeFillShade="D9"/>
            <w:vAlign w:val="center"/>
          </w:tcPr>
          <w:p w14:paraId="642C16FC" w14:textId="695E16F4" w:rsidR="00E40E6A" w:rsidRPr="004D1666" w:rsidRDefault="00E40E6A" w:rsidP="00E40E6A">
            <w:pPr>
              <w:jc w:val="center"/>
              <w:rPr>
                <w:rFonts w:ascii="Arial Narrow" w:hAnsi="Arial Narrow" w:cs="Arial"/>
                <w:sz w:val="15"/>
                <w:szCs w:val="15"/>
              </w:rPr>
            </w:pPr>
            <w:r w:rsidRPr="004D1666">
              <w:rPr>
                <w:rFonts w:ascii="Arial Narrow" w:hAnsi="Arial Narrow" w:cs="Arial"/>
                <w:b/>
                <w:bCs/>
                <w:sz w:val="15"/>
                <w:szCs w:val="15"/>
              </w:rPr>
              <w:t>Public Holiday</w:t>
            </w:r>
          </w:p>
        </w:tc>
        <w:tc>
          <w:tcPr>
            <w:tcW w:w="1418" w:type="dxa"/>
            <w:vMerge w:val="restart"/>
            <w:tcBorders>
              <w:top w:val="single" w:sz="18" w:space="0" w:color="auto"/>
              <w:left w:val="single" w:sz="18" w:space="0" w:color="C0C0C0"/>
              <w:right w:val="single" w:sz="18" w:space="0" w:color="BFBFBF"/>
            </w:tcBorders>
            <w:shd w:val="clear" w:color="auto" w:fill="auto"/>
            <w:vAlign w:val="center"/>
          </w:tcPr>
          <w:p w14:paraId="0A7AAF2C" w14:textId="7AD33B1D" w:rsidR="00E40E6A" w:rsidRPr="009416EA" w:rsidRDefault="00E40E6A" w:rsidP="00E40E6A">
            <w:pPr>
              <w:jc w:val="center"/>
              <w:rPr>
                <w:rFonts w:ascii="Arial Narrow" w:hAnsi="Arial Narrow" w:cs="Arial"/>
                <w:sz w:val="16"/>
                <w:szCs w:val="16"/>
              </w:rPr>
            </w:pPr>
          </w:p>
        </w:tc>
        <w:tc>
          <w:tcPr>
            <w:tcW w:w="1417" w:type="dxa"/>
            <w:vMerge w:val="restart"/>
            <w:tcBorders>
              <w:top w:val="single" w:sz="18" w:space="0" w:color="auto"/>
              <w:left w:val="single" w:sz="18" w:space="0" w:color="BFBFBF"/>
              <w:right w:val="single" w:sz="18" w:space="0" w:color="C0C0C0"/>
            </w:tcBorders>
            <w:shd w:val="clear" w:color="auto" w:fill="A972A9"/>
            <w:vAlign w:val="center"/>
          </w:tcPr>
          <w:p w14:paraId="1F9ED47F" w14:textId="078C6474"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4 ICM</w:t>
            </w:r>
          </w:p>
        </w:tc>
        <w:tc>
          <w:tcPr>
            <w:tcW w:w="1276" w:type="dxa"/>
            <w:tcBorders>
              <w:top w:val="single" w:sz="18" w:space="0" w:color="auto"/>
              <w:left w:val="single" w:sz="18" w:space="0" w:color="C0C0C0"/>
              <w:bottom w:val="nil"/>
              <w:right w:val="single" w:sz="18" w:space="0" w:color="C0C0C0"/>
            </w:tcBorders>
            <w:shd w:val="clear" w:color="auto" w:fill="A972A9"/>
            <w:vAlign w:val="center"/>
          </w:tcPr>
          <w:p w14:paraId="2B4AD7BE" w14:textId="2FF6656C"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5</w:t>
            </w:r>
          </w:p>
        </w:tc>
        <w:tc>
          <w:tcPr>
            <w:tcW w:w="1234" w:type="dxa"/>
            <w:vMerge w:val="restart"/>
            <w:tcBorders>
              <w:top w:val="single" w:sz="18" w:space="0" w:color="auto"/>
              <w:left w:val="single" w:sz="18" w:space="0" w:color="C0C0C0"/>
              <w:right w:val="single" w:sz="18" w:space="0" w:color="auto"/>
            </w:tcBorders>
            <w:shd w:val="clear" w:color="auto" w:fill="auto"/>
            <w:vAlign w:val="center"/>
          </w:tcPr>
          <w:p w14:paraId="71435210" w14:textId="5F8E18E6" w:rsidR="00E40E6A" w:rsidRPr="004D1666" w:rsidRDefault="00E40E6A" w:rsidP="00E40E6A">
            <w:pPr>
              <w:jc w:val="center"/>
              <w:rPr>
                <w:rFonts w:ascii="Arial Narrow" w:hAnsi="Arial Narrow" w:cs="Arial"/>
                <w:sz w:val="15"/>
                <w:szCs w:val="15"/>
              </w:rPr>
            </w:pPr>
          </w:p>
        </w:tc>
        <w:tc>
          <w:tcPr>
            <w:tcW w:w="3245" w:type="dxa"/>
            <w:vMerge w:val="restart"/>
            <w:tcBorders>
              <w:top w:val="single" w:sz="18" w:space="0" w:color="auto"/>
              <w:left w:val="single" w:sz="18" w:space="0" w:color="auto"/>
              <w:right w:val="single" w:sz="18" w:space="0" w:color="auto"/>
            </w:tcBorders>
            <w:shd w:val="clear" w:color="auto" w:fill="auto"/>
            <w:vAlign w:val="center"/>
          </w:tcPr>
          <w:p w14:paraId="3EB018F0" w14:textId="213AC5D4" w:rsidR="00E40E6A" w:rsidRPr="004D1666" w:rsidRDefault="00E40E6A" w:rsidP="00E40E6A">
            <w:pPr>
              <w:jc w:val="center"/>
              <w:rPr>
                <w:rFonts w:ascii="Arial Narrow" w:hAnsi="Arial Narrow" w:cs="Arial"/>
                <w:b/>
                <w:bCs/>
                <w:sz w:val="15"/>
                <w:szCs w:val="15"/>
              </w:rPr>
            </w:pPr>
            <w:r w:rsidRPr="004D1666">
              <w:rPr>
                <w:rFonts w:ascii="Arial Narrow" w:hAnsi="Arial Narrow" w:cs="Arial"/>
                <w:b/>
                <w:bCs/>
                <w:sz w:val="15"/>
                <w:szCs w:val="15"/>
              </w:rPr>
              <w:t>2 King’s Birthday</w:t>
            </w:r>
          </w:p>
        </w:tc>
      </w:tr>
      <w:tr w:rsidR="009416EA" w:rsidRPr="00BC2C5D" w14:paraId="16A93561" w14:textId="77777777" w:rsidTr="00247AC2">
        <w:trPr>
          <w:trHeight w:val="285"/>
        </w:trPr>
        <w:tc>
          <w:tcPr>
            <w:tcW w:w="1134" w:type="dxa"/>
            <w:vMerge/>
            <w:tcBorders>
              <w:left w:val="single" w:sz="18" w:space="0" w:color="auto"/>
              <w:bottom w:val="single" w:sz="18" w:space="0" w:color="C0C0C0"/>
              <w:right w:val="single" w:sz="18" w:space="0" w:color="C0C0C0"/>
            </w:tcBorders>
            <w:shd w:val="clear" w:color="auto" w:fill="auto"/>
            <w:vAlign w:val="center"/>
          </w:tcPr>
          <w:p w14:paraId="2E35BEEB" w14:textId="77777777" w:rsidR="007F5E09" w:rsidRDefault="007F5E09" w:rsidP="00C344F6">
            <w:pPr>
              <w:jc w:val="center"/>
              <w:rPr>
                <w:rFonts w:ascii="Arial Narrow" w:hAnsi="Arial Narrow" w:cs="Arial"/>
                <w:sz w:val="16"/>
                <w:szCs w:val="16"/>
              </w:rPr>
            </w:pPr>
          </w:p>
        </w:tc>
        <w:tc>
          <w:tcPr>
            <w:tcW w:w="1134" w:type="dxa"/>
            <w:vMerge/>
            <w:tcBorders>
              <w:left w:val="single" w:sz="18" w:space="0" w:color="C0C0C0"/>
              <w:bottom w:val="single" w:sz="18" w:space="0" w:color="C0C0C0"/>
              <w:right w:val="single" w:sz="18" w:space="0" w:color="C0C0C0"/>
            </w:tcBorders>
            <w:shd w:val="clear" w:color="auto" w:fill="D9D9D9" w:themeFill="background1" w:themeFillShade="D9"/>
            <w:vAlign w:val="center"/>
          </w:tcPr>
          <w:p w14:paraId="5EE9FC76" w14:textId="77777777" w:rsidR="007F5E09" w:rsidRPr="004D1666" w:rsidRDefault="007F5E09" w:rsidP="00C344F6">
            <w:pPr>
              <w:jc w:val="center"/>
              <w:rPr>
                <w:rFonts w:ascii="Arial Narrow" w:hAnsi="Arial Narrow" w:cs="Arial"/>
                <w:b/>
                <w:bCs/>
                <w:sz w:val="15"/>
                <w:szCs w:val="15"/>
              </w:rPr>
            </w:pPr>
          </w:p>
        </w:tc>
        <w:tc>
          <w:tcPr>
            <w:tcW w:w="1418" w:type="dxa"/>
            <w:vMerge/>
            <w:tcBorders>
              <w:left w:val="single" w:sz="18" w:space="0" w:color="C0C0C0"/>
              <w:bottom w:val="single" w:sz="18" w:space="0" w:color="C0C0C0"/>
              <w:right w:val="single" w:sz="18" w:space="0" w:color="BFBFBF"/>
            </w:tcBorders>
            <w:shd w:val="clear" w:color="auto" w:fill="auto"/>
            <w:vAlign w:val="center"/>
          </w:tcPr>
          <w:p w14:paraId="51871275" w14:textId="77777777" w:rsidR="007F5E09" w:rsidRPr="009416EA" w:rsidRDefault="007F5E09" w:rsidP="00C344F6">
            <w:pPr>
              <w:jc w:val="center"/>
              <w:rPr>
                <w:rFonts w:ascii="Arial Narrow" w:hAnsi="Arial Narrow" w:cs="Arial"/>
                <w:sz w:val="16"/>
                <w:szCs w:val="16"/>
              </w:rPr>
            </w:pPr>
          </w:p>
        </w:tc>
        <w:tc>
          <w:tcPr>
            <w:tcW w:w="1417" w:type="dxa"/>
            <w:vMerge/>
            <w:tcBorders>
              <w:left w:val="single" w:sz="18" w:space="0" w:color="BFBFBF"/>
              <w:bottom w:val="single" w:sz="18" w:space="0" w:color="C0C0C0"/>
              <w:right w:val="single" w:sz="18" w:space="0" w:color="C0C0C0"/>
            </w:tcBorders>
            <w:shd w:val="clear" w:color="auto" w:fill="auto"/>
            <w:vAlign w:val="center"/>
          </w:tcPr>
          <w:p w14:paraId="45DBF94E" w14:textId="77777777" w:rsidR="007F5E09" w:rsidRPr="009416EA" w:rsidRDefault="007F5E09" w:rsidP="00C344F6">
            <w:pPr>
              <w:jc w:val="center"/>
              <w:rPr>
                <w:rFonts w:ascii="Arial Narrow" w:hAnsi="Arial Narrow" w:cs="Arial"/>
                <w:color w:val="FFFFFF" w:themeColor="background1"/>
                <w:sz w:val="16"/>
                <w:szCs w:val="16"/>
              </w:rPr>
            </w:pPr>
          </w:p>
        </w:tc>
        <w:tc>
          <w:tcPr>
            <w:tcW w:w="1276" w:type="dxa"/>
            <w:tcBorders>
              <w:top w:val="nil"/>
              <w:left w:val="single" w:sz="18" w:space="0" w:color="C0C0C0"/>
              <w:bottom w:val="single" w:sz="18" w:space="0" w:color="C0C0C0"/>
              <w:right w:val="single" w:sz="18" w:space="0" w:color="C0C0C0"/>
            </w:tcBorders>
            <w:shd w:val="clear" w:color="auto" w:fill="769250"/>
            <w:vAlign w:val="center"/>
          </w:tcPr>
          <w:p w14:paraId="22F80745" w14:textId="2DC1F60E" w:rsidR="007F5E09" w:rsidRPr="009416EA" w:rsidRDefault="00E40E6A" w:rsidP="00C344F6">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5</w:t>
            </w:r>
          </w:p>
        </w:tc>
        <w:tc>
          <w:tcPr>
            <w:tcW w:w="1234" w:type="dxa"/>
            <w:vMerge/>
            <w:tcBorders>
              <w:left w:val="single" w:sz="18" w:space="0" w:color="C0C0C0"/>
              <w:bottom w:val="single" w:sz="18" w:space="0" w:color="C0C0C0"/>
              <w:right w:val="single" w:sz="18" w:space="0" w:color="auto"/>
            </w:tcBorders>
            <w:shd w:val="clear" w:color="auto" w:fill="auto"/>
            <w:vAlign w:val="center"/>
          </w:tcPr>
          <w:p w14:paraId="203BA50E" w14:textId="77777777" w:rsidR="007F5E09" w:rsidRPr="004D1666" w:rsidRDefault="007F5E09" w:rsidP="00C344F6">
            <w:pPr>
              <w:jc w:val="center"/>
              <w:rPr>
                <w:rFonts w:ascii="Arial Narrow" w:hAnsi="Arial Narrow" w:cs="Arial"/>
                <w:sz w:val="15"/>
                <w:szCs w:val="15"/>
              </w:rPr>
            </w:pPr>
          </w:p>
        </w:tc>
        <w:tc>
          <w:tcPr>
            <w:tcW w:w="3245" w:type="dxa"/>
            <w:vMerge/>
            <w:tcBorders>
              <w:left w:val="single" w:sz="18" w:space="0" w:color="auto"/>
              <w:bottom w:val="single" w:sz="18" w:space="0" w:color="C0C0C0"/>
              <w:right w:val="single" w:sz="18" w:space="0" w:color="auto"/>
            </w:tcBorders>
            <w:shd w:val="clear" w:color="auto" w:fill="auto"/>
            <w:vAlign w:val="center"/>
          </w:tcPr>
          <w:p w14:paraId="2B37CC66" w14:textId="77777777" w:rsidR="007F5E09" w:rsidRPr="004D1666" w:rsidRDefault="007F5E09" w:rsidP="004F6F17">
            <w:pPr>
              <w:jc w:val="center"/>
              <w:rPr>
                <w:rFonts w:ascii="Arial Narrow" w:hAnsi="Arial Narrow" w:cs="Arial"/>
                <w:b/>
                <w:bCs/>
                <w:sz w:val="15"/>
                <w:szCs w:val="15"/>
              </w:rPr>
            </w:pPr>
          </w:p>
        </w:tc>
      </w:tr>
      <w:tr w:rsidR="009416EA" w:rsidRPr="00BC2C5D" w14:paraId="1920F1D5" w14:textId="77777777" w:rsidTr="00247AC2">
        <w:trPr>
          <w:trHeight w:val="285"/>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79CA0660" w14:textId="391B4B31" w:rsidR="00E40E6A" w:rsidRPr="00A634FA" w:rsidRDefault="00E40E6A" w:rsidP="00E40E6A">
            <w:pPr>
              <w:jc w:val="center"/>
              <w:rPr>
                <w:rFonts w:ascii="Arial Narrow" w:hAnsi="Arial Narrow" w:cs="Arial"/>
                <w:sz w:val="16"/>
                <w:szCs w:val="16"/>
              </w:rPr>
            </w:pPr>
            <w:r>
              <w:rPr>
                <w:rFonts w:ascii="Arial Narrow" w:hAnsi="Arial Narrow" w:cs="Arial"/>
                <w:sz w:val="16"/>
                <w:szCs w:val="16"/>
              </w:rPr>
              <w:t>9 October</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56638F21" w14:textId="59A381F4" w:rsidR="00E40E6A" w:rsidRPr="004D1666" w:rsidRDefault="00E40E6A" w:rsidP="00E40E6A">
            <w:pPr>
              <w:jc w:val="center"/>
              <w:rPr>
                <w:rFonts w:ascii="Arial Narrow" w:hAnsi="Arial Narrow" w:cs="Arial"/>
                <w:sz w:val="15"/>
                <w:szCs w:val="15"/>
              </w:rPr>
            </w:pP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4476C160" w14:textId="35282A2E"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10</w:t>
            </w:r>
          </w:p>
        </w:tc>
        <w:tc>
          <w:tcPr>
            <w:tcW w:w="1417" w:type="dxa"/>
            <w:vMerge w:val="restart"/>
            <w:tcBorders>
              <w:top w:val="single" w:sz="18" w:space="0" w:color="C0C0C0"/>
              <w:left w:val="single" w:sz="18" w:space="0" w:color="BFBFBF"/>
              <w:right w:val="single" w:sz="18" w:space="0" w:color="C0C0C0"/>
            </w:tcBorders>
            <w:shd w:val="clear" w:color="auto" w:fill="FF0000"/>
            <w:vAlign w:val="center"/>
          </w:tcPr>
          <w:p w14:paraId="1AE5584B" w14:textId="60E6EFC4"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11</w:t>
            </w:r>
          </w:p>
        </w:tc>
        <w:tc>
          <w:tcPr>
            <w:tcW w:w="1276" w:type="dxa"/>
            <w:vMerge w:val="restart"/>
            <w:tcBorders>
              <w:top w:val="single" w:sz="18" w:space="0" w:color="C0C0C0"/>
              <w:left w:val="single" w:sz="18" w:space="0" w:color="C0C0C0"/>
              <w:right w:val="single" w:sz="18" w:space="0" w:color="C0C0C0"/>
            </w:tcBorders>
            <w:shd w:val="clear" w:color="auto" w:fill="FF0000"/>
            <w:vAlign w:val="center"/>
          </w:tcPr>
          <w:p w14:paraId="6B78F59B" w14:textId="16890FDE"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12 ICM</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1A733CA3" w14:textId="0748470A" w:rsidR="00E40E6A" w:rsidRPr="004D1666" w:rsidRDefault="00E40E6A" w:rsidP="00E40E6A">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26D96C50" w14:textId="77777777" w:rsidR="00E40E6A" w:rsidRPr="004D1666" w:rsidRDefault="00E40E6A" w:rsidP="00E40E6A">
            <w:pPr>
              <w:jc w:val="center"/>
              <w:rPr>
                <w:rFonts w:ascii="Arial Narrow" w:hAnsi="Arial Narrow"/>
                <w:color w:val="31849B"/>
                <w:sz w:val="15"/>
                <w:szCs w:val="15"/>
              </w:rPr>
            </w:pPr>
            <w:r w:rsidRPr="004D1666">
              <w:rPr>
                <w:rFonts w:ascii="Arial Narrow" w:hAnsi="Arial Narrow"/>
                <w:color w:val="31849B"/>
                <w:sz w:val="15"/>
                <w:szCs w:val="15"/>
              </w:rPr>
              <w:t>Cooktown – Circuit</w:t>
            </w:r>
          </w:p>
          <w:p w14:paraId="51EA0079" w14:textId="7E1CEE1C" w:rsidR="00E40E6A" w:rsidRPr="004D1666" w:rsidRDefault="00E40E6A" w:rsidP="00E40E6A">
            <w:pPr>
              <w:jc w:val="center"/>
              <w:rPr>
                <w:rFonts w:ascii="Arial Narrow" w:hAnsi="Arial Narrow" w:cs="Arial"/>
                <w:b/>
                <w:bCs/>
                <w:sz w:val="15"/>
                <w:szCs w:val="15"/>
              </w:rPr>
            </w:pPr>
            <w:r w:rsidRPr="004D1666">
              <w:rPr>
                <w:rFonts w:ascii="Arial Narrow" w:hAnsi="Arial Narrow"/>
                <w:color w:val="31849B"/>
                <w:sz w:val="15"/>
                <w:szCs w:val="15"/>
              </w:rPr>
              <w:t>Doomadgee – Gulf Circuit</w:t>
            </w:r>
          </w:p>
        </w:tc>
      </w:tr>
      <w:tr w:rsidR="009416EA" w:rsidRPr="00BC2C5D" w14:paraId="5095651C" w14:textId="77777777" w:rsidTr="005E126D">
        <w:trPr>
          <w:trHeight w:val="284"/>
        </w:trPr>
        <w:tc>
          <w:tcPr>
            <w:tcW w:w="1134" w:type="dxa"/>
            <w:vMerge/>
            <w:tcBorders>
              <w:left w:val="single" w:sz="18" w:space="0" w:color="auto"/>
              <w:bottom w:val="single" w:sz="18" w:space="0" w:color="FFFFFF"/>
              <w:right w:val="single" w:sz="18" w:space="0" w:color="C0C0C0"/>
            </w:tcBorders>
            <w:shd w:val="clear" w:color="auto" w:fill="auto"/>
            <w:vAlign w:val="center"/>
          </w:tcPr>
          <w:p w14:paraId="4232E845" w14:textId="77777777" w:rsidR="000F3E04" w:rsidRDefault="000F3E04" w:rsidP="00C344F6">
            <w:pPr>
              <w:jc w:val="center"/>
              <w:rPr>
                <w:rFonts w:ascii="Arial Narrow" w:hAnsi="Arial Narrow" w:cs="Arial"/>
                <w:sz w:val="16"/>
                <w:szCs w:val="16"/>
              </w:rPr>
            </w:pPr>
          </w:p>
        </w:tc>
        <w:tc>
          <w:tcPr>
            <w:tcW w:w="1134" w:type="dxa"/>
            <w:vMerge/>
            <w:tcBorders>
              <w:left w:val="single" w:sz="18" w:space="0" w:color="C0C0C0"/>
              <w:bottom w:val="single" w:sz="18" w:space="0" w:color="FFFFFF"/>
              <w:right w:val="single" w:sz="18" w:space="0" w:color="C0C0C0"/>
            </w:tcBorders>
            <w:shd w:val="clear" w:color="auto" w:fill="auto"/>
            <w:vAlign w:val="center"/>
          </w:tcPr>
          <w:p w14:paraId="36057FCD" w14:textId="77777777" w:rsidR="000F3E04" w:rsidRPr="004D1666" w:rsidRDefault="000F3E04" w:rsidP="00C344F6">
            <w:pPr>
              <w:jc w:val="center"/>
              <w:rPr>
                <w:rFonts w:ascii="Arial Narrow" w:hAnsi="Arial Narrow" w:cs="Arial"/>
                <w:sz w:val="15"/>
                <w:szCs w:val="15"/>
              </w:rPr>
            </w:pPr>
          </w:p>
        </w:tc>
        <w:tc>
          <w:tcPr>
            <w:tcW w:w="1418" w:type="dxa"/>
            <w:tcBorders>
              <w:top w:val="nil"/>
              <w:left w:val="single" w:sz="18" w:space="0" w:color="C0C0C0"/>
              <w:bottom w:val="single" w:sz="18" w:space="0" w:color="C0C0C0"/>
              <w:right w:val="single" w:sz="18" w:space="0" w:color="BFBFBF"/>
            </w:tcBorders>
            <w:shd w:val="clear" w:color="auto" w:fill="FFFF00"/>
            <w:vAlign w:val="center"/>
          </w:tcPr>
          <w:p w14:paraId="0C04A20F" w14:textId="608F38EF" w:rsidR="000F3E04" w:rsidRPr="009416EA" w:rsidRDefault="00E40E6A" w:rsidP="00C344F6">
            <w:pPr>
              <w:jc w:val="center"/>
              <w:rPr>
                <w:rFonts w:ascii="Arial Narrow" w:hAnsi="Arial Narrow" w:cs="Arial"/>
                <w:sz w:val="16"/>
                <w:szCs w:val="16"/>
              </w:rPr>
            </w:pPr>
            <w:r w:rsidRPr="009416EA">
              <w:rPr>
                <w:rFonts w:ascii="Arial Narrow" w:hAnsi="Arial Narrow" w:cs="Arial"/>
                <w:b/>
                <w:bCs/>
                <w:sz w:val="16"/>
                <w:szCs w:val="16"/>
              </w:rPr>
              <w:t>10</w:t>
            </w:r>
          </w:p>
        </w:tc>
        <w:tc>
          <w:tcPr>
            <w:tcW w:w="1417" w:type="dxa"/>
            <w:vMerge/>
            <w:tcBorders>
              <w:left w:val="single" w:sz="18" w:space="0" w:color="BFBFBF"/>
              <w:right w:val="single" w:sz="18" w:space="0" w:color="C0C0C0"/>
            </w:tcBorders>
            <w:shd w:val="clear" w:color="auto" w:fill="FF0000"/>
            <w:vAlign w:val="center"/>
          </w:tcPr>
          <w:p w14:paraId="28C9D0F9" w14:textId="77777777" w:rsidR="000F3E04" w:rsidRPr="009416EA" w:rsidRDefault="000F3E04" w:rsidP="00C344F6">
            <w:pPr>
              <w:jc w:val="center"/>
              <w:rPr>
                <w:rFonts w:ascii="Arial Narrow" w:hAnsi="Arial Narrow" w:cs="Arial"/>
                <w:sz w:val="16"/>
                <w:szCs w:val="16"/>
              </w:rPr>
            </w:pPr>
          </w:p>
        </w:tc>
        <w:tc>
          <w:tcPr>
            <w:tcW w:w="1276" w:type="dxa"/>
            <w:vMerge/>
            <w:tcBorders>
              <w:left w:val="single" w:sz="18" w:space="0" w:color="C0C0C0"/>
              <w:bottom w:val="single" w:sz="18" w:space="0" w:color="FFFFFF"/>
              <w:right w:val="single" w:sz="18" w:space="0" w:color="C0C0C0"/>
            </w:tcBorders>
            <w:shd w:val="clear" w:color="auto" w:fill="FF0000"/>
            <w:vAlign w:val="center"/>
          </w:tcPr>
          <w:p w14:paraId="6162AAC9" w14:textId="77777777" w:rsidR="000F3E04" w:rsidRPr="009416EA" w:rsidRDefault="000F3E04" w:rsidP="00C344F6">
            <w:pPr>
              <w:jc w:val="center"/>
              <w:rPr>
                <w:rFonts w:ascii="Arial Narrow" w:hAnsi="Arial Narrow" w:cs="Arial"/>
                <w:sz w:val="16"/>
                <w:szCs w:val="16"/>
              </w:rPr>
            </w:pPr>
          </w:p>
        </w:tc>
        <w:tc>
          <w:tcPr>
            <w:tcW w:w="1234" w:type="dxa"/>
            <w:vMerge/>
            <w:tcBorders>
              <w:left w:val="single" w:sz="18" w:space="0" w:color="C0C0C0"/>
              <w:bottom w:val="single" w:sz="18" w:space="0" w:color="FFFFFF"/>
              <w:right w:val="single" w:sz="18" w:space="0" w:color="auto"/>
            </w:tcBorders>
            <w:shd w:val="clear" w:color="auto" w:fill="auto"/>
            <w:vAlign w:val="center"/>
          </w:tcPr>
          <w:p w14:paraId="213EC20E" w14:textId="77777777" w:rsidR="000F3E04" w:rsidRPr="004D1666" w:rsidRDefault="000F3E04" w:rsidP="00C344F6">
            <w:pPr>
              <w:jc w:val="center"/>
              <w:rPr>
                <w:rFonts w:ascii="Arial Narrow" w:hAnsi="Arial Narrow" w:cs="Arial"/>
                <w:sz w:val="15"/>
                <w:szCs w:val="15"/>
              </w:rPr>
            </w:pPr>
          </w:p>
        </w:tc>
        <w:tc>
          <w:tcPr>
            <w:tcW w:w="3245" w:type="dxa"/>
            <w:vMerge/>
            <w:tcBorders>
              <w:left w:val="single" w:sz="18" w:space="0" w:color="auto"/>
              <w:bottom w:val="single" w:sz="18" w:space="0" w:color="FFFFFF"/>
              <w:right w:val="single" w:sz="18" w:space="0" w:color="auto"/>
            </w:tcBorders>
            <w:shd w:val="clear" w:color="auto" w:fill="auto"/>
            <w:vAlign w:val="center"/>
          </w:tcPr>
          <w:p w14:paraId="7FA74F2D" w14:textId="77777777" w:rsidR="000F3E04" w:rsidRPr="004D1666" w:rsidRDefault="000F3E04" w:rsidP="00A6437C">
            <w:pPr>
              <w:jc w:val="center"/>
              <w:rPr>
                <w:rFonts w:ascii="Arial Narrow" w:hAnsi="Arial Narrow"/>
                <w:color w:val="31849B"/>
                <w:sz w:val="15"/>
                <w:szCs w:val="15"/>
              </w:rPr>
            </w:pPr>
          </w:p>
        </w:tc>
      </w:tr>
      <w:tr w:rsidR="009416EA" w:rsidRPr="00BC2C5D" w14:paraId="3D55130B" w14:textId="77777777" w:rsidTr="00A975E3">
        <w:trPr>
          <w:trHeight w:val="187"/>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50A09688" w14:textId="450BB8CA" w:rsidR="00E40E6A" w:rsidRPr="00A634FA" w:rsidRDefault="00E40E6A" w:rsidP="00E40E6A">
            <w:pPr>
              <w:jc w:val="center"/>
              <w:rPr>
                <w:rFonts w:ascii="Arial Narrow" w:hAnsi="Arial Narrow" w:cs="Arial"/>
                <w:sz w:val="16"/>
                <w:szCs w:val="16"/>
              </w:rPr>
            </w:pPr>
            <w:r>
              <w:rPr>
                <w:rFonts w:ascii="Arial Narrow" w:hAnsi="Arial Narrow" w:cs="Arial"/>
                <w:sz w:val="16"/>
                <w:szCs w:val="16"/>
              </w:rPr>
              <w:t>16 October</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3BBBD21F" w14:textId="65239E46" w:rsidR="00E40E6A" w:rsidRPr="004D1666" w:rsidRDefault="00E40E6A" w:rsidP="00E40E6A">
            <w:pPr>
              <w:jc w:val="center"/>
              <w:rPr>
                <w:rFonts w:ascii="Arial Narrow" w:hAnsi="Arial Narrow" w:cs="Arial"/>
                <w:sz w:val="15"/>
                <w:szCs w:val="15"/>
              </w:rPr>
            </w:pPr>
          </w:p>
        </w:tc>
        <w:tc>
          <w:tcPr>
            <w:tcW w:w="1418" w:type="dxa"/>
            <w:vMerge w:val="restart"/>
            <w:tcBorders>
              <w:top w:val="single" w:sz="18" w:space="0" w:color="C0C0C0"/>
              <w:left w:val="single" w:sz="18" w:space="0" w:color="C0C0C0"/>
              <w:right w:val="single" w:sz="18" w:space="0" w:color="BFBFBF"/>
            </w:tcBorders>
            <w:shd w:val="clear" w:color="auto" w:fill="31849B"/>
            <w:vAlign w:val="center"/>
          </w:tcPr>
          <w:p w14:paraId="2F78CCA0" w14:textId="3CEAF51E"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17 ½ day ICM</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484ED60A" w14:textId="4DF854E2"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18</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13761527" w14:textId="4ADD4A67"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19</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341632A4" w14:textId="77777777" w:rsidR="00E40E6A" w:rsidRPr="004D1666" w:rsidRDefault="00E40E6A" w:rsidP="00E40E6A">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184F82AE" w14:textId="71B2C339" w:rsidR="00E40E6A" w:rsidRPr="004D1666" w:rsidRDefault="00E40E6A" w:rsidP="00E40E6A">
            <w:pPr>
              <w:jc w:val="center"/>
              <w:rPr>
                <w:rFonts w:ascii="Arial Narrow" w:hAnsi="Arial Narrow"/>
                <w:color w:val="31849B"/>
                <w:sz w:val="15"/>
                <w:szCs w:val="15"/>
              </w:rPr>
            </w:pPr>
            <w:r w:rsidRPr="004D1666">
              <w:rPr>
                <w:rFonts w:ascii="Arial Narrow" w:hAnsi="Arial Narrow"/>
                <w:color w:val="31849B"/>
                <w:sz w:val="15"/>
                <w:szCs w:val="15"/>
              </w:rPr>
              <w:t>Aurukun Cape B Circuit</w:t>
            </w:r>
          </w:p>
        </w:tc>
      </w:tr>
      <w:tr w:rsidR="00A975E3" w:rsidRPr="00BC2C5D" w14:paraId="7290AD33" w14:textId="77777777" w:rsidTr="00A975E3">
        <w:trPr>
          <w:trHeight w:val="157"/>
        </w:trPr>
        <w:tc>
          <w:tcPr>
            <w:tcW w:w="1134" w:type="dxa"/>
            <w:vMerge/>
            <w:tcBorders>
              <w:left w:val="single" w:sz="18" w:space="0" w:color="auto"/>
              <w:right w:val="single" w:sz="18" w:space="0" w:color="C0C0C0"/>
            </w:tcBorders>
            <w:shd w:val="clear" w:color="auto" w:fill="auto"/>
            <w:vAlign w:val="center"/>
          </w:tcPr>
          <w:p w14:paraId="22C00F77" w14:textId="77777777" w:rsidR="00A975E3" w:rsidRDefault="00A975E3"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3D1DFBEE" w14:textId="77777777" w:rsidR="00A975E3" w:rsidRPr="004D1666" w:rsidRDefault="00A975E3" w:rsidP="00C344F6">
            <w:pPr>
              <w:jc w:val="center"/>
              <w:rPr>
                <w:rFonts w:ascii="Arial Narrow" w:hAnsi="Arial Narrow" w:cs="Arial"/>
                <w:sz w:val="15"/>
                <w:szCs w:val="15"/>
              </w:rPr>
            </w:pPr>
          </w:p>
        </w:tc>
        <w:tc>
          <w:tcPr>
            <w:tcW w:w="1418" w:type="dxa"/>
            <w:vMerge/>
            <w:tcBorders>
              <w:left w:val="single" w:sz="18" w:space="0" w:color="C0C0C0"/>
              <w:right w:val="single" w:sz="18" w:space="0" w:color="BFBFBF"/>
            </w:tcBorders>
            <w:shd w:val="clear" w:color="auto" w:fill="31849B"/>
            <w:vAlign w:val="center"/>
          </w:tcPr>
          <w:p w14:paraId="4256C00A" w14:textId="77777777" w:rsidR="00A975E3" w:rsidRPr="009416EA" w:rsidRDefault="00A975E3" w:rsidP="00C344F6">
            <w:pPr>
              <w:jc w:val="center"/>
              <w:rPr>
                <w:rFonts w:ascii="Arial Narrow" w:hAnsi="Arial Narrow" w:cs="Arial"/>
                <w:b/>
                <w:bCs/>
                <w:color w:val="FFFFFF" w:themeColor="background1"/>
                <w:sz w:val="16"/>
                <w:szCs w:val="16"/>
              </w:rPr>
            </w:pPr>
          </w:p>
        </w:tc>
        <w:tc>
          <w:tcPr>
            <w:tcW w:w="1417" w:type="dxa"/>
            <w:vMerge w:val="restart"/>
            <w:tcBorders>
              <w:top w:val="nil"/>
              <w:left w:val="single" w:sz="18" w:space="0" w:color="BFBFBF"/>
              <w:bottom w:val="single" w:sz="18" w:space="0" w:color="C0C0C0"/>
              <w:right w:val="single" w:sz="18" w:space="0" w:color="C0C0C0"/>
            </w:tcBorders>
            <w:shd w:val="clear" w:color="auto" w:fill="769250"/>
            <w:vAlign w:val="center"/>
          </w:tcPr>
          <w:p w14:paraId="15120CA9" w14:textId="65D178EE" w:rsidR="00A975E3" w:rsidRPr="009416EA" w:rsidRDefault="00A975E3" w:rsidP="00636100">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18</w:t>
            </w:r>
          </w:p>
        </w:tc>
        <w:tc>
          <w:tcPr>
            <w:tcW w:w="1276" w:type="dxa"/>
            <w:tcBorders>
              <w:top w:val="nil"/>
              <w:left w:val="single" w:sz="18" w:space="0" w:color="C0C0C0"/>
              <w:bottom w:val="nil"/>
              <w:right w:val="single" w:sz="18" w:space="0" w:color="C0C0C0"/>
            </w:tcBorders>
            <w:shd w:val="clear" w:color="auto" w:fill="769250"/>
            <w:vAlign w:val="center"/>
          </w:tcPr>
          <w:p w14:paraId="707C7EBE" w14:textId="7D02B506" w:rsidR="00A975E3" w:rsidRPr="009416EA" w:rsidRDefault="00A975E3" w:rsidP="003B05FB">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19</w:t>
            </w:r>
          </w:p>
        </w:tc>
        <w:tc>
          <w:tcPr>
            <w:tcW w:w="1234" w:type="dxa"/>
            <w:vMerge/>
            <w:tcBorders>
              <w:left w:val="single" w:sz="18" w:space="0" w:color="C0C0C0"/>
              <w:right w:val="single" w:sz="18" w:space="0" w:color="auto"/>
            </w:tcBorders>
            <w:shd w:val="clear" w:color="auto" w:fill="auto"/>
            <w:vAlign w:val="center"/>
          </w:tcPr>
          <w:p w14:paraId="73172692" w14:textId="77777777" w:rsidR="00A975E3" w:rsidRPr="004D1666" w:rsidRDefault="00A975E3" w:rsidP="00C344F6">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5A2FB070" w14:textId="77777777" w:rsidR="00A975E3" w:rsidRPr="004D1666" w:rsidRDefault="00A975E3" w:rsidP="00C344F6">
            <w:pPr>
              <w:jc w:val="center"/>
              <w:rPr>
                <w:rFonts w:ascii="Arial Narrow" w:hAnsi="Arial Narrow"/>
                <w:color w:val="31849B"/>
                <w:sz w:val="15"/>
                <w:szCs w:val="15"/>
              </w:rPr>
            </w:pPr>
          </w:p>
        </w:tc>
      </w:tr>
      <w:tr w:rsidR="00A975E3" w:rsidRPr="00BC2C5D" w14:paraId="0B048DD5" w14:textId="77777777" w:rsidTr="00A975E3">
        <w:trPr>
          <w:trHeight w:val="307"/>
        </w:trPr>
        <w:tc>
          <w:tcPr>
            <w:tcW w:w="1134" w:type="dxa"/>
            <w:vMerge/>
            <w:tcBorders>
              <w:left w:val="single" w:sz="18" w:space="0" w:color="auto"/>
              <w:right w:val="single" w:sz="18" w:space="0" w:color="C0C0C0"/>
            </w:tcBorders>
            <w:shd w:val="clear" w:color="auto" w:fill="auto"/>
            <w:vAlign w:val="center"/>
          </w:tcPr>
          <w:p w14:paraId="481B1088" w14:textId="77777777" w:rsidR="00A975E3" w:rsidRDefault="00A975E3" w:rsidP="00E40E6A">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515601A7" w14:textId="77777777" w:rsidR="00A975E3" w:rsidRPr="004D1666" w:rsidRDefault="00A975E3" w:rsidP="00E40E6A">
            <w:pPr>
              <w:jc w:val="center"/>
              <w:rPr>
                <w:rFonts w:ascii="Arial Narrow" w:hAnsi="Arial Narrow" w:cs="Arial"/>
                <w:sz w:val="15"/>
                <w:szCs w:val="15"/>
              </w:rPr>
            </w:pPr>
          </w:p>
        </w:tc>
        <w:tc>
          <w:tcPr>
            <w:tcW w:w="1418" w:type="dxa"/>
            <w:vMerge/>
            <w:tcBorders>
              <w:left w:val="single" w:sz="18" w:space="0" w:color="C0C0C0"/>
              <w:right w:val="single" w:sz="18" w:space="0" w:color="BFBFBF"/>
            </w:tcBorders>
            <w:shd w:val="clear" w:color="auto" w:fill="31849B"/>
            <w:vAlign w:val="center"/>
          </w:tcPr>
          <w:p w14:paraId="6B8A521C" w14:textId="77777777" w:rsidR="00A975E3" w:rsidRPr="009416EA" w:rsidRDefault="00A975E3" w:rsidP="00E40E6A">
            <w:pPr>
              <w:jc w:val="center"/>
              <w:rPr>
                <w:rFonts w:ascii="Arial Narrow" w:hAnsi="Arial Narrow" w:cs="Arial"/>
                <w:b/>
                <w:bCs/>
                <w:color w:val="FFFFFF" w:themeColor="background1"/>
                <w:sz w:val="16"/>
                <w:szCs w:val="16"/>
              </w:rPr>
            </w:pPr>
          </w:p>
        </w:tc>
        <w:tc>
          <w:tcPr>
            <w:tcW w:w="1417" w:type="dxa"/>
            <w:vMerge/>
            <w:tcBorders>
              <w:top w:val="single" w:sz="18" w:space="0" w:color="FFFFFF"/>
              <w:left w:val="single" w:sz="18" w:space="0" w:color="BFBFBF"/>
              <w:bottom w:val="single" w:sz="18" w:space="0" w:color="C0C0C0"/>
              <w:right w:val="single" w:sz="18" w:space="0" w:color="C0C0C0"/>
            </w:tcBorders>
            <w:shd w:val="clear" w:color="auto" w:fill="769250"/>
            <w:vAlign w:val="center"/>
          </w:tcPr>
          <w:p w14:paraId="347CF256" w14:textId="3D4D9ECA" w:rsidR="00A975E3" w:rsidRPr="009416EA" w:rsidRDefault="00A975E3" w:rsidP="00E40E6A">
            <w:pPr>
              <w:jc w:val="center"/>
              <w:rPr>
                <w:rFonts w:ascii="Arial Narrow" w:hAnsi="Arial Narrow" w:cs="Arial"/>
                <w:b/>
                <w:bCs/>
                <w:color w:val="FFFFFF" w:themeColor="background1"/>
                <w:sz w:val="16"/>
                <w:szCs w:val="16"/>
              </w:rPr>
            </w:pPr>
          </w:p>
        </w:tc>
        <w:tc>
          <w:tcPr>
            <w:tcW w:w="1276" w:type="dxa"/>
            <w:tcBorders>
              <w:top w:val="nil"/>
              <w:left w:val="single" w:sz="18" w:space="0" w:color="C0C0C0"/>
              <w:right w:val="single" w:sz="18" w:space="0" w:color="C0C0C0"/>
            </w:tcBorders>
            <w:shd w:val="clear" w:color="auto" w:fill="31849B"/>
            <w:vAlign w:val="center"/>
          </w:tcPr>
          <w:p w14:paraId="386991F4" w14:textId="4FD016AC" w:rsidR="00A975E3" w:rsidRPr="009416EA" w:rsidRDefault="00A975E3"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19</w:t>
            </w:r>
            <w:r>
              <w:rPr>
                <w:rFonts w:ascii="Arial Narrow" w:hAnsi="Arial Narrow" w:cs="Arial"/>
                <w:b/>
                <w:bCs/>
                <w:color w:val="FFFFFF" w:themeColor="background1"/>
                <w:sz w:val="16"/>
                <w:szCs w:val="16"/>
              </w:rPr>
              <w:t xml:space="preserve"> </w:t>
            </w:r>
            <w:r w:rsidRPr="009416EA">
              <w:rPr>
                <w:rFonts w:ascii="Arial Narrow" w:hAnsi="Arial Narrow" w:cs="Arial"/>
                <w:b/>
                <w:bCs/>
                <w:color w:val="FFFFFF" w:themeColor="background1"/>
                <w:sz w:val="16"/>
                <w:szCs w:val="16"/>
              </w:rPr>
              <w:t>½ day ICM</w:t>
            </w:r>
          </w:p>
        </w:tc>
        <w:tc>
          <w:tcPr>
            <w:tcW w:w="1234" w:type="dxa"/>
            <w:vMerge/>
            <w:tcBorders>
              <w:left w:val="single" w:sz="18" w:space="0" w:color="C0C0C0"/>
              <w:right w:val="single" w:sz="18" w:space="0" w:color="auto"/>
            </w:tcBorders>
            <w:shd w:val="clear" w:color="auto" w:fill="auto"/>
            <w:vAlign w:val="center"/>
          </w:tcPr>
          <w:p w14:paraId="451106C5" w14:textId="77777777" w:rsidR="00A975E3" w:rsidRPr="004D1666" w:rsidRDefault="00A975E3" w:rsidP="00E40E6A">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393D9832" w14:textId="77777777" w:rsidR="00A975E3" w:rsidRPr="004D1666" w:rsidRDefault="00A975E3" w:rsidP="00E40E6A">
            <w:pPr>
              <w:jc w:val="center"/>
              <w:rPr>
                <w:rFonts w:ascii="Arial Narrow" w:hAnsi="Arial Narrow"/>
                <w:color w:val="31849B"/>
                <w:sz w:val="15"/>
                <w:szCs w:val="15"/>
              </w:rPr>
            </w:pPr>
          </w:p>
        </w:tc>
      </w:tr>
      <w:tr w:rsidR="009416EA" w:rsidRPr="00BC2C5D" w14:paraId="172CB696" w14:textId="77777777" w:rsidTr="00247AC2">
        <w:trPr>
          <w:trHeight w:val="567"/>
        </w:trPr>
        <w:tc>
          <w:tcPr>
            <w:tcW w:w="1134" w:type="dxa"/>
            <w:tcBorders>
              <w:top w:val="single" w:sz="18" w:space="0" w:color="C0C0C0"/>
              <w:left w:val="single" w:sz="18" w:space="0" w:color="auto"/>
              <w:bottom w:val="single" w:sz="18" w:space="0" w:color="BFBFBF" w:themeColor="background1" w:themeShade="BF"/>
              <w:right w:val="single" w:sz="18" w:space="0" w:color="C0C0C0"/>
            </w:tcBorders>
            <w:shd w:val="clear" w:color="auto" w:fill="auto"/>
            <w:vAlign w:val="center"/>
          </w:tcPr>
          <w:p w14:paraId="03C871EE" w14:textId="5CCBF717" w:rsidR="00E40E6A" w:rsidRPr="00A634FA" w:rsidRDefault="00E40E6A" w:rsidP="00E40E6A">
            <w:pPr>
              <w:jc w:val="center"/>
              <w:rPr>
                <w:rFonts w:ascii="Arial Narrow" w:hAnsi="Arial Narrow" w:cs="Arial"/>
                <w:sz w:val="16"/>
                <w:szCs w:val="16"/>
              </w:rPr>
            </w:pPr>
            <w:r>
              <w:rPr>
                <w:rFonts w:ascii="Arial Narrow" w:hAnsi="Arial Narrow" w:cs="Arial"/>
                <w:sz w:val="16"/>
                <w:szCs w:val="16"/>
              </w:rPr>
              <w:t>23 October</w:t>
            </w:r>
          </w:p>
        </w:tc>
        <w:tc>
          <w:tcPr>
            <w:tcW w:w="1134" w:type="dxa"/>
            <w:tcBorders>
              <w:top w:val="single" w:sz="18" w:space="0" w:color="C0C0C0"/>
              <w:left w:val="single" w:sz="18" w:space="0" w:color="C0C0C0"/>
              <w:bottom w:val="single" w:sz="18" w:space="0" w:color="BFBFBF" w:themeColor="background1" w:themeShade="BF"/>
              <w:right w:val="single" w:sz="18" w:space="0" w:color="C0C0C0"/>
            </w:tcBorders>
            <w:shd w:val="clear" w:color="auto" w:fill="auto"/>
            <w:vAlign w:val="center"/>
          </w:tcPr>
          <w:p w14:paraId="3BC75E46" w14:textId="48222CE7" w:rsidR="00E40E6A" w:rsidRPr="004D1666" w:rsidRDefault="00E40E6A" w:rsidP="00E40E6A">
            <w:pPr>
              <w:jc w:val="center"/>
              <w:rPr>
                <w:rFonts w:ascii="Arial Narrow" w:hAnsi="Arial Narrow" w:cs="Arial"/>
                <w:sz w:val="15"/>
                <w:szCs w:val="15"/>
              </w:rPr>
            </w:pPr>
          </w:p>
        </w:tc>
        <w:tc>
          <w:tcPr>
            <w:tcW w:w="1418" w:type="dxa"/>
            <w:tcBorders>
              <w:top w:val="single" w:sz="18" w:space="0" w:color="C0C0C0"/>
              <w:left w:val="single" w:sz="18" w:space="0" w:color="C0C0C0"/>
              <w:bottom w:val="single" w:sz="18" w:space="0" w:color="BFBFBF" w:themeColor="background1" w:themeShade="BF"/>
              <w:right w:val="single" w:sz="18" w:space="0" w:color="BFBFBF"/>
            </w:tcBorders>
            <w:shd w:val="clear" w:color="auto" w:fill="FF0000"/>
            <w:vAlign w:val="center"/>
          </w:tcPr>
          <w:p w14:paraId="6A7880B7" w14:textId="50B06611"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24 ICM</w:t>
            </w:r>
          </w:p>
        </w:tc>
        <w:tc>
          <w:tcPr>
            <w:tcW w:w="1417" w:type="dxa"/>
            <w:tcBorders>
              <w:top w:val="single" w:sz="18" w:space="0" w:color="C0C0C0"/>
              <w:left w:val="single" w:sz="18" w:space="0" w:color="BFBFBF"/>
              <w:bottom w:val="single" w:sz="18" w:space="0" w:color="BFBFBF" w:themeColor="background1" w:themeShade="BF"/>
              <w:right w:val="single" w:sz="18" w:space="0" w:color="C0C0C0"/>
            </w:tcBorders>
            <w:shd w:val="clear" w:color="auto" w:fill="FF0000"/>
            <w:vAlign w:val="center"/>
          </w:tcPr>
          <w:p w14:paraId="2BEECBCA" w14:textId="1A488879"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25 ICM</w:t>
            </w:r>
          </w:p>
        </w:tc>
        <w:tc>
          <w:tcPr>
            <w:tcW w:w="1276" w:type="dxa"/>
            <w:tcBorders>
              <w:top w:val="single" w:sz="18" w:space="0" w:color="C0C0C0"/>
              <w:left w:val="single" w:sz="18" w:space="0" w:color="C0C0C0"/>
              <w:bottom w:val="single" w:sz="18" w:space="0" w:color="BFBFBF" w:themeColor="background1" w:themeShade="BF"/>
              <w:right w:val="single" w:sz="18" w:space="0" w:color="C0C0C0"/>
            </w:tcBorders>
            <w:shd w:val="clear" w:color="auto" w:fill="FF0000"/>
            <w:vAlign w:val="center"/>
          </w:tcPr>
          <w:p w14:paraId="030CE006" w14:textId="6BA84BD1"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26 ICM</w:t>
            </w:r>
          </w:p>
        </w:tc>
        <w:tc>
          <w:tcPr>
            <w:tcW w:w="1234" w:type="dxa"/>
            <w:tcBorders>
              <w:top w:val="single" w:sz="18" w:space="0" w:color="C0C0C0"/>
              <w:left w:val="single" w:sz="18" w:space="0" w:color="C0C0C0"/>
              <w:bottom w:val="single" w:sz="18" w:space="0" w:color="BFBFBF" w:themeColor="background1" w:themeShade="BF"/>
              <w:right w:val="single" w:sz="18" w:space="0" w:color="auto"/>
            </w:tcBorders>
            <w:shd w:val="clear" w:color="auto" w:fill="auto"/>
            <w:vAlign w:val="center"/>
          </w:tcPr>
          <w:p w14:paraId="1FFAFF47" w14:textId="77777777" w:rsidR="00E40E6A" w:rsidRPr="004D1666" w:rsidRDefault="00E40E6A" w:rsidP="00E40E6A">
            <w:pPr>
              <w:jc w:val="center"/>
              <w:rPr>
                <w:rFonts w:ascii="Arial Narrow" w:hAnsi="Arial Narrow" w:cs="Arial"/>
                <w:sz w:val="15"/>
                <w:szCs w:val="15"/>
              </w:rPr>
            </w:pPr>
          </w:p>
        </w:tc>
        <w:tc>
          <w:tcPr>
            <w:tcW w:w="3245" w:type="dxa"/>
            <w:tcBorders>
              <w:top w:val="single" w:sz="18" w:space="0" w:color="C0C0C0"/>
              <w:left w:val="single" w:sz="18" w:space="0" w:color="auto"/>
              <w:bottom w:val="single" w:sz="18" w:space="0" w:color="BFBFBF" w:themeColor="background1" w:themeShade="BF"/>
              <w:right w:val="single" w:sz="18" w:space="0" w:color="auto"/>
            </w:tcBorders>
            <w:shd w:val="clear" w:color="auto" w:fill="auto"/>
            <w:vAlign w:val="center"/>
          </w:tcPr>
          <w:p w14:paraId="7B200A01" w14:textId="5D535B99" w:rsidR="00E40E6A" w:rsidRPr="004D1666" w:rsidRDefault="00E40E6A" w:rsidP="00E40E6A">
            <w:pPr>
              <w:jc w:val="center"/>
              <w:rPr>
                <w:rFonts w:ascii="Arial Narrow" w:hAnsi="Arial Narrow" w:cs="Arial"/>
                <w:sz w:val="15"/>
                <w:szCs w:val="15"/>
              </w:rPr>
            </w:pPr>
          </w:p>
        </w:tc>
      </w:tr>
      <w:tr w:rsidR="009416EA" w:rsidRPr="00BC2C5D" w14:paraId="512E60FF" w14:textId="77777777" w:rsidTr="00A975E3">
        <w:trPr>
          <w:trHeight w:val="187"/>
        </w:trPr>
        <w:tc>
          <w:tcPr>
            <w:tcW w:w="1134"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40EA42D4" w14:textId="67AFD164" w:rsidR="00E40E6A" w:rsidRPr="00A634FA" w:rsidRDefault="00E40E6A" w:rsidP="00E40E6A">
            <w:pPr>
              <w:jc w:val="center"/>
              <w:rPr>
                <w:rFonts w:ascii="Arial Narrow" w:hAnsi="Arial Narrow" w:cs="Arial"/>
                <w:sz w:val="16"/>
                <w:szCs w:val="16"/>
              </w:rPr>
            </w:pPr>
            <w:r>
              <w:rPr>
                <w:rFonts w:ascii="Arial Narrow" w:hAnsi="Arial Narrow" w:cs="Arial"/>
                <w:sz w:val="16"/>
                <w:szCs w:val="16"/>
              </w:rPr>
              <w:t>30 October</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7612969B" w14:textId="2B8E0746" w:rsidR="00E40E6A" w:rsidRPr="004D1666" w:rsidRDefault="00E40E6A" w:rsidP="00E40E6A">
            <w:pPr>
              <w:jc w:val="center"/>
              <w:rPr>
                <w:rFonts w:ascii="Arial Narrow" w:hAnsi="Arial Narrow" w:cs="Arial"/>
                <w:sz w:val="15"/>
                <w:szCs w:val="15"/>
              </w:rPr>
            </w:pPr>
          </w:p>
        </w:tc>
        <w:tc>
          <w:tcPr>
            <w:tcW w:w="1418" w:type="dxa"/>
            <w:tcBorders>
              <w:top w:val="single" w:sz="18" w:space="0" w:color="BFBFBF" w:themeColor="background1" w:themeShade="BF"/>
              <w:left w:val="single" w:sz="18" w:space="0" w:color="C0C0C0"/>
              <w:bottom w:val="nil"/>
              <w:right w:val="single" w:sz="18" w:space="0" w:color="BFBFBF"/>
            </w:tcBorders>
            <w:shd w:val="clear" w:color="auto" w:fill="FF0000"/>
            <w:vAlign w:val="center"/>
          </w:tcPr>
          <w:p w14:paraId="42289F1C" w14:textId="299CB636" w:rsidR="00E40E6A" w:rsidRPr="00A975E3" w:rsidRDefault="00E40E6A" w:rsidP="00E40E6A">
            <w:pPr>
              <w:ind w:left="1440" w:hanging="1440"/>
              <w:jc w:val="center"/>
              <w:rPr>
                <w:rFonts w:ascii="Arial Narrow" w:hAnsi="Arial Narrow" w:cs="Arial"/>
                <w:color w:val="FFFFFF" w:themeColor="background1"/>
                <w:sz w:val="16"/>
                <w:szCs w:val="16"/>
              </w:rPr>
            </w:pPr>
            <w:r w:rsidRPr="00A975E3">
              <w:rPr>
                <w:rFonts w:ascii="Arial Narrow" w:hAnsi="Arial Narrow" w:cs="Arial"/>
                <w:b/>
                <w:bCs/>
                <w:color w:val="FFFFFF" w:themeColor="background1"/>
                <w:sz w:val="16"/>
                <w:szCs w:val="16"/>
              </w:rPr>
              <w:t>31</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FF0000"/>
            <w:vAlign w:val="center"/>
          </w:tcPr>
          <w:p w14:paraId="2B6CD71B" w14:textId="0701BCEA" w:rsidR="00E40E6A" w:rsidRPr="009416EA" w:rsidRDefault="00E40E6A" w:rsidP="00E40E6A">
            <w:pPr>
              <w:ind w:left="1440" w:hanging="1440"/>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1</w:t>
            </w:r>
          </w:p>
        </w:tc>
        <w:tc>
          <w:tcPr>
            <w:tcW w:w="1276" w:type="dxa"/>
            <w:vMerge w:val="restart"/>
            <w:tcBorders>
              <w:top w:val="single" w:sz="18" w:space="0" w:color="BFBFBF" w:themeColor="background1" w:themeShade="BF"/>
              <w:left w:val="single" w:sz="18" w:space="0" w:color="C0C0C0"/>
              <w:right w:val="single" w:sz="18" w:space="0" w:color="C0C0C0"/>
            </w:tcBorders>
            <w:shd w:val="clear" w:color="auto" w:fill="A972A9"/>
            <w:vAlign w:val="center"/>
          </w:tcPr>
          <w:p w14:paraId="68B906BE" w14:textId="77777777"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 ½ day Conf</w:t>
            </w:r>
          </w:p>
          <w:p w14:paraId="0984E9CC" w14:textId="1D448789"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 ½ ICM</w:t>
            </w:r>
          </w:p>
        </w:tc>
        <w:tc>
          <w:tcPr>
            <w:tcW w:w="1234"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4B09F96C" w14:textId="77777777" w:rsidR="00E40E6A" w:rsidRPr="004D1666" w:rsidRDefault="00E40E6A" w:rsidP="00E40E6A">
            <w:pPr>
              <w:jc w:val="center"/>
              <w:rPr>
                <w:rFonts w:ascii="Arial Narrow" w:hAnsi="Arial Narrow" w:cs="Arial"/>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58B2748E" w14:textId="61EDF06B" w:rsidR="00E40E6A" w:rsidRPr="004D1666" w:rsidRDefault="00E40E6A" w:rsidP="00E40E6A">
            <w:pPr>
              <w:jc w:val="center"/>
              <w:rPr>
                <w:rFonts w:ascii="Arial Narrow" w:hAnsi="Arial Narrow" w:cs="Arial"/>
                <w:b/>
                <w:bCs/>
                <w:sz w:val="15"/>
                <w:szCs w:val="15"/>
              </w:rPr>
            </w:pPr>
          </w:p>
        </w:tc>
      </w:tr>
      <w:tr w:rsidR="00A975E3" w:rsidRPr="00BC2C5D" w14:paraId="41320C2A" w14:textId="77777777" w:rsidTr="00A975E3">
        <w:trPr>
          <w:trHeight w:val="187"/>
        </w:trPr>
        <w:tc>
          <w:tcPr>
            <w:tcW w:w="1134" w:type="dxa"/>
            <w:vMerge/>
            <w:tcBorders>
              <w:left w:val="single" w:sz="18" w:space="0" w:color="auto"/>
              <w:right w:val="single" w:sz="18" w:space="0" w:color="C0C0C0"/>
            </w:tcBorders>
            <w:shd w:val="clear" w:color="auto" w:fill="auto"/>
            <w:vAlign w:val="center"/>
          </w:tcPr>
          <w:p w14:paraId="7FE3655D" w14:textId="77777777" w:rsidR="00A975E3" w:rsidRDefault="00A975E3" w:rsidP="00C344F6">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51B49EAA" w14:textId="77777777" w:rsidR="00A975E3" w:rsidRPr="003F55C0" w:rsidRDefault="00A975E3" w:rsidP="00C344F6">
            <w:pPr>
              <w:jc w:val="center"/>
              <w:rPr>
                <w:rFonts w:ascii="Arial Narrow" w:hAnsi="Arial Narrow" w:cs="Arial"/>
                <w:sz w:val="16"/>
                <w:szCs w:val="16"/>
              </w:rPr>
            </w:pPr>
          </w:p>
        </w:tc>
        <w:tc>
          <w:tcPr>
            <w:tcW w:w="1418" w:type="dxa"/>
            <w:vMerge w:val="restart"/>
            <w:tcBorders>
              <w:top w:val="nil"/>
              <w:left w:val="single" w:sz="18" w:space="0" w:color="C0C0C0"/>
              <w:bottom w:val="single" w:sz="18" w:space="0" w:color="auto"/>
              <w:right w:val="single" w:sz="18" w:space="0" w:color="BFBFBF"/>
            </w:tcBorders>
            <w:shd w:val="clear" w:color="auto" w:fill="FFFF00"/>
            <w:vAlign w:val="center"/>
          </w:tcPr>
          <w:p w14:paraId="1937BF98" w14:textId="64DFF638" w:rsidR="00A975E3" w:rsidRPr="003B05FB" w:rsidRDefault="00A975E3" w:rsidP="00B021F2">
            <w:pPr>
              <w:ind w:left="1440" w:hanging="1440"/>
              <w:jc w:val="center"/>
              <w:rPr>
                <w:rFonts w:ascii="Arial Narrow" w:hAnsi="Arial Narrow" w:cs="Arial"/>
                <w:sz w:val="16"/>
                <w:szCs w:val="16"/>
              </w:rPr>
            </w:pPr>
            <w:r w:rsidRPr="00A975E3">
              <w:rPr>
                <w:rFonts w:ascii="Arial Narrow" w:hAnsi="Arial Narrow" w:cs="Arial"/>
                <w:b/>
                <w:bCs/>
                <w:sz w:val="16"/>
                <w:szCs w:val="16"/>
              </w:rPr>
              <w:t>31 ICM</w:t>
            </w:r>
          </w:p>
        </w:tc>
        <w:tc>
          <w:tcPr>
            <w:tcW w:w="1417" w:type="dxa"/>
            <w:tcBorders>
              <w:top w:val="nil"/>
              <w:left w:val="single" w:sz="18" w:space="0" w:color="BFBFBF"/>
              <w:bottom w:val="nil"/>
              <w:right w:val="single" w:sz="18" w:space="0" w:color="C0C0C0"/>
            </w:tcBorders>
            <w:shd w:val="clear" w:color="auto" w:fill="769250"/>
            <w:vAlign w:val="center"/>
          </w:tcPr>
          <w:p w14:paraId="0ABDE9E9" w14:textId="4A294B12" w:rsidR="00A975E3" w:rsidRPr="0045629D" w:rsidRDefault="00A975E3" w:rsidP="00C344F6">
            <w:pPr>
              <w:ind w:left="1440" w:hanging="1440"/>
              <w:jc w:val="center"/>
              <w:rPr>
                <w:rFonts w:ascii="Arial Narrow" w:hAnsi="Arial Narrow" w:cs="Arial"/>
                <w:b/>
                <w:bCs/>
                <w:color w:val="FFFFFF" w:themeColor="background1"/>
                <w:sz w:val="16"/>
                <w:szCs w:val="16"/>
              </w:rPr>
            </w:pPr>
            <w:r w:rsidRPr="0045629D">
              <w:rPr>
                <w:rFonts w:ascii="Arial Narrow" w:hAnsi="Arial Narrow" w:cs="Arial"/>
                <w:b/>
                <w:bCs/>
                <w:color w:val="FFFFFF" w:themeColor="background1"/>
              </w:rPr>
              <w:t>1</w:t>
            </w:r>
          </w:p>
        </w:tc>
        <w:tc>
          <w:tcPr>
            <w:tcW w:w="1276" w:type="dxa"/>
            <w:vMerge/>
            <w:tcBorders>
              <w:left w:val="single" w:sz="18" w:space="0" w:color="C0C0C0"/>
              <w:right w:val="single" w:sz="18" w:space="0" w:color="C0C0C0"/>
            </w:tcBorders>
            <w:shd w:val="clear" w:color="auto" w:fill="A972A9"/>
            <w:vAlign w:val="center"/>
          </w:tcPr>
          <w:p w14:paraId="32C35242" w14:textId="77777777" w:rsidR="00A975E3" w:rsidRPr="003B05FB" w:rsidRDefault="00A975E3" w:rsidP="003B05FB">
            <w:pPr>
              <w:jc w:val="center"/>
              <w:rPr>
                <w:rFonts w:ascii="Arial Narrow" w:hAnsi="Arial Narrow" w:cs="Arial"/>
                <w:b/>
                <w:bCs/>
                <w:sz w:val="16"/>
                <w:szCs w:val="16"/>
              </w:rPr>
            </w:pPr>
          </w:p>
        </w:tc>
        <w:tc>
          <w:tcPr>
            <w:tcW w:w="1234" w:type="dxa"/>
            <w:vMerge/>
            <w:tcBorders>
              <w:left w:val="single" w:sz="18" w:space="0" w:color="C0C0C0"/>
              <w:right w:val="single" w:sz="18" w:space="0" w:color="auto"/>
            </w:tcBorders>
            <w:shd w:val="clear" w:color="auto" w:fill="auto"/>
            <w:vAlign w:val="center"/>
          </w:tcPr>
          <w:p w14:paraId="0A3773D0" w14:textId="77777777" w:rsidR="00A975E3" w:rsidRPr="003F55C0" w:rsidRDefault="00A975E3" w:rsidP="00C344F6">
            <w:pPr>
              <w:jc w:val="center"/>
              <w:rPr>
                <w:rFonts w:ascii="Arial Narrow" w:hAnsi="Arial Narrow" w:cs="Arial"/>
                <w:sz w:val="16"/>
                <w:szCs w:val="16"/>
              </w:rPr>
            </w:pPr>
          </w:p>
        </w:tc>
        <w:tc>
          <w:tcPr>
            <w:tcW w:w="3245" w:type="dxa"/>
            <w:vMerge/>
            <w:tcBorders>
              <w:left w:val="single" w:sz="18" w:space="0" w:color="auto"/>
              <w:right w:val="single" w:sz="18" w:space="0" w:color="auto"/>
            </w:tcBorders>
            <w:shd w:val="clear" w:color="auto" w:fill="auto"/>
            <w:vAlign w:val="center"/>
          </w:tcPr>
          <w:p w14:paraId="0C62B122" w14:textId="77777777" w:rsidR="00A975E3" w:rsidRPr="004F6F17" w:rsidRDefault="00A975E3" w:rsidP="00C344F6">
            <w:pPr>
              <w:jc w:val="center"/>
              <w:rPr>
                <w:rFonts w:ascii="Arial Narrow" w:hAnsi="Arial Narrow" w:cs="Arial"/>
                <w:b/>
                <w:bCs/>
                <w:sz w:val="16"/>
                <w:szCs w:val="16"/>
              </w:rPr>
            </w:pPr>
          </w:p>
        </w:tc>
      </w:tr>
      <w:tr w:rsidR="00A975E3" w:rsidRPr="00BC2C5D" w14:paraId="13F5DBF7" w14:textId="77777777" w:rsidTr="00A975E3">
        <w:trPr>
          <w:trHeight w:val="187"/>
        </w:trPr>
        <w:tc>
          <w:tcPr>
            <w:tcW w:w="1134" w:type="dxa"/>
            <w:vMerge/>
            <w:tcBorders>
              <w:left w:val="single" w:sz="18" w:space="0" w:color="auto"/>
              <w:bottom w:val="single" w:sz="18" w:space="0" w:color="auto"/>
              <w:right w:val="single" w:sz="18" w:space="0" w:color="C0C0C0"/>
            </w:tcBorders>
            <w:shd w:val="clear" w:color="auto" w:fill="auto"/>
            <w:vAlign w:val="center"/>
          </w:tcPr>
          <w:p w14:paraId="1D754D2E" w14:textId="77777777" w:rsidR="00A975E3" w:rsidRDefault="00A975E3" w:rsidP="00E40E6A">
            <w:pPr>
              <w:jc w:val="center"/>
              <w:rPr>
                <w:rFonts w:ascii="Arial Narrow" w:hAnsi="Arial Narrow" w:cs="Arial"/>
                <w:sz w:val="16"/>
                <w:szCs w:val="16"/>
              </w:rPr>
            </w:pPr>
          </w:p>
        </w:tc>
        <w:tc>
          <w:tcPr>
            <w:tcW w:w="1134" w:type="dxa"/>
            <w:vMerge/>
            <w:tcBorders>
              <w:left w:val="single" w:sz="18" w:space="0" w:color="C0C0C0"/>
              <w:bottom w:val="single" w:sz="18" w:space="0" w:color="auto"/>
              <w:right w:val="single" w:sz="18" w:space="0" w:color="C0C0C0"/>
            </w:tcBorders>
            <w:shd w:val="clear" w:color="auto" w:fill="auto"/>
            <w:vAlign w:val="center"/>
          </w:tcPr>
          <w:p w14:paraId="381E8F50" w14:textId="77777777" w:rsidR="00A975E3" w:rsidRPr="003F55C0" w:rsidRDefault="00A975E3" w:rsidP="00E40E6A">
            <w:pPr>
              <w:jc w:val="center"/>
              <w:rPr>
                <w:rFonts w:ascii="Arial Narrow" w:hAnsi="Arial Narrow" w:cs="Arial"/>
                <w:sz w:val="16"/>
                <w:szCs w:val="16"/>
              </w:rPr>
            </w:pPr>
          </w:p>
        </w:tc>
        <w:tc>
          <w:tcPr>
            <w:tcW w:w="1418" w:type="dxa"/>
            <w:vMerge/>
            <w:tcBorders>
              <w:top w:val="single" w:sz="18" w:space="0" w:color="FFFFFF"/>
              <w:left w:val="single" w:sz="18" w:space="0" w:color="C0C0C0"/>
              <w:bottom w:val="single" w:sz="18" w:space="0" w:color="auto"/>
              <w:right w:val="single" w:sz="18" w:space="0" w:color="BFBFBF"/>
            </w:tcBorders>
            <w:shd w:val="clear" w:color="auto" w:fill="FFFF00"/>
            <w:vAlign w:val="center"/>
          </w:tcPr>
          <w:p w14:paraId="076CD359" w14:textId="531B9996" w:rsidR="00A975E3" w:rsidRPr="00A975E3" w:rsidRDefault="00A975E3" w:rsidP="00E40E6A">
            <w:pPr>
              <w:ind w:left="1440" w:hanging="1440"/>
              <w:jc w:val="center"/>
              <w:rPr>
                <w:rFonts w:ascii="Arial Narrow" w:hAnsi="Arial Narrow" w:cs="Arial"/>
                <w:sz w:val="16"/>
                <w:szCs w:val="16"/>
              </w:rPr>
            </w:pPr>
          </w:p>
        </w:tc>
        <w:tc>
          <w:tcPr>
            <w:tcW w:w="1417" w:type="dxa"/>
            <w:tcBorders>
              <w:top w:val="nil"/>
              <w:left w:val="single" w:sz="18" w:space="0" w:color="BFBFBF"/>
              <w:bottom w:val="single" w:sz="18" w:space="0" w:color="auto"/>
              <w:right w:val="single" w:sz="18" w:space="0" w:color="C0C0C0"/>
            </w:tcBorders>
            <w:shd w:val="clear" w:color="auto" w:fill="A972A9"/>
            <w:vAlign w:val="center"/>
          </w:tcPr>
          <w:p w14:paraId="74F4A44B" w14:textId="79DB07C1" w:rsidR="00A975E3" w:rsidRPr="0045629D" w:rsidRDefault="00A975E3" w:rsidP="00E40E6A">
            <w:pPr>
              <w:ind w:left="1440" w:hanging="1440"/>
              <w:jc w:val="center"/>
              <w:rPr>
                <w:rFonts w:ascii="Arial Narrow" w:hAnsi="Arial Narrow" w:cs="Arial"/>
                <w:b/>
                <w:bCs/>
                <w:color w:val="FFFFFF" w:themeColor="background1"/>
                <w:sz w:val="16"/>
                <w:szCs w:val="16"/>
              </w:rPr>
            </w:pPr>
            <w:r w:rsidRPr="0045629D">
              <w:rPr>
                <w:rFonts w:ascii="Arial Narrow" w:hAnsi="Arial Narrow" w:cs="Arial"/>
                <w:b/>
                <w:bCs/>
                <w:color w:val="FFFFFF" w:themeColor="background1"/>
              </w:rPr>
              <w:t>1</w:t>
            </w:r>
          </w:p>
        </w:tc>
        <w:tc>
          <w:tcPr>
            <w:tcW w:w="1276" w:type="dxa"/>
            <w:vMerge/>
            <w:tcBorders>
              <w:left w:val="single" w:sz="18" w:space="0" w:color="C0C0C0"/>
              <w:bottom w:val="single" w:sz="18" w:space="0" w:color="auto"/>
              <w:right w:val="single" w:sz="18" w:space="0" w:color="C0C0C0"/>
            </w:tcBorders>
            <w:shd w:val="clear" w:color="auto" w:fill="A972A9"/>
            <w:vAlign w:val="center"/>
          </w:tcPr>
          <w:p w14:paraId="684FBC77" w14:textId="77777777" w:rsidR="00A975E3" w:rsidRPr="003B05FB" w:rsidRDefault="00A975E3" w:rsidP="00E40E6A">
            <w:pPr>
              <w:jc w:val="center"/>
              <w:rPr>
                <w:rFonts w:ascii="Arial Narrow" w:hAnsi="Arial Narrow" w:cs="Arial"/>
                <w:b/>
                <w:bCs/>
                <w:sz w:val="16"/>
                <w:szCs w:val="16"/>
              </w:rPr>
            </w:pPr>
          </w:p>
        </w:tc>
        <w:tc>
          <w:tcPr>
            <w:tcW w:w="1234" w:type="dxa"/>
            <w:vMerge/>
            <w:tcBorders>
              <w:left w:val="single" w:sz="18" w:space="0" w:color="C0C0C0"/>
              <w:bottom w:val="single" w:sz="18" w:space="0" w:color="auto"/>
              <w:right w:val="single" w:sz="18" w:space="0" w:color="auto"/>
            </w:tcBorders>
            <w:shd w:val="clear" w:color="auto" w:fill="auto"/>
            <w:vAlign w:val="center"/>
          </w:tcPr>
          <w:p w14:paraId="55FE1EBC" w14:textId="77777777" w:rsidR="00A975E3" w:rsidRPr="003F55C0" w:rsidRDefault="00A975E3" w:rsidP="00E40E6A">
            <w:pPr>
              <w:jc w:val="center"/>
              <w:rPr>
                <w:rFonts w:ascii="Arial Narrow" w:hAnsi="Arial Narrow" w:cs="Arial"/>
                <w:sz w:val="16"/>
                <w:szCs w:val="16"/>
              </w:rPr>
            </w:pPr>
          </w:p>
        </w:tc>
        <w:tc>
          <w:tcPr>
            <w:tcW w:w="3245" w:type="dxa"/>
            <w:vMerge/>
            <w:tcBorders>
              <w:left w:val="single" w:sz="18" w:space="0" w:color="auto"/>
              <w:bottom w:val="single" w:sz="18" w:space="0" w:color="auto"/>
              <w:right w:val="single" w:sz="18" w:space="0" w:color="auto"/>
            </w:tcBorders>
            <w:shd w:val="clear" w:color="auto" w:fill="auto"/>
            <w:vAlign w:val="center"/>
          </w:tcPr>
          <w:p w14:paraId="10EDF5A8" w14:textId="77777777" w:rsidR="00A975E3" w:rsidRPr="004F6F17" w:rsidRDefault="00A975E3" w:rsidP="00E40E6A">
            <w:pPr>
              <w:jc w:val="center"/>
              <w:rPr>
                <w:rFonts w:ascii="Arial Narrow" w:hAnsi="Arial Narrow" w:cs="Arial"/>
                <w:b/>
                <w:bCs/>
                <w:sz w:val="16"/>
                <w:szCs w:val="16"/>
              </w:rPr>
            </w:pPr>
          </w:p>
        </w:tc>
      </w:tr>
    </w:tbl>
    <w:p w14:paraId="6472B3F0" w14:textId="77777777" w:rsidR="00C5507C" w:rsidRDefault="00C5507C"/>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111"/>
        <w:gridCol w:w="1134"/>
        <w:gridCol w:w="1418"/>
        <w:gridCol w:w="1417"/>
        <w:gridCol w:w="1276"/>
        <w:gridCol w:w="1276"/>
        <w:gridCol w:w="3226"/>
      </w:tblGrid>
      <w:tr w:rsidR="00C5507C" w:rsidRPr="00BC2C5D" w14:paraId="57F3478D" w14:textId="77777777" w:rsidTr="00247AC2">
        <w:trPr>
          <w:trHeight w:val="567"/>
        </w:trPr>
        <w:tc>
          <w:tcPr>
            <w:tcW w:w="1111"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t>Week Beginning</w:t>
            </w:r>
          </w:p>
        </w:tc>
        <w:tc>
          <w:tcPr>
            <w:tcW w:w="1134"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418"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417"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276"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276"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226"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247AC2" w:rsidRPr="00BC2C5D" w14:paraId="0CE321A3" w14:textId="77777777" w:rsidTr="006F2944">
        <w:trPr>
          <w:trHeight w:val="567"/>
        </w:trPr>
        <w:tc>
          <w:tcPr>
            <w:tcW w:w="1111" w:type="dxa"/>
            <w:tcBorders>
              <w:top w:val="single" w:sz="18" w:space="0" w:color="C0C0C0"/>
              <w:left w:val="single" w:sz="18" w:space="0" w:color="auto"/>
              <w:right w:val="single" w:sz="18" w:space="0" w:color="C0C0C0"/>
            </w:tcBorders>
            <w:shd w:val="clear" w:color="auto" w:fill="auto"/>
            <w:vAlign w:val="center"/>
          </w:tcPr>
          <w:p w14:paraId="696DAD36" w14:textId="57AFFB68" w:rsidR="00E40E6A" w:rsidRPr="00390B39" w:rsidRDefault="00E40E6A" w:rsidP="00E40E6A">
            <w:pPr>
              <w:jc w:val="center"/>
              <w:rPr>
                <w:rFonts w:ascii="Arial Narrow" w:hAnsi="Arial Narrow" w:cs="Arial"/>
                <w:sz w:val="16"/>
                <w:szCs w:val="16"/>
              </w:rPr>
            </w:pPr>
            <w:r>
              <w:rPr>
                <w:rFonts w:ascii="Arial Narrow" w:hAnsi="Arial Narrow" w:cs="Arial"/>
                <w:sz w:val="16"/>
                <w:szCs w:val="16"/>
              </w:rPr>
              <w:t>6 November</w:t>
            </w:r>
          </w:p>
        </w:tc>
        <w:tc>
          <w:tcPr>
            <w:tcW w:w="1134" w:type="dxa"/>
            <w:tcBorders>
              <w:top w:val="single" w:sz="18" w:space="0" w:color="C0C0C0"/>
              <w:left w:val="single" w:sz="18" w:space="0" w:color="C0C0C0"/>
              <w:right w:val="single" w:sz="18" w:space="0" w:color="C0C0C0"/>
            </w:tcBorders>
            <w:shd w:val="clear" w:color="auto" w:fill="auto"/>
            <w:vAlign w:val="center"/>
          </w:tcPr>
          <w:p w14:paraId="2F9AEB6D" w14:textId="78F033E8" w:rsidR="00E40E6A" w:rsidRPr="009416EA" w:rsidRDefault="00E40E6A" w:rsidP="00E40E6A">
            <w:pPr>
              <w:jc w:val="center"/>
              <w:rPr>
                <w:rFonts w:ascii="Arial Narrow" w:hAnsi="Arial Narrow" w:cs="Arial"/>
                <w:sz w:val="16"/>
                <w:szCs w:val="16"/>
              </w:rPr>
            </w:pPr>
          </w:p>
        </w:tc>
        <w:tc>
          <w:tcPr>
            <w:tcW w:w="1418" w:type="dxa"/>
            <w:tcBorders>
              <w:top w:val="single" w:sz="18" w:space="0" w:color="C0C0C0"/>
              <w:left w:val="single" w:sz="18" w:space="0" w:color="C0C0C0"/>
              <w:right w:val="single" w:sz="18" w:space="0" w:color="BFBFBF"/>
            </w:tcBorders>
            <w:shd w:val="clear" w:color="auto" w:fill="31849B"/>
            <w:vAlign w:val="center"/>
          </w:tcPr>
          <w:p w14:paraId="65468345" w14:textId="4EC28809"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7 ½ day ICM</w:t>
            </w:r>
          </w:p>
        </w:tc>
        <w:tc>
          <w:tcPr>
            <w:tcW w:w="1417" w:type="dxa"/>
            <w:tcBorders>
              <w:top w:val="single" w:sz="18" w:space="0" w:color="C0C0C0"/>
              <w:left w:val="single" w:sz="18" w:space="0" w:color="BFBFBF"/>
              <w:right w:val="single" w:sz="18" w:space="0" w:color="C0C0C0"/>
            </w:tcBorders>
            <w:shd w:val="clear" w:color="auto" w:fill="31849B"/>
            <w:vAlign w:val="center"/>
          </w:tcPr>
          <w:p w14:paraId="5D26E3A1" w14:textId="4ED2B8C2"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8</w:t>
            </w:r>
            <w:r w:rsidR="008C1851">
              <w:rPr>
                <w:rFonts w:ascii="Arial Narrow" w:hAnsi="Arial Narrow" w:cs="Arial"/>
                <w:b/>
                <w:bCs/>
                <w:color w:val="FFFFFF" w:themeColor="background1"/>
                <w:sz w:val="16"/>
                <w:szCs w:val="16"/>
              </w:rPr>
              <w:t xml:space="preserve"> ICM</w:t>
            </w:r>
          </w:p>
        </w:tc>
        <w:tc>
          <w:tcPr>
            <w:tcW w:w="1276" w:type="dxa"/>
            <w:tcBorders>
              <w:top w:val="single" w:sz="18" w:space="0" w:color="C0C0C0"/>
              <w:left w:val="single" w:sz="18" w:space="0" w:color="C0C0C0"/>
              <w:right w:val="single" w:sz="18" w:space="0" w:color="C0C0C0"/>
            </w:tcBorders>
            <w:shd w:val="clear" w:color="auto" w:fill="31849B"/>
            <w:vAlign w:val="center"/>
          </w:tcPr>
          <w:p w14:paraId="37F7711A" w14:textId="770D3D0F"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9 ½ day ICM</w:t>
            </w:r>
          </w:p>
        </w:tc>
        <w:tc>
          <w:tcPr>
            <w:tcW w:w="1276" w:type="dxa"/>
            <w:tcBorders>
              <w:top w:val="single" w:sz="18" w:space="0" w:color="C0C0C0"/>
              <w:left w:val="single" w:sz="18" w:space="0" w:color="C0C0C0"/>
              <w:right w:val="single" w:sz="18" w:space="0" w:color="auto"/>
            </w:tcBorders>
            <w:shd w:val="clear" w:color="auto" w:fill="auto"/>
            <w:vAlign w:val="center"/>
          </w:tcPr>
          <w:p w14:paraId="2ABAD594" w14:textId="77777777" w:rsidR="00E40E6A" w:rsidRPr="009416EA" w:rsidRDefault="00E40E6A" w:rsidP="00E40E6A">
            <w:pPr>
              <w:jc w:val="center"/>
              <w:rPr>
                <w:rFonts w:ascii="Arial Narrow" w:hAnsi="Arial Narrow" w:cs="Arial"/>
                <w:sz w:val="16"/>
                <w:szCs w:val="16"/>
              </w:rPr>
            </w:pPr>
          </w:p>
        </w:tc>
        <w:tc>
          <w:tcPr>
            <w:tcW w:w="3226" w:type="dxa"/>
            <w:tcBorders>
              <w:top w:val="single" w:sz="18" w:space="0" w:color="C0C0C0"/>
              <w:left w:val="single" w:sz="18" w:space="0" w:color="auto"/>
              <w:right w:val="single" w:sz="18" w:space="0" w:color="auto"/>
            </w:tcBorders>
            <w:shd w:val="clear" w:color="auto" w:fill="auto"/>
            <w:vAlign w:val="center"/>
          </w:tcPr>
          <w:p w14:paraId="7E2F5EB1" w14:textId="77777777" w:rsidR="00E40E6A" w:rsidRPr="005908F8" w:rsidRDefault="00E40E6A" w:rsidP="00E40E6A">
            <w:pPr>
              <w:jc w:val="center"/>
              <w:rPr>
                <w:rFonts w:ascii="Arial Narrow" w:hAnsi="Arial Narrow"/>
                <w:color w:val="31849B"/>
                <w:sz w:val="16"/>
                <w:szCs w:val="16"/>
              </w:rPr>
            </w:pPr>
            <w:r w:rsidRPr="005908F8">
              <w:rPr>
                <w:rFonts w:ascii="Arial Narrow" w:hAnsi="Arial Narrow"/>
                <w:color w:val="31849B"/>
                <w:sz w:val="16"/>
                <w:szCs w:val="16"/>
              </w:rPr>
              <w:t>Cooktown – Circuit</w:t>
            </w:r>
          </w:p>
          <w:p w14:paraId="5CA04E27" w14:textId="7A509965" w:rsidR="00E40E6A" w:rsidRPr="005908F8" w:rsidRDefault="00E40E6A" w:rsidP="00E40E6A">
            <w:pPr>
              <w:jc w:val="center"/>
              <w:rPr>
                <w:rFonts w:ascii="Arial Narrow" w:hAnsi="Arial Narrow"/>
                <w:color w:val="31849B"/>
                <w:sz w:val="16"/>
                <w:szCs w:val="16"/>
              </w:rPr>
            </w:pPr>
            <w:r w:rsidRPr="005908F8">
              <w:rPr>
                <w:rFonts w:ascii="Arial Narrow" w:hAnsi="Arial Narrow"/>
                <w:color w:val="31849B"/>
                <w:sz w:val="16"/>
                <w:szCs w:val="16"/>
              </w:rPr>
              <w:t>Doomadgee – Gulf Circuit</w:t>
            </w:r>
          </w:p>
        </w:tc>
      </w:tr>
      <w:tr w:rsidR="00E40E6A" w:rsidRPr="00BC2C5D" w14:paraId="3EA964B8" w14:textId="77777777" w:rsidTr="00247AC2">
        <w:trPr>
          <w:trHeight w:val="285"/>
        </w:trPr>
        <w:tc>
          <w:tcPr>
            <w:tcW w:w="1111" w:type="dxa"/>
            <w:vMerge w:val="restart"/>
            <w:tcBorders>
              <w:top w:val="single" w:sz="18" w:space="0" w:color="C0C0C0"/>
              <w:left w:val="single" w:sz="18" w:space="0" w:color="auto"/>
              <w:right w:val="single" w:sz="18" w:space="0" w:color="C0C0C0"/>
            </w:tcBorders>
            <w:shd w:val="clear" w:color="auto" w:fill="auto"/>
            <w:vAlign w:val="center"/>
          </w:tcPr>
          <w:p w14:paraId="0A6385D6" w14:textId="1D50A192" w:rsidR="00E40E6A" w:rsidRPr="00390B39" w:rsidRDefault="00E40E6A" w:rsidP="00E40E6A">
            <w:pPr>
              <w:jc w:val="center"/>
              <w:rPr>
                <w:rFonts w:ascii="Arial Narrow" w:hAnsi="Arial Narrow" w:cs="Arial"/>
                <w:sz w:val="16"/>
                <w:szCs w:val="16"/>
              </w:rPr>
            </w:pPr>
            <w:r>
              <w:rPr>
                <w:rFonts w:ascii="Arial Narrow" w:hAnsi="Arial Narrow" w:cs="Arial"/>
                <w:sz w:val="16"/>
                <w:szCs w:val="16"/>
              </w:rPr>
              <w:t>13 November</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27120716" w14:textId="2460197C" w:rsidR="00E40E6A" w:rsidRPr="009416EA" w:rsidRDefault="00E40E6A" w:rsidP="00E40E6A">
            <w:pPr>
              <w:jc w:val="center"/>
              <w:rPr>
                <w:rFonts w:ascii="Arial Narrow" w:hAnsi="Arial Narrow" w:cs="Arial"/>
                <w:sz w:val="16"/>
                <w:szCs w:val="16"/>
                <w:highlight w:val="yellow"/>
              </w:rPr>
            </w:pPr>
          </w:p>
        </w:tc>
        <w:tc>
          <w:tcPr>
            <w:tcW w:w="1418" w:type="dxa"/>
            <w:vMerge w:val="restart"/>
            <w:tcBorders>
              <w:top w:val="single" w:sz="18" w:space="0" w:color="C0C0C0"/>
              <w:left w:val="single" w:sz="18" w:space="0" w:color="C0C0C0"/>
              <w:right w:val="single" w:sz="18" w:space="0" w:color="BFBFBF"/>
            </w:tcBorders>
            <w:shd w:val="clear" w:color="auto" w:fill="auto"/>
            <w:vAlign w:val="center"/>
          </w:tcPr>
          <w:p w14:paraId="79A68E23" w14:textId="2778253E" w:rsidR="00E40E6A" w:rsidRPr="009416EA" w:rsidRDefault="00E40E6A" w:rsidP="00E40E6A">
            <w:pPr>
              <w:jc w:val="center"/>
              <w:rPr>
                <w:rFonts w:ascii="Arial Narrow" w:hAnsi="Arial Narrow" w:cs="Arial"/>
                <w:sz w:val="16"/>
                <w:szCs w:val="16"/>
              </w:rPr>
            </w:pPr>
          </w:p>
        </w:tc>
        <w:tc>
          <w:tcPr>
            <w:tcW w:w="1417" w:type="dxa"/>
            <w:tcBorders>
              <w:top w:val="single" w:sz="18" w:space="0" w:color="C0C0C0"/>
              <w:left w:val="single" w:sz="18" w:space="0" w:color="BFBFBF"/>
              <w:bottom w:val="nil"/>
              <w:right w:val="single" w:sz="18" w:space="0" w:color="C0C0C0"/>
            </w:tcBorders>
            <w:shd w:val="clear" w:color="auto" w:fill="A972A9"/>
            <w:vAlign w:val="center"/>
          </w:tcPr>
          <w:p w14:paraId="05A7C8EF" w14:textId="1462E593"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15</w:t>
            </w:r>
          </w:p>
        </w:tc>
        <w:tc>
          <w:tcPr>
            <w:tcW w:w="1276" w:type="dxa"/>
            <w:vMerge w:val="restart"/>
            <w:tcBorders>
              <w:top w:val="single" w:sz="18" w:space="0" w:color="C0C0C0"/>
              <w:left w:val="single" w:sz="18" w:space="0" w:color="C0C0C0"/>
              <w:right w:val="single" w:sz="18" w:space="0" w:color="C0C0C0"/>
            </w:tcBorders>
            <w:shd w:val="clear" w:color="auto" w:fill="A972A9"/>
            <w:vAlign w:val="center"/>
          </w:tcPr>
          <w:p w14:paraId="10D421D0" w14:textId="310DE61C" w:rsidR="00E40E6A" w:rsidRPr="009416EA" w:rsidRDefault="00E40E6A" w:rsidP="00E40E6A">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16</w:t>
            </w:r>
          </w:p>
        </w:tc>
        <w:tc>
          <w:tcPr>
            <w:tcW w:w="1276" w:type="dxa"/>
            <w:vMerge w:val="restart"/>
            <w:tcBorders>
              <w:top w:val="single" w:sz="18" w:space="0" w:color="C0C0C0"/>
              <w:left w:val="single" w:sz="18" w:space="0" w:color="C0C0C0"/>
              <w:right w:val="single" w:sz="18" w:space="0" w:color="auto"/>
            </w:tcBorders>
            <w:shd w:val="clear" w:color="auto" w:fill="auto"/>
            <w:vAlign w:val="center"/>
          </w:tcPr>
          <w:p w14:paraId="3521E9C0" w14:textId="77777777" w:rsidR="00E40E6A" w:rsidRPr="009416EA" w:rsidRDefault="00E40E6A" w:rsidP="00E40E6A">
            <w:pPr>
              <w:jc w:val="center"/>
              <w:rPr>
                <w:rFonts w:ascii="Arial Narrow" w:hAnsi="Arial Narrow" w:cs="Arial"/>
                <w:sz w:val="16"/>
                <w:szCs w:val="16"/>
              </w:rPr>
            </w:pPr>
          </w:p>
        </w:tc>
        <w:tc>
          <w:tcPr>
            <w:tcW w:w="3226" w:type="dxa"/>
            <w:vMerge w:val="restart"/>
            <w:tcBorders>
              <w:top w:val="single" w:sz="18" w:space="0" w:color="C0C0C0"/>
              <w:left w:val="single" w:sz="18" w:space="0" w:color="auto"/>
              <w:right w:val="single" w:sz="18" w:space="0" w:color="auto"/>
            </w:tcBorders>
            <w:shd w:val="clear" w:color="auto" w:fill="auto"/>
            <w:vAlign w:val="center"/>
          </w:tcPr>
          <w:p w14:paraId="711145A3" w14:textId="517D63BD" w:rsidR="00E40E6A" w:rsidRPr="005908F8" w:rsidRDefault="00E40E6A" w:rsidP="00E40E6A">
            <w:pPr>
              <w:jc w:val="center"/>
              <w:rPr>
                <w:rFonts w:ascii="Arial Narrow" w:hAnsi="Arial Narrow"/>
                <w:color w:val="31849B"/>
                <w:sz w:val="16"/>
                <w:szCs w:val="16"/>
              </w:rPr>
            </w:pPr>
            <w:r w:rsidRPr="005908F8">
              <w:rPr>
                <w:rFonts w:ascii="Arial Narrow" w:hAnsi="Arial Narrow"/>
                <w:color w:val="31849B"/>
                <w:sz w:val="16"/>
                <w:szCs w:val="16"/>
              </w:rPr>
              <w:t>Aurukun Cape B &amp; Coen Cape A Circuit</w:t>
            </w:r>
          </w:p>
        </w:tc>
      </w:tr>
      <w:tr w:rsidR="000F3E04" w:rsidRPr="00BC2C5D" w14:paraId="3EFFE880" w14:textId="77777777" w:rsidTr="00247AC2">
        <w:trPr>
          <w:trHeight w:val="285"/>
        </w:trPr>
        <w:tc>
          <w:tcPr>
            <w:tcW w:w="1111" w:type="dxa"/>
            <w:vMerge/>
            <w:tcBorders>
              <w:left w:val="single" w:sz="18" w:space="0" w:color="auto"/>
              <w:right w:val="single" w:sz="18" w:space="0" w:color="C0C0C0"/>
            </w:tcBorders>
            <w:shd w:val="clear" w:color="auto" w:fill="auto"/>
            <w:vAlign w:val="center"/>
          </w:tcPr>
          <w:p w14:paraId="1B6CCC15" w14:textId="77777777" w:rsidR="000F3E04" w:rsidRDefault="000F3E04" w:rsidP="00C5507C">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37DDF568" w14:textId="77777777" w:rsidR="000F3E04" w:rsidRPr="009416EA" w:rsidRDefault="000F3E04" w:rsidP="00C5507C">
            <w:pPr>
              <w:jc w:val="center"/>
              <w:rPr>
                <w:rFonts w:ascii="Arial Narrow" w:hAnsi="Arial Narrow" w:cs="Arial"/>
                <w:sz w:val="16"/>
                <w:szCs w:val="16"/>
                <w:highlight w:val="yellow"/>
              </w:rPr>
            </w:pPr>
          </w:p>
        </w:tc>
        <w:tc>
          <w:tcPr>
            <w:tcW w:w="1418" w:type="dxa"/>
            <w:vMerge/>
            <w:tcBorders>
              <w:left w:val="single" w:sz="18" w:space="0" w:color="C0C0C0"/>
              <w:right w:val="single" w:sz="18" w:space="0" w:color="BFBFBF"/>
            </w:tcBorders>
            <w:shd w:val="clear" w:color="auto" w:fill="auto"/>
            <w:vAlign w:val="center"/>
          </w:tcPr>
          <w:p w14:paraId="591C5DF6" w14:textId="77777777" w:rsidR="000F3E04" w:rsidRPr="009416EA" w:rsidRDefault="000F3E04" w:rsidP="008F23DF">
            <w:pPr>
              <w:jc w:val="center"/>
              <w:rPr>
                <w:rFonts w:ascii="Arial Narrow" w:hAnsi="Arial Narrow" w:cs="Arial"/>
                <w:sz w:val="16"/>
                <w:szCs w:val="16"/>
              </w:rPr>
            </w:pPr>
          </w:p>
        </w:tc>
        <w:tc>
          <w:tcPr>
            <w:tcW w:w="1417" w:type="dxa"/>
            <w:tcBorders>
              <w:top w:val="nil"/>
              <w:left w:val="single" w:sz="18" w:space="0" w:color="BFBFBF"/>
              <w:bottom w:val="single" w:sz="18" w:space="0" w:color="C0C0C0"/>
              <w:right w:val="single" w:sz="18" w:space="0" w:color="C0C0C0"/>
            </w:tcBorders>
            <w:shd w:val="clear" w:color="auto" w:fill="769250"/>
            <w:vAlign w:val="center"/>
          </w:tcPr>
          <w:p w14:paraId="304D95A3" w14:textId="2DA47083" w:rsidR="000F3E04" w:rsidRPr="009416EA" w:rsidRDefault="00E40E6A" w:rsidP="00C5507C">
            <w:pPr>
              <w:jc w:val="center"/>
              <w:rPr>
                <w:rFonts w:ascii="Arial Narrow" w:hAnsi="Arial Narrow" w:cs="Arial"/>
                <w:color w:val="FFFFFF" w:themeColor="background1"/>
                <w:sz w:val="16"/>
                <w:szCs w:val="16"/>
              </w:rPr>
            </w:pPr>
            <w:r w:rsidRPr="009416EA">
              <w:rPr>
                <w:rFonts w:ascii="Arial Narrow" w:hAnsi="Arial Narrow" w:cs="Arial"/>
                <w:b/>
                <w:bCs/>
                <w:color w:val="FFFFFF" w:themeColor="background1"/>
                <w:sz w:val="16"/>
                <w:szCs w:val="16"/>
              </w:rPr>
              <w:t>15</w:t>
            </w:r>
          </w:p>
        </w:tc>
        <w:tc>
          <w:tcPr>
            <w:tcW w:w="1276" w:type="dxa"/>
            <w:vMerge/>
            <w:tcBorders>
              <w:left w:val="single" w:sz="18" w:space="0" w:color="C0C0C0"/>
              <w:right w:val="single" w:sz="18" w:space="0" w:color="C0C0C0"/>
            </w:tcBorders>
            <w:shd w:val="clear" w:color="auto" w:fill="auto"/>
            <w:vAlign w:val="center"/>
          </w:tcPr>
          <w:p w14:paraId="2B725DF1" w14:textId="77777777" w:rsidR="000F3E04" w:rsidRPr="009416EA" w:rsidRDefault="000F3E04" w:rsidP="00987E69">
            <w:pPr>
              <w:jc w:val="center"/>
              <w:rPr>
                <w:rFonts w:ascii="Arial Narrow" w:hAnsi="Arial Narrow" w:cs="Arial"/>
                <w:sz w:val="16"/>
                <w:szCs w:val="16"/>
              </w:rPr>
            </w:pPr>
          </w:p>
        </w:tc>
        <w:tc>
          <w:tcPr>
            <w:tcW w:w="1276" w:type="dxa"/>
            <w:vMerge/>
            <w:tcBorders>
              <w:left w:val="single" w:sz="18" w:space="0" w:color="C0C0C0"/>
              <w:right w:val="single" w:sz="18" w:space="0" w:color="auto"/>
            </w:tcBorders>
            <w:shd w:val="clear" w:color="auto" w:fill="auto"/>
            <w:vAlign w:val="center"/>
          </w:tcPr>
          <w:p w14:paraId="5D8AA437" w14:textId="77777777" w:rsidR="000F3E04" w:rsidRPr="009416EA" w:rsidRDefault="000F3E04" w:rsidP="00C5507C">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2ACABEA1" w14:textId="77777777" w:rsidR="000F3E04" w:rsidRPr="005908F8" w:rsidRDefault="000F3E04" w:rsidP="00C5507C">
            <w:pPr>
              <w:jc w:val="center"/>
              <w:rPr>
                <w:rFonts w:ascii="Arial Narrow" w:hAnsi="Arial Narrow"/>
                <w:color w:val="31849B"/>
                <w:sz w:val="16"/>
                <w:szCs w:val="16"/>
              </w:rPr>
            </w:pPr>
          </w:p>
        </w:tc>
      </w:tr>
      <w:tr w:rsidR="00E40E6A" w:rsidRPr="00BC2C5D" w14:paraId="3766C4CB" w14:textId="77777777" w:rsidTr="00A975E3">
        <w:trPr>
          <w:trHeight w:val="284"/>
        </w:trPr>
        <w:tc>
          <w:tcPr>
            <w:tcW w:w="1111" w:type="dxa"/>
            <w:vMerge w:val="restart"/>
            <w:tcBorders>
              <w:top w:val="single" w:sz="18" w:space="0" w:color="C0C0C0"/>
              <w:left w:val="single" w:sz="18" w:space="0" w:color="auto"/>
              <w:right w:val="single" w:sz="18" w:space="0" w:color="C0C0C0"/>
            </w:tcBorders>
            <w:shd w:val="clear" w:color="auto" w:fill="auto"/>
            <w:vAlign w:val="center"/>
          </w:tcPr>
          <w:p w14:paraId="0F542D29" w14:textId="5B654249" w:rsidR="00E40E6A" w:rsidRDefault="00E40E6A" w:rsidP="00E40E6A">
            <w:pPr>
              <w:jc w:val="center"/>
              <w:rPr>
                <w:rFonts w:ascii="Arial Narrow" w:hAnsi="Arial Narrow" w:cs="Arial"/>
                <w:sz w:val="16"/>
                <w:szCs w:val="16"/>
              </w:rPr>
            </w:pPr>
            <w:r>
              <w:rPr>
                <w:rFonts w:ascii="Arial Narrow" w:hAnsi="Arial Narrow" w:cs="Arial"/>
                <w:sz w:val="16"/>
                <w:szCs w:val="16"/>
              </w:rPr>
              <w:t>20 November</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2B5526BB" w14:textId="2A88C627" w:rsidR="00E40E6A" w:rsidRPr="009416EA" w:rsidRDefault="00E40E6A" w:rsidP="00E40E6A">
            <w:pPr>
              <w:jc w:val="center"/>
              <w:rPr>
                <w:rFonts w:ascii="Arial Narrow" w:hAnsi="Arial Narrow" w:cs="Arial"/>
                <w:sz w:val="16"/>
                <w:szCs w:val="16"/>
                <w:highlight w:val="yellow"/>
              </w:rPr>
            </w:pPr>
          </w:p>
        </w:tc>
        <w:tc>
          <w:tcPr>
            <w:tcW w:w="1418" w:type="dxa"/>
            <w:tcBorders>
              <w:top w:val="single" w:sz="18" w:space="0" w:color="C0C0C0"/>
              <w:left w:val="single" w:sz="18" w:space="0" w:color="C0C0C0"/>
              <w:bottom w:val="nil"/>
              <w:right w:val="single" w:sz="18" w:space="0" w:color="BFBFBF"/>
            </w:tcBorders>
            <w:shd w:val="clear" w:color="auto" w:fill="FFFF00"/>
            <w:vAlign w:val="center"/>
          </w:tcPr>
          <w:p w14:paraId="7CBBAD8B" w14:textId="4C66AC2F" w:rsidR="00E40E6A" w:rsidRPr="00A975E3" w:rsidRDefault="00E40E6A" w:rsidP="00E40E6A">
            <w:pPr>
              <w:jc w:val="center"/>
              <w:rPr>
                <w:rFonts w:ascii="Arial Narrow" w:hAnsi="Arial Narrow" w:cs="Arial"/>
                <w:sz w:val="16"/>
                <w:szCs w:val="16"/>
              </w:rPr>
            </w:pPr>
            <w:r w:rsidRPr="00A975E3">
              <w:rPr>
                <w:rFonts w:ascii="Arial Narrow" w:hAnsi="Arial Narrow" w:cs="Arial"/>
                <w:b/>
                <w:bCs/>
                <w:sz w:val="16"/>
                <w:szCs w:val="16"/>
              </w:rPr>
              <w:t>21</w:t>
            </w:r>
          </w:p>
        </w:tc>
        <w:tc>
          <w:tcPr>
            <w:tcW w:w="1417" w:type="dxa"/>
            <w:vMerge w:val="restart"/>
            <w:tcBorders>
              <w:top w:val="single" w:sz="18" w:space="0" w:color="C0C0C0"/>
              <w:left w:val="single" w:sz="18" w:space="0" w:color="BFBFBF"/>
              <w:right w:val="single" w:sz="18" w:space="0" w:color="C0C0C0"/>
            </w:tcBorders>
            <w:shd w:val="clear" w:color="auto" w:fill="FF0000"/>
            <w:vAlign w:val="center"/>
          </w:tcPr>
          <w:p w14:paraId="46FDB6FD" w14:textId="19E872E6"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22</w:t>
            </w:r>
          </w:p>
        </w:tc>
        <w:tc>
          <w:tcPr>
            <w:tcW w:w="1276" w:type="dxa"/>
            <w:vMerge w:val="restart"/>
            <w:tcBorders>
              <w:top w:val="single" w:sz="18" w:space="0" w:color="C0C0C0"/>
              <w:left w:val="single" w:sz="18" w:space="0" w:color="C0C0C0"/>
              <w:right w:val="single" w:sz="18" w:space="0" w:color="C0C0C0"/>
            </w:tcBorders>
            <w:shd w:val="clear" w:color="auto" w:fill="FF0000"/>
            <w:vAlign w:val="center"/>
          </w:tcPr>
          <w:p w14:paraId="0E61EDBE" w14:textId="0334910C" w:rsidR="00E40E6A" w:rsidRPr="009416EA" w:rsidRDefault="00E40E6A" w:rsidP="00E40E6A">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23</w:t>
            </w:r>
          </w:p>
        </w:tc>
        <w:tc>
          <w:tcPr>
            <w:tcW w:w="1276" w:type="dxa"/>
            <w:vMerge w:val="restart"/>
            <w:tcBorders>
              <w:top w:val="single" w:sz="18" w:space="0" w:color="C0C0C0"/>
              <w:left w:val="single" w:sz="18" w:space="0" w:color="C0C0C0"/>
              <w:right w:val="single" w:sz="18" w:space="0" w:color="auto"/>
            </w:tcBorders>
            <w:shd w:val="clear" w:color="auto" w:fill="auto"/>
            <w:vAlign w:val="center"/>
          </w:tcPr>
          <w:p w14:paraId="5DEA3FBA" w14:textId="77777777" w:rsidR="00E40E6A" w:rsidRPr="009416EA" w:rsidRDefault="00E40E6A" w:rsidP="00E40E6A">
            <w:pPr>
              <w:jc w:val="center"/>
              <w:rPr>
                <w:rFonts w:ascii="Arial Narrow" w:hAnsi="Arial Narrow" w:cs="Arial"/>
                <w:sz w:val="16"/>
                <w:szCs w:val="16"/>
              </w:rPr>
            </w:pPr>
          </w:p>
        </w:tc>
        <w:tc>
          <w:tcPr>
            <w:tcW w:w="3226" w:type="dxa"/>
            <w:vMerge w:val="restart"/>
            <w:tcBorders>
              <w:top w:val="single" w:sz="18" w:space="0" w:color="C0C0C0"/>
              <w:left w:val="single" w:sz="18" w:space="0" w:color="auto"/>
              <w:right w:val="single" w:sz="18" w:space="0" w:color="auto"/>
            </w:tcBorders>
            <w:shd w:val="clear" w:color="auto" w:fill="auto"/>
            <w:vAlign w:val="center"/>
          </w:tcPr>
          <w:p w14:paraId="7E9BBB20" w14:textId="34F4572A" w:rsidR="00E40E6A" w:rsidRPr="005908F8" w:rsidRDefault="00E40E6A" w:rsidP="00E40E6A">
            <w:pPr>
              <w:jc w:val="center"/>
              <w:rPr>
                <w:rFonts w:ascii="Arial Narrow" w:hAnsi="Arial Narrow" w:cs="Arial"/>
                <w:sz w:val="16"/>
                <w:szCs w:val="16"/>
                <w:highlight w:val="yellow"/>
              </w:rPr>
            </w:pPr>
          </w:p>
        </w:tc>
      </w:tr>
      <w:tr w:rsidR="000F3E04" w:rsidRPr="00BC2C5D" w14:paraId="2864E3B3" w14:textId="77777777" w:rsidTr="00A975E3">
        <w:trPr>
          <w:trHeight w:val="284"/>
        </w:trPr>
        <w:tc>
          <w:tcPr>
            <w:tcW w:w="1111" w:type="dxa"/>
            <w:vMerge/>
            <w:tcBorders>
              <w:left w:val="single" w:sz="18" w:space="0" w:color="auto"/>
              <w:right w:val="single" w:sz="18" w:space="0" w:color="C0C0C0"/>
            </w:tcBorders>
            <w:shd w:val="clear" w:color="auto" w:fill="auto"/>
            <w:vAlign w:val="center"/>
          </w:tcPr>
          <w:p w14:paraId="15C8B51B" w14:textId="77777777" w:rsidR="000F3E04" w:rsidRDefault="000F3E04" w:rsidP="00390B3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4FD88262" w14:textId="77777777" w:rsidR="000F3E04" w:rsidRPr="009416EA" w:rsidRDefault="000F3E04" w:rsidP="00390B39">
            <w:pPr>
              <w:jc w:val="center"/>
              <w:rPr>
                <w:rFonts w:ascii="Arial Narrow" w:hAnsi="Arial Narrow" w:cs="Arial"/>
                <w:sz w:val="16"/>
                <w:szCs w:val="16"/>
                <w:highlight w:val="yellow"/>
              </w:rPr>
            </w:pPr>
          </w:p>
        </w:tc>
        <w:tc>
          <w:tcPr>
            <w:tcW w:w="1418" w:type="dxa"/>
            <w:tcBorders>
              <w:top w:val="nil"/>
              <w:left w:val="single" w:sz="18" w:space="0" w:color="C0C0C0"/>
              <w:bottom w:val="single" w:sz="18" w:space="0" w:color="C0C0C0"/>
              <w:right w:val="single" w:sz="18" w:space="0" w:color="BFBFBF"/>
            </w:tcBorders>
            <w:shd w:val="clear" w:color="auto" w:fill="FF0000"/>
            <w:vAlign w:val="center"/>
          </w:tcPr>
          <w:p w14:paraId="400EBE92" w14:textId="53D720D5" w:rsidR="000F3E04" w:rsidRPr="00A975E3" w:rsidRDefault="00E40E6A" w:rsidP="00987E69">
            <w:pPr>
              <w:jc w:val="center"/>
              <w:rPr>
                <w:rFonts w:ascii="Arial Narrow" w:hAnsi="Arial Narrow" w:cs="Arial"/>
                <w:color w:val="FFFFFF" w:themeColor="background1"/>
                <w:sz w:val="16"/>
                <w:szCs w:val="16"/>
              </w:rPr>
            </w:pPr>
            <w:r w:rsidRPr="00A975E3">
              <w:rPr>
                <w:rFonts w:ascii="Arial Narrow" w:hAnsi="Arial Narrow" w:cs="Arial"/>
                <w:b/>
                <w:bCs/>
                <w:color w:val="FFFFFF" w:themeColor="background1"/>
                <w:sz w:val="16"/>
                <w:szCs w:val="16"/>
              </w:rPr>
              <w:t>21</w:t>
            </w:r>
          </w:p>
        </w:tc>
        <w:tc>
          <w:tcPr>
            <w:tcW w:w="1417" w:type="dxa"/>
            <w:vMerge/>
            <w:tcBorders>
              <w:left w:val="single" w:sz="18" w:space="0" w:color="BFBFBF"/>
              <w:right w:val="single" w:sz="18" w:space="0" w:color="C0C0C0"/>
            </w:tcBorders>
            <w:shd w:val="clear" w:color="auto" w:fill="FF0000"/>
            <w:vAlign w:val="center"/>
          </w:tcPr>
          <w:p w14:paraId="10B1C022" w14:textId="77777777" w:rsidR="000F3E04" w:rsidRPr="009416EA" w:rsidRDefault="000F3E04" w:rsidP="003B05FB">
            <w:pPr>
              <w:jc w:val="center"/>
              <w:rPr>
                <w:rFonts w:ascii="Arial Narrow" w:hAnsi="Arial Narrow" w:cs="Arial"/>
                <w:b/>
                <w:bCs/>
                <w:sz w:val="16"/>
                <w:szCs w:val="16"/>
              </w:rPr>
            </w:pPr>
          </w:p>
        </w:tc>
        <w:tc>
          <w:tcPr>
            <w:tcW w:w="1276" w:type="dxa"/>
            <w:vMerge/>
            <w:tcBorders>
              <w:left w:val="single" w:sz="18" w:space="0" w:color="C0C0C0"/>
              <w:right w:val="single" w:sz="18" w:space="0" w:color="C0C0C0"/>
            </w:tcBorders>
            <w:shd w:val="clear" w:color="auto" w:fill="FF0000"/>
            <w:vAlign w:val="center"/>
          </w:tcPr>
          <w:p w14:paraId="0E248AB5" w14:textId="77777777" w:rsidR="000F3E04" w:rsidRPr="009416EA" w:rsidRDefault="000F3E04" w:rsidP="00390B39">
            <w:pPr>
              <w:jc w:val="center"/>
              <w:rPr>
                <w:rFonts w:ascii="Arial Narrow" w:hAnsi="Arial Narrow" w:cs="Arial"/>
                <w:b/>
                <w:bCs/>
                <w:sz w:val="16"/>
                <w:szCs w:val="16"/>
              </w:rPr>
            </w:pPr>
          </w:p>
        </w:tc>
        <w:tc>
          <w:tcPr>
            <w:tcW w:w="1276" w:type="dxa"/>
            <w:vMerge/>
            <w:tcBorders>
              <w:left w:val="single" w:sz="18" w:space="0" w:color="C0C0C0"/>
              <w:right w:val="single" w:sz="18" w:space="0" w:color="auto"/>
            </w:tcBorders>
            <w:shd w:val="clear" w:color="auto" w:fill="auto"/>
            <w:vAlign w:val="center"/>
          </w:tcPr>
          <w:p w14:paraId="2AE9F7A1" w14:textId="77777777" w:rsidR="000F3E04" w:rsidRPr="009416EA" w:rsidRDefault="000F3E04" w:rsidP="00390B39">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6CCDA5F7" w14:textId="77777777" w:rsidR="000F3E04" w:rsidRPr="005908F8" w:rsidRDefault="000F3E04" w:rsidP="009E4A93">
            <w:pPr>
              <w:jc w:val="center"/>
              <w:rPr>
                <w:rFonts w:ascii="Arial Narrow" w:hAnsi="Arial Narrow" w:cs="Arial"/>
                <w:sz w:val="16"/>
                <w:szCs w:val="16"/>
                <w:highlight w:val="yellow"/>
              </w:rPr>
            </w:pPr>
          </w:p>
        </w:tc>
      </w:tr>
      <w:tr w:rsidR="00F90AE9" w:rsidRPr="00BC2C5D" w14:paraId="2952A691" w14:textId="77777777" w:rsidTr="00F90AE9">
        <w:trPr>
          <w:trHeight w:val="211"/>
        </w:trPr>
        <w:tc>
          <w:tcPr>
            <w:tcW w:w="1111" w:type="dxa"/>
            <w:vMerge w:val="restart"/>
            <w:tcBorders>
              <w:top w:val="single" w:sz="18" w:space="0" w:color="BFBFBF"/>
              <w:left w:val="single" w:sz="18" w:space="0" w:color="auto"/>
              <w:right w:val="single" w:sz="18" w:space="0" w:color="C0C0C0"/>
            </w:tcBorders>
            <w:shd w:val="clear" w:color="auto" w:fill="auto"/>
            <w:vAlign w:val="center"/>
          </w:tcPr>
          <w:p w14:paraId="219AC89F" w14:textId="2E3ED4A3" w:rsidR="00F90AE9" w:rsidRPr="00A634FA" w:rsidRDefault="00F90AE9" w:rsidP="00F90AE9">
            <w:pPr>
              <w:jc w:val="center"/>
              <w:rPr>
                <w:rFonts w:ascii="Arial Narrow" w:hAnsi="Arial Narrow" w:cs="Arial"/>
                <w:sz w:val="16"/>
                <w:szCs w:val="16"/>
              </w:rPr>
            </w:pPr>
            <w:r>
              <w:rPr>
                <w:rFonts w:ascii="Arial Narrow" w:hAnsi="Arial Narrow" w:cs="Arial"/>
                <w:sz w:val="16"/>
                <w:szCs w:val="16"/>
              </w:rPr>
              <w:t>27 November</w:t>
            </w:r>
          </w:p>
        </w:tc>
        <w:tc>
          <w:tcPr>
            <w:tcW w:w="1134" w:type="dxa"/>
            <w:vMerge w:val="restart"/>
            <w:tcBorders>
              <w:top w:val="single" w:sz="18" w:space="0" w:color="BFBFBF"/>
              <w:left w:val="single" w:sz="18" w:space="0" w:color="C0C0C0"/>
              <w:right w:val="single" w:sz="18" w:space="0" w:color="C0C0C0"/>
            </w:tcBorders>
            <w:shd w:val="clear" w:color="auto" w:fill="auto"/>
            <w:vAlign w:val="center"/>
          </w:tcPr>
          <w:p w14:paraId="4A0F32FC" w14:textId="68686A64" w:rsidR="00F90AE9" w:rsidRPr="009416EA" w:rsidRDefault="00F90AE9" w:rsidP="00F90AE9">
            <w:pPr>
              <w:jc w:val="center"/>
              <w:rPr>
                <w:rFonts w:ascii="Arial Narrow" w:hAnsi="Arial Narrow" w:cs="Arial"/>
                <w:sz w:val="16"/>
                <w:szCs w:val="16"/>
              </w:rPr>
            </w:pP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4423C25E" w14:textId="5A58B6F9"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28</w:t>
            </w:r>
          </w:p>
        </w:tc>
        <w:tc>
          <w:tcPr>
            <w:tcW w:w="1417" w:type="dxa"/>
            <w:tcBorders>
              <w:top w:val="single" w:sz="18" w:space="0" w:color="BFBFBF"/>
              <w:left w:val="single" w:sz="18" w:space="0" w:color="BFBFBF"/>
              <w:bottom w:val="nil"/>
              <w:right w:val="single" w:sz="18" w:space="0" w:color="C0C0C0"/>
            </w:tcBorders>
            <w:shd w:val="clear" w:color="auto" w:fill="FF0000"/>
            <w:vAlign w:val="center"/>
          </w:tcPr>
          <w:p w14:paraId="2AE45B4E" w14:textId="283EAA03"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29</w:t>
            </w:r>
          </w:p>
        </w:tc>
        <w:tc>
          <w:tcPr>
            <w:tcW w:w="1276" w:type="dxa"/>
            <w:tcBorders>
              <w:top w:val="single" w:sz="18" w:space="0" w:color="C0C0C0"/>
              <w:left w:val="single" w:sz="18" w:space="0" w:color="C0C0C0"/>
              <w:bottom w:val="nil"/>
              <w:right w:val="single" w:sz="18" w:space="0" w:color="C0C0C0"/>
            </w:tcBorders>
            <w:shd w:val="clear" w:color="auto" w:fill="FF0000"/>
            <w:vAlign w:val="center"/>
          </w:tcPr>
          <w:p w14:paraId="158F79EF" w14:textId="0398150F"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30 ICM</w:t>
            </w:r>
          </w:p>
        </w:tc>
        <w:tc>
          <w:tcPr>
            <w:tcW w:w="1276" w:type="dxa"/>
            <w:vMerge w:val="restart"/>
            <w:tcBorders>
              <w:top w:val="single" w:sz="18" w:space="0" w:color="BFBFBF"/>
              <w:left w:val="single" w:sz="18" w:space="0" w:color="C0C0C0"/>
              <w:right w:val="single" w:sz="18" w:space="0" w:color="auto"/>
            </w:tcBorders>
            <w:shd w:val="clear" w:color="auto" w:fill="auto"/>
            <w:vAlign w:val="center"/>
          </w:tcPr>
          <w:p w14:paraId="3C457AF3" w14:textId="78AA5992" w:rsidR="00F90AE9" w:rsidRPr="009416EA" w:rsidRDefault="00F90AE9" w:rsidP="00F90AE9">
            <w:pPr>
              <w:jc w:val="center"/>
              <w:rPr>
                <w:rFonts w:ascii="Arial Narrow" w:hAnsi="Arial Narrow" w:cs="Arial"/>
                <w:sz w:val="16"/>
                <w:szCs w:val="16"/>
              </w:rPr>
            </w:pPr>
          </w:p>
        </w:tc>
        <w:tc>
          <w:tcPr>
            <w:tcW w:w="3226" w:type="dxa"/>
            <w:vMerge w:val="restart"/>
            <w:tcBorders>
              <w:top w:val="single" w:sz="18" w:space="0" w:color="BFBFBF"/>
              <w:left w:val="single" w:sz="18" w:space="0" w:color="auto"/>
              <w:right w:val="single" w:sz="18" w:space="0" w:color="auto"/>
            </w:tcBorders>
            <w:shd w:val="clear" w:color="auto" w:fill="auto"/>
            <w:vAlign w:val="center"/>
          </w:tcPr>
          <w:p w14:paraId="6E6EBCEC" w14:textId="762E1C7F" w:rsidR="00F90AE9" w:rsidRPr="005908F8" w:rsidRDefault="00F90AE9" w:rsidP="00F90AE9">
            <w:pPr>
              <w:jc w:val="center"/>
              <w:rPr>
                <w:rFonts w:ascii="Arial Narrow" w:hAnsi="Arial Narrow" w:cs="Arial"/>
                <w:sz w:val="16"/>
                <w:szCs w:val="16"/>
              </w:rPr>
            </w:pPr>
          </w:p>
        </w:tc>
      </w:tr>
      <w:tr w:rsidR="00F90AE9" w:rsidRPr="00BC2C5D" w14:paraId="0FBEBD29" w14:textId="77777777" w:rsidTr="00F90AE9">
        <w:trPr>
          <w:trHeight w:val="210"/>
        </w:trPr>
        <w:tc>
          <w:tcPr>
            <w:tcW w:w="1111" w:type="dxa"/>
            <w:vMerge/>
            <w:tcBorders>
              <w:left w:val="single" w:sz="18" w:space="0" w:color="auto"/>
              <w:right w:val="single" w:sz="18" w:space="0" w:color="C0C0C0"/>
            </w:tcBorders>
            <w:shd w:val="clear" w:color="auto" w:fill="auto"/>
            <w:vAlign w:val="center"/>
          </w:tcPr>
          <w:p w14:paraId="310CFD9F" w14:textId="77777777" w:rsidR="00F90AE9" w:rsidRDefault="00F90AE9" w:rsidP="00F90AE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5A6A8704" w14:textId="77777777" w:rsidR="00F90AE9" w:rsidRPr="009416EA" w:rsidRDefault="00F90AE9" w:rsidP="00F90AE9">
            <w:pPr>
              <w:jc w:val="center"/>
              <w:rPr>
                <w:rFonts w:ascii="Arial Narrow" w:hAnsi="Arial Narrow" w:cs="Arial"/>
                <w:sz w:val="16"/>
                <w:szCs w:val="16"/>
              </w:rPr>
            </w:pPr>
          </w:p>
        </w:tc>
        <w:tc>
          <w:tcPr>
            <w:tcW w:w="1418" w:type="dxa"/>
            <w:tcBorders>
              <w:top w:val="nil"/>
              <w:left w:val="single" w:sz="18" w:space="0" w:color="C0C0C0"/>
              <w:bottom w:val="nil"/>
              <w:right w:val="single" w:sz="18" w:space="0" w:color="BFBFBF"/>
            </w:tcBorders>
            <w:shd w:val="clear" w:color="auto" w:fill="A972A9"/>
            <w:vAlign w:val="center"/>
          </w:tcPr>
          <w:p w14:paraId="43CA7E84" w14:textId="6A5D14D2"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28</w:t>
            </w:r>
          </w:p>
        </w:tc>
        <w:tc>
          <w:tcPr>
            <w:tcW w:w="1417" w:type="dxa"/>
            <w:tcBorders>
              <w:top w:val="nil"/>
              <w:left w:val="single" w:sz="18" w:space="0" w:color="BFBFBF"/>
              <w:bottom w:val="nil"/>
              <w:right w:val="single" w:sz="18" w:space="0" w:color="C0C0C0"/>
            </w:tcBorders>
            <w:shd w:val="clear" w:color="auto" w:fill="A972A9"/>
            <w:vAlign w:val="center"/>
          </w:tcPr>
          <w:p w14:paraId="4A647488" w14:textId="6C961138"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29</w:t>
            </w:r>
            <w:r w:rsidR="000D3FE1">
              <w:rPr>
                <w:rFonts w:ascii="Arial Narrow" w:hAnsi="Arial Narrow" w:cs="Arial"/>
                <w:b/>
                <w:bCs/>
                <w:color w:val="FFFFFF" w:themeColor="background1"/>
                <w:sz w:val="16"/>
                <w:szCs w:val="16"/>
              </w:rPr>
              <w:t xml:space="preserve"> ½ day Conferencing</w:t>
            </w:r>
          </w:p>
        </w:tc>
        <w:tc>
          <w:tcPr>
            <w:tcW w:w="1276" w:type="dxa"/>
            <w:tcBorders>
              <w:top w:val="nil"/>
              <w:left w:val="single" w:sz="18" w:space="0" w:color="C0C0C0"/>
              <w:bottom w:val="nil"/>
              <w:right w:val="single" w:sz="18" w:space="0" w:color="C0C0C0"/>
            </w:tcBorders>
            <w:shd w:val="clear" w:color="auto" w:fill="A972A9"/>
            <w:vAlign w:val="center"/>
          </w:tcPr>
          <w:p w14:paraId="0AD75270" w14:textId="684C56D1"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30</w:t>
            </w:r>
          </w:p>
        </w:tc>
        <w:tc>
          <w:tcPr>
            <w:tcW w:w="1276" w:type="dxa"/>
            <w:vMerge/>
            <w:tcBorders>
              <w:left w:val="single" w:sz="18" w:space="0" w:color="C0C0C0"/>
              <w:right w:val="single" w:sz="18" w:space="0" w:color="auto"/>
            </w:tcBorders>
            <w:shd w:val="clear" w:color="auto" w:fill="auto"/>
            <w:vAlign w:val="center"/>
          </w:tcPr>
          <w:p w14:paraId="01823BAD" w14:textId="77777777" w:rsidR="00F90AE9" w:rsidRPr="009416EA" w:rsidRDefault="00F90AE9" w:rsidP="00F90AE9">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7C381D08" w14:textId="77777777" w:rsidR="00F90AE9" w:rsidRPr="005908F8" w:rsidRDefault="00F90AE9" w:rsidP="00F90AE9">
            <w:pPr>
              <w:jc w:val="center"/>
              <w:rPr>
                <w:rFonts w:ascii="Arial Narrow" w:hAnsi="Arial Narrow" w:cs="Arial"/>
                <w:sz w:val="16"/>
                <w:szCs w:val="16"/>
              </w:rPr>
            </w:pPr>
          </w:p>
        </w:tc>
      </w:tr>
      <w:tr w:rsidR="00F90AE9" w:rsidRPr="00BC2C5D" w14:paraId="5EF21DDB" w14:textId="77777777" w:rsidTr="00F90AE9">
        <w:trPr>
          <w:trHeight w:val="210"/>
        </w:trPr>
        <w:tc>
          <w:tcPr>
            <w:tcW w:w="1111" w:type="dxa"/>
            <w:vMerge/>
            <w:tcBorders>
              <w:left w:val="single" w:sz="18" w:space="0" w:color="auto"/>
              <w:right w:val="single" w:sz="18" w:space="0" w:color="C0C0C0"/>
            </w:tcBorders>
            <w:shd w:val="clear" w:color="auto" w:fill="auto"/>
            <w:vAlign w:val="center"/>
          </w:tcPr>
          <w:p w14:paraId="236B99A6" w14:textId="77777777" w:rsidR="00F90AE9" w:rsidRDefault="00F90AE9" w:rsidP="00F90AE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71F24147" w14:textId="77777777" w:rsidR="00F90AE9" w:rsidRPr="009416EA" w:rsidRDefault="00F90AE9" w:rsidP="00F90AE9">
            <w:pPr>
              <w:jc w:val="center"/>
              <w:rPr>
                <w:rFonts w:ascii="Arial Narrow" w:hAnsi="Arial Narrow" w:cs="Arial"/>
                <w:sz w:val="16"/>
                <w:szCs w:val="16"/>
              </w:rPr>
            </w:pPr>
          </w:p>
        </w:tc>
        <w:tc>
          <w:tcPr>
            <w:tcW w:w="1418" w:type="dxa"/>
            <w:vMerge w:val="restart"/>
            <w:tcBorders>
              <w:top w:val="nil"/>
              <w:left w:val="single" w:sz="18" w:space="0" w:color="C0C0C0"/>
              <w:right w:val="single" w:sz="18" w:space="0" w:color="BFBFBF"/>
            </w:tcBorders>
            <w:shd w:val="clear" w:color="auto" w:fill="31849B"/>
            <w:vAlign w:val="center"/>
          </w:tcPr>
          <w:p w14:paraId="75BF4809" w14:textId="70FC45B9"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28 ½ day ICM &amp; serving</w:t>
            </w:r>
          </w:p>
        </w:tc>
        <w:tc>
          <w:tcPr>
            <w:tcW w:w="1417" w:type="dxa"/>
            <w:tcBorders>
              <w:top w:val="nil"/>
              <w:left w:val="single" w:sz="18" w:space="0" w:color="BFBFBF"/>
              <w:bottom w:val="nil"/>
              <w:right w:val="single" w:sz="18" w:space="0" w:color="C0C0C0"/>
            </w:tcBorders>
            <w:shd w:val="clear" w:color="auto" w:fill="31849B"/>
            <w:vAlign w:val="center"/>
          </w:tcPr>
          <w:p w14:paraId="463B7C3A" w14:textId="2D34ED8E"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29 ½ day ICM</w:t>
            </w:r>
          </w:p>
        </w:tc>
        <w:tc>
          <w:tcPr>
            <w:tcW w:w="1276" w:type="dxa"/>
            <w:tcBorders>
              <w:top w:val="nil"/>
              <w:left w:val="single" w:sz="18" w:space="0" w:color="C0C0C0"/>
              <w:bottom w:val="nil"/>
              <w:right w:val="single" w:sz="18" w:space="0" w:color="C0C0C0"/>
            </w:tcBorders>
            <w:shd w:val="clear" w:color="auto" w:fill="31849B"/>
            <w:vAlign w:val="center"/>
          </w:tcPr>
          <w:p w14:paraId="731999C1" w14:textId="550693CA"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30 ½ day ICM</w:t>
            </w:r>
          </w:p>
        </w:tc>
        <w:tc>
          <w:tcPr>
            <w:tcW w:w="1276" w:type="dxa"/>
            <w:vMerge/>
            <w:tcBorders>
              <w:left w:val="single" w:sz="18" w:space="0" w:color="C0C0C0"/>
              <w:right w:val="single" w:sz="18" w:space="0" w:color="auto"/>
            </w:tcBorders>
            <w:shd w:val="clear" w:color="auto" w:fill="auto"/>
            <w:vAlign w:val="center"/>
          </w:tcPr>
          <w:p w14:paraId="382C7567" w14:textId="77777777" w:rsidR="00F90AE9" w:rsidRPr="009416EA" w:rsidRDefault="00F90AE9" w:rsidP="00F90AE9">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1CA0C6AA" w14:textId="77777777" w:rsidR="00F90AE9" w:rsidRPr="005908F8" w:rsidRDefault="00F90AE9" w:rsidP="00F90AE9">
            <w:pPr>
              <w:jc w:val="center"/>
              <w:rPr>
                <w:rFonts w:ascii="Arial Narrow" w:hAnsi="Arial Narrow" w:cs="Arial"/>
                <w:sz w:val="16"/>
                <w:szCs w:val="16"/>
              </w:rPr>
            </w:pPr>
          </w:p>
        </w:tc>
      </w:tr>
      <w:tr w:rsidR="00F90AE9" w:rsidRPr="00BC2C5D" w14:paraId="7BD7F027" w14:textId="77777777" w:rsidTr="000D3FE1">
        <w:trPr>
          <w:trHeight w:val="210"/>
        </w:trPr>
        <w:tc>
          <w:tcPr>
            <w:tcW w:w="1111" w:type="dxa"/>
            <w:vMerge/>
            <w:tcBorders>
              <w:left w:val="single" w:sz="18" w:space="0" w:color="auto"/>
              <w:right w:val="single" w:sz="18" w:space="0" w:color="C0C0C0"/>
            </w:tcBorders>
            <w:shd w:val="clear" w:color="auto" w:fill="auto"/>
            <w:vAlign w:val="center"/>
          </w:tcPr>
          <w:p w14:paraId="097039F2" w14:textId="77777777" w:rsidR="00F90AE9" w:rsidRDefault="00F90AE9" w:rsidP="00F90AE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316BB528" w14:textId="77777777" w:rsidR="00F90AE9" w:rsidRPr="009416EA" w:rsidRDefault="00F90AE9" w:rsidP="00F90AE9">
            <w:pPr>
              <w:jc w:val="center"/>
              <w:rPr>
                <w:rFonts w:ascii="Arial Narrow" w:hAnsi="Arial Narrow" w:cs="Arial"/>
                <w:sz w:val="16"/>
                <w:szCs w:val="16"/>
              </w:rPr>
            </w:pPr>
          </w:p>
        </w:tc>
        <w:tc>
          <w:tcPr>
            <w:tcW w:w="1418" w:type="dxa"/>
            <w:vMerge/>
            <w:tcBorders>
              <w:left w:val="single" w:sz="18" w:space="0" w:color="C0C0C0"/>
              <w:bottom w:val="single" w:sz="18" w:space="0" w:color="auto"/>
              <w:right w:val="single" w:sz="18" w:space="0" w:color="BFBFBF"/>
            </w:tcBorders>
            <w:shd w:val="clear" w:color="auto" w:fill="31849B"/>
            <w:vAlign w:val="center"/>
          </w:tcPr>
          <w:p w14:paraId="0C119ADF" w14:textId="77777777" w:rsidR="00F90AE9" w:rsidRPr="009416EA" w:rsidRDefault="00F90AE9" w:rsidP="00F90AE9">
            <w:pPr>
              <w:jc w:val="center"/>
              <w:rPr>
                <w:rFonts w:ascii="Arial Narrow" w:hAnsi="Arial Narrow" w:cs="Arial"/>
                <w:b/>
                <w:bCs/>
                <w:color w:val="FFFFFF" w:themeColor="background1"/>
                <w:sz w:val="16"/>
                <w:szCs w:val="16"/>
              </w:rPr>
            </w:pPr>
          </w:p>
        </w:tc>
        <w:tc>
          <w:tcPr>
            <w:tcW w:w="1417" w:type="dxa"/>
            <w:tcBorders>
              <w:top w:val="nil"/>
              <w:left w:val="single" w:sz="18" w:space="0" w:color="BFBFBF"/>
              <w:right w:val="single" w:sz="18" w:space="0" w:color="C0C0C0"/>
            </w:tcBorders>
            <w:shd w:val="clear" w:color="auto" w:fill="769250"/>
            <w:vAlign w:val="center"/>
          </w:tcPr>
          <w:p w14:paraId="1A6F209A" w14:textId="2D85224A"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29</w:t>
            </w:r>
          </w:p>
        </w:tc>
        <w:tc>
          <w:tcPr>
            <w:tcW w:w="1276" w:type="dxa"/>
            <w:tcBorders>
              <w:top w:val="nil"/>
              <w:left w:val="single" w:sz="18" w:space="0" w:color="C0C0C0"/>
              <w:bottom w:val="single" w:sz="18" w:space="0" w:color="auto"/>
              <w:right w:val="single" w:sz="18" w:space="0" w:color="C0C0C0"/>
            </w:tcBorders>
            <w:shd w:val="clear" w:color="auto" w:fill="769250"/>
            <w:vAlign w:val="center"/>
          </w:tcPr>
          <w:p w14:paraId="34426147" w14:textId="64508192" w:rsidR="00F90AE9" w:rsidRPr="009416EA" w:rsidRDefault="00F90AE9"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30</w:t>
            </w:r>
          </w:p>
        </w:tc>
        <w:tc>
          <w:tcPr>
            <w:tcW w:w="1276" w:type="dxa"/>
            <w:vMerge/>
            <w:tcBorders>
              <w:left w:val="single" w:sz="18" w:space="0" w:color="C0C0C0"/>
              <w:right w:val="single" w:sz="18" w:space="0" w:color="auto"/>
            </w:tcBorders>
            <w:shd w:val="clear" w:color="auto" w:fill="auto"/>
            <w:vAlign w:val="center"/>
          </w:tcPr>
          <w:p w14:paraId="719AB682" w14:textId="77777777" w:rsidR="00F90AE9" w:rsidRPr="009416EA" w:rsidRDefault="00F90AE9" w:rsidP="00F90AE9">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575891A3" w14:textId="77777777" w:rsidR="00F90AE9" w:rsidRPr="005908F8" w:rsidRDefault="00F90AE9" w:rsidP="00F90AE9">
            <w:pPr>
              <w:jc w:val="center"/>
              <w:rPr>
                <w:rFonts w:ascii="Arial Narrow" w:hAnsi="Arial Narrow" w:cs="Arial"/>
                <w:sz w:val="16"/>
                <w:szCs w:val="16"/>
              </w:rPr>
            </w:pPr>
          </w:p>
        </w:tc>
      </w:tr>
      <w:tr w:rsidR="000D3FE1" w:rsidRPr="00BC2C5D" w14:paraId="1CA5194F" w14:textId="77777777" w:rsidTr="000D3FE1">
        <w:trPr>
          <w:trHeight w:val="284"/>
        </w:trPr>
        <w:tc>
          <w:tcPr>
            <w:tcW w:w="1111" w:type="dxa"/>
            <w:vMerge w:val="restart"/>
            <w:tcBorders>
              <w:top w:val="single" w:sz="18" w:space="0" w:color="auto"/>
              <w:left w:val="single" w:sz="18" w:space="0" w:color="auto"/>
              <w:right w:val="single" w:sz="18" w:space="0" w:color="C0C0C0"/>
            </w:tcBorders>
            <w:shd w:val="clear" w:color="auto" w:fill="auto"/>
            <w:vAlign w:val="center"/>
          </w:tcPr>
          <w:p w14:paraId="62CCD3D4" w14:textId="60C1434E" w:rsidR="000D3FE1" w:rsidRPr="00A634FA" w:rsidRDefault="000D3FE1" w:rsidP="00E40E6A">
            <w:pPr>
              <w:jc w:val="center"/>
              <w:rPr>
                <w:rFonts w:ascii="Arial Narrow" w:hAnsi="Arial Narrow" w:cs="Arial"/>
                <w:sz w:val="16"/>
                <w:szCs w:val="16"/>
              </w:rPr>
            </w:pPr>
            <w:r>
              <w:rPr>
                <w:rFonts w:ascii="Arial Narrow" w:hAnsi="Arial Narrow" w:cs="Arial"/>
                <w:sz w:val="16"/>
                <w:szCs w:val="16"/>
              </w:rPr>
              <w:t>4 December</w:t>
            </w:r>
          </w:p>
        </w:tc>
        <w:tc>
          <w:tcPr>
            <w:tcW w:w="1134" w:type="dxa"/>
            <w:vMerge w:val="restart"/>
            <w:tcBorders>
              <w:top w:val="single" w:sz="18" w:space="0" w:color="auto"/>
              <w:left w:val="single" w:sz="18" w:space="0" w:color="C0C0C0"/>
              <w:right w:val="single" w:sz="18" w:space="0" w:color="C0C0C0"/>
            </w:tcBorders>
            <w:shd w:val="clear" w:color="auto" w:fill="auto"/>
            <w:vAlign w:val="center"/>
          </w:tcPr>
          <w:p w14:paraId="66E74CF9" w14:textId="77777777" w:rsidR="000D3FE1" w:rsidRPr="009416EA" w:rsidRDefault="000D3FE1" w:rsidP="00E40E6A">
            <w:pPr>
              <w:jc w:val="center"/>
              <w:rPr>
                <w:rFonts w:ascii="Arial Narrow" w:hAnsi="Arial Narrow" w:cs="Arial"/>
                <w:sz w:val="16"/>
                <w:szCs w:val="16"/>
                <w:highlight w:val="yellow"/>
              </w:rPr>
            </w:pPr>
          </w:p>
        </w:tc>
        <w:tc>
          <w:tcPr>
            <w:tcW w:w="1418" w:type="dxa"/>
            <w:tcBorders>
              <w:top w:val="single" w:sz="18" w:space="0" w:color="auto"/>
              <w:left w:val="single" w:sz="18" w:space="0" w:color="C0C0C0"/>
              <w:bottom w:val="nil"/>
              <w:right w:val="single" w:sz="18" w:space="0" w:color="BFBFBF"/>
            </w:tcBorders>
            <w:shd w:val="clear" w:color="auto" w:fill="FFFF00"/>
            <w:vAlign w:val="center"/>
          </w:tcPr>
          <w:p w14:paraId="5280C7F2" w14:textId="1DF02400" w:rsidR="000D3FE1" w:rsidRPr="00310B75" w:rsidRDefault="000D3FE1" w:rsidP="009852F4">
            <w:pPr>
              <w:jc w:val="center"/>
              <w:rPr>
                <w:rFonts w:ascii="Arial Narrow" w:hAnsi="Arial Narrow" w:cs="Arial"/>
                <w:color w:val="FFFFFF" w:themeColor="background1"/>
                <w:sz w:val="16"/>
                <w:szCs w:val="16"/>
              </w:rPr>
            </w:pPr>
            <w:r w:rsidRPr="009416EA">
              <w:rPr>
                <w:rFonts w:ascii="Arial Narrow" w:hAnsi="Arial Narrow" w:cs="Arial"/>
                <w:b/>
                <w:bCs/>
                <w:sz w:val="16"/>
                <w:szCs w:val="16"/>
              </w:rPr>
              <w:t>5 ½ day ICM</w:t>
            </w:r>
          </w:p>
        </w:tc>
        <w:tc>
          <w:tcPr>
            <w:tcW w:w="1417" w:type="dxa"/>
            <w:tcBorders>
              <w:top w:val="single" w:sz="18" w:space="0" w:color="auto"/>
              <w:left w:val="single" w:sz="18" w:space="0" w:color="BFBFBF"/>
              <w:bottom w:val="nil"/>
              <w:right w:val="single" w:sz="18" w:space="0" w:color="C0C0C0"/>
            </w:tcBorders>
            <w:shd w:val="clear" w:color="auto" w:fill="FF0000"/>
            <w:vAlign w:val="center"/>
          </w:tcPr>
          <w:p w14:paraId="31836070" w14:textId="0052FE78" w:rsidR="000D3FE1" w:rsidRPr="009416EA" w:rsidRDefault="000D3FE1" w:rsidP="00310B75">
            <w:pPr>
              <w:jc w:val="center"/>
              <w:rPr>
                <w:rFonts w:ascii="Arial Narrow" w:hAnsi="Arial Narrow" w:cs="Arial"/>
                <w:b/>
                <w:bCs/>
                <w:color w:val="FFFFFF" w:themeColor="background1"/>
                <w:sz w:val="16"/>
                <w:szCs w:val="16"/>
              </w:rPr>
            </w:pPr>
            <w:r w:rsidRPr="009416EA">
              <w:rPr>
                <w:rFonts w:ascii="Arial Narrow" w:hAnsi="Arial Narrow" w:cs="Arial"/>
                <w:b/>
                <w:bCs/>
                <w:color w:val="FFFFFF" w:themeColor="background1"/>
                <w:sz w:val="16"/>
                <w:szCs w:val="16"/>
              </w:rPr>
              <w:t>6</w:t>
            </w:r>
          </w:p>
        </w:tc>
        <w:tc>
          <w:tcPr>
            <w:tcW w:w="1276" w:type="dxa"/>
            <w:vMerge w:val="restart"/>
            <w:tcBorders>
              <w:top w:val="single" w:sz="18" w:space="0" w:color="auto"/>
              <w:left w:val="single" w:sz="18" w:space="0" w:color="C0C0C0"/>
              <w:right w:val="single" w:sz="18" w:space="0" w:color="C0C0C0"/>
            </w:tcBorders>
            <w:shd w:val="clear" w:color="auto" w:fill="31849B"/>
            <w:vAlign w:val="center"/>
          </w:tcPr>
          <w:p w14:paraId="18177425" w14:textId="7D606C39" w:rsidR="000D3FE1" w:rsidRPr="00310B75" w:rsidRDefault="00F01636" w:rsidP="00E40E6A">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7</w:t>
            </w:r>
          </w:p>
        </w:tc>
        <w:tc>
          <w:tcPr>
            <w:tcW w:w="1276" w:type="dxa"/>
            <w:vMerge w:val="restart"/>
            <w:tcBorders>
              <w:top w:val="single" w:sz="18" w:space="0" w:color="auto"/>
              <w:left w:val="single" w:sz="18" w:space="0" w:color="C0C0C0"/>
              <w:right w:val="single" w:sz="18" w:space="0" w:color="auto"/>
            </w:tcBorders>
            <w:shd w:val="clear" w:color="auto" w:fill="auto"/>
            <w:vAlign w:val="center"/>
          </w:tcPr>
          <w:p w14:paraId="56CF5F8B" w14:textId="77777777" w:rsidR="000D3FE1" w:rsidRPr="009416EA" w:rsidRDefault="000D3FE1" w:rsidP="00E40E6A">
            <w:pPr>
              <w:jc w:val="center"/>
              <w:rPr>
                <w:rFonts w:ascii="Arial Narrow" w:hAnsi="Arial Narrow" w:cs="Arial"/>
                <w:sz w:val="16"/>
                <w:szCs w:val="16"/>
                <w:highlight w:val="yellow"/>
              </w:rPr>
            </w:pPr>
          </w:p>
        </w:tc>
        <w:tc>
          <w:tcPr>
            <w:tcW w:w="3226" w:type="dxa"/>
            <w:vMerge w:val="restart"/>
            <w:tcBorders>
              <w:top w:val="single" w:sz="18" w:space="0" w:color="auto"/>
              <w:left w:val="single" w:sz="18" w:space="0" w:color="auto"/>
              <w:right w:val="single" w:sz="18" w:space="0" w:color="auto"/>
            </w:tcBorders>
            <w:shd w:val="clear" w:color="auto" w:fill="auto"/>
            <w:vAlign w:val="center"/>
          </w:tcPr>
          <w:p w14:paraId="48DA4D4F" w14:textId="77777777" w:rsidR="000D3FE1" w:rsidRPr="005908F8" w:rsidRDefault="000D3FE1" w:rsidP="00E40E6A">
            <w:pPr>
              <w:jc w:val="center"/>
              <w:rPr>
                <w:rFonts w:ascii="Arial Narrow" w:hAnsi="Arial Narrow"/>
                <w:color w:val="31849B"/>
                <w:sz w:val="16"/>
                <w:szCs w:val="16"/>
              </w:rPr>
            </w:pPr>
            <w:r w:rsidRPr="005908F8">
              <w:rPr>
                <w:rFonts w:ascii="Arial Narrow" w:hAnsi="Arial Narrow"/>
                <w:color w:val="31849B"/>
                <w:sz w:val="16"/>
                <w:szCs w:val="16"/>
              </w:rPr>
              <w:t>Cooktown – Circuit</w:t>
            </w:r>
          </w:p>
          <w:p w14:paraId="79D4A0D8" w14:textId="77777777" w:rsidR="000D3FE1" w:rsidRPr="005908F8" w:rsidRDefault="000D3FE1" w:rsidP="00E40E6A">
            <w:pPr>
              <w:jc w:val="center"/>
              <w:rPr>
                <w:rFonts w:ascii="Arial Narrow" w:hAnsi="Arial Narrow" w:cs="Arial"/>
                <w:sz w:val="16"/>
                <w:szCs w:val="16"/>
              </w:rPr>
            </w:pPr>
            <w:r w:rsidRPr="005908F8">
              <w:rPr>
                <w:rFonts w:ascii="Arial Narrow" w:hAnsi="Arial Narrow"/>
                <w:color w:val="31849B"/>
                <w:sz w:val="16"/>
                <w:szCs w:val="16"/>
              </w:rPr>
              <w:t>Doomadgee – Gulf Circuit</w:t>
            </w:r>
          </w:p>
          <w:p w14:paraId="6C9148DC" w14:textId="6D2B73CE" w:rsidR="000D3FE1" w:rsidRPr="005908F8" w:rsidRDefault="000D3FE1" w:rsidP="00E40E6A">
            <w:pPr>
              <w:jc w:val="center"/>
              <w:rPr>
                <w:rFonts w:ascii="Arial Narrow" w:hAnsi="Arial Narrow"/>
                <w:color w:val="31849B"/>
                <w:sz w:val="16"/>
                <w:szCs w:val="16"/>
              </w:rPr>
            </w:pPr>
            <w:r w:rsidRPr="005908F8">
              <w:rPr>
                <w:rFonts w:ascii="Arial Narrow" w:hAnsi="Arial Narrow" w:cs="Arial"/>
                <w:sz w:val="16"/>
                <w:szCs w:val="16"/>
              </w:rPr>
              <w:t>Mossman schools finish 8/12/2022</w:t>
            </w:r>
          </w:p>
        </w:tc>
      </w:tr>
      <w:tr w:rsidR="00310B75" w:rsidRPr="00BC2C5D" w14:paraId="2A93E785" w14:textId="77777777" w:rsidTr="000D3FE1">
        <w:trPr>
          <w:trHeight w:val="284"/>
        </w:trPr>
        <w:tc>
          <w:tcPr>
            <w:tcW w:w="1111" w:type="dxa"/>
            <w:vMerge/>
            <w:tcBorders>
              <w:left w:val="single" w:sz="18" w:space="0" w:color="auto"/>
              <w:right w:val="single" w:sz="18" w:space="0" w:color="C0C0C0"/>
            </w:tcBorders>
            <w:shd w:val="clear" w:color="auto" w:fill="auto"/>
            <w:vAlign w:val="center"/>
          </w:tcPr>
          <w:p w14:paraId="0DDF3251" w14:textId="77777777" w:rsidR="00310B75" w:rsidRDefault="00310B75" w:rsidP="00E40E6A">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469A0CE4" w14:textId="77777777" w:rsidR="00310B75" w:rsidRPr="009416EA" w:rsidRDefault="00310B75" w:rsidP="00E40E6A">
            <w:pPr>
              <w:jc w:val="center"/>
              <w:rPr>
                <w:rFonts w:ascii="Arial Narrow" w:hAnsi="Arial Narrow" w:cs="Arial"/>
                <w:sz w:val="16"/>
                <w:szCs w:val="16"/>
                <w:highlight w:val="yellow"/>
              </w:rPr>
            </w:pPr>
          </w:p>
        </w:tc>
        <w:tc>
          <w:tcPr>
            <w:tcW w:w="1418" w:type="dxa"/>
            <w:tcBorders>
              <w:top w:val="nil"/>
              <w:left w:val="single" w:sz="18" w:space="0" w:color="C0C0C0"/>
              <w:bottom w:val="single" w:sz="18" w:space="0" w:color="C0C0C0"/>
              <w:right w:val="single" w:sz="18" w:space="0" w:color="BFBFBF"/>
            </w:tcBorders>
            <w:shd w:val="clear" w:color="auto" w:fill="31849B"/>
            <w:vAlign w:val="center"/>
          </w:tcPr>
          <w:p w14:paraId="1EED5AE6" w14:textId="26CC0D9E" w:rsidR="00310B75" w:rsidRPr="00310B75" w:rsidRDefault="00310B75" w:rsidP="00E40E6A">
            <w:pPr>
              <w:jc w:val="center"/>
              <w:rPr>
                <w:rFonts w:ascii="Arial Narrow" w:hAnsi="Arial Narrow" w:cs="Arial"/>
                <w:b/>
                <w:bCs/>
                <w:color w:val="FFFFFF" w:themeColor="background1"/>
                <w:sz w:val="16"/>
                <w:szCs w:val="16"/>
              </w:rPr>
            </w:pPr>
            <w:r w:rsidRPr="00310B75">
              <w:rPr>
                <w:rFonts w:ascii="Arial Narrow" w:hAnsi="Arial Narrow" w:cs="Arial"/>
                <w:b/>
                <w:bCs/>
                <w:color w:val="FFFFFF" w:themeColor="background1"/>
                <w:sz w:val="16"/>
                <w:szCs w:val="16"/>
              </w:rPr>
              <w:t>5 ½ day Pre-conference</w:t>
            </w:r>
          </w:p>
        </w:tc>
        <w:tc>
          <w:tcPr>
            <w:tcW w:w="1417" w:type="dxa"/>
            <w:tcBorders>
              <w:top w:val="nil"/>
              <w:left w:val="single" w:sz="18" w:space="0" w:color="BFBFBF"/>
              <w:bottom w:val="single" w:sz="18" w:space="0" w:color="C0C0C0"/>
              <w:right w:val="single" w:sz="18" w:space="0" w:color="C0C0C0"/>
            </w:tcBorders>
            <w:shd w:val="clear" w:color="auto" w:fill="31849B"/>
            <w:vAlign w:val="center"/>
          </w:tcPr>
          <w:p w14:paraId="12C4FBC1" w14:textId="47003245" w:rsidR="00310B75" w:rsidRPr="009416EA" w:rsidRDefault="00310B75" w:rsidP="00E40E6A">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6</w:t>
            </w:r>
            <w:r w:rsidR="00F01636">
              <w:rPr>
                <w:rFonts w:ascii="Arial Narrow" w:hAnsi="Arial Narrow" w:cs="Arial"/>
                <w:b/>
                <w:bCs/>
                <w:color w:val="FFFFFF" w:themeColor="background1"/>
                <w:sz w:val="16"/>
                <w:szCs w:val="16"/>
              </w:rPr>
              <w:t xml:space="preserve"> ICM</w:t>
            </w:r>
          </w:p>
        </w:tc>
        <w:tc>
          <w:tcPr>
            <w:tcW w:w="1276" w:type="dxa"/>
            <w:vMerge/>
            <w:tcBorders>
              <w:left w:val="single" w:sz="18" w:space="0" w:color="C0C0C0"/>
              <w:right w:val="single" w:sz="18" w:space="0" w:color="C0C0C0"/>
            </w:tcBorders>
            <w:shd w:val="clear" w:color="auto" w:fill="31849B"/>
            <w:vAlign w:val="center"/>
          </w:tcPr>
          <w:p w14:paraId="29FAD88E" w14:textId="77777777" w:rsidR="00310B75" w:rsidRPr="009416EA" w:rsidRDefault="00310B75" w:rsidP="00E40E6A">
            <w:pPr>
              <w:jc w:val="center"/>
              <w:rPr>
                <w:rFonts w:ascii="Arial Narrow" w:hAnsi="Arial Narrow" w:cs="Arial"/>
                <w:b/>
                <w:bCs/>
                <w:sz w:val="16"/>
                <w:szCs w:val="16"/>
              </w:rPr>
            </w:pPr>
          </w:p>
        </w:tc>
        <w:tc>
          <w:tcPr>
            <w:tcW w:w="1276" w:type="dxa"/>
            <w:vMerge/>
            <w:tcBorders>
              <w:left w:val="single" w:sz="18" w:space="0" w:color="C0C0C0"/>
              <w:right w:val="single" w:sz="18" w:space="0" w:color="auto"/>
            </w:tcBorders>
            <w:shd w:val="clear" w:color="auto" w:fill="auto"/>
            <w:vAlign w:val="center"/>
          </w:tcPr>
          <w:p w14:paraId="17529754" w14:textId="77777777" w:rsidR="00310B75" w:rsidRPr="009416EA" w:rsidRDefault="00310B75" w:rsidP="00E40E6A">
            <w:pPr>
              <w:jc w:val="center"/>
              <w:rPr>
                <w:rFonts w:ascii="Arial Narrow" w:hAnsi="Arial Narrow" w:cs="Arial"/>
                <w:sz w:val="16"/>
                <w:szCs w:val="16"/>
                <w:highlight w:val="yellow"/>
              </w:rPr>
            </w:pPr>
          </w:p>
        </w:tc>
        <w:tc>
          <w:tcPr>
            <w:tcW w:w="3226" w:type="dxa"/>
            <w:vMerge/>
            <w:tcBorders>
              <w:left w:val="single" w:sz="18" w:space="0" w:color="auto"/>
              <w:right w:val="single" w:sz="18" w:space="0" w:color="auto"/>
            </w:tcBorders>
            <w:shd w:val="clear" w:color="auto" w:fill="auto"/>
            <w:vAlign w:val="center"/>
          </w:tcPr>
          <w:p w14:paraId="56843FE4" w14:textId="77777777" w:rsidR="00310B75" w:rsidRPr="005908F8" w:rsidRDefault="00310B75" w:rsidP="00E40E6A">
            <w:pPr>
              <w:jc w:val="center"/>
              <w:rPr>
                <w:rFonts w:ascii="Arial Narrow" w:hAnsi="Arial Narrow"/>
                <w:color w:val="31849B"/>
                <w:sz w:val="16"/>
                <w:szCs w:val="16"/>
              </w:rPr>
            </w:pPr>
          </w:p>
        </w:tc>
      </w:tr>
      <w:tr w:rsidR="009416EA" w:rsidRPr="00BC2C5D" w14:paraId="6A282D96" w14:textId="77777777" w:rsidTr="000D3FE1">
        <w:trPr>
          <w:trHeight w:val="567"/>
        </w:trPr>
        <w:tc>
          <w:tcPr>
            <w:tcW w:w="1111" w:type="dxa"/>
            <w:tcBorders>
              <w:top w:val="single" w:sz="18" w:space="0" w:color="C0C0C0"/>
              <w:left w:val="single" w:sz="18" w:space="0" w:color="auto"/>
              <w:right w:val="single" w:sz="18" w:space="0" w:color="C0C0C0"/>
            </w:tcBorders>
            <w:shd w:val="clear" w:color="auto" w:fill="auto"/>
            <w:vAlign w:val="center"/>
          </w:tcPr>
          <w:p w14:paraId="6D86D990" w14:textId="4B36FB67" w:rsidR="000F3E04" w:rsidRPr="00A634FA" w:rsidRDefault="000F3E04" w:rsidP="000F3E04">
            <w:pPr>
              <w:jc w:val="center"/>
              <w:rPr>
                <w:rFonts w:ascii="Arial Narrow" w:hAnsi="Arial Narrow" w:cs="Arial"/>
                <w:sz w:val="16"/>
                <w:szCs w:val="16"/>
              </w:rPr>
            </w:pPr>
            <w:r>
              <w:rPr>
                <w:rFonts w:ascii="Arial Narrow" w:hAnsi="Arial Narrow" w:cs="Arial"/>
                <w:sz w:val="16"/>
                <w:szCs w:val="16"/>
              </w:rPr>
              <w:t>11 December</w:t>
            </w:r>
          </w:p>
        </w:tc>
        <w:tc>
          <w:tcPr>
            <w:tcW w:w="1134" w:type="dxa"/>
            <w:tcBorders>
              <w:top w:val="single" w:sz="18" w:space="0" w:color="C0C0C0"/>
              <w:left w:val="single" w:sz="18" w:space="0" w:color="C0C0C0"/>
              <w:right w:val="single" w:sz="18" w:space="0" w:color="C0C0C0"/>
            </w:tcBorders>
            <w:shd w:val="clear" w:color="auto" w:fill="D9D9D9"/>
            <w:vAlign w:val="center"/>
          </w:tcPr>
          <w:p w14:paraId="695555CE" w14:textId="61BB7C07" w:rsidR="000F3E04" w:rsidRPr="009416EA" w:rsidRDefault="000F3E04" w:rsidP="000F3E04">
            <w:pPr>
              <w:jc w:val="center"/>
              <w:rPr>
                <w:rFonts w:ascii="Arial Narrow" w:hAnsi="Arial Narrow" w:cs="Arial"/>
                <w:sz w:val="16"/>
                <w:szCs w:val="16"/>
                <w:highlight w:val="yellow"/>
              </w:rPr>
            </w:pPr>
          </w:p>
        </w:tc>
        <w:tc>
          <w:tcPr>
            <w:tcW w:w="1418" w:type="dxa"/>
            <w:tcBorders>
              <w:top w:val="single" w:sz="18" w:space="0" w:color="C0C0C0"/>
              <w:left w:val="single" w:sz="18" w:space="0" w:color="C0C0C0"/>
              <w:right w:val="single" w:sz="18" w:space="0" w:color="BFBFBF"/>
            </w:tcBorders>
            <w:shd w:val="clear" w:color="auto" w:fill="D9D9D9"/>
            <w:vAlign w:val="center"/>
          </w:tcPr>
          <w:p w14:paraId="09C9C0A4" w14:textId="2594E5D9" w:rsidR="000F3E04" w:rsidRPr="009416EA" w:rsidRDefault="000F3E04" w:rsidP="000F3E04">
            <w:pPr>
              <w:jc w:val="center"/>
              <w:rPr>
                <w:rFonts w:ascii="Arial Narrow" w:hAnsi="Arial Narrow" w:cs="Arial"/>
                <w:b/>
                <w:bCs/>
                <w:sz w:val="16"/>
                <w:szCs w:val="16"/>
              </w:rPr>
            </w:pPr>
          </w:p>
        </w:tc>
        <w:tc>
          <w:tcPr>
            <w:tcW w:w="1417" w:type="dxa"/>
            <w:tcBorders>
              <w:top w:val="single" w:sz="18" w:space="0" w:color="C0C0C0"/>
              <w:left w:val="single" w:sz="18" w:space="0" w:color="BFBFBF"/>
              <w:right w:val="single" w:sz="18" w:space="0" w:color="C0C0C0"/>
            </w:tcBorders>
            <w:shd w:val="clear" w:color="auto" w:fill="D9D9D9"/>
            <w:vAlign w:val="center"/>
          </w:tcPr>
          <w:p w14:paraId="1BF01046" w14:textId="1FD766F1" w:rsidR="000F3E04" w:rsidRPr="009416EA" w:rsidRDefault="000F3E04" w:rsidP="000F3E04">
            <w:pPr>
              <w:jc w:val="center"/>
              <w:rPr>
                <w:rFonts w:ascii="Arial Narrow" w:hAnsi="Arial Narrow" w:cs="Arial"/>
                <w:b/>
                <w:bCs/>
                <w:sz w:val="16"/>
                <w:szCs w:val="16"/>
              </w:rPr>
            </w:pPr>
          </w:p>
        </w:tc>
        <w:tc>
          <w:tcPr>
            <w:tcW w:w="1276" w:type="dxa"/>
            <w:tcBorders>
              <w:top w:val="single" w:sz="18" w:space="0" w:color="C0C0C0"/>
              <w:left w:val="single" w:sz="18" w:space="0" w:color="C0C0C0"/>
              <w:right w:val="single" w:sz="18" w:space="0" w:color="C0C0C0"/>
            </w:tcBorders>
            <w:shd w:val="clear" w:color="auto" w:fill="D9D9D9"/>
            <w:vAlign w:val="center"/>
          </w:tcPr>
          <w:p w14:paraId="63AD05D9" w14:textId="0864D8A2" w:rsidR="000F3E04" w:rsidRPr="009416EA" w:rsidRDefault="000F3E04" w:rsidP="000F3E04">
            <w:pPr>
              <w:jc w:val="center"/>
              <w:rPr>
                <w:rFonts w:ascii="Arial Narrow" w:hAnsi="Arial Narrow" w:cs="Arial"/>
                <w:b/>
                <w:bCs/>
                <w:sz w:val="16"/>
                <w:szCs w:val="16"/>
              </w:rPr>
            </w:pPr>
          </w:p>
        </w:tc>
        <w:tc>
          <w:tcPr>
            <w:tcW w:w="1276" w:type="dxa"/>
            <w:tcBorders>
              <w:top w:val="single" w:sz="18" w:space="0" w:color="C0C0C0"/>
              <w:left w:val="single" w:sz="18" w:space="0" w:color="C0C0C0"/>
              <w:right w:val="single" w:sz="18" w:space="0" w:color="auto"/>
            </w:tcBorders>
            <w:shd w:val="clear" w:color="auto" w:fill="D9D9D9"/>
            <w:vAlign w:val="center"/>
          </w:tcPr>
          <w:p w14:paraId="7FC64D6A" w14:textId="77777777" w:rsidR="000F3E04" w:rsidRPr="009416EA" w:rsidRDefault="000F3E04" w:rsidP="000F3E04">
            <w:pPr>
              <w:jc w:val="center"/>
              <w:rPr>
                <w:rFonts w:ascii="Arial Narrow" w:hAnsi="Arial Narrow" w:cs="Arial"/>
                <w:sz w:val="16"/>
                <w:szCs w:val="16"/>
                <w:highlight w:val="yellow"/>
              </w:rPr>
            </w:pPr>
          </w:p>
        </w:tc>
        <w:tc>
          <w:tcPr>
            <w:tcW w:w="3226" w:type="dxa"/>
            <w:tcBorders>
              <w:top w:val="single" w:sz="18" w:space="0" w:color="C0C0C0"/>
              <w:left w:val="single" w:sz="18" w:space="0" w:color="auto"/>
              <w:right w:val="single" w:sz="18" w:space="0" w:color="auto"/>
            </w:tcBorders>
            <w:shd w:val="clear" w:color="auto" w:fill="D9D9D9"/>
            <w:vAlign w:val="center"/>
          </w:tcPr>
          <w:p w14:paraId="7594D7D0" w14:textId="3F71925B" w:rsidR="000F3E04" w:rsidRPr="005908F8" w:rsidRDefault="000F3E04" w:rsidP="000F3E04">
            <w:pPr>
              <w:jc w:val="center"/>
              <w:rPr>
                <w:rFonts w:ascii="Arial Narrow" w:hAnsi="Arial Narrow"/>
                <w:color w:val="31849B"/>
                <w:sz w:val="16"/>
                <w:szCs w:val="16"/>
              </w:rPr>
            </w:pPr>
            <w:r w:rsidRPr="005908F8">
              <w:rPr>
                <w:rFonts w:ascii="Arial Narrow" w:hAnsi="Arial Narrow"/>
                <w:color w:val="31849B"/>
                <w:sz w:val="16"/>
                <w:szCs w:val="16"/>
              </w:rPr>
              <w:t>Aurukun Cape B Circuit</w:t>
            </w:r>
          </w:p>
        </w:tc>
      </w:tr>
      <w:tr w:rsidR="009416EA" w:rsidRPr="00BC2C5D" w14:paraId="5AD4A603" w14:textId="77777777" w:rsidTr="00247AC2">
        <w:trPr>
          <w:trHeight w:val="567"/>
        </w:trPr>
        <w:tc>
          <w:tcPr>
            <w:tcW w:w="1111" w:type="dxa"/>
            <w:tcBorders>
              <w:top w:val="single" w:sz="18" w:space="0" w:color="BFBFBF" w:themeColor="background1" w:themeShade="BF"/>
              <w:left w:val="single" w:sz="18" w:space="0" w:color="auto"/>
              <w:right w:val="single" w:sz="18" w:space="0" w:color="C0C0C0"/>
            </w:tcBorders>
            <w:shd w:val="clear" w:color="auto" w:fill="auto"/>
            <w:vAlign w:val="center"/>
          </w:tcPr>
          <w:p w14:paraId="541D2196" w14:textId="68875C08" w:rsidR="000F3E04" w:rsidRDefault="000F3E04" w:rsidP="000F3E04">
            <w:pPr>
              <w:jc w:val="center"/>
              <w:rPr>
                <w:rFonts w:ascii="Arial Narrow" w:hAnsi="Arial Narrow" w:cs="Arial"/>
                <w:sz w:val="16"/>
                <w:szCs w:val="16"/>
              </w:rPr>
            </w:pPr>
            <w:r>
              <w:rPr>
                <w:rFonts w:ascii="Arial Narrow" w:hAnsi="Arial Narrow" w:cs="Arial"/>
                <w:sz w:val="16"/>
                <w:szCs w:val="16"/>
              </w:rPr>
              <w:t>18 December</w:t>
            </w:r>
          </w:p>
        </w:tc>
        <w:tc>
          <w:tcPr>
            <w:tcW w:w="1134" w:type="dxa"/>
            <w:tcBorders>
              <w:top w:val="single" w:sz="18" w:space="0" w:color="BFBFBF" w:themeColor="background1" w:themeShade="BF"/>
              <w:left w:val="single" w:sz="18" w:space="0" w:color="C0C0C0"/>
              <w:right w:val="single" w:sz="18" w:space="0" w:color="C0C0C0"/>
            </w:tcBorders>
            <w:shd w:val="clear" w:color="auto" w:fill="D9D9D9"/>
            <w:vAlign w:val="center"/>
          </w:tcPr>
          <w:p w14:paraId="7C9E53CD" w14:textId="77777777" w:rsidR="000F3E04" w:rsidRPr="009416EA" w:rsidRDefault="000F3E04" w:rsidP="000F3E04">
            <w:pPr>
              <w:jc w:val="center"/>
              <w:rPr>
                <w:rFonts w:ascii="Arial Narrow" w:hAnsi="Arial Narrow" w:cs="Arial"/>
                <w:sz w:val="16"/>
                <w:szCs w:val="16"/>
                <w:highlight w:val="yellow"/>
              </w:rPr>
            </w:pPr>
          </w:p>
        </w:tc>
        <w:tc>
          <w:tcPr>
            <w:tcW w:w="1418" w:type="dxa"/>
            <w:tcBorders>
              <w:top w:val="single" w:sz="18" w:space="0" w:color="BFBFBF" w:themeColor="background1" w:themeShade="BF"/>
              <w:left w:val="single" w:sz="18" w:space="0" w:color="C0C0C0"/>
              <w:right w:val="single" w:sz="18" w:space="0" w:color="BFBFBF"/>
            </w:tcBorders>
            <w:shd w:val="clear" w:color="auto" w:fill="D9D9D9"/>
            <w:vAlign w:val="center"/>
          </w:tcPr>
          <w:p w14:paraId="6101D748" w14:textId="7CA0786B" w:rsidR="000F3E04" w:rsidRPr="009416EA" w:rsidRDefault="000F3E04" w:rsidP="000F3E04">
            <w:pPr>
              <w:jc w:val="center"/>
              <w:rPr>
                <w:rFonts w:ascii="Arial Narrow" w:hAnsi="Arial Narrow" w:cs="Arial"/>
                <w:b/>
                <w:bCs/>
                <w:sz w:val="16"/>
                <w:szCs w:val="16"/>
              </w:rPr>
            </w:pPr>
          </w:p>
        </w:tc>
        <w:tc>
          <w:tcPr>
            <w:tcW w:w="1417" w:type="dxa"/>
            <w:tcBorders>
              <w:top w:val="single" w:sz="18" w:space="0" w:color="C0C0C0"/>
              <w:left w:val="single" w:sz="18" w:space="0" w:color="BFBFBF"/>
              <w:right w:val="single" w:sz="18" w:space="0" w:color="C0C0C0"/>
            </w:tcBorders>
            <w:shd w:val="clear" w:color="auto" w:fill="D9D9D9"/>
            <w:vAlign w:val="center"/>
          </w:tcPr>
          <w:p w14:paraId="1EACD015" w14:textId="5C427572" w:rsidR="000F3E04" w:rsidRPr="009416EA" w:rsidRDefault="000F3E04" w:rsidP="000F3E04">
            <w:pPr>
              <w:jc w:val="center"/>
              <w:rPr>
                <w:rFonts w:ascii="Arial Narrow" w:hAnsi="Arial Narrow" w:cs="Arial"/>
                <w:b/>
                <w:bCs/>
                <w:sz w:val="16"/>
                <w:szCs w:val="16"/>
              </w:rPr>
            </w:pPr>
          </w:p>
        </w:tc>
        <w:tc>
          <w:tcPr>
            <w:tcW w:w="1276" w:type="dxa"/>
            <w:tcBorders>
              <w:top w:val="single" w:sz="18" w:space="0" w:color="C0C0C0"/>
              <w:left w:val="single" w:sz="18" w:space="0" w:color="C0C0C0"/>
              <w:right w:val="single" w:sz="18" w:space="0" w:color="C0C0C0"/>
            </w:tcBorders>
            <w:shd w:val="clear" w:color="auto" w:fill="D9D9D9"/>
            <w:vAlign w:val="center"/>
          </w:tcPr>
          <w:p w14:paraId="66B770D2" w14:textId="06DE48AE" w:rsidR="000F3E04" w:rsidRPr="009416EA" w:rsidRDefault="000F3E04" w:rsidP="000F3E04">
            <w:pPr>
              <w:jc w:val="center"/>
              <w:rPr>
                <w:rFonts w:ascii="Arial Narrow" w:hAnsi="Arial Narrow" w:cs="Arial"/>
                <w:sz w:val="16"/>
                <w:szCs w:val="16"/>
              </w:rPr>
            </w:pPr>
          </w:p>
        </w:tc>
        <w:tc>
          <w:tcPr>
            <w:tcW w:w="1276" w:type="dxa"/>
            <w:tcBorders>
              <w:top w:val="single" w:sz="18" w:space="0" w:color="BFBFBF" w:themeColor="background1" w:themeShade="BF"/>
              <w:left w:val="single" w:sz="18" w:space="0" w:color="C0C0C0"/>
              <w:right w:val="single" w:sz="18" w:space="0" w:color="auto"/>
            </w:tcBorders>
            <w:shd w:val="clear" w:color="auto" w:fill="D9D9D9"/>
            <w:vAlign w:val="center"/>
          </w:tcPr>
          <w:p w14:paraId="26701529" w14:textId="77777777" w:rsidR="000F3E04" w:rsidRPr="009416EA" w:rsidRDefault="000F3E04" w:rsidP="000F3E04">
            <w:pPr>
              <w:jc w:val="center"/>
              <w:rPr>
                <w:rFonts w:ascii="Arial Narrow" w:hAnsi="Arial Narrow" w:cs="Arial"/>
                <w:sz w:val="16"/>
                <w:szCs w:val="16"/>
                <w:highlight w:val="yellow"/>
              </w:rPr>
            </w:pPr>
          </w:p>
        </w:tc>
        <w:tc>
          <w:tcPr>
            <w:tcW w:w="3226" w:type="dxa"/>
            <w:tcBorders>
              <w:top w:val="single" w:sz="18" w:space="0" w:color="BFBFBF" w:themeColor="background1" w:themeShade="BF"/>
              <w:left w:val="single" w:sz="18" w:space="0" w:color="auto"/>
              <w:right w:val="single" w:sz="18" w:space="0" w:color="auto"/>
            </w:tcBorders>
            <w:shd w:val="clear" w:color="auto" w:fill="D9D9D9"/>
            <w:vAlign w:val="center"/>
          </w:tcPr>
          <w:p w14:paraId="34E89CD0" w14:textId="3DF94715" w:rsidR="000F3E04" w:rsidRPr="005908F8" w:rsidRDefault="000F3E04" w:rsidP="000F3E04">
            <w:pPr>
              <w:spacing w:line="240" w:lineRule="auto"/>
              <w:jc w:val="center"/>
              <w:rPr>
                <w:rFonts w:ascii="Arial Narrow" w:hAnsi="Arial Narrow"/>
                <w:sz w:val="16"/>
                <w:szCs w:val="16"/>
              </w:rPr>
            </w:pPr>
          </w:p>
        </w:tc>
      </w:tr>
      <w:tr w:rsidR="000F3E04" w:rsidRPr="00BC2C5D" w14:paraId="358400C0" w14:textId="77777777" w:rsidTr="00247AC2">
        <w:trPr>
          <w:trHeight w:val="567"/>
        </w:trPr>
        <w:tc>
          <w:tcPr>
            <w:tcW w:w="1111"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7F3CCD7D" w14:textId="704C235B" w:rsidR="000F3E04" w:rsidRDefault="000F3E04" w:rsidP="000F3E04">
            <w:pPr>
              <w:jc w:val="center"/>
              <w:rPr>
                <w:rFonts w:ascii="Arial Narrow" w:hAnsi="Arial Narrow" w:cs="Arial"/>
                <w:sz w:val="16"/>
                <w:szCs w:val="16"/>
              </w:rPr>
            </w:pPr>
            <w:r>
              <w:rPr>
                <w:rFonts w:ascii="Arial Narrow" w:hAnsi="Arial Narrow" w:cs="Arial"/>
                <w:sz w:val="16"/>
                <w:szCs w:val="16"/>
              </w:rPr>
              <w:t>25 December</w:t>
            </w:r>
          </w:p>
        </w:tc>
        <w:tc>
          <w:tcPr>
            <w:tcW w:w="1134"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5AA43F07" w14:textId="2F0F48F6" w:rsidR="000F3E04" w:rsidRPr="00247AC2" w:rsidRDefault="000F3E04" w:rsidP="000F3E04">
            <w:pPr>
              <w:jc w:val="center"/>
              <w:rPr>
                <w:rFonts w:ascii="Arial Narrow" w:hAnsi="Arial Narrow" w:cs="Arial"/>
                <w:sz w:val="15"/>
                <w:szCs w:val="15"/>
                <w:highlight w:val="yellow"/>
              </w:rPr>
            </w:pPr>
            <w:r w:rsidRPr="00247AC2">
              <w:rPr>
                <w:rFonts w:ascii="Arial Narrow" w:hAnsi="Arial Narrow" w:cs="Arial"/>
                <w:b/>
                <w:bCs/>
                <w:sz w:val="15"/>
                <w:szCs w:val="15"/>
              </w:rPr>
              <w:t>Public Holiday</w:t>
            </w:r>
          </w:p>
        </w:tc>
        <w:tc>
          <w:tcPr>
            <w:tcW w:w="1418" w:type="dxa"/>
            <w:tcBorders>
              <w:top w:val="single" w:sz="18" w:space="0" w:color="C0C0C0"/>
              <w:left w:val="single" w:sz="18" w:space="0" w:color="C0C0C0"/>
              <w:bottom w:val="single" w:sz="18" w:space="0" w:color="auto"/>
              <w:right w:val="single" w:sz="18" w:space="0" w:color="BFBFBF"/>
            </w:tcBorders>
            <w:shd w:val="clear" w:color="auto" w:fill="D9D9D9"/>
            <w:vAlign w:val="center"/>
          </w:tcPr>
          <w:p w14:paraId="6A12CAE1" w14:textId="786EC7FA" w:rsidR="000F3E04" w:rsidRPr="00247AC2" w:rsidRDefault="000F3E04" w:rsidP="000F3E04">
            <w:pPr>
              <w:jc w:val="center"/>
              <w:rPr>
                <w:rFonts w:ascii="Arial Narrow" w:hAnsi="Arial Narrow" w:cs="Arial"/>
                <w:color w:val="000000"/>
                <w:sz w:val="15"/>
                <w:szCs w:val="15"/>
              </w:rPr>
            </w:pPr>
            <w:r w:rsidRPr="00247AC2">
              <w:rPr>
                <w:rFonts w:ascii="Arial Narrow" w:hAnsi="Arial Narrow" w:cs="Arial"/>
                <w:b/>
                <w:bCs/>
                <w:sz w:val="15"/>
                <w:szCs w:val="15"/>
              </w:rPr>
              <w:t>Public Holiday</w:t>
            </w:r>
          </w:p>
        </w:tc>
        <w:tc>
          <w:tcPr>
            <w:tcW w:w="1417"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6DFE03AF" w14:textId="77777777" w:rsidR="000F3E04" w:rsidRPr="00247AC2" w:rsidRDefault="000F3E04" w:rsidP="000F3E04">
            <w:pPr>
              <w:jc w:val="center"/>
              <w:rPr>
                <w:rFonts w:ascii="Arial Narrow" w:hAnsi="Arial Narrow" w:cs="Arial"/>
                <w:color w:val="000000"/>
                <w:sz w:val="15"/>
                <w:szCs w:val="15"/>
              </w:rPr>
            </w:pPr>
          </w:p>
        </w:tc>
        <w:tc>
          <w:tcPr>
            <w:tcW w:w="1276"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4E04AA2" w14:textId="77777777" w:rsidR="000F3E04" w:rsidRPr="00247AC2" w:rsidRDefault="000F3E04" w:rsidP="000F3E04">
            <w:pPr>
              <w:jc w:val="center"/>
              <w:rPr>
                <w:rFonts w:ascii="Arial Narrow" w:hAnsi="Arial Narrow" w:cs="Arial"/>
                <w:sz w:val="15"/>
                <w:szCs w:val="15"/>
              </w:rPr>
            </w:pPr>
          </w:p>
        </w:tc>
        <w:tc>
          <w:tcPr>
            <w:tcW w:w="1276"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6B9BFEA4" w14:textId="5F89072E" w:rsidR="000F3E04" w:rsidRPr="00247AC2" w:rsidRDefault="000F3E04" w:rsidP="000F3E04">
            <w:pPr>
              <w:jc w:val="center"/>
              <w:rPr>
                <w:rFonts w:ascii="Arial Narrow" w:hAnsi="Arial Narrow" w:cs="Arial"/>
                <w:sz w:val="15"/>
                <w:szCs w:val="15"/>
                <w:highlight w:val="yellow"/>
              </w:rPr>
            </w:pPr>
          </w:p>
        </w:tc>
        <w:tc>
          <w:tcPr>
            <w:tcW w:w="3226"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5A84D8F4" w14:textId="404715A4" w:rsidR="000F3E04" w:rsidRPr="00247AC2" w:rsidRDefault="000F3E04" w:rsidP="00247AC2">
            <w:pPr>
              <w:jc w:val="center"/>
              <w:rPr>
                <w:rFonts w:ascii="Arial Narrow" w:hAnsi="Arial Narrow" w:cs="Arial"/>
                <w:b/>
                <w:bCs/>
                <w:sz w:val="16"/>
                <w:szCs w:val="16"/>
              </w:rPr>
            </w:pPr>
            <w:r w:rsidRPr="005908F8">
              <w:rPr>
                <w:rFonts w:ascii="Arial Narrow" w:hAnsi="Arial Narrow" w:cs="Arial"/>
                <w:b/>
                <w:bCs/>
                <w:sz w:val="16"/>
                <w:szCs w:val="16"/>
              </w:rPr>
              <w:t>Mon 25</w:t>
            </w:r>
            <w:r w:rsidRPr="005908F8">
              <w:rPr>
                <w:rFonts w:ascii="Arial Narrow" w:hAnsi="Arial Narrow" w:cs="Arial"/>
                <w:b/>
                <w:bCs/>
                <w:sz w:val="16"/>
                <w:szCs w:val="16"/>
                <w:vertAlign w:val="superscript"/>
              </w:rPr>
              <w:t>th</w:t>
            </w:r>
            <w:r w:rsidRPr="005908F8">
              <w:rPr>
                <w:rFonts w:ascii="Arial Narrow" w:hAnsi="Arial Narrow" w:cs="Arial"/>
                <w:b/>
                <w:bCs/>
                <w:sz w:val="16"/>
                <w:szCs w:val="16"/>
              </w:rPr>
              <w:t xml:space="preserve"> &amp; Tue 26</w:t>
            </w:r>
            <w:r w:rsidRPr="005908F8">
              <w:rPr>
                <w:rFonts w:ascii="Arial Narrow" w:hAnsi="Arial Narrow" w:cs="Arial"/>
                <w:b/>
                <w:bCs/>
                <w:sz w:val="16"/>
                <w:szCs w:val="16"/>
                <w:vertAlign w:val="superscript"/>
              </w:rPr>
              <w:t>th</w:t>
            </w:r>
            <w:r w:rsidRPr="005908F8">
              <w:rPr>
                <w:rFonts w:ascii="Arial Narrow" w:hAnsi="Arial Narrow" w:cs="Arial"/>
                <w:b/>
                <w:bCs/>
                <w:sz w:val="16"/>
                <w:szCs w:val="16"/>
              </w:rPr>
              <w:t xml:space="preserve"> Christmas Day and Boxing Day,</w:t>
            </w:r>
            <w:r w:rsidR="00247AC2">
              <w:rPr>
                <w:rFonts w:ascii="Arial Narrow" w:hAnsi="Arial Narrow" w:cs="Arial"/>
                <w:b/>
                <w:bCs/>
                <w:sz w:val="16"/>
                <w:szCs w:val="16"/>
              </w:rPr>
              <w:t xml:space="preserve"> </w:t>
            </w:r>
            <w:r w:rsidRPr="005908F8">
              <w:rPr>
                <w:rFonts w:ascii="Arial Narrow" w:hAnsi="Arial Narrow" w:cs="Arial"/>
                <w:sz w:val="16"/>
                <w:szCs w:val="16"/>
              </w:rPr>
              <w:t>27, 28, 29 Office closed for XMAS</w:t>
            </w:r>
          </w:p>
        </w:tc>
      </w:tr>
    </w:tbl>
    <w:p w14:paraId="0D98CD12" w14:textId="77777777"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tblGrid>
      <w:tr w:rsidR="00FA3323" w:rsidRPr="0036066B" w14:paraId="46D90E2A" w14:textId="77777777" w:rsidTr="00F10DE3">
        <w:tc>
          <w:tcPr>
            <w:tcW w:w="710"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2693" w:type="dxa"/>
            <w:shd w:val="clear" w:color="auto" w:fill="auto"/>
          </w:tcPr>
          <w:p w14:paraId="2A743319" w14:textId="73BCF515" w:rsidR="00FA3323" w:rsidRPr="00D20D53" w:rsidRDefault="00FA3323" w:rsidP="00A15FC1">
            <w:pPr>
              <w:rPr>
                <w:rFonts w:ascii="Arial Narrow" w:hAnsi="Arial Narrow"/>
                <w:sz w:val="18"/>
                <w:szCs w:val="18"/>
              </w:rPr>
            </w:pPr>
            <w:r w:rsidRPr="00D20D53">
              <w:rPr>
                <w:rFonts w:ascii="Arial" w:hAnsi="Arial" w:cs="Arial"/>
                <w:sz w:val="18"/>
                <w:szCs w:val="18"/>
              </w:rPr>
              <w:t>Office Days</w:t>
            </w:r>
            <w:r w:rsidR="006049DC">
              <w:rPr>
                <w:rFonts w:ascii="Arial" w:hAnsi="Arial" w:cs="Arial"/>
                <w:sz w:val="18"/>
                <w:szCs w:val="18"/>
              </w:rPr>
              <w:t>/School Holidays</w:t>
            </w:r>
          </w:p>
        </w:tc>
      </w:tr>
      <w:tr w:rsidR="00FA3323" w:rsidRPr="0036066B" w14:paraId="2B38FB28" w14:textId="77777777" w:rsidTr="00432753">
        <w:tc>
          <w:tcPr>
            <w:tcW w:w="710" w:type="dxa"/>
            <w:tcBorders>
              <w:bottom w:val="single" w:sz="4" w:space="0" w:color="auto"/>
            </w:tcBorders>
            <w:shd w:val="clear" w:color="auto" w:fill="auto"/>
          </w:tcPr>
          <w:p w14:paraId="1001310F" w14:textId="77777777" w:rsidR="00FA3323" w:rsidRPr="0036066B" w:rsidRDefault="00FA3323" w:rsidP="00A15FC1">
            <w:pPr>
              <w:rPr>
                <w:rFonts w:ascii="Arial Narrow" w:hAnsi="Arial Narrow"/>
              </w:rPr>
            </w:pPr>
          </w:p>
        </w:tc>
        <w:tc>
          <w:tcPr>
            <w:tcW w:w="2693" w:type="dxa"/>
            <w:shd w:val="clear" w:color="auto" w:fill="auto"/>
          </w:tcPr>
          <w:p w14:paraId="18C3D116" w14:textId="1BDC4B7F" w:rsidR="00FA3323" w:rsidRPr="00432753" w:rsidRDefault="00FA3323" w:rsidP="00A15FC1">
            <w:pPr>
              <w:rPr>
                <w:rFonts w:ascii="Arial Narrow" w:hAnsi="Arial Narrow"/>
                <w:b/>
                <w:bCs/>
                <w:sz w:val="18"/>
                <w:szCs w:val="18"/>
              </w:rPr>
            </w:pPr>
            <w:r w:rsidRPr="00432753">
              <w:rPr>
                <w:rFonts w:ascii="Arial" w:hAnsi="Arial" w:cs="Arial"/>
                <w:b/>
                <w:bCs/>
                <w:sz w:val="18"/>
                <w:szCs w:val="18"/>
              </w:rPr>
              <w:t>Public</w:t>
            </w:r>
            <w:r w:rsidR="00432753" w:rsidRPr="00432753">
              <w:rPr>
                <w:rFonts w:ascii="Arial" w:hAnsi="Arial" w:cs="Arial"/>
                <w:b/>
                <w:bCs/>
                <w:sz w:val="18"/>
                <w:szCs w:val="18"/>
              </w:rPr>
              <w:t>/Bank</w:t>
            </w:r>
            <w:r w:rsidRPr="00432753">
              <w:rPr>
                <w:rFonts w:ascii="Arial" w:hAnsi="Arial" w:cs="Arial"/>
                <w:b/>
                <w:bCs/>
                <w:sz w:val="18"/>
                <w:szCs w:val="18"/>
              </w:rPr>
              <w:t xml:space="preserve"> Holidays</w:t>
            </w:r>
          </w:p>
        </w:tc>
      </w:tr>
      <w:tr w:rsidR="00FA3323" w:rsidRPr="0036066B" w14:paraId="345D01B0" w14:textId="77777777" w:rsidTr="00F10DE3">
        <w:tc>
          <w:tcPr>
            <w:tcW w:w="710"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2693" w:type="dxa"/>
            <w:shd w:val="clear" w:color="auto" w:fill="auto"/>
          </w:tcPr>
          <w:p w14:paraId="7F8BE1A9" w14:textId="77777777" w:rsidR="00FA3323" w:rsidRPr="00D20D53" w:rsidRDefault="00FA3323" w:rsidP="00A15FC1">
            <w:pPr>
              <w:rPr>
                <w:rFonts w:ascii="Arial Narrow" w:hAnsi="Arial Narrow"/>
                <w:sz w:val="18"/>
                <w:szCs w:val="18"/>
              </w:rPr>
            </w:pPr>
            <w:r w:rsidRPr="00D20D53">
              <w:rPr>
                <w:rFonts w:ascii="Arial" w:hAnsi="Arial" w:cs="Arial"/>
                <w:sz w:val="18"/>
                <w:szCs w:val="18"/>
              </w:rPr>
              <w:t>Aurukun Sitting</w:t>
            </w:r>
          </w:p>
        </w:tc>
      </w:tr>
      <w:tr w:rsidR="00FA3323" w:rsidRPr="0036066B" w14:paraId="5ABEBE63" w14:textId="77777777" w:rsidTr="00F10DE3">
        <w:tc>
          <w:tcPr>
            <w:tcW w:w="710"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2693" w:type="dxa"/>
            <w:shd w:val="clear" w:color="auto" w:fill="auto"/>
          </w:tcPr>
          <w:p w14:paraId="4E9239C3" w14:textId="77777777" w:rsidR="00FA3323" w:rsidRPr="00D20D53" w:rsidRDefault="00FA3323" w:rsidP="00A15FC1">
            <w:pPr>
              <w:rPr>
                <w:rFonts w:ascii="Arial Narrow" w:hAnsi="Arial Narrow"/>
                <w:sz w:val="18"/>
                <w:szCs w:val="18"/>
              </w:rPr>
            </w:pPr>
            <w:r w:rsidRPr="00D20D53">
              <w:rPr>
                <w:rFonts w:ascii="Arial" w:hAnsi="Arial" w:cs="Arial"/>
                <w:sz w:val="18"/>
                <w:szCs w:val="18"/>
              </w:rPr>
              <w:t>Coen Sitting</w:t>
            </w:r>
          </w:p>
        </w:tc>
      </w:tr>
      <w:tr w:rsidR="00FA3323" w:rsidRPr="0036066B" w14:paraId="4B5A38DB" w14:textId="77777777" w:rsidTr="00F10DE3">
        <w:tc>
          <w:tcPr>
            <w:tcW w:w="710"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2693" w:type="dxa"/>
            <w:shd w:val="clear" w:color="auto" w:fill="auto"/>
          </w:tcPr>
          <w:p w14:paraId="65C1800C" w14:textId="77777777" w:rsidR="00FA3323" w:rsidRPr="00D20D53" w:rsidRDefault="00FA3323" w:rsidP="00A15FC1">
            <w:pPr>
              <w:rPr>
                <w:rFonts w:ascii="Arial" w:hAnsi="Arial" w:cs="Arial"/>
                <w:sz w:val="18"/>
                <w:szCs w:val="18"/>
              </w:rPr>
            </w:pPr>
            <w:r w:rsidRPr="00D20D53">
              <w:rPr>
                <w:rFonts w:ascii="Arial" w:hAnsi="Arial" w:cs="Arial"/>
                <w:sz w:val="18"/>
                <w:szCs w:val="18"/>
              </w:rPr>
              <w:t>Doomadgee Sitting</w:t>
            </w:r>
          </w:p>
        </w:tc>
      </w:tr>
      <w:tr w:rsidR="00FA3323" w:rsidRPr="0036066B" w14:paraId="520AD516" w14:textId="77777777" w:rsidTr="00F10DE3">
        <w:tc>
          <w:tcPr>
            <w:tcW w:w="710"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2693" w:type="dxa"/>
            <w:shd w:val="clear" w:color="auto" w:fill="auto"/>
          </w:tcPr>
          <w:p w14:paraId="4F5A30B1" w14:textId="77777777" w:rsidR="00FA3323" w:rsidRPr="00D20D53" w:rsidRDefault="00FA3323" w:rsidP="00A15FC1">
            <w:pPr>
              <w:rPr>
                <w:rFonts w:ascii="Arial Narrow" w:hAnsi="Arial Narrow"/>
                <w:sz w:val="18"/>
                <w:szCs w:val="18"/>
              </w:rPr>
            </w:pPr>
            <w:r w:rsidRPr="00D20D53">
              <w:rPr>
                <w:rFonts w:ascii="Arial" w:hAnsi="Arial" w:cs="Arial"/>
                <w:sz w:val="18"/>
                <w:szCs w:val="18"/>
              </w:rPr>
              <w:t>Hope Vale Sitting</w:t>
            </w:r>
          </w:p>
        </w:tc>
      </w:tr>
      <w:tr w:rsidR="00FA3323" w:rsidRPr="0036066B" w14:paraId="7A5819AF" w14:textId="77777777" w:rsidTr="00F10DE3">
        <w:tc>
          <w:tcPr>
            <w:tcW w:w="710"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2693" w:type="dxa"/>
            <w:shd w:val="clear" w:color="auto" w:fill="auto"/>
          </w:tcPr>
          <w:p w14:paraId="28FFD9ED" w14:textId="77777777" w:rsidR="00FA3323" w:rsidRPr="00D20D53" w:rsidRDefault="00FA3323" w:rsidP="00A15FC1">
            <w:pPr>
              <w:rPr>
                <w:rFonts w:ascii="Arial Narrow" w:hAnsi="Arial Narrow"/>
                <w:sz w:val="18"/>
                <w:szCs w:val="18"/>
              </w:rPr>
            </w:pPr>
            <w:r w:rsidRPr="00D20D53">
              <w:rPr>
                <w:rFonts w:ascii="Arial" w:hAnsi="Arial" w:cs="Arial"/>
                <w:sz w:val="18"/>
                <w:szCs w:val="18"/>
              </w:rPr>
              <w:t>Mossman Gorge Sitting</w:t>
            </w:r>
          </w:p>
        </w:tc>
      </w:tr>
    </w:tbl>
    <w:p w14:paraId="5A6BD35E" w14:textId="77777777" w:rsidR="004053AC" w:rsidRDefault="004053AC" w:rsidP="00967E77">
      <w:pPr>
        <w:rPr>
          <w:rFonts w:ascii="Arial Narrow" w:hAnsi="Arial Narrow"/>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08"/>
        <w:gridCol w:w="1261"/>
        <w:gridCol w:w="1535"/>
        <w:gridCol w:w="1275"/>
      </w:tblGrid>
      <w:tr w:rsidR="00967E77" w:rsidRPr="00D83311" w14:paraId="42BFAEF8" w14:textId="77777777" w:rsidTr="00F10DE3">
        <w:trPr>
          <w:trHeight w:val="284"/>
        </w:trPr>
        <w:tc>
          <w:tcPr>
            <w:tcW w:w="3686"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308"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1"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53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75"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583BA9" w:rsidRPr="00D83311" w14:paraId="7AC0CA1E" w14:textId="77777777" w:rsidTr="00F10DE3">
        <w:trPr>
          <w:trHeight w:val="284"/>
        </w:trPr>
        <w:tc>
          <w:tcPr>
            <w:tcW w:w="3686" w:type="dxa"/>
            <w:shd w:val="clear" w:color="auto" w:fill="auto"/>
            <w:vAlign w:val="center"/>
          </w:tcPr>
          <w:p w14:paraId="4EA8313E" w14:textId="6D8203D2" w:rsidR="00583BA9" w:rsidRPr="00583BA9" w:rsidRDefault="00583BA9" w:rsidP="00583BA9">
            <w:pPr>
              <w:rPr>
                <w:rFonts w:ascii="Arial" w:hAnsi="Arial" w:cs="Arial"/>
                <w:sz w:val="18"/>
                <w:szCs w:val="18"/>
              </w:rPr>
            </w:pPr>
            <w:r w:rsidRPr="00583BA9">
              <w:rPr>
                <w:rFonts w:ascii="Arial" w:hAnsi="Arial" w:cs="Arial"/>
                <w:sz w:val="18"/>
                <w:szCs w:val="18"/>
              </w:rPr>
              <w:t>Cairns – Commissioner</w:t>
            </w:r>
          </w:p>
        </w:tc>
        <w:tc>
          <w:tcPr>
            <w:tcW w:w="2308" w:type="dxa"/>
            <w:shd w:val="clear" w:color="auto" w:fill="auto"/>
            <w:vAlign w:val="center"/>
          </w:tcPr>
          <w:p w14:paraId="2575E680" w14:textId="4823695D" w:rsidR="00583BA9" w:rsidRPr="00583BA9" w:rsidRDefault="00583BA9" w:rsidP="00583BA9">
            <w:pPr>
              <w:rPr>
                <w:rFonts w:ascii="Arial" w:hAnsi="Arial" w:cs="Arial"/>
                <w:sz w:val="18"/>
                <w:szCs w:val="18"/>
              </w:rPr>
            </w:pPr>
            <w:r w:rsidRPr="00583BA9">
              <w:rPr>
                <w:rFonts w:ascii="Arial" w:hAnsi="Arial" w:cs="Arial"/>
                <w:sz w:val="18"/>
                <w:szCs w:val="18"/>
              </w:rPr>
              <w:t>Tammy Williams</w:t>
            </w:r>
          </w:p>
        </w:tc>
        <w:tc>
          <w:tcPr>
            <w:tcW w:w="1261" w:type="dxa"/>
            <w:shd w:val="clear" w:color="auto" w:fill="auto"/>
            <w:vAlign w:val="center"/>
          </w:tcPr>
          <w:p w14:paraId="37188136" w14:textId="1018FE7E" w:rsidR="00583BA9" w:rsidRPr="00583BA9" w:rsidRDefault="00583BA9" w:rsidP="00583BA9">
            <w:pPr>
              <w:jc w:val="center"/>
              <w:rPr>
                <w:rFonts w:ascii="Arial" w:hAnsi="Arial" w:cs="Arial"/>
                <w:sz w:val="18"/>
                <w:szCs w:val="18"/>
              </w:rPr>
            </w:pPr>
            <w:r w:rsidRPr="00583BA9">
              <w:rPr>
                <w:rFonts w:ascii="Arial" w:hAnsi="Arial" w:cs="Arial"/>
                <w:sz w:val="18"/>
                <w:szCs w:val="18"/>
              </w:rPr>
              <w:t>4081 8413</w:t>
            </w:r>
          </w:p>
        </w:tc>
        <w:tc>
          <w:tcPr>
            <w:tcW w:w="1535" w:type="dxa"/>
            <w:shd w:val="clear" w:color="auto" w:fill="auto"/>
            <w:vAlign w:val="center"/>
          </w:tcPr>
          <w:p w14:paraId="4221BDBF" w14:textId="42A16C15" w:rsidR="00583BA9" w:rsidRPr="00583BA9" w:rsidRDefault="00583BA9" w:rsidP="00583BA9">
            <w:pPr>
              <w:jc w:val="center"/>
              <w:rPr>
                <w:rFonts w:ascii="Arial" w:hAnsi="Arial" w:cs="Arial"/>
                <w:sz w:val="18"/>
                <w:szCs w:val="18"/>
              </w:rPr>
            </w:pPr>
            <w:r w:rsidRPr="00583BA9">
              <w:rPr>
                <w:rFonts w:ascii="Arial" w:hAnsi="Arial" w:cs="Arial"/>
                <w:sz w:val="18"/>
                <w:szCs w:val="18"/>
              </w:rPr>
              <w:t>0447 739 137</w:t>
            </w:r>
          </w:p>
        </w:tc>
        <w:tc>
          <w:tcPr>
            <w:tcW w:w="1275" w:type="dxa"/>
            <w:shd w:val="clear" w:color="auto" w:fill="auto"/>
            <w:vAlign w:val="center"/>
          </w:tcPr>
          <w:p w14:paraId="23792D04" w14:textId="5ECCB89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61495AE" w14:textId="77777777" w:rsidTr="00F10DE3">
        <w:trPr>
          <w:trHeight w:val="284"/>
        </w:trPr>
        <w:tc>
          <w:tcPr>
            <w:tcW w:w="3686" w:type="dxa"/>
            <w:shd w:val="clear" w:color="auto" w:fill="auto"/>
            <w:vAlign w:val="center"/>
          </w:tcPr>
          <w:p w14:paraId="162B3C56" w14:textId="12EF888B" w:rsidR="00583BA9" w:rsidRPr="00583BA9" w:rsidRDefault="00583BA9" w:rsidP="00583BA9">
            <w:pPr>
              <w:rPr>
                <w:rFonts w:ascii="Arial" w:hAnsi="Arial" w:cs="Arial"/>
                <w:sz w:val="18"/>
                <w:szCs w:val="18"/>
              </w:rPr>
            </w:pPr>
            <w:r w:rsidRPr="00583BA9">
              <w:rPr>
                <w:rFonts w:ascii="Arial" w:hAnsi="Arial" w:cs="Arial"/>
                <w:sz w:val="18"/>
                <w:szCs w:val="18"/>
              </w:rPr>
              <w:t>Cairns – Deputy Commissioner</w:t>
            </w:r>
          </w:p>
        </w:tc>
        <w:tc>
          <w:tcPr>
            <w:tcW w:w="2308" w:type="dxa"/>
            <w:shd w:val="clear" w:color="auto" w:fill="auto"/>
            <w:vAlign w:val="center"/>
          </w:tcPr>
          <w:p w14:paraId="13B665B8" w14:textId="1C62C676" w:rsidR="00583BA9" w:rsidRPr="00583BA9" w:rsidRDefault="00583BA9" w:rsidP="00583BA9">
            <w:pPr>
              <w:rPr>
                <w:rFonts w:ascii="Arial" w:hAnsi="Arial" w:cs="Arial"/>
                <w:sz w:val="18"/>
                <w:szCs w:val="18"/>
              </w:rPr>
            </w:pPr>
            <w:r w:rsidRPr="00583BA9">
              <w:rPr>
                <w:rFonts w:ascii="Arial" w:hAnsi="Arial" w:cs="Arial"/>
                <w:sz w:val="18"/>
                <w:szCs w:val="18"/>
              </w:rPr>
              <w:t>Rod Curtin</w:t>
            </w:r>
          </w:p>
        </w:tc>
        <w:tc>
          <w:tcPr>
            <w:tcW w:w="1261" w:type="dxa"/>
            <w:shd w:val="clear" w:color="auto" w:fill="auto"/>
            <w:vAlign w:val="center"/>
          </w:tcPr>
          <w:p w14:paraId="5768F957" w14:textId="699E784A" w:rsidR="00583BA9" w:rsidRPr="00583BA9" w:rsidRDefault="00583BA9" w:rsidP="00583BA9">
            <w:pPr>
              <w:jc w:val="center"/>
              <w:rPr>
                <w:rFonts w:ascii="Arial" w:hAnsi="Arial" w:cs="Arial"/>
                <w:sz w:val="18"/>
                <w:szCs w:val="18"/>
              </w:rPr>
            </w:pPr>
            <w:r w:rsidRPr="00583BA9">
              <w:rPr>
                <w:rFonts w:ascii="Arial" w:hAnsi="Arial" w:cs="Arial"/>
                <w:sz w:val="18"/>
                <w:szCs w:val="18"/>
              </w:rPr>
              <w:t>4081 8400</w:t>
            </w:r>
          </w:p>
        </w:tc>
        <w:tc>
          <w:tcPr>
            <w:tcW w:w="1535" w:type="dxa"/>
            <w:shd w:val="clear" w:color="auto" w:fill="auto"/>
            <w:vAlign w:val="center"/>
          </w:tcPr>
          <w:p w14:paraId="713272F7" w14:textId="79DCF50F" w:rsidR="00583BA9" w:rsidRPr="00583BA9" w:rsidRDefault="00583BA9" w:rsidP="00583BA9">
            <w:pPr>
              <w:jc w:val="center"/>
              <w:rPr>
                <w:rFonts w:ascii="Arial" w:hAnsi="Arial" w:cs="Arial"/>
                <w:sz w:val="18"/>
                <w:szCs w:val="18"/>
              </w:rPr>
            </w:pPr>
            <w:r w:rsidRPr="00583BA9">
              <w:rPr>
                <w:rFonts w:ascii="Arial" w:hAnsi="Arial" w:cs="Arial"/>
                <w:sz w:val="18"/>
                <w:szCs w:val="18"/>
              </w:rPr>
              <w:t>0419 647 948</w:t>
            </w:r>
          </w:p>
        </w:tc>
        <w:tc>
          <w:tcPr>
            <w:tcW w:w="1275" w:type="dxa"/>
            <w:shd w:val="clear" w:color="auto" w:fill="auto"/>
            <w:vAlign w:val="center"/>
          </w:tcPr>
          <w:p w14:paraId="3771714E" w14:textId="4B56303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4AE1FE76" w14:textId="77777777" w:rsidTr="00F10DE3">
        <w:trPr>
          <w:trHeight w:val="284"/>
        </w:trPr>
        <w:tc>
          <w:tcPr>
            <w:tcW w:w="3686" w:type="dxa"/>
            <w:shd w:val="clear" w:color="auto" w:fill="auto"/>
            <w:vAlign w:val="center"/>
          </w:tcPr>
          <w:p w14:paraId="5116CEAB" w14:textId="1C557DBF" w:rsidR="00583BA9" w:rsidRPr="00583BA9" w:rsidRDefault="00583BA9" w:rsidP="00583BA9">
            <w:pPr>
              <w:rPr>
                <w:rFonts w:ascii="Arial" w:hAnsi="Arial" w:cs="Arial"/>
                <w:sz w:val="18"/>
                <w:szCs w:val="18"/>
              </w:rPr>
            </w:pPr>
            <w:r w:rsidRPr="00583BA9">
              <w:rPr>
                <w:rFonts w:ascii="Arial" w:hAnsi="Arial" w:cs="Arial"/>
                <w:sz w:val="18"/>
                <w:szCs w:val="18"/>
              </w:rPr>
              <w:t>Cairns –</w:t>
            </w:r>
            <w:r w:rsidR="002D7B26">
              <w:rPr>
                <w:rFonts w:ascii="Arial" w:hAnsi="Arial" w:cs="Arial"/>
                <w:sz w:val="18"/>
                <w:szCs w:val="18"/>
              </w:rPr>
              <w:t xml:space="preserve"> Acting</w:t>
            </w:r>
            <w:r w:rsidRPr="00583BA9">
              <w:rPr>
                <w:rFonts w:ascii="Arial" w:hAnsi="Arial" w:cs="Arial"/>
                <w:sz w:val="18"/>
                <w:szCs w:val="18"/>
              </w:rPr>
              <w:t xml:space="preserve"> Registrar</w:t>
            </w:r>
          </w:p>
        </w:tc>
        <w:tc>
          <w:tcPr>
            <w:tcW w:w="2308" w:type="dxa"/>
            <w:shd w:val="clear" w:color="auto" w:fill="auto"/>
            <w:vAlign w:val="center"/>
          </w:tcPr>
          <w:p w14:paraId="73035401" w14:textId="7A2D2B56" w:rsidR="00583BA9" w:rsidRPr="00583BA9" w:rsidRDefault="002D7B26" w:rsidP="00583BA9">
            <w:pPr>
              <w:rPr>
                <w:rFonts w:ascii="Arial" w:hAnsi="Arial" w:cs="Arial"/>
                <w:sz w:val="18"/>
                <w:szCs w:val="18"/>
              </w:rPr>
            </w:pPr>
            <w:r>
              <w:rPr>
                <w:rFonts w:ascii="Arial" w:hAnsi="Arial" w:cs="Arial"/>
                <w:sz w:val="18"/>
                <w:szCs w:val="18"/>
              </w:rPr>
              <w:t>Helen Weedon</w:t>
            </w:r>
          </w:p>
        </w:tc>
        <w:tc>
          <w:tcPr>
            <w:tcW w:w="1261" w:type="dxa"/>
            <w:shd w:val="clear" w:color="auto" w:fill="auto"/>
            <w:vAlign w:val="center"/>
          </w:tcPr>
          <w:p w14:paraId="61BA9B0E" w14:textId="20D37A90" w:rsidR="00583BA9" w:rsidRPr="00583BA9" w:rsidRDefault="00583BA9" w:rsidP="00583BA9">
            <w:pPr>
              <w:jc w:val="center"/>
              <w:rPr>
                <w:rFonts w:ascii="Arial" w:hAnsi="Arial" w:cs="Arial"/>
                <w:sz w:val="18"/>
                <w:szCs w:val="18"/>
              </w:rPr>
            </w:pPr>
            <w:r w:rsidRPr="00583BA9">
              <w:rPr>
                <w:rFonts w:ascii="Arial" w:hAnsi="Arial" w:cs="Arial"/>
                <w:sz w:val="18"/>
                <w:szCs w:val="18"/>
              </w:rPr>
              <w:t>4081 8412</w:t>
            </w:r>
          </w:p>
        </w:tc>
        <w:tc>
          <w:tcPr>
            <w:tcW w:w="1535" w:type="dxa"/>
            <w:shd w:val="clear" w:color="auto" w:fill="auto"/>
            <w:vAlign w:val="center"/>
          </w:tcPr>
          <w:p w14:paraId="4EDB491E" w14:textId="79E6D052" w:rsidR="00583BA9" w:rsidRPr="00583BA9" w:rsidRDefault="00583BA9" w:rsidP="00583BA9">
            <w:pPr>
              <w:jc w:val="center"/>
              <w:rPr>
                <w:rFonts w:ascii="Arial" w:hAnsi="Arial" w:cs="Arial"/>
                <w:sz w:val="18"/>
                <w:szCs w:val="18"/>
              </w:rPr>
            </w:pPr>
            <w:r w:rsidRPr="00583BA9">
              <w:rPr>
                <w:rFonts w:ascii="Arial" w:hAnsi="Arial" w:cs="Arial"/>
                <w:sz w:val="18"/>
                <w:szCs w:val="18"/>
              </w:rPr>
              <w:t>0409 461 624</w:t>
            </w:r>
          </w:p>
        </w:tc>
        <w:tc>
          <w:tcPr>
            <w:tcW w:w="1275" w:type="dxa"/>
            <w:shd w:val="clear" w:color="auto" w:fill="auto"/>
            <w:vAlign w:val="center"/>
          </w:tcPr>
          <w:p w14:paraId="4D90E65B" w14:textId="7F5595CC"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D3BBDC6" w14:textId="77777777" w:rsidTr="00F10DE3">
        <w:trPr>
          <w:trHeight w:val="284"/>
        </w:trPr>
        <w:tc>
          <w:tcPr>
            <w:tcW w:w="3686" w:type="dxa"/>
            <w:shd w:val="clear" w:color="auto" w:fill="auto"/>
            <w:vAlign w:val="center"/>
          </w:tcPr>
          <w:p w14:paraId="05C1E82E" w14:textId="61792B9F" w:rsidR="00583BA9" w:rsidRPr="00583BA9" w:rsidRDefault="00583BA9" w:rsidP="00583BA9">
            <w:pPr>
              <w:rPr>
                <w:rFonts w:ascii="Arial" w:hAnsi="Arial" w:cs="Arial"/>
                <w:sz w:val="18"/>
                <w:szCs w:val="18"/>
              </w:rPr>
            </w:pPr>
            <w:r w:rsidRPr="00583BA9">
              <w:rPr>
                <w:rFonts w:ascii="Arial" w:hAnsi="Arial" w:cs="Arial"/>
                <w:sz w:val="18"/>
                <w:szCs w:val="18"/>
              </w:rPr>
              <w:t>Cairns –</w:t>
            </w:r>
            <w:r w:rsidR="002D7B26">
              <w:rPr>
                <w:rFonts w:ascii="Arial" w:hAnsi="Arial" w:cs="Arial"/>
                <w:sz w:val="18"/>
                <w:szCs w:val="18"/>
              </w:rPr>
              <w:t xml:space="preserve"> Acting</w:t>
            </w:r>
            <w:r w:rsidRPr="00583BA9">
              <w:rPr>
                <w:rFonts w:ascii="Arial" w:hAnsi="Arial" w:cs="Arial"/>
                <w:sz w:val="18"/>
                <w:szCs w:val="18"/>
              </w:rPr>
              <w:t xml:space="preserve"> Executive Officer (Finance)</w:t>
            </w:r>
          </w:p>
        </w:tc>
        <w:tc>
          <w:tcPr>
            <w:tcW w:w="2308" w:type="dxa"/>
            <w:shd w:val="clear" w:color="auto" w:fill="auto"/>
            <w:vAlign w:val="center"/>
          </w:tcPr>
          <w:p w14:paraId="7AF4D22C" w14:textId="2253871C" w:rsidR="00583BA9" w:rsidRPr="00583BA9" w:rsidRDefault="002D7B26" w:rsidP="00583BA9">
            <w:pPr>
              <w:rPr>
                <w:rFonts w:ascii="Arial" w:hAnsi="Arial" w:cs="Arial"/>
                <w:sz w:val="18"/>
                <w:szCs w:val="18"/>
              </w:rPr>
            </w:pPr>
            <w:r>
              <w:rPr>
                <w:rFonts w:ascii="Arial" w:hAnsi="Arial" w:cs="Arial"/>
                <w:sz w:val="18"/>
                <w:szCs w:val="18"/>
              </w:rPr>
              <w:t>Wayne Massey</w:t>
            </w:r>
          </w:p>
        </w:tc>
        <w:tc>
          <w:tcPr>
            <w:tcW w:w="1261" w:type="dxa"/>
            <w:shd w:val="clear" w:color="auto" w:fill="auto"/>
            <w:vAlign w:val="center"/>
          </w:tcPr>
          <w:p w14:paraId="1D2FDB4C" w14:textId="7A036DB2" w:rsidR="00583BA9" w:rsidRPr="00583BA9" w:rsidRDefault="00583BA9" w:rsidP="00583BA9">
            <w:pPr>
              <w:jc w:val="center"/>
              <w:rPr>
                <w:rFonts w:ascii="Arial" w:hAnsi="Arial" w:cs="Arial"/>
                <w:sz w:val="18"/>
                <w:szCs w:val="18"/>
              </w:rPr>
            </w:pPr>
            <w:r w:rsidRPr="00583BA9">
              <w:rPr>
                <w:rFonts w:ascii="Arial" w:hAnsi="Arial" w:cs="Arial"/>
                <w:sz w:val="18"/>
                <w:szCs w:val="18"/>
              </w:rPr>
              <w:t>4081 8411</w:t>
            </w:r>
          </w:p>
        </w:tc>
        <w:tc>
          <w:tcPr>
            <w:tcW w:w="1535" w:type="dxa"/>
            <w:shd w:val="clear" w:color="auto" w:fill="auto"/>
            <w:vAlign w:val="center"/>
          </w:tcPr>
          <w:p w14:paraId="4FFCA915" w14:textId="00F06281" w:rsidR="00583BA9" w:rsidRPr="00583BA9" w:rsidRDefault="00583BA9" w:rsidP="00583BA9">
            <w:pPr>
              <w:jc w:val="center"/>
              <w:rPr>
                <w:rFonts w:ascii="Arial" w:hAnsi="Arial" w:cs="Arial"/>
                <w:sz w:val="18"/>
                <w:szCs w:val="18"/>
              </w:rPr>
            </w:pPr>
            <w:r w:rsidRPr="00583BA9">
              <w:rPr>
                <w:rFonts w:ascii="Arial" w:hAnsi="Arial" w:cs="Arial"/>
                <w:sz w:val="18"/>
                <w:szCs w:val="18"/>
              </w:rPr>
              <w:t>0429 495 353</w:t>
            </w:r>
          </w:p>
        </w:tc>
        <w:tc>
          <w:tcPr>
            <w:tcW w:w="1275" w:type="dxa"/>
            <w:shd w:val="clear" w:color="auto" w:fill="auto"/>
            <w:vAlign w:val="center"/>
          </w:tcPr>
          <w:p w14:paraId="2AEF667E" w14:textId="08E44237"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0EC7D371" w14:textId="77777777" w:rsidTr="00F10DE3">
        <w:trPr>
          <w:trHeight w:val="284"/>
        </w:trPr>
        <w:tc>
          <w:tcPr>
            <w:tcW w:w="3686" w:type="dxa"/>
            <w:shd w:val="clear" w:color="auto" w:fill="auto"/>
            <w:vAlign w:val="center"/>
          </w:tcPr>
          <w:p w14:paraId="1BF012FA" w14:textId="34C1C735" w:rsidR="00583BA9" w:rsidRPr="00583BA9" w:rsidRDefault="00583BA9" w:rsidP="00583BA9">
            <w:pPr>
              <w:rPr>
                <w:rFonts w:ascii="Arial" w:hAnsi="Arial" w:cs="Arial"/>
                <w:sz w:val="18"/>
                <w:szCs w:val="18"/>
              </w:rPr>
            </w:pPr>
            <w:r w:rsidRPr="00583BA9">
              <w:rPr>
                <w:rFonts w:ascii="Arial" w:hAnsi="Arial" w:cs="Arial"/>
                <w:sz w:val="18"/>
                <w:szCs w:val="18"/>
              </w:rPr>
              <w:t>Cairns –</w:t>
            </w:r>
            <w:r w:rsidR="00C97DD8">
              <w:rPr>
                <w:rFonts w:ascii="Arial" w:hAnsi="Arial" w:cs="Arial"/>
                <w:sz w:val="18"/>
                <w:szCs w:val="18"/>
              </w:rPr>
              <w:t xml:space="preserve"> </w:t>
            </w:r>
            <w:r w:rsidRPr="00583BA9">
              <w:rPr>
                <w:rFonts w:ascii="Arial" w:hAnsi="Arial" w:cs="Arial"/>
                <w:sz w:val="18"/>
                <w:szCs w:val="18"/>
              </w:rPr>
              <w:t>Manager</w:t>
            </w:r>
            <w:r w:rsidR="00C97DD8">
              <w:rPr>
                <w:rFonts w:ascii="Arial" w:hAnsi="Arial" w:cs="Arial"/>
                <w:sz w:val="18"/>
                <w:szCs w:val="18"/>
              </w:rPr>
              <w:t xml:space="preserve"> (Compliance and Policy)</w:t>
            </w:r>
            <w:r w:rsidRPr="00583BA9">
              <w:rPr>
                <w:rFonts w:ascii="Arial" w:hAnsi="Arial" w:cs="Arial"/>
                <w:sz w:val="18"/>
                <w:szCs w:val="18"/>
              </w:rPr>
              <w:t xml:space="preserve"> (Tue, Wed, Thu morning)</w:t>
            </w:r>
          </w:p>
        </w:tc>
        <w:tc>
          <w:tcPr>
            <w:tcW w:w="2308" w:type="dxa"/>
            <w:shd w:val="clear" w:color="auto" w:fill="auto"/>
            <w:vAlign w:val="center"/>
          </w:tcPr>
          <w:p w14:paraId="6414AEC0" w14:textId="05ADA819" w:rsidR="00583BA9" w:rsidRPr="00583BA9" w:rsidRDefault="00583BA9" w:rsidP="00583BA9">
            <w:pPr>
              <w:rPr>
                <w:rFonts w:ascii="Arial" w:hAnsi="Arial" w:cs="Arial"/>
                <w:sz w:val="18"/>
                <w:szCs w:val="18"/>
              </w:rPr>
            </w:pPr>
            <w:r w:rsidRPr="00583BA9">
              <w:rPr>
                <w:rFonts w:ascii="Arial" w:hAnsi="Arial" w:cs="Arial"/>
                <w:sz w:val="18"/>
                <w:szCs w:val="18"/>
              </w:rPr>
              <w:t>Camille Banks</w:t>
            </w:r>
          </w:p>
        </w:tc>
        <w:tc>
          <w:tcPr>
            <w:tcW w:w="1261" w:type="dxa"/>
            <w:shd w:val="clear" w:color="auto" w:fill="auto"/>
            <w:vAlign w:val="center"/>
          </w:tcPr>
          <w:p w14:paraId="0880E2DB" w14:textId="7A46C59D" w:rsidR="00583BA9" w:rsidRPr="00583BA9" w:rsidRDefault="00583BA9" w:rsidP="00583BA9">
            <w:pPr>
              <w:jc w:val="center"/>
              <w:rPr>
                <w:rFonts w:ascii="Arial" w:hAnsi="Arial" w:cs="Arial"/>
                <w:sz w:val="18"/>
                <w:szCs w:val="18"/>
              </w:rPr>
            </w:pPr>
            <w:r w:rsidRPr="00583BA9">
              <w:rPr>
                <w:rFonts w:ascii="Arial" w:hAnsi="Arial" w:cs="Arial"/>
                <w:sz w:val="18"/>
                <w:szCs w:val="18"/>
              </w:rPr>
              <w:t>4081 840</w:t>
            </w:r>
            <w:r w:rsidR="00C97DD8">
              <w:rPr>
                <w:rFonts w:ascii="Arial" w:hAnsi="Arial" w:cs="Arial"/>
                <w:sz w:val="18"/>
                <w:szCs w:val="18"/>
              </w:rPr>
              <w:t>7</w:t>
            </w:r>
          </w:p>
        </w:tc>
        <w:tc>
          <w:tcPr>
            <w:tcW w:w="1535" w:type="dxa"/>
            <w:shd w:val="clear" w:color="auto" w:fill="auto"/>
            <w:vAlign w:val="center"/>
          </w:tcPr>
          <w:p w14:paraId="538B9CA3" w14:textId="1A87C419" w:rsidR="00583BA9" w:rsidRPr="00583BA9" w:rsidRDefault="00C97DD8" w:rsidP="00583BA9">
            <w:pPr>
              <w:jc w:val="center"/>
              <w:rPr>
                <w:rFonts w:ascii="Arial" w:hAnsi="Arial" w:cs="Arial"/>
                <w:sz w:val="18"/>
                <w:szCs w:val="18"/>
              </w:rPr>
            </w:pPr>
            <w:r>
              <w:rPr>
                <w:rFonts w:ascii="Arial" w:hAnsi="Arial" w:cs="Arial"/>
                <w:sz w:val="18"/>
                <w:szCs w:val="18"/>
              </w:rPr>
              <w:t>0400 355 040</w:t>
            </w:r>
          </w:p>
        </w:tc>
        <w:tc>
          <w:tcPr>
            <w:tcW w:w="1275" w:type="dxa"/>
            <w:shd w:val="clear" w:color="auto" w:fill="auto"/>
            <w:vAlign w:val="center"/>
          </w:tcPr>
          <w:p w14:paraId="2E04F215" w14:textId="65551FEA"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C97DD8" w:rsidRPr="00D83311" w14:paraId="67E1EEF8" w14:textId="77777777" w:rsidTr="008F23DF">
        <w:trPr>
          <w:trHeight w:val="284"/>
        </w:trPr>
        <w:tc>
          <w:tcPr>
            <w:tcW w:w="3686" w:type="dxa"/>
            <w:shd w:val="clear" w:color="auto" w:fill="auto"/>
            <w:vAlign w:val="center"/>
          </w:tcPr>
          <w:p w14:paraId="5BC56E81" w14:textId="77777777" w:rsidR="00C97DD8" w:rsidRPr="00583BA9" w:rsidRDefault="00C97DD8" w:rsidP="008F23DF">
            <w:pPr>
              <w:rPr>
                <w:rFonts w:ascii="Arial" w:hAnsi="Arial" w:cs="Arial"/>
                <w:sz w:val="18"/>
                <w:szCs w:val="18"/>
              </w:rPr>
            </w:pPr>
            <w:r w:rsidRPr="00583BA9">
              <w:rPr>
                <w:rFonts w:ascii="Arial" w:hAnsi="Arial" w:cs="Arial"/>
                <w:sz w:val="18"/>
                <w:szCs w:val="18"/>
              </w:rPr>
              <w:t>Cairns – Manager (Case Management and Monitoring)</w:t>
            </w:r>
          </w:p>
        </w:tc>
        <w:tc>
          <w:tcPr>
            <w:tcW w:w="2308" w:type="dxa"/>
            <w:shd w:val="clear" w:color="auto" w:fill="auto"/>
            <w:vAlign w:val="center"/>
          </w:tcPr>
          <w:p w14:paraId="402D2BAC" w14:textId="77777777" w:rsidR="00C97DD8" w:rsidRPr="00583BA9" w:rsidRDefault="00C97DD8" w:rsidP="008F23DF">
            <w:pPr>
              <w:rPr>
                <w:rFonts w:ascii="Arial" w:hAnsi="Arial" w:cs="Arial"/>
                <w:sz w:val="18"/>
                <w:szCs w:val="18"/>
              </w:rPr>
            </w:pPr>
            <w:r w:rsidRPr="00583BA9">
              <w:rPr>
                <w:rFonts w:ascii="Arial" w:hAnsi="Arial" w:cs="Arial"/>
                <w:sz w:val="18"/>
                <w:szCs w:val="18"/>
              </w:rPr>
              <w:t>Anne Crampton</w:t>
            </w:r>
          </w:p>
        </w:tc>
        <w:tc>
          <w:tcPr>
            <w:tcW w:w="1261" w:type="dxa"/>
            <w:shd w:val="clear" w:color="auto" w:fill="auto"/>
            <w:vAlign w:val="center"/>
          </w:tcPr>
          <w:p w14:paraId="1FF133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4081 8414</w:t>
            </w:r>
          </w:p>
        </w:tc>
        <w:tc>
          <w:tcPr>
            <w:tcW w:w="1535" w:type="dxa"/>
            <w:shd w:val="clear" w:color="auto" w:fill="auto"/>
            <w:vAlign w:val="center"/>
          </w:tcPr>
          <w:p w14:paraId="033FBA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0458 041 191</w:t>
            </w:r>
          </w:p>
        </w:tc>
        <w:tc>
          <w:tcPr>
            <w:tcW w:w="1275" w:type="dxa"/>
            <w:shd w:val="clear" w:color="auto" w:fill="auto"/>
            <w:vAlign w:val="center"/>
          </w:tcPr>
          <w:p w14:paraId="3ED0B5F9"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5C928332" w14:textId="77777777" w:rsidTr="008F23DF">
        <w:trPr>
          <w:trHeight w:val="284"/>
        </w:trPr>
        <w:tc>
          <w:tcPr>
            <w:tcW w:w="3686" w:type="dxa"/>
            <w:shd w:val="clear" w:color="auto" w:fill="auto"/>
            <w:vAlign w:val="center"/>
          </w:tcPr>
          <w:p w14:paraId="04E23097" w14:textId="77777777" w:rsidR="00C97DD8" w:rsidRPr="00583BA9" w:rsidRDefault="00C97DD8" w:rsidP="008F23DF">
            <w:pPr>
              <w:rPr>
                <w:rFonts w:ascii="Arial" w:hAnsi="Arial" w:cs="Arial"/>
                <w:sz w:val="18"/>
                <w:szCs w:val="18"/>
              </w:rPr>
            </w:pPr>
            <w:r w:rsidRPr="00583BA9">
              <w:rPr>
                <w:rFonts w:ascii="Arial" w:hAnsi="Arial" w:cs="Arial"/>
                <w:sz w:val="18"/>
                <w:szCs w:val="18"/>
              </w:rPr>
              <w:t>Cairns – Senior Advisor (Statistics and Research)</w:t>
            </w:r>
          </w:p>
        </w:tc>
        <w:tc>
          <w:tcPr>
            <w:tcW w:w="2308" w:type="dxa"/>
            <w:shd w:val="clear" w:color="auto" w:fill="auto"/>
            <w:vAlign w:val="center"/>
          </w:tcPr>
          <w:p w14:paraId="746ED304" w14:textId="77777777" w:rsidR="00C97DD8" w:rsidRPr="00583BA9" w:rsidRDefault="00C97DD8" w:rsidP="008F23DF">
            <w:pPr>
              <w:rPr>
                <w:rFonts w:ascii="Arial" w:hAnsi="Arial" w:cs="Arial"/>
                <w:sz w:val="18"/>
                <w:szCs w:val="18"/>
              </w:rPr>
            </w:pPr>
            <w:r w:rsidRPr="00583BA9">
              <w:rPr>
                <w:rFonts w:ascii="Arial" w:hAnsi="Arial" w:cs="Arial"/>
                <w:sz w:val="18"/>
                <w:szCs w:val="18"/>
              </w:rPr>
              <w:t>Michelle Synott</w:t>
            </w:r>
          </w:p>
        </w:tc>
        <w:tc>
          <w:tcPr>
            <w:tcW w:w="1261" w:type="dxa"/>
            <w:shd w:val="clear" w:color="auto" w:fill="auto"/>
            <w:vAlign w:val="center"/>
          </w:tcPr>
          <w:p w14:paraId="5AA22934"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4081 8404</w:t>
            </w:r>
          </w:p>
        </w:tc>
        <w:tc>
          <w:tcPr>
            <w:tcW w:w="1535" w:type="dxa"/>
            <w:shd w:val="clear" w:color="auto" w:fill="auto"/>
            <w:vAlign w:val="center"/>
          </w:tcPr>
          <w:p w14:paraId="1A138756" w14:textId="77777777" w:rsidR="00C97DD8" w:rsidRPr="00583BA9" w:rsidRDefault="00C97DD8" w:rsidP="008F23DF">
            <w:pPr>
              <w:jc w:val="center"/>
              <w:rPr>
                <w:rFonts w:ascii="Arial" w:hAnsi="Arial" w:cs="Arial"/>
                <w:sz w:val="18"/>
                <w:szCs w:val="18"/>
              </w:rPr>
            </w:pPr>
          </w:p>
        </w:tc>
        <w:tc>
          <w:tcPr>
            <w:tcW w:w="1275" w:type="dxa"/>
            <w:shd w:val="clear" w:color="auto" w:fill="auto"/>
            <w:vAlign w:val="center"/>
          </w:tcPr>
          <w:p w14:paraId="7A3BA0BE"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1456B469" w14:textId="77777777" w:rsidTr="008F23DF">
        <w:trPr>
          <w:trHeight w:val="284"/>
        </w:trPr>
        <w:tc>
          <w:tcPr>
            <w:tcW w:w="3686" w:type="dxa"/>
            <w:shd w:val="clear" w:color="auto" w:fill="auto"/>
            <w:vAlign w:val="center"/>
          </w:tcPr>
          <w:p w14:paraId="7BBFFDD6" w14:textId="77777777" w:rsidR="00C97DD8" w:rsidRPr="00583BA9" w:rsidRDefault="00C97DD8" w:rsidP="008F23DF">
            <w:pPr>
              <w:rPr>
                <w:rFonts w:ascii="Arial" w:hAnsi="Arial" w:cs="Arial"/>
                <w:sz w:val="18"/>
                <w:szCs w:val="18"/>
              </w:rPr>
            </w:pPr>
            <w:r w:rsidRPr="00583BA9">
              <w:rPr>
                <w:rFonts w:ascii="Arial" w:hAnsi="Arial" w:cs="Arial"/>
                <w:sz w:val="18"/>
                <w:szCs w:val="18"/>
              </w:rPr>
              <w:t>Cairns – ICT Administrator</w:t>
            </w:r>
          </w:p>
        </w:tc>
        <w:tc>
          <w:tcPr>
            <w:tcW w:w="2308" w:type="dxa"/>
            <w:shd w:val="clear" w:color="auto" w:fill="auto"/>
            <w:vAlign w:val="center"/>
          </w:tcPr>
          <w:p w14:paraId="0F79F16F" w14:textId="058D80DD" w:rsidR="00C97DD8" w:rsidRPr="00583BA9" w:rsidRDefault="00962AD9" w:rsidP="008F23DF">
            <w:pPr>
              <w:rPr>
                <w:rFonts w:ascii="Arial" w:hAnsi="Arial" w:cs="Arial"/>
                <w:sz w:val="18"/>
                <w:szCs w:val="18"/>
              </w:rPr>
            </w:pPr>
            <w:r>
              <w:rPr>
                <w:rFonts w:ascii="Arial" w:hAnsi="Arial" w:cs="Arial"/>
                <w:sz w:val="18"/>
                <w:szCs w:val="18"/>
              </w:rPr>
              <w:t>Mark Doktor</w:t>
            </w:r>
          </w:p>
        </w:tc>
        <w:tc>
          <w:tcPr>
            <w:tcW w:w="1261" w:type="dxa"/>
            <w:shd w:val="clear" w:color="auto" w:fill="auto"/>
            <w:vAlign w:val="center"/>
          </w:tcPr>
          <w:p w14:paraId="542FD80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4081 8406</w:t>
            </w:r>
          </w:p>
        </w:tc>
        <w:tc>
          <w:tcPr>
            <w:tcW w:w="1535" w:type="dxa"/>
            <w:shd w:val="clear" w:color="auto" w:fill="auto"/>
            <w:vAlign w:val="center"/>
          </w:tcPr>
          <w:p w14:paraId="4A7EB6C4" w14:textId="09A6F2E7" w:rsidR="00C97DD8" w:rsidRPr="00583BA9" w:rsidRDefault="00962AD9" w:rsidP="008F23DF">
            <w:pPr>
              <w:jc w:val="center"/>
              <w:rPr>
                <w:rFonts w:ascii="Arial" w:hAnsi="Arial" w:cs="Arial"/>
                <w:sz w:val="18"/>
                <w:szCs w:val="18"/>
              </w:rPr>
            </w:pPr>
            <w:r>
              <w:rPr>
                <w:rFonts w:ascii="Arial" w:hAnsi="Arial" w:cs="Arial"/>
                <w:sz w:val="18"/>
                <w:szCs w:val="18"/>
              </w:rPr>
              <w:t>0427 954 870</w:t>
            </w:r>
          </w:p>
        </w:tc>
        <w:tc>
          <w:tcPr>
            <w:tcW w:w="1275" w:type="dxa"/>
            <w:shd w:val="clear" w:color="auto" w:fill="auto"/>
            <w:vAlign w:val="center"/>
          </w:tcPr>
          <w:p w14:paraId="7A36689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583BA9" w:rsidRPr="00D83311" w14:paraId="181B6E32" w14:textId="77777777" w:rsidTr="00F10DE3">
        <w:trPr>
          <w:trHeight w:val="284"/>
        </w:trPr>
        <w:tc>
          <w:tcPr>
            <w:tcW w:w="3686" w:type="dxa"/>
            <w:shd w:val="clear" w:color="auto" w:fill="auto"/>
            <w:vAlign w:val="center"/>
          </w:tcPr>
          <w:p w14:paraId="36289C49" w14:textId="11D91982" w:rsidR="00583BA9" w:rsidRPr="00583BA9" w:rsidRDefault="00583BA9" w:rsidP="00583BA9">
            <w:pPr>
              <w:rPr>
                <w:rFonts w:ascii="Arial" w:hAnsi="Arial" w:cs="Arial"/>
                <w:sz w:val="18"/>
                <w:szCs w:val="18"/>
              </w:rPr>
            </w:pPr>
            <w:r w:rsidRPr="00583BA9">
              <w:rPr>
                <w:rFonts w:ascii="Arial" w:hAnsi="Arial" w:cs="Arial"/>
                <w:sz w:val="18"/>
                <w:szCs w:val="18"/>
              </w:rPr>
              <w:t xml:space="preserve">Cairns – </w:t>
            </w:r>
            <w:r w:rsidR="00C97DD8">
              <w:rPr>
                <w:rFonts w:ascii="Arial" w:hAnsi="Arial" w:cs="Arial"/>
                <w:sz w:val="18"/>
                <w:szCs w:val="18"/>
              </w:rPr>
              <w:t>Manager (Coordination)</w:t>
            </w:r>
          </w:p>
        </w:tc>
        <w:tc>
          <w:tcPr>
            <w:tcW w:w="2308" w:type="dxa"/>
            <w:shd w:val="clear" w:color="auto" w:fill="auto"/>
            <w:vAlign w:val="center"/>
          </w:tcPr>
          <w:p w14:paraId="4F007F93" w14:textId="1A6E1BE7" w:rsidR="00583BA9" w:rsidRPr="00583BA9" w:rsidRDefault="00583BA9" w:rsidP="00583BA9">
            <w:pPr>
              <w:rPr>
                <w:rFonts w:ascii="Arial" w:hAnsi="Arial" w:cs="Arial"/>
                <w:sz w:val="18"/>
                <w:szCs w:val="18"/>
              </w:rPr>
            </w:pPr>
            <w:r w:rsidRPr="00583BA9">
              <w:rPr>
                <w:rFonts w:ascii="Arial" w:hAnsi="Arial" w:cs="Arial"/>
                <w:sz w:val="18"/>
                <w:szCs w:val="18"/>
              </w:rPr>
              <w:t>Sandi Rye</w:t>
            </w:r>
          </w:p>
        </w:tc>
        <w:tc>
          <w:tcPr>
            <w:tcW w:w="1261" w:type="dxa"/>
            <w:shd w:val="clear" w:color="auto" w:fill="auto"/>
            <w:vAlign w:val="center"/>
          </w:tcPr>
          <w:p w14:paraId="612B092F" w14:textId="30BA541B"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4B0C47A9" w14:textId="19ECFC13" w:rsidR="00583BA9" w:rsidRPr="00583BA9" w:rsidRDefault="00C97DD8" w:rsidP="00583BA9">
            <w:pPr>
              <w:jc w:val="center"/>
              <w:rPr>
                <w:rFonts w:ascii="Arial" w:hAnsi="Arial" w:cs="Arial"/>
                <w:sz w:val="18"/>
                <w:szCs w:val="18"/>
              </w:rPr>
            </w:pPr>
            <w:r>
              <w:rPr>
                <w:rFonts w:ascii="Arial" w:hAnsi="Arial" w:cs="Arial"/>
                <w:sz w:val="18"/>
                <w:szCs w:val="18"/>
              </w:rPr>
              <w:t>0438 195 342</w:t>
            </w:r>
          </w:p>
        </w:tc>
        <w:tc>
          <w:tcPr>
            <w:tcW w:w="1275" w:type="dxa"/>
            <w:shd w:val="clear" w:color="auto" w:fill="auto"/>
            <w:vAlign w:val="center"/>
          </w:tcPr>
          <w:p w14:paraId="3125F457" w14:textId="62196423"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6C3E8A51" w14:textId="77777777" w:rsidTr="00F10DE3">
        <w:trPr>
          <w:trHeight w:val="284"/>
        </w:trPr>
        <w:tc>
          <w:tcPr>
            <w:tcW w:w="3686" w:type="dxa"/>
            <w:shd w:val="clear" w:color="auto" w:fill="auto"/>
            <w:vAlign w:val="center"/>
          </w:tcPr>
          <w:p w14:paraId="605C8262" w14:textId="1FDC7AD0" w:rsidR="00583BA9" w:rsidRPr="00583BA9" w:rsidRDefault="00920BC4" w:rsidP="00583BA9">
            <w:pPr>
              <w:rPr>
                <w:rFonts w:ascii="Arial" w:hAnsi="Arial" w:cs="Arial"/>
                <w:sz w:val="18"/>
                <w:szCs w:val="18"/>
              </w:rPr>
            </w:pPr>
            <w:r>
              <w:rPr>
                <w:rFonts w:ascii="Arial" w:hAnsi="Arial" w:cs="Arial"/>
                <w:sz w:val="18"/>
                <w:szCs w:val="18"/>
              </w:rPr>
              <w:t xml:space="preserve">Acting </w:t>
            </w:r>
            <w:r w:rsidR="00583BA9" w:rsidRPr="00583BA9">
              <w:rPr>
                <w:rFonts w:ascii="Arial" w:hAnsi="Arial" w:cs="Arial"/>
                <w:sz w:val="18"/>
                <w:szCs w:val="18"/>
              </w:rPr>
              <w:t>Aurukun Local Registry Coordinator</w:t>
            </w:r>
          </w:p>
        </w:tc>
        <w:tc>
          <w:tcPr>
            <w:tcW w:w="2308" w:type="dxa"/>
            <w:shd w:val="clear" w:color="auto" w:fill="auto"/>
            <w:vAlign w:val="center"/>
          </w:tcPr>
          <w:p w14:paraId="5802C696" w14:textId="6946D171" w:rsidR="00583BA9" w:rsidRPr="00583BA9" w:rsidRDefault="00920BC4" w:rsidP="00583BA9">
            <w:pPr>
              <w:rPr>
                <w:rFonts w:ascii="Arial" w:hAnsi="Arial" w:cs="Arial"/>
                <w:sz w:val="18"/>
                <w:szCs w:val="18"/>
              </w:rPr>
            </w:pPr>
            <w:r>
              <w:rPr>
                <w:rFonts w:ascii="Arial" w:hAnsi="Arial" w:cs="Arial"/>
                <w:sz w:val="18"/>
                <w:szCs w:val="18"/>
              </w:rPr>
              <w:t>Cara Marks</w:t>
            </w:r>
          </w:p>
        </w:tc>
        <w:tc>
          <w:tcPr>
            <w:tcW w:w="1261" w:type="dxa"/>
            <w:shd w:val="clear" w:color="auto" w:fill="auto"/>
            <w:vAlign w:val="center"/>
          </w:tcPr>
          <w:p w14:paraId="7D89524A" w14:textId="71E18073" w:rsidR="00583BA9" w:rsidRPr="00583BA9" w:rsidRDefault="00583BA9" w:rsidP="00583BA9">
            <w:pPr>
              <w:jc w:val="center"/>
              <w:rPr>
                <w:rFonts w:ascii="Arial" w:hAnsi="Arial" w:cs="Arial"/>
                <w:sz w:val="18"/>
                <w:szCs w:val="18"/>
              </w:rPr>
            </w:pPr>
            <w:r w:rsidRPr="00583BA9">
              <w:rPr>
                <w:rFonts w:ascii="Arial" w:hAnsi="Arial" w:cs="Arial"/>
                <w:sz w:val="18"/>
                <w:szCs w:val="18"/>
              </w:rPr>
              <w:t>4060 6185</w:t>
            </w:r>
          </w:p>
        </w:tc>
        <w:tc>
          <w:tcPr>
            <w:tcW w:w="1535" w:type="dxa"/>
            <w:shd w:val="clear" w:color="auto" w:fill="auto"/>
            <w:vAlign w:val="center"/>
          </w:tcPr>
          <w:p w14:paraId="1826CD02" w14:textId="574100B8" w:rsidR="00583BA9" w:rsidRPr="00583BA9" w:rsidRDefault="00583BA9" w:rsidP="00583BA9">
            <w:pPr>
              <w:jc w:val="center"/>
              <w:rPr>
                <w:rFonts w:ascii="Arial" w:hAnsi="Arial" w:cs="Arial"/>
                <w:sz w:val="18"/>
                <w:szCs w:val="18"/>
              </w:rPr>
            </w:pPr>
            <w:r w:rsidRPr="00583BA9">
              <w:rPr>
                <w:rFonts w:ascii="Arial" w:hAnsi="Arial" w:cs="Arial"/>
                <w:sz w:val="18"/>
                <w:szCs w:val="18"/>
              </w:rPr>
              <w:t>0428 985 106</w:t>
            </w:r>
          </w:p>
        </w:tc>
        <w:tc>
          <w:tcPr>
            <w:tcW w:w="1275" w:type="dxa"/>
            <w:shd w:val="clear" w:color="auto" w:fill="auto"/>
            <w:vAlign w:val="center"/>
          </w:tcPr>
          <w:p w14:paraId="23937D66" w14:textId="7B681EE5"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277ED5E3" w14:textId="77777777" w:rsidTr="00F10DE3">
        <w:trPr>
          <w:trHeight w:val="284"/>
        </w:trPr>
        <w:tc>
          <w:tcPr>
            <w:tcW w:w="3686" w:type="dxa"/>
            <w:shd w:val="clear" w:color="auto" w:fill="auto"/>
            <w:vAlign w:val="center"/>
          </w:tcPr>
          <w:p w14:paraId="364D4494" w14:textId="56E7A55C" w:rsidR="00583BA9" w:rsidRPr="00583BA9" w:rsidRDefault="00C97DD8" w:rsidP="00583BA9">
            <w:pPr>
              <w:rPr>
                <w:rFonts w:ascii="Arial" w:hAnsi="Arial" w:cs="Arial"/>
                <w:sz w:val="18"/>
                <w:szCs w:val="18"/>
              </w:rPr>
            </w:pPr>
            <w:r>
              <w:rPr>
                <w:rFonts w:ascii="Arial" w:hAnsi="Arial" w:cs="Arial"/>
                <w:sz w:val="18"/>
                <w:szCs w:val="18"/>
              </w:rPr>
              <w:t xml:space="preserve">Acting </w:t>
            </w:r>
            <w:r w:rsidR="00583BA9" w:rsidRPr="00583BA9">
              <w:rPr>
                <w:rFonts w:ascii="Arial" w:hAnsi="Arial" w:cs="Arial"/>
                <w:sz w:val="18"/>
                <w:szCs w:val="18"/>
              </w:rPr>
              <w:t>Coen Local Registry Coordinator</w:t>
            </w:r>
          </w:p>
        </w:tc>
        <w:tc>
          <w:tcPr>
            <w:tcW w:w="2308" w:type="dxa"/>
            <w:shd w:val="clear" w:color="auto" w:fill="auto"/>
            <w:vAlign w:val="center"/>
          </w:tcPr>
          <w:p w14:paraId="4D4CC50C" w14:textId="2CA51959" w:rsidR="00583BA9" w:rsidRPr="00583BA9" w:rsidRDefault="001A74E2" w:rsidP="00583BA9">
            <w:pPr>
              <w:rPr>
                <w:rFonts w:ascii="Arial" w:hAnsi="Arial" w:cs="Arial"/>
                <w:sz w:val="18"/>
                <w:szCs w:val="18"/>
              </w:rPr>
            </w:pPr>
            <w:r>
              <w:rPr>
                <w:rFonts w:ascii="Arial" w:hAnsi="Arial" w:cs="Arial"/>
                <w:sz w:val="18"/>
                <w:szCs w:val="18"/>
              </w:rPr>
              <w:t>Kate Gooding</w:t>
            </w:r>
          </w:p>
        </w:tc>
        <w:tc>
          <w:tcPr>
            <w:tcW w:w="1261" w:type="dxa"/>
            <w:shd w:val="clear" w:color="auto" w:fill="auto"/>
            <w:vAlign w:val="center"/>
          </w:tcPr>
          <w:p w14:paraId="15302AB0" w14:textId="36B435F4"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73E266CB" w14:textId="58E69C74"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4F8E772D" w14:textId="65152F61"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7EFE0B9D" w14:textId="77777777" w:rsidTr="00F10DE3">
        <w:trPr>
          <w:trHeight w:val="284"/>
        </w:trPr>
        <w:tc>
          <w:tcPr>
            <w:tcW w:w="3686" w:type="dxa"/>
            <w:shd w:val="clear" w:color="auto" w:fill="auto"/>
            <w:vAlign w:val="center"/>
          </w:tcPr>
          <w:p w14:paraId="7D09B19F" w14:textId="18B03BEE" w:rsidR="00583BA9" w:rsidRPr="00583BA9" w:rsidRDefault="00583BA9" w:rsidP="00583BA9">
            <w:pPr>
              <w:rPr>
                <w:rFonts w:ascii="Arial" w:hAnsi="Arial" w:cs="Arial"/>
                <w:sz w:val="18"/>
                <w:szCs w:val="18"/>
              </w:rPr>
            </w:pPr>
            <w:r w:rsidRPr="00583BA9">
              <w:rPr>
                <w:rFonts w:ascii="Arial" w:hAnsi="Arial" w:cs="Arial"/>
                <w:sz w:val="18"/>
                <w:szCs w:val="18"/>
              </w:rPr>
              <w:t>Doomadgee Local Registry Coordinator</w:t>
            </w:r>
          </w:p>
        </w:tc>
        <w:tc>
          <w:tcPr>
            <w:tcW w:w="2308" w:type="dxa"/>
            <w:shd w:val="clear" w:color="auto" w:fill="auto"/>
            <w:vAlign w:val="center"/>
          </w:tcPr>
          <w:p w14:paraId="77F022D6" w14:textId="2DA317AB" w:rsidR="00583BA9" w:rsidRPr="00583BA9" w:rsidRDefault="00583BA9" w:rsidP="00583BA9">
            <w:pPr>
              <w:rPr>
                <w:rFonts w:ascii="Arial" w:hAnsi="Arial" w:cs="Arial"/>
                <w:sz w:val="18"/>
                <w:szCs w:val="18"/>
              </w:rPr>
            </w:pPr>
            <w:r w:rsidRPr="00583BA9">
              <w:rPr>
                <w:rFonts w:ascii="Arial" w:hAnsi="Arial" w:cs="Arial"/>
                <w:sz w:val="18"/>
                <w:szCs w:val="18"/>
              </w:rPr>
              <w:t>Brenden Joinbee</w:t>
            </w:r>
          </w:p>
        </w:tc>
        <w:tc>
          <w:tcPr>
            <w:tcW w:w="1261" w:type="dxa"/>
            <w:shd w:val="clear" w:color="auto" w:fill="auto"/>
            <w:vAlign w:val="center"/>
          </w:tcPr>
          <w:p w14:paraId="5275522B" w14:textId="1457B0F9" w:rsidR="00583BA9" w:rsidRPr="00583BA9" w:rsidRDefault="00583BA9" w:rsidP="00583BA9">
            <w:pPr>
              <w:jc w:val="center"/>
              <w:rPr>
                <w:rFonts w:ascii="Arial" w:hAnsi="Arial" w:cs="Arial"/>
                <w:sz w:val="18"/>
                <w:szCs w:val="18"/>
              </w:rPr>
            </w:pPr>
            <w:r w:rsidRPr="00583BA9">
              <w:rPr>
                <w:rFonts w:ascii="Arial" w:hAnsi="Arial" w:cs="Arial"/>
                <w:sz w:val="18"/>
                <w:szCs w:val="18"/>
              </w:rPr>
              <w:t>4745 8111</w:t>
            </w:r>
          </w:p>
        </w:tc>
        <w:tc>
          <w:tcPr>
            <w:tcW w:w="1535" w:type="dxa"/>
            <w:shd w:val="clear" w:color="auto" w:fill="auto"/>
            <w:vAlign w:val="center"/>
          </w:tcPr>
          <w:p w14:paraId="79DE2125" w14:textId="702397A5" w:rsidR="00583BA9" w:rsidRPr="00583BA9" w:rsidRDefault="00583BA9" w:rsidP="00583BA9">
            <w:pPr>
              <w:jc w:val="center"/>
              <w:rPr>
                <w:rFonts w:ascii="Arial" w:hAnsi="Arial" w:cs="Arial"/>
                <w:sz w:val="18"/>
                <w:szCs w:val="18"/>
              </w:rPr>
            </w:pPr>
            <w:r w:rsidRPr="00583BA9">
              <w:rPr>
                <w:rFonts w:ascii="Arial" w:hAnsi="Arial" w:cs="Arial"/>
                <w:sz w:val="18"/>
                <w:szCs w:val="18"/>
              </w:rPr>
              <w:t>0418 666 204</w:t>
            </w:r>
          </w:p>
        </w:tc>
        <w:tc>
          <w:tcPr>
            <w:tcW w:w="1275" w:type="dxa"/>
            <w:shd w:val="clear" w:color="auto" w:fill="auto"/>
            <w:vAlign w:val="center"/>
          </w:tcPr>
          <w:p w14:paraId="59AA8D5D" w14:textId="0DC10A42"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4311B17" w14:textId="77777777" w:rsidTr="00F10DE3">
        <w:trPr>
          <w:trHeight w:val="284"/>
        </w:trPr>
        <w:tc>
          <w:tcPr>
            <w:tcW w:w="3686" w:type="dxa"/>
            <w:shd w:val="clear" w:color="auto" w:fill="auto"/>
            <w:vAlign w:val="center"/>
          </w:tcPr>
          <w:p w14:paraId="73107646" w14:textId="12205ACB" w:rsidR="00583BA9" w:rsidRPr="00583BA9" w:rsidRDefault="00583BA9" w:rsidP="00583BA9">
            <w:pPr>
              <w:rPr>
                <w:rFonts w:ascii="Arial" w:hAnsi="Arial" w:cs="Arial"/>
                <w:sz w:val="18"/>
                <w:szCs w:val="18"/>
              </w:rPr>
            </w:pPr>
            <w:r w:rsidRPr="00583BA9">
              <w:rPr>
                <w:rFonts w:ascii="Arial" w:hAnsi="Arial" w:cs="Arial"/>
                <w:sz w:val="18"/>
                <w:szCs w:val="18"/>
              </w:rPr>
              <w:t>Hope Vale Local Registry Coordinator</w:t>
            </w:r>
          </w:p>
        </w:tc>
        <w:tc>
          <w:tcPr>
            <w:tcW w:w="2308" w:type="dxa"/>
            <w:shd w:val="clear" w:color="auto" w:fill="auto"/>
            <w:vAlign w:val="center"/>
          </w:tcPr>
          <w:p w14:paraId="59965F87" w14:textId="23BC6EAF" w:rsidR="00583BA9" w:rsidRPr="00583BA9" w:rsidRDefault="00583BA9" w:rsidP="00583BA9">
            <w:pPr>
              <w:rPr>
                <w:rFonts w:ascii="Arial" w:hAnsi="Arial" w:cs="Arial"/>
                <w:sz w:val="18"/>
                <w:szCs w:val="18"/>
              </w:rPr>
            </w:pPr>
            <w:r w:rsidRPr="00583BA9">
              <w:rPr>
                <w:rFonts w:ascii="Arial" w:hAnsi="Arial" w:cs="Arial"/>
                <w:sz w:val="18"/>
                <w:szCs w:val="18"/>
              </w:rPr>
              <w:t>Josephine Pinder</w:t>
            </w:r>
          </w:p>
        </w:tc>
        <w:tc>
          <w:tcPr>
            <w:tcW w:w="1261" w:type="dxa"/>
            <w:shd w:val="clear" w:color="auto" w:fill="auto"/>
            <w:vAlign w:val="center"/>
          </w:tcPr>
          <w:p w14:paraId="78DBA0DF" w14:textId="7FCDE144" w:rsidR="00583BA9" w:rsidRPr="00583BA9" w:rsidRDefault="00583BA9" w:rsidP="00583BA9">
            <w:pPr>
              <w:jc w:val="center"/>
              <w:rPr>
                <w:rFonts w:ascii="Arial" w:hAnsi="Arial" w:cs="Arial"/>
                <w:sz w:val="18"/>
                <w:szCs w:val="18"/>
              </w:rPr>
            </w:pPr>
            <w:r w:rsidRPr="00583BA9">
              <w:rPr>
                <w:rFonts w:ascii="Arial" w:hAnsi="Arial" w:cs="Arial"/>
                <w:sz w:val="18"/>
                <w:szCs w:val="18"/>
              </w:rPr>
              <w:t>4060 9153</w:t>
            </w:r>
          </w:p>
        </w:tc>
        <w:tc>
          <w:tcPr>
            <w:tcW w:w="1535" w:type="dxa"/>
            <w:shd w:val="clear" w:color="auto" w:fill="auto"/>
            <w:vAlign w:val="center"/>
          </w:tcPr>
          <w:p w14:paraId="1CB77B42" w14:textId="1C281BE4" w:rsidR="00583BA9" w:rsidRPr="00583BA9" w:rsidRDefault="00583BA9" w:rsidP="00583BA9">
            <w:pPr>
              <w:jc w:val="center"/>
              <w:rPr>
                <w:rFonts w:ascii="Arial" w:hAnsi="Arial" w:cs="Arial"/>
                <w:sz w:val="18"/>
                <w:szCs w:val="18"/>
              </w:rPr>
            </w:pPr>
            <w:r w:rsidRPr="00583BA9">
              <w:rPr>
                <w:rFonts w:ascii="Arial" w:hAnsi="Arial" w:cs="Arial"/>
                <w:sz w:val="18"/>
                <w:szCs w:val="18"/>
              </w:rPr>
              <w:t>0408 482 026</w:t>
            </w:r>
          </w:p>
        </w:tc>
        <w:tc>
          <w:tcPr>
            <w:tcW w:w="1275" w:type="dxa"/>
            <w:shd w:val="clear" w:color="auto" w:fill="auto"/>
            <w:vAlign w:val="center"/>
          </w:tcPr>
          <w:p w14:paraId="46004A59" w14:textId="4E0EE908"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1821147" w14:textId="77777777" w:rsidTr="00F10DE3">
        <w:trPr>
          <w:trHeight w:val="284"/>
        </w:trPr>
        <w:tc>
          <w:tcPr>
            <w:tcW w:w="3686" w:type="dxa"/>
            <w:shd w:val="clear" w:color="auto" w:fill="auto"/>
            <w:vAlign w:val="center"/>
          </w:tcPr>
          <w:p w14:paraId="2B2BB564" w14:textId="399E2330" w:rsidR="00583BA9" w:rsidRPr="00583BA9" w:rsidRDefault="00C97DD8" w:rsidP="00583BA9">
            <w:pPr>
              <w:rPr>
                <w:rFonts w:ascii="Arial" w:hAnsi="Arial" w:cs="Arial"/>
                <w:sz w:val="18"/>
                <w:szCs w:val="18"/>
              </w:rPr>
            </w:pPr>
            <w:r>
              <w:rPr>
                <w:rFonts w:ascii="Arial" w:hAnsi="Arial" w:cs="Arial"/>
                <w:sz w:val="18"/>
                <w:szCs w:val="18"/>
              </w:rPr>
              <w:t xml:space="preserve">Acting </w:t>
            </w:r>
            <w:r w:rsidR="00583BA9" w:rsidRPr="00583BA9">
              <w:rPr>
                <w:rFonts w:ascii="Arial" w:hAnsi="Arial" w:cs="Arial"/>
                <w:sz w:val="18"/>
                <w:szCs w:val="18"/>
              </w:rPr>
              <w:t>Mossman Gorge Local Registry Coordinator</w:t>
            </w:r>
          </w:p>
        </w:tc>
        <w:tc>
          <w:tcPr>
            <w:tcW w:w="2308" w:type="dxa"/>
            <w:shd w:val="clear" w:color="auto" w:fill="auto"/>
            <w:vAlign w:val="center"/>
          </w:tcPr>
          <w:p w14:paraId="46DA8975" w14:textId="20CD95C1" w:rsidR="00583BA9" w:rsidRPr="00583BA9" w:rsidRDefault="001A74E2" w:rsidP="00583BA9">
            <w:pPr>
              <w:rPr>
                <w:rFonts w:ascii="Arial" w:hAnsi="Arial" w:cs="Arial"/>
                <w:sz w:val="18"/>
                <w:szCs w:val="18"/>
              </w:rPr>
            </w:pPr>
            <w:r>
              <w:rPr>
                <w:rFonts w:ascii="Arial" w:hAnsi="Arial" w:cs="Arial"/>
                <w:sz w:val="18"/>
                <w:szCs w:val="18"/>
              </w:rPr>
              <w:t>Kate Gooding</w:t>
            </w:r>
          </w:p>
        </w:tc>
        <w:tc>
          <w:tcPr>
            <w:tcW w:w="1261" w:type="dxa"/>
            <w:shd w:val="clear" w:color="auto" w:fill="auto"/>
            <w:vAlign w:val="center"/>
          </w:tcPr>
          <w:p w14:paraId="48D815F6" w14:textId="66131DAA"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24CF4AA5" w14:textId="06660237"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3F6F7256" w14:textId="126FAA5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bl>
    <w:p w14:paraId="3AE90444" w14:textId="77777777" w:rsidR="00967E77" w:rsidRDefault="00967E77" w:rsidP="000C7071">
      <w:pPr>
        <w:rPr>
          <w:rFonts w:ascii="Arial Narrow" w:hAnsi="Arial Narrow"/>
        </w:rPr>
      </w:pPr>
    </w:p>
    <w:sectPr w:rsidR="00967E77" w:rsidSect="003362C2">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9205" w14:textId="77777777" w:rsidR="00445392" w:rsidRDefault="00445392">
      <w:r>
        <w:separator/>
      </w:r>
    </w:p>
  </w:endnote>
  <w:endnote w:type="continuationSeparator" w:id="0">
    <w:p w14:paraId="08B9F556" w14:textId="77777777" w:rsidR="00445392" w:rsidRDefault="00445392">
      <w:r>
        <w:continuationSeparator/>
      </w:r>
    </w:p>
  </w:endnote>
  <w:endnote w:type="continuationNotice" w:id="1">
    <w:p w14:paraId="2DAE8A1F" w14:textId="77777777" w:rsidR="00445392" w:rsidRDefault="004453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5B26" w14:textId="3FA58523"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A8A">
      <w:rPr>
        <w:rStyle w:val="PageNumber"/>
        <w:noProof/>
      </w:rPr>
      <w:t>11</w:t>
    </w:r>
    <w:r>
      <w:rPr>
        <w:rStyle w:val="PageNumber"/>
      </w:rPr>
      <w:fldChar w:fldCharType="end"/>
    </w:r>
  </w:p>
  <w:p w14:paraId="04C7800C" w14:textId="77777777" w:rsidR="00324B7B" w:rsidRDefault="00324B7B"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F23E" w14:textId="77777777"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324B7B" w:rsidRDefault="00324B7B"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7EC2" w14:textId="77777777" w:rsidR="00324B7B" w:rsidRDefault="00324B7B"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6037C" w14:textId="77777777" w:rsidR="00445392" w:rsidRDefault="00445392">
      <w:r>
        <w:separator/>
      </w:r>
    </w:p>
  </w:footnote>
  <w:footnote w:type="continuationSeparator" w:id="0">
    <w:p w14:paraId="7436E4DD" w14:textId="77777777" w:rsidR="00445392" w:rsidRDefault="00445392">
      <w:r>
        <w:continuationSeparator/>
      </w:r>
    </w:p>
  </w:footnote>
  <w:footnote w:type="continuationNotice" w:id="1">
    <w:p w14:paraId="320136EB" w14:textId="77777777" w:rsidR="00445392" w:rsidRDefault="00445392">
      <w:pPr>
        <w:spacing w:line="240" w:lineRule="auto"/>
      </w:pPr>
    </w:p>
  </w:footnote>
  <w:footnote w:id="2">
    <w:p w14:paraId="01BCC388" w14:textId="30664B36" w:rsidR="00585CCD" w:rsidRPr="00EE5878" w:rsidRDefault="00585CCD">
      <w:pPr>
        <w:pStyle w:val="FootnoteText"/>
        <w:rPr>
          <w:sz w:val="16"/>
          <w:szCs w:val="16"/>
        </w:rPr>
      </w:pPr>
      <w:r w:rsidRPr="00EE5878">
        <w:rPr>
          <w:rStyle w:val="FootnoteReference"/>
          <w:sz w:val="16"/>
          <w:szCs w:val="16"/>
        </w:rPr>
        <w:footnoteRef/>
      </w:r>
      <w:r w:rsidRPr="00EE5878">
        <w:rPr>
          <w:sz w:val="16"/>
          <w:szCs w:val="16"/>
        </w:rPr>
        <w:t xml:space="preserve"> Section 144 </w:t>
      </w:r>
      <w:r w:rsidRPr="00EE5878">
        <w:rPr>
          <w:i/>
          <w:iCs/>
          <w:sz w:val="16"/>
          <w:szCs w:val="16"/>
        </w:rPr>
        <w:t>Family Responsibilities Commission Act 2008</w:t>
      </w:r>
    </w:p>
  </w:footnote>
  <w:footnote w:id="3">
    <w:p w14:paraId="0E53FAAB" w14:textId="58C35BB9" w:rsidR="00BF34A3" w:rsidRPr="00504360" w:rsidRDefault="00BF34A3" w:rsidP="0080444C">
      <w:pPr>
        <w:pStyle w:val="FootnoteText"/>
        <w:rPr>
          <w:sz w:val="16"/>
          <w:szCs w:val="16"/>
        </w:rPr>
      </w:pPr>
      <w:r w:rsidRPr="00504360">
        <w:rPr>
          <w:rStyle w:val="FootnoteReference"/>
          <w:sz w:val="16"/>
          <w:szCs w:val="16"/>
        </w:rPr>
        <w:footnoteRef/>
      </w:r>
      <w:r w:rsidRPr="00504360">
        <w:rPr>
          <w:sz w:val="16"/>
          <w:szCs w:val="16"/>
        </w:rPr>
        <w:t xml:space="preserve"> Agency notices are counted on the basis of the number of persons named on the notice (e.g. a Child Safety and Welfare notice relating to two parents is counted as two notices</w:t>
      </w:r>
      <w:r>
        <w:rPr>
          <w:sz w:val="16"/>
          <w:szCs w:val="16"/>
        </w:rPr>
        <w:t xml:space="preserve"> and</w:t>
      </w:r>
      <w:r w:rsidRPr="00504360">
        <w:rPr>
          <w:sz w:val="16"/>
          <w:szCs w:val="16"/>
        </w:rPr>
        <w:t xml:space="preserve"> if three children from one family have an unexplained absence </w:t>
      </w:r>
      <w:r>
        <w:rPr>
          <w:rFonts w:cs="Arial"/>
          <w:sz w:val="16"/>
          <w:szCs w:val="16"/>
        </w:rPr>
        <w:t>from school for all or part of any three school days during a school term, this</w:t>
      </w:r>
      <w:r w:rsidRPr="002E37C0">
        <w:rPr>
          <w:rFonts w:cs="Arial"/>
          <w:sz w:val="16"/>
          <w:szCs w:val="16"/>
        </w:rPr>
        <w:t xml:space="preserve"> count</w:t>
      </w:r>
      <w:r>
        <w:rPr>
          <w:rFonts w:cs="Arial"/>
          <w:sz w:val="16"/>
          <w:szCs w:val="16"/>
        </w:rPr>
        <w:t>s</w:t>
      </w:r>
      <w:r w:rsidRPr="002E37C0">
        <w:rPr>
          <w:rFonts w:cs="Arial"/>
          <w:sz w:val="16"/>
          <w:szCs w:val="16"/>
        </w:rPr>
        <w:t xml:space="preserve"> as three </w:t>
      </w:r>
      <w:r>
        <w:rPr>
          <w:rFonts w:cs="Arial"/>
          <w:sz w:val="16"/>
          <w:szCs w:val="16"/>
        </w:rPr>
        <w:t xml:space="preserve">individual School Attendance </w:t>
      </w:r>
      <w:r w:rsidRPr="00542602">
        <w:rPr>
          <w:rFonts w:cs="Arial"/>
          <w:sz w:val="16"/>
          <w:szCs w:val="16"/>
        </w:rPr>
        <w:t>notices</w:t>
      </w:r>
      <w:r>
        <w:rPr>
          <w:rFonts w:cs="Arial"/>
          <w:sz w:val="16"/>
          <w:szCs w:val="16"/>
        </w:rPr>
        <w:t xml:space="preserve"> against each person listed on the notice</w:t>
      </w:r>
      <w:r w:rsidRPr="00504360">
        <w:rPr>
          <w:sz w:val="16"/>
          <w:szCs w:val="16"/>
        </w:rPr>
        <w:t>).</w:t>
      </w:r>
      <w:r>
        <w:rPr>
          <w:sz w:val="16"/>
          <w:szCs w:val="16"/>
        </w:rPr>
        <w:t xml:space="preserve"> Counting rules also stipulate that where multiple charges are received on a court notice each charge is counted as an individual notice.</w:t>
      </w:r>
    </w:p>
  </w:footnote>
  <w:footnote w:id="4">
    <w:p w14:paraId="264E5477" w14:textId="1C824287" w:rsidR="00BF34A3" w:rsidRPr="00504360" w:rsidRDefault="00BF34A3" w:rsidP="0080444C">
      <w:pPr>
        <w:pStyle w:val="FootnoteText"/>
        <w:rPr>
          <w:sz w:val="16"/>
          <w:szCs w:val="16"/>
        </w:rPr>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A</w:t>
      </w:r>
      <w:r>
        <w:rPr>
          <w:rStyle w:val="FootnoteReference"/>
          <w:sz w:val="16"/>
          <w:szCs w:val="16"/>
          <w:vertAlign w:val="baseline"/>
        </w:rPr>
        <w:t>n</w:t>
      </w:r>
      <w:r>
        <w:rPr>
          <w:sz w:val="16"/>
          <w:szCs w:val="16"/>
        </w:rPr>
        <w:t xml:space="preserve"> agreement and a decision can have multiple</w:t>
      </w:r>
      <w:r w:rsidRPr="00504360">
        <w:rPr>
          <w:rStyle w:val="FootnoteReference"/>
          <w:sz w:val="16"/>
          <w:szCs w:val="16"/>
          <w:vertAlign w:val="baseline"/>
        </w:rPr>
        <w:t xml:space="preserve"> case </w:t>
      </w:r>
      <w:r w:rsidRPr="00504360">
        <w:rPr>
          <w:sz w:val="16"/>
          <w:szCs w:val="16"/>
        </w:rPr>
        <w:t>plan</w:t>
      </w:r>
      <w:r>
        <w:rPr>
          <w:sz w:val="16"/>
          <w:szCs w:val="16"/>
        </w:rPr>
        <w:t>s which in turn</w:t>
      </w:r>
      <w:r w:rsidRPr="00504360">
        <w:rPr>
          <w:rStyle w:val="FootnoteReference"/>
          <w:sz w:val="16"/>
          <w:szCs w:val="16"/>
          <w:vertAlign w:val="baseline"/>
        </w:rPr>
        <w:t xml:space="preserve"> can have multiple referrals </w:t>
      </w:r>
      <w:r>
        <w:rPr>
          <w:sz w:val="16"/>
          <w:szCs w:val="16"/>
        </w:rPr>
        <w:t>where a service provider has multiple programs.</w:t>
      </w:r>
    </w:p>
  </w:footnote>
  <w:footnote w:id="5">
    <w:p w14:paraId="386D72C0" w14:textId="2D9FFC5B" w:rsidR="00324B7B" w:rsidRPr="00993F41" w:rsidRDefault="00324B7B">
      <w:pPr>
        <w:pStyle w:val="FootnoteText"/>
        <w:rPr>
          <w:sz w:val="16"/>
          <w:szCs w:val="16"/>
        </w:rPr>
      </w:pPr>
      <w:r w:rsidRPr="00993F41">
        <w:rPr>
          <w:rStyle w:val="FootnoteReference"/>
          <w:sz w:val="16"/>
          <w:szCs w:val="16"/>
        </w:rPr>
        <w:footnoteRef/>
      </w:r>
      <w:r w:rsidRPr="00993F41">
        <w:rPr>
          <w:sz w:val="16"/>
          <w:szCs w:val="16"/>
        </w:rPr>
        <w:t xml:space="preserve"> Refer to the descriptions of </w:t>
      </w:r>
      <w:r w:rsidRPr="007F1AF6">
        <w:rPr>
          <w:sz w:val="16"/>
          <w:szCs w:val="16"/>
        </w:rPr>
        <w:t xml:space="preserve">abbreviations on page </w:t>
      </w:r>
      <w:r w:rsidR="003C7915">
        <w:rPr>
          <w:sz w:val="16"/>
          <w:szCs w:val="16"/>
        </w:rPr>
        <w:t>5</w:t>
      </w:r>
      <w:r w:rsidRPr="007F1AF6">
        <w:rPr>
          <w:sz w:val="16"/>
          <w:szCs w:val="16"/>
        </w:rPr>
        <w:t>.</w:t>
      </w:r>
    </w:p>
  </w:footnote>
  <w:footnote w:id="6">
    <w:p w14:paraId="255B35DE" w14:textId="71B1F1DE" w:rsidR="00324B7B" w:rsidRDefault="00324B7B">
      <w:pPr>
        <w:pStyle w:val="FootnoteText"/>
      </w:pPr>
      <w:r>
        <w:rPr>
          <w:rStyle w:val="FootnoteReference"/>
        </w:rPr>
        <w:footnoteRef/>
      </w:r>
      <w:r>
        <w:t xml:space="preserve"> </w:t>
      </w:r>
      <w:bookmarkStart w:id="12" w:name="_Hlk97300676"/>
      <w:r w:rsidRPr="00F106B3">
        <w:rPr>
          <w:sz w:val="16"/>
          <w:szCs w:val="16"/>
        </w:rPr>
        <w:t xml:space="preserve">Refer to the descriptions of </w:t>
      </w:r>
      <w:r w:rsidRPr="007F1AF6">
        <w:rPr>
          <w:sz w:val="16"/>
          <w:szCs w:val="16"/>
        </w:rPr>
        <w:t xml:space="preserve">abbreviations on page </w:t>
      </w:r>
      <w:r w:rsidR="003C7915">
        <w:rPr>
          <w:sz w:val="16"/>
          <w:szCs w:val="16"/>
        </w:rPr>
        <w:t>5</w:t>
      </w:r>
      <w:r w:rsidRPr="007F1AF6">
        <w:rPr>
          <w:sz w:val="16"/>
          <w:szCs w:val="16"/>
        </w:rPr>
        <w:t>.</w:t>
      </w:r>
      <w:bookmarkEnd w:id="12"/>
    </w:p>
  </w:footnote>
  <w:footnote w:id="7">
    <w:p w14:paraId="3413357A" w14:textId="1BD13819" w:rsidR="00560109" w:rsidRDefault="00560109">
      <w:pPr>
        <w:pStyle w:val="FootnoteText"/>
      </w:pPr>
      <w:r>
        <w:rPr>
          <w:rStyle w:val="FootnoteReference"/>
        </w:rPr>
        <w:footnoteRef/>
      </w:r>
      <w:r>
        <w:t xml:space="preserve"> </w:t>
      </w:r>
      <w:r w:rsidRPr="00F106B3">
        <w:rPr>
          <w:sz w:val="16"/>
          <w:szCs w:val="16"/>
        </w:rPr>
        <w:t xml:space="preserve">Refer to the descriptions of </w:t>
      </w:r>
      <w:r w:rsidRPr="007F1AF6">
        <w:rPr>
          <w:sz w:val="16"/>
          <w:szCs w:val="16"/>
        </w:rPr>
        <w:t xml:space="preserve">abbreviations on page </w:t>
      </w:r>
      <w:r w:rsidR="003C7915">
        <w:rPr>
          <w:sz w:val="16"/>
          <w:szCs w:val="16"/>
        </w:rPr>
        <w:t>5</w:t>
      </w:r>
      <w:r w:rsidRPr="007F1AF6">
        <w:rPr>
          <w:sz w:val="16"/>
          <w:szCs w:val="16"/>
        </w:rPr>
        <w:t>.</w:t>
      </w:r>
    </w:p>
  </w:footnote>
  <w:footnote w:id="8">
    <w:p w14:paraId="621C3F9F" w14:textId="3349396A" w:rsidR="00324B7B" w:rsidRPr="00850FF3" w:rsidRDefault="00324B7B"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w:t>
      </w:r>
      <w:r w:rsidR="008F2A87">
        <w:rPr>
          <w:sz w:val="16"/>
          <w:szCs w:val="16"/>
        </w:rPr>
        <w:t>people</w:t>
      </w:r>
      <w:r w:rsidRPr="00850FF3">
        <w:rPr>
          <w:rStyle w:val="FootnoteReference"/>
          <w:sz w:val="16"/>
          <w:szCs w:val="16"/>
          <w:vertAlign w:val="baseline"/>
        </w:rPr>
        <w:t xml:space="preserve">’ </w:t>
      </w:r>
      <w:r w:rsidR="00040508">
        <w:rPr>
          <w:sz w:val="16"/>
          <w:szCs w:val="16"/>
        </w:rPr>
        <w:t xml:space="preserve">named </w:t>
      </w:r>
      <w:r w:rsidRPr="00850FF3">
        <w:rPr>
          <w:rStyle w:val="FootnoteReference"/>
          <w:sz w:val="16"/>
          <w:szCs w:val="16"/>
          <w:vertAlign w:val="baseline"/>
        </w:rPr>
        <w:t>on the notice. For example a child safety and welfare notice relating to two parents is counted as two notices</w:t>
      </w:r>
      <w:r w:rsidR="008F2A87">
        <w:rPr>
          <w:sz w:val="16"/>
          <w:szCs w:val="16"/>
        </w:rPr>
        <w:t xml:space="preserve"> and</w:t>
      </w:r>
      <w:r w:rsidR="008F2A87" w:rsidRPr="00504360">
        <w:rPr>
          <w:sz w:val="16"/>
          <w:szCs w:val="16"/>
        </w:rPr>
        <w:t xml:space="preserve"> if three children from one family have an unexplained absence </w:t>
      </w:r>
      <w:r w:rsidR="008F2A87">
        <w:rPr>
          <w:rFonts w:cs="Arial"/>
          <w:sz w:val="16"/>
          <w:szCs w:val="16"/>
        </w:rPr>
        <w:t>from school for all or part of any three school days during a school term, this</w:t>
      </w:r>
      <w:r w:rsidR="008F2A87" w:rsidRPr="002E37C0">
        <w:rPr>
          <w:rFonts w:cs="Arial"/>
          <w:sz w:val="16"/>
          <w:szCs w:val="16"/>
        </w:rPr>
        <w:t xml:space="preserve"> count</w:t>
      </w:r>
      <w:r w:rsidR="008F2A87">
        <w:rPr>
          <w:rFonts w:cs="Arial"/>
          <w:sz w:val="16"/>
          <w:szCs w:val="16"/>
        </w:rPr>
        <w:t>s</w:t>
      </w:r>
      <w:r w:rsidR="008F2A87" w:rsidRPr="002E37C0">
        <w:rPr>
          <w:rFonts w:cs="Arial"/>
          <w:sz w:val="16"/>
          <w:szCs w:val="16"/>
        </w:rPr>
        <w:t xml:space="preserve"> as three </w:t>
      </w:r>
      <w:r w:rsidR="008F2A87">
        <w:rPr>
          <w:rFonts w:cs="Arial"/>
          <w:sz w:val="16"/>
          <w:szCs w:val="16"/>
        </w:rPr>
        <w:t xml:space="preserve">individual School Attendance </w:t>
      </w:r>
      <w:r w:rsidR="008F2A87" w:rsidRPr="00542602">
        <w:rPr>
          <w:rFonts w:cs="Arial"/>
          <w:sz w:val="16"/>
          <w:szCs w:val="16"/>
        </w:rPr>
        <w:t>notices</w:t>
      </w:r>
      <w:r w:rsidR="008F2A87">
        <w:rPr>
          <w:rFonts w:cs="Arial"/>
          <w:sz w:val="16"/>
          <w:szCs w:val="16"/>
        </w:rPr>
        <w:t xml:space="preserve"> against each person listed on the notice</w:t>
      </w:r>
      <w:r w:rsidR="008F2A87" w:rsidRPr="00504360">
        <w:rPr>
          <w:sz w:val="16"/>
          <w:szCs w:val="16"/>
        </w:rPr>
        <w:t>)</w:t>
      </w:r>
      <w:r w:rsidRPr="00850FF3">
        <w:rPr>
          <w:rStyle w:val="FootnoteReference"/>
          <w:sz w:val="16"/>
          <w:szCs w:val="16"/>
          <w:vertAlign w:val="baseline"/>
        </w:rPr>
        <w:t>.</w:t>
      </w:r>
      <w:r w:rsidR="00040508">
        <w:rPr>
          <w:sz w:val="16"/>
          <w:szCs w:val="16"/>
        </w:rPr>
        <w:t xml:space="preserve"> Counting rules also stipulate that where multiple charges are received on a court notice each charge is counted as an individual notice.</w:t>
      </w:r>
    </w:p>
  </w:footnote>
  <w:footnote w:id="9">
    <w:p w14:paraId="0902E148" w14:textId="30AC1DA5" w:rsidR="00324B7B" w:rsidRDefault="00324B7B">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w:t>
      </w:r>
      <w:r>
        <w:rPr>
          <w:sz w:val="16"/>
          <w:szCs w:val="16"/>
        </w:rPr>
        <w:t>ren, Youth Justice and Multicultural Affairs only</w:t>
      </w:r>
      <w:r w:rsidRPr="00850FF3">
        <w:rPr>
          <w:sz w:val="16"/>
          <w:szCs w:val="16"/>
        </w:rPr>
        <w:t>.</w:t>
      </w:r>
    </w:p>
  </w:footnote>
  <w:footnote w:id="10">
    <w:p w14:paraId="6387E6E1" w14:textId="77777777" w:rsidR="001C4411" w:rsidRPr="004B50DF" w:rsidRDefault="001C4411" w:rsidP="001C4411">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11">
    <w:p w14:paraId="1D04A1CF" w14:textId="77777777" w:rsidR="0007162A" w:rsidRDefault="0007162A"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client </w:t>
      </w:r>
      <w:r>
        <w:rPr>
          <w:sz w:val="16"/>
          <w:szCs w:val="16"/>
        </w:rPr>
        <w:t xml:space="preserve">who received a notice 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date of the first notice received for the client during the quarter.</w:t>
      </w:r>
    </w:p>
  </w:footnote>
  <w:footnote w:id="12">
    <w:p w14:paraId="55C03F91" w14:textId="77777777" w:rsidR="0007162A" w:rsidRDefault="0007162A"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3">
    <w:p w14:paraId="5AC10446" w14:textId="4BCBC3CF" w:rsidR="0007162A" w:rsidRDefault="0007162A" w:rsidP="0013112F">
      <w:pPr>
        <w:pStyle w:val="FootnoteText"/>
      </w:pPr>
      <w:r w:rsidRPr="00C5462F">
        <w:rPr>
          <w:rStyle w:val="FootnoteReference"/>
          <w:sz w:val="16"/>
          <w:szCs w:val="16"/>
        </w:rPr>
        <w:footnoteRef/>
      </w:r>
      <w:r>
        <w:t xml:space="preserve"> </w:t>
      </w:r>
      <w:r w:rsidRPr="004C7880">
        <w:rPr>
          <w:rStyle w:val="FootnoteReference"/>
          <w:sz w:val="16"/>
          <w:szCs w:val="16"/>
          <w:vertAlign w:val="baseline"/>
        </w:rPr>
        <w:t>Average age of a referred client for the quarter through a Family Responsibilities Agreement or a Family Responsibilities Order is calculated at the first conference date held where the client was placed on a case plan during the quarter.</w:t>
      </w:r>
    </w:p>
  </w:footnote>
  <w:footnote w:id="14">
    <w:p w14:paraId="5B5EB21A" w14:textId="7DC240A2" w:rsidR="0007162A" w:rsidRPr="004C7880" w:rsidRDefault="0007162A" w:rsidP="00D605A2">
      <w:pPr>
        <w:pStyle w:val="FootnoteText"/>
        <w:rPr>
          <w:rStyle w:val="FootnoteReference"/>
          <w:sz w:val="16"/>
          <w:szCs w:val="16"/>
          <w:vertAlign w:val="baseline"/>
        </w:rPr>
      </w:pPr>
      <w:r w:rsidRPr="003A65E8">
        <w:rPr>
          <w:rStyle w:val="FootnoteReference"/>
          <w:sz w:val="16"/>
          <w:szCs w:val="16"/>
        </w:rPr>
        <w:footnoteRef/>
      </w:r>
      <w:r>
        <w:t xml:space="preserve"> </w:t>
      </w:r>
      <w:r w:rsidRPr="004C7880">
        <w:rPr>
          <w:rStyle w:val="FootnoteReference"/>
          <w:sz w:val="16"/>
          <w:szCs w:val="16"/>
          <w:vertAlign w:val="baseline"/>
        </w:rPr>
        <w:t>Average age of a CIM’d client for the quarter is calculated at the first conference date held where the client was placed on a CIM during the quarter.</w:t>
      </w:r>
      <w:r w:rsidRPr="004C7880" w:rsidDel="004C7880">
        <w:rPr>
          <w:rStyle w:val="FootnoteReference"/>
          <w:sz w:val="16"/>
          <w:szCs w:val="16"/>
          <w:vertAlign w:val="baseline"/>
        </w:rPr>
        <w:t xml:space="preserve"> </w:t>
      </w:r>
    </w:p>
  </w:footnote>
  <w:footnote w:id="15">
    <w:p w14:paraId="5014099E" w14:textId="0B6B0C8B" w:rsidR="0007162A" w:rsidRDefault="0007162A">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referred client for the quarter through a Voluntary Agreement is calculated at the start date of the voluntary agreement where the client entered into a voluntary case plan during the quarter.</w:t>
      </w:r>
      <w:r w:rsidRPr="004C7880" w:rsidDel="004C7880">
        <w:rPr>
          <w:rStyle w:val="FootnoteReference"/>
          <w:vertAlign w:val="baseline"/>
        </w:rPr>
        <w:t xml:space="preserve"> </w:t>
      </w:r>
    </w:p>
  </w:footnote>
  <w:footnote w:id="16">
    <w:p w14:paraId="4AA50FB0" w14:textId="769D9026" w:rsidR="0007162A" w:rsidRDefault="0007162A">
      <w:pPr>
        <w:pStyle w:val="FootnoteText"/>
      </w:pPr>
      <w:r w:rsidRPr="003A65E8">
        <w:rPr>
          <w:rStyle w:val="FootnoteReference"/>
          <w:sz w:val="16"/>
          <w:szCs w:val="16"/>
        </w:rPr>
        <w:footnoteRef/>
      </w:r>
      <w:r>
        <w:t xml:space="preserve"> </w:t>
      </w:r>
      <w:r w:rsidRPr="004C7880">
        <w:rPr>
          <w:rStyle w:val="FootnoteReference"/>
          <w:sz w:val="16"/>
          <w:szCs w:val="16"/>
          <w:vertAlign w:val="baseline"/>
        </w:rPr>
        <w:t>Average age of a VIM’d client for the quarter is calculated at the start date of the agreement where the client was placed on a VIM during the quarter.</w:t>
      </w:r>
    </w:p>
  </w:footnote>
  <w:footnote w:id="17">
    <w:p w14:paraId="7CE1A087" w14:textId="49542CF8" w:rsidR="0007162A" w:rsidRDefault="0007162A">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client who submitted an amend/end application for the quarter is calculated at the received date of the application for the client during the quarter.</w:t>
      </w:r>
    </w:p>
  </w:footnote>
  <w:footnote w:id="18">
    <w:p w14:paraId="15716F00" w14:textId="154587BC" w:rsidR="00324B7B" w:rsidRPr="006F1AA0" w:rsidRDefault="00324B7B" w:rsidP="00F500CF">
      <w:pPr>
        <w:pStyle w:val="FootnoteText"/>
        <w:jc w:val="both"/>
        <w:rPr>
          <w:sz w:val="16"/>
          <w:szCs w:val="16"/>
        </w:rPr>
      </w:pPr>
      <w:r w:rsidRPr="00F30B54">
        <w:rPr>
          <w:sz w:val="16"/>
          <w:szCs w:val="16"/>
          <w:vertAlign w:val="superscript"/>
        </w:rPr>
        <w:footnoteRef/>
      </w:r>
      <w:r w:rsidRPr="00F30B54">
        <w:rPr>
          <w:sz w:val="16"/>
          <w:szCs w:val="16"/>
        </w:rPr>
        <w:t xml:space="preserve"> </w:t>
      </w:r>
      <w:r w:rsidR="00587B7C" w:rsidRPr="00F30B54">
        <w:rPr>
          <w:sz w:val="16"/>
          <w:szCs w:val="16"/>
        </w:rPr>
        <w:t>Note</w:t>
      </w:r>
      <w:r w:rsidR="00587B7C" w:rsidRPr="004971EA">
        <w:rPr>
          <w:sz w:val="16"/>
          <w:szCs w:val="16"/>
        </w:rPr>
        <w:t xml:space="preserve">: </w:t>
      </w:r>
      <w:r w:rsidR="006F1AA0" w:rsidRPr="006F1AA0">
        <w:rPr>
          <w:sz w:val="16"/>
          <w:szCs w:val="16"/>
        </w:rPr>
        <w:t>Australian Statistical Geography Standard 2021 boundaries used are local government areas for Aurukun, Doomadgee and Hope Vale, and statistical areas level 1 (SA1s) of 31501139616 for Coen and 30604116408 for Mossman Gorge.</w:t>
      </w:r>
    </w:p>
  </w:footnote>
  <w:footnote w:id="19">
    <w:p w14:paraId="3BBC0E7E" w14:textId="124EDE97" w:rsidR="00324B7B" w:rsidRPr="006F1AA0" w:rsidRDefault="00324B7B" w:rsidP="00F500CF">
      <w:pPr>
        <w:pStyle w:val="FootnoteText"/>
        <w:rPr>
          <w:sz w:val="16"/>
          <w:szCs w:val="16"/>
        </w:rPr>
      </w:pPr>
      <w:r w:rsidRPr="00F30B54">
        <w:rPr>
          <w:sz w:val="16"/>
          <w:szCs w:val="16"/>
          <w:vertAlign w:val="superscript"/>
        </w:rPr>
        <w:footnoteRef/>
      </w:r>
      <w:r w:rsidRPr="004971EA">
        <w:rPr>
          <w:sz w:val="16"/>
          <w:szCs w:val="16"/>
        </w:rPr>
        <w:t xml:space="preserve"> </w:t>
      </w:r>
      <w:r w:rsidR="00587B7C" w:rsidRPr="004971EA">
        <w:rPr>
          <w:sz w:val="16"/>
          <w:szCs w:val="16"/>
        </w:rPr>
        <w:t xml:space="preserve">Note: </w:t>
      </w:r>
      <w:r w:rsidR="006F1AA0" w:rsidRPr="006F1AA0">
        <w:rPr>
          <w:sz w:val="16"/>
          <w:szCs w:val="16"/>
        </w:rPr>
        <w:t>Adults 18 years and over provided by the Queensland Government Statistician’s Office (QGSO), Queensland Treasury, based on the ABS unpublished preliminary Estimated Resident Population (ERP) data by age and sex at the Local Government Area level for 30 June 2022.</w:t>
      </w:r>
    </w:p>
  </w:footnote>
  <w:footnote w:id="20">
    <w:p w14:paraId="3884DA28" w14:textId="655C1438" w:rsidR="00324B7B" w:rsidRDefault="00324B7B" w:rsidP="00F500CF">
      <w:pPr>
        <w:pStyle w:val="FootnoteText"/>
      </w:pPr>
      <w:r w:rsidRPr="00F30B54">
        <w:rPr>
          <w:sz w:val="16"/>
          <w:szCs w:val="16"/>
          <w:vertAlign w:val="superscript"/>
        </w:rPr>
        <w:footnoteRef/>
      </w:r>
      <w:r w:rsidRPr="00F30B54">
        <w:rPr>
          <w:sz w:val="16"/>
          <w:szCs w:val="16"/>
          <w:vertAlign w:val="superscript"/>
        </w:rPr>
        <w:t xml:space="preserve"> </w:t>
      </w:r>
      <w:r w:rsidR="00587B7C" w:rsidRPr="0006058E">
        <w:rPr>
          <w:sz w:val="16"/>
          <w:szCs w:val="16"/>
        </w:rPr>
        <w:t xml:space="preserve">Note: </w:t>
      </w:r>
      <w:r w:rsidR="006F1AA0" w:rsidRPr="006F1AA0">
        <w:rPr>
          <w:sz w:val="16"/>
          <w:szCs w:val="16"/>
        </w:rPr>
        <w:t>Adults 18 years and over provided by QGSO, Queensland Treasury, based on the ABS unpublished preliminary ERP data by age and sex at the Statistical Area level 1 for 30 June 2022.</w:t>
      </w:r>
    </w:p>
  </w:footnote>
  <w:footnote w:id="21">
    <w:p w14:paraId="5BB1F6F6" w14:textId="66103940" w:rsidR="00324B7B" w:rsidRDefault="00324B7B" w:rsidP="00F500CF">
      <w:pPr>
        <w:pStyle w:val="FootnoteText"/>
      </w:pPr>
      <w:r w:rsidRPr="00C5462F">
        <w:rPr>
          <w:rStyle w:val="FootnoteReference"/>
          <w:sz w:val="16"/>
          <w:szCs w:val="16"/>
        </w:rPr>
        <w:footnoteRef/>
      </w:r>
      <w:r w:rsidRPr="004971EA">
        <w:rPr>
          <w:sz w:val="16"/>
          <w:szCs w:val="16"/>
        </w:rPr>
        <w:t xml:space="preserve"> </w:t>
      </w:r>
      <w:r w:rsidR="00587B7C" w:rsidRPr="008B5D72">
        <w:rPr>
          <w:sz w:val="16"/>
          <w:szCs w:val="16"/>
        </w:rPr>
        <w:t xml:space="preserve">Note: </w:t>
      </w:r>
      <w:r w:rsidR="006F1AA0" w:rsidRPr="006F1AA0">
        <w:rPr>
          <w:sz w:val="16"/>
          <w:szCs w:val="16"/>
        </w:rPr>
        <w:t>Total population provided by QGSO, Queensland Treasury, not 18 years and older, due to the small size of the total population from the ABS unpublished preliminary ERP data at the Statistical Area level 1 for 30 June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82A3" w14:textId="65FBE856" w:rsidR="00324B7B" w:rsidRDefault="00324B7B">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mV9AEAAMU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" o:allowincell="f" filled="f" stroked="f">
              <v:stroke joinstyle="round"/>
              <o:lock v:ext="edit" shapetype="t"/>
              <v:textbox style="mso-fit-shape-to-text:t">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Ed9gEAAMw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" o:allowincell="f" filled="f" stroked="f">
              <v:stroke joinstyle="round"/>
              <o:lock v:ext="edit" shapetype="t"/>
              <v:textbox style="mso-fit-shape-to-text:t">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490BF8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A698C5B2"/>
    <w:lvl w:ilvl="0">
      <w:numFmt w:val="decimal"/>
      <w:pStyle w:val="Caption"/>
      <w:lvlText w:val="*"/>
      <w:lvlJc w:val="left"/>
      <w:rPr>
        <w:rFonts w:cs="Times New Roman"/>
      </w:rPr>
    </w:lvl>
  </w:abstractNum>
  <w:abstractNum w:abstractNumId="3" w15:restartNumberingAfterBreak="0">
    <w:nsid w:val="03B97473"/>
    <w:multiLevelType w:val="hybridMultilevel"/>
    <w:tmpl w:val="4606D05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5"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50F6B17"/>
    <w:multiLevelType w:val="hybridMultilevel"/>
    <w:tmpl w:val="41B2B9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8A60D7"/>
    <w:multiLevelType w:val="hybridMultilevel"/>
    <w:tmpl w:val="C2A60D2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4C3A90"/>
    <w:multiLevelType w:val="hybridMultilevel"/>
    <w:tmpl w:val="EEE689B8"/>
    <w:lvl w:ilvl="0" w:tplc="0C09000B">
      <w:start w:val="1"/>
      <w:numFmt w:val="bullet"/>
      <w:lvlText w:val=""/>
      <w:lvlJc w:val="left"/>
      <w:pPr>
        <w:ind w:left="1724" w:hanging="360"/>
      </w:pPr>
      <w:rPr>
        <w:rFonts w:ascii="Wingdings" w:hAnsi="Wingdings" w:hint="default"/>
      </w:rPr>
    </w:lvl>
    <w:lvl w:ilvl="1" w:tplc="0C090003">
      <w:start w:val="1"/>
      <w:numFmt w:val="bullet"/>
      <w:lvlText w:val="o"/>
      <w:lvlJc w:val="left"/>
      <w:pPr>
        <w:ind w:left="2444" w:hanging="360"/>
      </w:pPr>
      <w:rPr>
        <w:rFonts w:ascii="Courier New" w:hAnsi="Courier New" w:cs="Courier New" w:hint="default"/>
      </w:rPr>
    </w:lvl>
    <w:lvl w:ilvl="2" w:tplc="0C090005">
      <w:start w:val="1"/>
      <w:numFmt w:val="bullet"/>
      <w:lvlText w:val=""/>
      <w:lvlJc w:val="left"/>
      <w:pPr>
        <w:ind w:left="3164" w:hanging="360"/>
      </w:pPr>
      <w:rPr>
        <w:rFonts w:ascii="Wingdings" w:hAnsi="Wingdings" w:hint="default"/>
      </w:rPr>
    </w:lvl>
    <w:lvl w:ilvl="3" w:tplc="0C090001">
      <w:start w:val="1"/>
      <w:numFmt w:val="bullet"/>
      <w:lvlText w:val=""/>
      <w:lvlJc w:val="left"/>
      <w:pPr>
        <w:ind w:left="3884" w:hanging="360"/>
      </w:pPr>
      <w:rPr>
        <w:rFonts w:ascii="Symbol" w:hAnsi="Symbol" w:hint="default"/>
      </w:rPr>
    </w:lvl>
    <w:lvl w:ilvl="4" w:tplc="0C090003">
      <w:start w:val="1"/>
      <w:numFmt w:val="bullet"/>
      <w:lvlText w:val="o"/>
      <w:lvlJc w:val="left"/>
      <w:pPr>
        <w:ind w:left="4604" w:hanging="360"/>
      </w:pPr>
      <w:rPr>
        <w:rFonts w:ascii="Courier New" w:hAnsi="Courier New" w:cs="Courier New" w:hint="default"/>
      </w:rPr>
    </w:lvl>
    <w:lvl w:ilvl="5" w:tplc="0C090005">
      <w:start w:val="1"/>
      <w:numFmt w:val="bullet"/>
      <w:lvlText w:val=""/>
      <w:lvlJc w:val="left"/>
      <w:pPr>
        <w:ind w:left="5324" w:hanging="360"/>
      </w:pPr>
      <w:rPr>
        <w:rFonts w:ascii="Wingdings" w:hAnsi="Wingdings" w:hint="default"/>
      </w:rPr>
    </w:lvl>
    <w:lvl w:ilvl="6" w:tplc="0C090001">
      <w:start w:val="1"/>
      <w:numFmt w:val="bullet"/>
      <w:lvlText w:val=""/>
      <w:lvlJc w:val="left"/>
      <w:pPr>
        <w:ind w:left="6044" w:hanging="360"/>
      </w:pPr>
      <w:rPr>
        <w:rFonts w:ascii="Symbol" w:hAnsi="Symbol" w:hint="default"/>
      </w:rPr>
    </w:lvl>
    <w:lvl w:ilvl="7" w:tplc="0C090003">
      <w:start w:val="1"/>
      <w:numFmt w:val="bullet"/>
      <w:lvlText w:val="o"/>
      <w:lvlJc w:val="left"/>
      <w:pPr>
        <w:ind w:left="6764" w:hanging="360"/>
      </w:pPr>
      <w:rPr>
        <w:rFonts w:ascii="Courier New" w:hAnsi="Courier New" w:cs="Courier New" w:hint="default"/>
      </w:rPr>
    </w:lvl>
    <w:lvl w:ilvl="8" w:tplc="0C090005">
      <w:start w:val="1"/>
      <w:numFmt w:val="bullet"/>
      <w:lvlText w:val=""/>
      <w:lvlJc w:val="left"/>
      <w:pPr>
        <w:ind w:left="7484" w:hanging="360"/>
      </w:pPr>
      <w:rPr>
        <w:rFonts w:ascii="Wingdings" w:hAnsi="Wingdings" w:hint="default"/>
      </w:rPr>
    </w:lvl>
  </w:abstractNum>
  <w:abstractNum w:abstractNumId="11" w15:restartNumberingAfterBreak="0">
    <w:nsid w:val="45B45CE4"/>
    <w:multiLevelType w:val="hybridMultilevel"/>
    <w:tmpl w:val="994C6786"/>
    <w:lvl w:ilvl="0" w:tplc="0C090001">
      <w:start w:val="1"/>
      <w:numFmt w:val="bullet"/>
      <w:lvlText w:val=""/>
      <w:lvlJc w:val="left"/>
      <w:pPr>
        <w:ind w:left="578" w:hanging="360"/>
      </w:pPr>
      <w:rPr>
        <w:rFonts w:ascii="Symbol" w:hAnsi="Symbol" w:hint="default"/>
      </w:rPr>
    </w:lvl>
    <w:lvl w:ilvl="1" w:tplc="0C09000B">
      <w:start w:val="1"/>
      <w:numFmt w:val="bullet"/>
      <w:lvlText w:val=""/>
      <w:lvlJc w:val="left"/>
      <w:pPr>
        <w:ind w:left="1298" w:hanging="360"/>
      </w:pPr>
      <w:rPr>
        <w:rFonts w:ascii="Wingdings" w:hAnsi="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2" w15:restartNumberingAfterBreak="0">
    <w:nsid w:val="469B5EC6"/>
    <w:multiLevelType w:val="hybridMultilevel"/>
    <w:tmpl w:val="F6607FB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3"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5" w15:restartNumberingAfterBreak="0">
    <w:nsid w:val="56D2787C"/>
    <w:multiLevelType w:val="multilevel"/>
    <w:tmpl w:val="12968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806ACB"/>
    <w:multiLevelType w:val="hybridMultilevel"/>
    <w:tmpl w:val="591C208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6A256849"/>
    <w:multiLevelType w:val="hybridMultilevel"/>
    <w:tmpl w:val="204C88F2"/>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15:restartNumberingAfterBreak="0">
    <w:nsid w:val="74663EFE"/>
    <w:multiLevelType w:val="hybridMultilevel"/>
    <w:tmpl w:val="A6AA672E"/>
    <w:lvl w:ilvl="0" w:tplc="0C09000B">
      <w:start w:val="1"/>
      <w:numFmt w:val="bullet"/>
      <w:lvlText w:val=""/>
      <w:lvlJc w:val="left"/>
      <w:pPr>
        <w:ind w:left="774" w:hanging="360"/>
      </w:pPr>
      <w:rPr>
        <w:rFonts w:ascii="Wingdings" w:hAnsi="Wingdings"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21"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2720553">
    <w:abstractNumId w:val="2"/>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339044554">
    <w:abstractNumId w:val="18"/>
  </w:num>
  <w:num w:numId="3" w16cid:durableId="1469781046">
    <w:abstractNumId w:val="5"/>
  </w:num>
  <w:num w:numId="4" w16cid:durableId="47189556">
    <w:abstractNumId w:val="19"/>
  </w:num>
  <w:num w:numId="5" w16cid:durableId="1836995923">
    <w:abstractNumId w:val="21"/>
  </w:num>
  <w:num w:numId="6" w16cid:durableId="879827819">
    <w:abstractNumId w:val="1"/>
  </w:num>
  <w:num w:numId="7" w16cid:durableId="2082289908">
    <w:abstractNumId w:val="7"/>
  </w:num>
  <w:num w:numId="8" w16cid:durableId="655643015">
    <w:abstractNumId w:val="4"/>
  </w:num>
  <w:num w:numId="9" w16cid:durableId="1632320174">
    <w:abstractNumId w:val="13"/>
  </w:num>
  <w:num w:numId="10" w16cid:durableId="687173672">
    <w:abstractNumId w:val="11"/>
  </w:num>
  <w:num w:numId="11" w16cid:durableId="1309020323">
    <w:abstractNumId w:val="16"/>
  </w:num>
  <w:num w:numId="12" w16cid:durableId="998507440">
    <w:abstractNumId w:val="14"/>
  </w:num>
  <w:num w:numId="13" w16cid:durableId="730270374">
    <w:abstractNumId w:val="12"/>
  </w:num>
  <w:num w:numId="14" w16cid:durableId="919216714">
    <w:abstractNumId w:val="8"/>
  </w:num>
  <w:num w:numId="15" w16cid:durableId="1367758142">
    <w:abstractNumId w:val="17"/>
  </w:num>
  <w:num w:numId="16" w16cid:durableId="1064331350">
    <w:abstractNumId w:val="9"/>
  </w:num>
  <w:num w:numId="17" w16cid:durableId="674841682">
    <w:abstractNumId w:val="0"/>
  </w:num>
  <w:num w:numId="18" w16cid:durableId="1637103534">
    <w:abstractNumId w:val="10"/>
  </w:num>
  <w:num w:numId="19" w16cid:durableId="506409913">
    <w:abstractNumId w:val="15"/>
  </w:num>
  <w:num w:numId="20" w16cid:durableId="316108845">
    <w:abstractNumId w:val="20"/>
  </w:num>
  <w:num w:numId="21" w16cid:durableId="1549678948">
    <w:abstractNumId w:val="3"/>
  </w:num>
  <w:num w:numId="22" w16cid:durableId="17407515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0FBB"/>
    <w:rsid w:val="00000FF9"/>
    <w:rsid w:val="000010BC"/>
    <w:rsid w:val="0000121E"/>
    <w:rsid w:val="00001341"/>
    <w:rsid w:val="000013AA"/>
    <w:rsid w:val="000013EF"/>
    <w:rsid w:val="00001546"/>
    <w:rsid w:val="0000180A"/>
    <w:rsid w:val="00001818"/>
    <w:rsid w:val="00001840"/>
    <w:rsid w:val="00001AA1"/>
    <w:rsid w:val="00001BAB"/>
    <w:rsid w:val="00001CE2"/>
    <w:rsid w:val="00001DED"/>
    <w:rsid w:val="00001E8D"/>
    <w:rsid w:val="00001FB1"/>
    <w:rsid w:val="00002082"/>
    <w:rsid w:val="000022AB"/>
    <w:rsid w:val="000022D9"/>
    <w:rsid w:val="00002949"/>
    <w:rsid w:val="00002BF6"/>
    <w:rsid w:val="00002D0C"/>
    <w:rsid w:val="00002E4C"/>
    <w:rsid w:val="0000355E"/>
    <w:rsid w:val="000036F5"/>
    <w:rsid w:val="00003756"/>
    <w:rsid w:val="00003AD4"/>
    <w:rsid w:val="00003FA5"/>
    <w:rsid w:val="000040A8"/>
    <w:rsid w:val="0000478B"/>
    <w:rsid w:val="000047DC"/>
    <w:rsid w:val="00004A47"/>
    <w:rsid w:val="00004D7C"/>
    <w:rsid w:val="00004D7E"/>
    <w:rsid w:val="00004F7D"/>
    <w:rsid w:val="00004FB4"/>
    <w:rsid w:val="000052E6"/>
    <w:rsid w:val="000058CD"/>
    <w:rsid w:val="00005A38"/>
    <w:rsid w:val="00005AEB"/>
    <w:rsid w:val="00005E39"/>
    <w:rsid w:val="00006185"/>
    <w:rsid w:val="00006254"/>
    <w:rsid w:val="000062EC"/>
    <w:rsid w:val="00006699"/>
    <w:rsid w:val="00006743"/>
    <w:rsid w:val="0000674B"/>
    <w:rsid w:val="000068AE"/>
    <w:rsid w:val="000068E7"/>
    <w:rsid w:val="0000692B"/>
    <w:rsid w:val="00006B81"/>
    <w:rsid w:val="00006CA5"/>
    <w:rsid w:val="00006F38"/>
    <w:rsid w:val="00007263"/>
    <w:rsid w:val="000072FE"/>
    <w:rsid w:val="0000747A"/>
    <w:rsid w:val="00007930"/>
    <w:rsid w:val="00007A59"/>
    <w:rsid w:val="00007B00"/>
    <w:rsid w:val="00007BA5"/>
    <w:rsid w:val="00007BA9"/>
    <w:rsid w:val="000101BA"/>
    <w:rsid w:val="000102C9"/>
    <w:rsid w:val="00010328"/>
    <w:rsid w:val="00010639"/>
    <w:rsid w:val="000108AD"/>
    <w:rsid w:val="0001094E"/>
    <w:rsid w:val="00010BBF"/>
    <w:rsid w:val="00010EF3"/>
    <w:rsid w:val="000111F9"/>
    <w:rsid w:val="0001136D"/>
    <w:rsid w:val="0001141C"/>
    <w:rsid w:val="00011490"/>
    <w:rsid w:val="000114A6"/>
    <w:rsid w:val="000116C1"/>
    <w:rsid w:val="00011851"/>
    <w:rsid w:val="000118DB"/>
    <w:rsid w:val="00011A27"/>
    <w:rsid w:val="00011A44"/>
    <w:rsid w:val="00011EAC"/>
    <w:rsid w:val="00012243"/>
    <w:rsid w:val="00012307"/>
    <w:rsid w:val="00012727"/>
    <w:rsid w:val="00012782"/>
    <w:rsid w:val="000127DC"/>
    <w:rsid w:val="00012B69"/>
    <w:rsid w:val="00012BC4"/>
    <w:rsid w:val="00012D60"/>
    <w:rsid w:val="00012FF1"/>
    <w:rsid w:val="00013022"/>
    <w:rsid w:val="000130C1"/>
    <w:rsid w:val="00013220"/>
    <w:rsid w:val="00013295"/>
    <w:rsid w:val="0001339A"/>
    <w:rsid w:val="000133FB"/>
    <w:rsid w:val="000135F4"/>
    <w:rsid w:val="0001383B"/>
    <w:rsid w:val="00013959"/>
    <w:rsid w:val="00013B20"/>
    <w:rsid w:val="00013CBD"/>
    <w:rsid w:val="00013F94"/>
    <w:rsid w:val="00014009"/>
    <w:rsid w:val="00014180"/>
    <w:rsid w:val="00014636"/>
    <w:rsid w:val="00014749"/>
    <w:rsid w:val="00014855"/>
    <w:rsid w:val="000149B6"/>
    <w:rsid w:val="000149D0"/>
    <w:rsid w:val="00014B53"/>
    <w:rsid w:val="00014C9A"/>
    <w:rsid w:val="00014EB6"/>
    <w:rsid w:val="00014F68"/>
    <w:rsid w:val="000152F9"/>
    <w:rsid w:val="00015366"/>
    <w:rsid w:val="000153CE"/>
    <w:rsid w:val="0001550D"/>
    <w:rsid w:val="000156CD"/>
    <w:rsid w:val="0001572D"/>
    <w:rsid w:val="00015759"/>
    <w:rsid w:val="000157CE"/>
    <w:rsid w:val="00015CAD"/>
    <w:rsid w:val="00015DF4"/>
    <w:rsid w:val="00015EDA"/>
    <w:rsid w:val="00015EDE"/>
    <w:rsid w:val="0001603A"/>
    <w:rsid w:val="000166C6"/>
    <w:rsid w:val="000168F6"/>
    <w:rsid w:val="00016926"/>
    <w:rsid w:val="00016B36"/>
    <w:rsid w:val="00016B8C"/>
    <w:rsid w:val="00016BA3"/>
    <w:rsid w:val="00016C84"/>
    <w:rsid w:val="000171D3"/>
    <w:rsid w:val="000172FC"/>
    <w:rsid w:val="00017419"/>
    <w:rsid w:val="0001785E"/>
    <w:rsid w:val="00017AEF"/>
    <w:rsid w:val="00017D68"/>
    <w:rsid w:val="00017DD6"/>
    <w:rsid w:val="00017DF8"/>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288"/>
    <w:rsid w:val="000215B0"/>
    <w:rsid w:val="000216DD"/>
    <w:rsid w:val="000216F3"/>
    <w:rsid w:val="000218DF"/>
    <w:rsid w:val="0002195A"/>
    <w:rsid w:val="000219BE"/>
    <w:rsid w:val="00021D30"/>
    <w:rsid w:val="00021FD3"/>
    <w:rsid w:val="00021FED"/>
    <w:rsid w:val="00022256"/>
    <w:rsid w:val="00022690"/>
    <w:rsid w:val="000228CE"/>
    <w:rsid w:val="00022A61"/>
    <w:rsid w:val="0002304D"/>
    <w:rsid w:val="00023090"/>
    <w:rsid w:val="00023110"/>
    <w:rsid w:val="00023277"/>
    <w:rsid w:val="000232D9"/>
    <w:rsid w:val="0002375F"/>
    <w:rsid w:val="000237E5"/>
    <w:rsid w:val="000238CF"/>
    <w:rsid w:val="000238EE"/>
    <w:rsid w:val="00023EA1"/>
    <w:rsid w:val="00024039"/>
    <w:rsid w:val="00024088"/>
    <w:rsid w:val="0002417B"/>
    <w:rsid w:val="000242AA"/>
    <w:rsid w:val="000243EF"/>
    <w:rsid w:val="00024500"/>
    <w:rsid w:val="000245C3"/>
    <w:rsid w:val="00024A73"/>
    <w:rsid w:val="00024B81"/>
    <w:rsid w:val="00024BC6"/>
    <w:rsid w:val="00024C90"/>
    <w:rsid w:val="00025054"/>
    <w:rsid w:val="00025194"/>
    <w:rsid w:val="000256E1"/>
    <w:rsid w:val="000257CF"/>
    <w:rsid w:val="000257DF"/>
    <w:rsid w:val="00025928"/>
    <w:rsid w:val="0002593E"/>
    <w:rsid w:val="000259FA"/>
    <w:rsid w:val="00025B58"/>
    <w:rsid w:val="00025D77"/>
    <w:rsid w:val="00025DBA"/>
    <w:rsid w:val="00025DDC"/>
    <w:rsid w:val="00025F03"/>
    <w:rsid w:val="00026475"/>
    <w:rsid w:val="0002665C"/>
    <w:rsid w:val="00026879"/>
    <w:rsid w:val="0002698B"/>
    <w:rsid w:val="000269D2"/>
    <w:rsid w:val="00026C3E"/>
    <w:rsid w:val="00026F91"/>
    <w:rsid w:val="00026FBA"/>
    <w:rsid w:val="0002719F"/>
    <w:rsid w:val="000272AD"/>
    <w:rsid w:val="000272F4"/>
    <w:rsid w:val="000276FC"/>
    <w:rsid w:val="00027963"/>
    <w:rsid w:val="00027995"/>
    <w:rsid w:val="00027A2A"/>
    <w:rsid w:val="00027A34"/>
    <w:rsid w:val="00027EA9"/>
    <w:rsid w:val="0003006E"/>
    <w:rsid w:val="0003023A"/>
    <w:rsid w:val="000305F2"/>
    <w:rsid w:val="0003062F"/>
    <w:rsid w:val="000308B0"/>
    <w:rsid w:val="000308D1"/>
    <w:rsid w:val="00030ADB"/>
    <w:rsid w:val="00030E9D"/>
    <w:rsid w:val="00030F3F"/>
    <w:rsid w:val="00031361"/>
    <w:rsid w:val="0003139F"/>
    <w:rsid w:val="0003140A"/>
    <w:rsid w:val="00031735"/>
    <w:rsid w:val="0003174C"/>
    <w:rsid w:val="0003177B"/>
    <w:rsid w:val="0003177F"/>
    <w:rsid w:val="000317DC"/>
    <w:rsid w:val="0003185A"/>
    <w:rsid w:val="000319D3"/>
    <w:rsid w:val="00031A6E"/>
    <w:rsid w:val="00031AEB"/>
    <w:rsid w:val="00031C25"/>
    <w:rsid w:val="00031E8C"/>
    <w:rsid w:val="00031FD2"/>
    <w:rsid w:val="00032259"/>
    <w:rsid w:val="000324EF"/>
    <w:rsid w:val="000327E1"/>
    <w:rsid w:val="0003283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1A"/>
    <w:rsid w:val="0003415F"/>
    <w:rsid w:val="00034221"/>
    <w:rsid w:val="000342D9"/>
    <w:rsid w:val="0003431D"/>
    <w:rsid w:val="00034341"/>
    <w:rsid w:val="0003457B"/>
    <w:rsid w:val="00034601"/>
    <w:rsid w:val="0003469F"/>
    <w:rsid w:val="000347E0"/>
    <w:rsid w:val="00034843"/>
    <w:rsid w:val="00034D8E"/>
    <w:rsid w:val="00034DC3"/>
    <w:rsid w:val="00034FA6"/>
    <w:rsid w:val="00035006"/>
    <w:rsid w:val="00035309"/>
    <w:rsid w:val="00035794"/>
    <w:rsid w:val="000357ED"/>
    <w:rsid w:val="000358AC"/>
    <w:rsid w:val="00035B6E"/>
    <w:rsid w:val="00036093"/>
    <w:rsid w:val="000361E4"/>
    <w:rsid w:val="00036306"/>
    <w:rsid w:val="000364B5"/>
    <w:rsid w:val="000366FD"/>
    <w:rsid w:val="0003677B"/>
    <w:rsid w:val="00036853"/>
    <w:rsid w:val="0003687E"/>
    <w:rsid w:val="000368A0"/>
    <w:rsid w:val="00036AB1"/>
    <w:rsid w:val="00036AFC"/>
    <w:rsid w:val="00036D2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508"/>
    <w:rsid w:val="000406EE"/>
    <w:rsid w:val="00040870"/>
    <w:rsid w:val="00040A15"/>
    <w:rsid w:val="000411A2"/>
    <w:rsid w:val="000411A9"/>
    <w:rsid w:val="00041270"/>
    <w:rsid w:val="00041335"/>
    <w:rsid w:val="0004136D"/>
    <w:rsid w:val="00041392"/>
    <w:rsid w:val="000415A0"/>
    <w:rsid w:val="000416CE"/>
    <w:rsid w:val="000418C6"/>
    <w:rsid w:val="0004193C"/>
    <w:rsid w:val="00041997"/>
    <w:rsid w:val="00041D5F"/>
    <w:rsid w:val="00041D6E"/>
    <w:rsid w:val="00041DA2"/>
    <w:rsid w:val="00041E39"/>
    <w:rsid w:val="00041F3C"/>
    <w:rsid w:val="00042060"/>
    <w:rsid w:val="00042089"/>
    <w:rsid w:val="000420C3"/>
    <w:rsid w:val="000421CF"/>
    <w:rsid w:val="000424FE"/>
    <w:rsid w:val="00042533"/>
    <w:rsid w:val="00042559"/>
    <w:rsid w:val="000425FC"/>
    <w:rsid w:val="000426BA"/>
    <w:rsid w:val="00042A81"/>
    <w:rsid w:val="00042BCA"/>
    <w:rsid w:val="00042CC2"/>
    <w:rsid w:val="00042DF7"/>
    <w:rsid w:val="00042E55"/>
    <w:rsid w:val="00042E7C"/>
    <w:rsid w:val="0004375F"/>
    <w:rsid w:val="00043856"/>
    <w:rsid w:val="00043AA0"/>
    <w:rsid w:val="00043EB1"/>
    <w:rsid w:val="000440CF"/>
    <w:rsid w:val="0004440B"/>
    <w:rsid w:val="00044540"/>
    <w:rsid w:val="000445D3"/>
    <w:rsid w:val="000445E2"/>
    <w:rsid w:val="00044A06"/>
    <w:rsid w:val="00044BE3"/>
    <w:rsid w:val="00044C50"/>
    <w:rsid w:val="00044C9A"/>
    <w:rsid w:val="00044D3A"/>
    <w:rsid w:val="000451D4"/>
    <w:rsid w:val="00045DD8"/>
    <w:rsid w:val="00045E7C"/>
    <w:rsid w:val="00045F38"/>
    <w:rsid w:val="0004637C"/>
    <w:rsid w:val="0004639A"/>
    <w:rsid w:val="000463FB"/>
    <w:rsid w:val="00046637"/>
    <w:rsid w:val="00046644"/>
    <w:rsid w:val="00046CFE"/>
    <w:rsid w:val="00046D12"/>
    <w:rsid w:val="00046EE8"/>
    <w:rsid w:val="00046EF5"/>
    <w:rsid w:val="000474F4"/>
    <w:rsid w:val="0004757A"/>
    <w:rsid w:val="00047687"/>
    <w:rsid w:val="0004774C"/>
    <w:rsid w:val="00047888"/>
    <w:rsid w:val="00047E2E"/>
    <w:rsid w:val="000500C4"/>
    <w:rsid w:val="0005023F"/>
    <w:rsid w:val="00050296"/>
    <w:rsid w:val="00050402"/>
    <w:rsid w:val="00050592"/>
    <w:rsid w:val="000506CB"/>
    <w:rsid w:val="0005083D"/>
    <w:rsid w:val="00050961"/>
    <w:rsid w:val="00050A13"/>
    <w:rsid w:val="00050BAC"/>
    <w:rsid w:val="00050BCC"/>
    <w:rsid w:val="00050D22"/>
    <w:rsid w:val="00050F3B"/>
    <w:rsid w:val="00050F4A"/>
    <w:rsid w:val="00051000"/>
    <w:rsid w:val="0005100D"/>
    <w:rsid w:val="0005113F"/>
    <w:rsid w:val="000511C7"/>
    <w:rsid w:val="000512CC"/>
    <w:rsid w:val="0005148A"/>
    <w:rsid w:val="000519E6"/>
    <w:rsid w:val="00051A38"/>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C3C"/>
    <w:rsid w:val="00052EB5"/>
    <w:rsid w:val="00052F0D"/>
    <w:rsid w:val="00052FC6"/>
    <w:rsid w:val="0005311A"/>
    <w:rsid w:val="000535A3"/>
    <w:rsid w:val="00053658"/>
    <w:rsid w:val="0005394C"/>
    <w:rsid w:val="00053C24"/>
    <w:rsid w:val="00053ED3"/>
    <w:rsid w:val="00054129"/>
    <w:rsid w:val="000541CA"/>
    <w:rsid w:val="000541CF"/>
    <w:rsid w:val="0005429E"/>
    <w:rsid w:val="000544BC"/>
    <w:rsid w:val="00054581"/>
    <w:rsid w:val="00054771"/>
    <w:rsid w:val="0005494A"/>
    <w:rsid w:val="00054CCC"/>
    <w:rsid w:val="00054D74"/>
    <w:rsid w:val="00054E05"/>
    <w:rsid w:val="00054E20"/>
    <w:rsid w:val="00054F6B"/>
    <w:rsid w:val="0005529E"/>
    <w:rsid w:val="00055318"/>
    <w:rsid w:val="00055349"/>
    <w:rsid w:val="000553D0"/>
    <w:rsid w:val="0005566E"/>
    <w:rsid w:val="00055789"/>
    <w:rsid w:val="00055891"/>
    <w:rsid w:val="00055AAF"/>
    <w:rsid w:val="00055ADA"/>
    <w:rsid w:val="00055B55"/>
    <w:rsid w:val="00055F4B"/>
    <w:rsid w:val="00055FB2"/>
    <w:rsid w:val="00056329"/>
    <w:rsid w:val="0005638B"/>
    <w:rsid w:val="0005638D"/>
    <w:rsid w:val="000566AA"/>
    <w:rsid w:val="000566F8"/>
    <w:rsid w:val="00056B48"/>
    <w:rsid w:val="00056D0D"/>
    <w:rsid w:val="00056DA3"/>
    <w:rsid w:val="00057179"/>
    <w:rsid w:val="000575B6"/>
    <w:rsid w:val="00057823"/>
    <w:rsid w:val="0005786D"/>
    <w:rsid w:val="00057A8F"/>
    <w:rsid w:val="00057B6E"/>
    <w:rsid w:val="0006007E"/>
    <w:rsid w:val="00060351"/>
    <w:rsid w:val="000603B6"/>
    <w:rsid w:val="0006064F"/>
    <w:rsid w:val="0006069B"/>
    <w:rsid w:val="00060733"/>
    <w:rsid w:val="00060863"/>
    <w:rsid w:val="00060C99"/>
    <w:rsid w:val="0006102A"/>
    <w:rsid w:val="000612F5"/>
    <w:rsid w:val="00061307"/>
    <w:rsid w:val="00061780"/>
    <w:rsid w:val="00061B71"/>
    <w:rsid w:val="00061DDC"/>
    <w:rsid w:val="00061EE8"/>
    <w:rsid w:val="00062332"/>
    <w:rsid w:val="000623B2"/>
    <w:rsid w:val="00062612"/>
    <w:rsid w:val="000627DE"/>
    <w:rsid w:val="000628DC"/>
    <w:rsid w:val="00062A30"/>
    <w:rsid w:val="00062C5A"/>
    <w:rsid w:val="000630B4"/>
    <w:rsid w:val="00063231"/>
    <w:rsid w:val="00063565"/>
    <w:rsid w:val="0006382E"/>
    <w:rsid w:val="00063A31"/>
    <w:rsid w:val="00063B44"/>
    <w:rsid w:val="00063C4B"/>
    <w:rsid w:val="0006411B"/>
    <w:rsid w:val="0006419D"/>
    <w:rsid w:val="00064419"/>
    <w:rsid w:val="000646F9"/>
    <w:rsid w:val="00064810"/>
    <w:rsid w:val="00064A70"/>
    <w:rsid w:val="00064D55"/>
    <w:rsid w:val="00064FBC"/>
    <w:rsid w:val="0006502C"/>
    <w:rsid w:val="00065105"/>
    <w:rsid w:val="0006512B"/>
    <w:rsid w:val="00065352"/>
    <w:rsid w:val="0006570C"/>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58"/>
    <w:rsid w:val="00066AD2"/>
    <w:rsid w:val="00067051"/>
    <w:rsid w:val="00067057"/>
    <w:rsid w:val="0006727C"/>
    <w:rsid w:val="000674F6"/>
    <w:rsid w:val="000675A0"/>
    <w:rsid w:val="00067613"/>
    <w:rsid w:val="00067654"/>
    <w:rsid w:val="00067A34"/>
    <w:rsid w:val="00067BA8"/>
    <w:rsid w:val="00067EE4"/>
    <w:rsid w:val="00070104"/>
    <w:rsid w:val="000702FD"/>
    <w:rsid w:val="000706F7"/>
    <w:rsid w:val="00070796"/>
    <w:rsid w:val="000709B9"/>
    <w:rsid w:val="00070AC0"/>
    <w:rsid w:val="00070B4D"/>
    <w:rsid w:val="00070D65"/>
    <w:rsid w:val="00070DAC"/>
    <w:rsid w:val="00070E6B"/>
    <w:rsid w:val="0007100C"/>
    <w:rsid w:val="00071019"/>
    <w:rsid w:val="0007111D"/>
    <w:rsid w:val="0007138D"/>
    <w:rsid w:val="0007145B"/>
    <w:rsid w:val="0007162A"/>
    <w:rsid w:val="00071856"/>
    <w:rsid w:val="00071B1F"/>
    <w:rsid w:val="00071DFB"/>
    <w:rsid w:val="00071F63"/>
    <w:rsid w:val="0007204B"/>
    <w:rsid w:val="0007205C"/>
    <w:rsid w:val="000723DC"/>
    <w:rsid w:val="000724E4"/>
    <w:rsid w:val="0007265E"/>
    <w:rsid w:val="0007277D"/>
    <w:rsid w:val="000727EA"/>
    <w:rsid w:val="00072952"/>
    <w:rsid w:val="000729E5"/>
    <w:rsid w:val="00072EA3"/>
    <w:rsid w:val="00072FBA"/>
    <w:rsid w:val="000736E7"/>
    <w:rsid w:val="0007389A"/>
    <w:rsid w:val="00073A17"/>
    <w:rsid w:val="00073ACD"/>
    <w:rsid w:val="00073C0A"/>
    <w:rsid w:val="00073C92"/>
    <w:rsid w:val="00073E3A"/>
    <w:rsid w:val="000742F0"/>
    <w:rsid w:val="00074381"/>
    <w:rsid w:val="000743F4"/>
    <w:rsid w:val="00074403"/>
    <w:rsid w:val="0007447B"/>
    <w:rsid w:val="000745D1"/>
    <w:rsid w:val="0007465F"/>
    <w:rsid w:val="0007479D"/>
    <w:rsid w:val="00074A02"/>
    <w:rsid w:val="00074AC2"/>
    <w:rsid w:val="00074DAB"/>
    <w:rsid w:val="00074FCA"/>
    <w:rsid w:val="0007509D"/>
    <w:rsid w:val="0007527F"/>
    <w:rsid w:val="000752C1"/>
    <w:rsid w:val="00075571"/>
    <w:rsid w:val="000755DD"/>
    <w:rsid w:val="0007578E"/>
    <w:rsid w:val="00075812"/>
    <w:rsid w:val="000759EB"/>
    <w:rsid w:val="00075AEB"/>
    <w:rsid w:val="00075B5A"/>
    <w:rsid w:val="00075CBD"/>
    <w:rsid w:val="00075DF1"/>
    <w:rsid w:val="00075F13"/>
    <w:rsid w:val="00076664"/>
    <w:rsid w:val="000766E8"/>
    <w:rsid w:val="000767CA"/>
    <w:rsid w:val="00076DF0"/>
    <w:rsid w:val="00076ED0"/>
    <w:rsid w:val="00076F28"/>
    <w:rsid w:val="00076F49"/>
    <w:rsid w:val="0007704A"/>
    <w:rsid w:val="0007732E"/>
    <w:rsid w:val="000773ED"/>
    <w:rsid w:val="00077508"/>
    <w:rsid w:val="000775B1"/>
    <w:rsid w:val="000777E2"/>
    <w:rsid w:val="000778EB"/>
    <w:rsid w:val="000778EC"/>
    <w:rsid w:val="00077C20"/>
    <w:rsid w:val="00077DC7"/>
    <w:rsid w:val="00077F50"/>
    <w:rsid w:val="000800C3"/>
    <w:rsid w:val="000801CF"/>
    <w:rsid w:val="00080235"/>
    <w:rsid w:val="0008043B"/>
    <w:rsid w:val="0008053E"/>
    <w:rsid w:val="0008069E"/>
    <w:rsid w:val="000806FF"/>
    <w:rsid w:val="00080A6A"/>
    <w:rsid w:val="00080A91"/>
    <w:rsid w:val="00080CC6"/>
    <w:rsid w:val="00080E0C"/>
    <w:rsid w:val="00080FE0"/>
    <w:rsid w:val="0008114B"/>
    <w:rsid w:val="000811C7"/>
    <w:rsid w:val="000815E5"/>
    <w:rsid w:val="00081689"/>
    <w:rsid w:val="00081AA0"/>
    <w:rsid w:val="00081AA9"/>
    <w:rsid w:val="000822AF"/>
    <w:rsid w:val="000823AD"/>
    <w:rsid w:val="00082405"/>
    <w:rsid w:val="0008247E"/>
    <w:rsid w:val="000824D7"/>
    <w:rsid w:val="0008253E"/>
    <w:rsid w:val="0008254C"/>
    <w:rsid w:val="0008278B"/>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50F"/>
    <w:rsid w:val="0008495D"/>
    <w:rsid w:val="00084C17"/>
    <w:rsid w:val="00084EA5"/>
    <w:rsid w:val="000850EB"/>
    <w:rsid w:val="00085105"/>
    <w:rsid w:val="0008546D"/>
    <w:rsid w:val="00085675"/>
    <w:rsid w:val="00085687"/>
    <w:rsid w:val="000857D8"/>
    <w:rsid w:val="00085BF6"/>
    <w:rsid w:val="00085CDB"/>
    <w:rsid w:val="00085E08"/>
    <w:rsid w:val="00085F7B"/>
    <w:rsid w:val="00086044"/>
    <w:rsid w:val="0008633C"/>
    <w:rsid w:val="0008641C"/>
    <w:rsid w:val="00086DBA"/>
    <w:rsid w:val="00086E5B"/>
    <w:rsid w:val="00086E91"/>
    <w:rsid w:val="0008702D"/>
    <w:rsid w:val="00087193"/>
    <w:rsid w:val="00087253"/>
    <w:rsid w:val="000872E8"/>
    <w:rsid w:val="0008752E"/>
    <w:rsid w:val="000875AE"/>
    <w:rsid w:val="000875E5"/>
    <w:rsid w:val="0008767A"/>
    <w:rsid w:val="000876F7"/>
    <w:rsid w:val="000877DD"/>
    <w:rsid w:val="00087B6F"/>
    <w:rsid w:val="00087B99"/>
    <w:rsid w:val="00087F9B"/>
    <w:rsid w:val="00087FB0"/>
    <w:rsid w:val="0009012F"/>
    <w:rsid w:val="000901A9"/>
    <w:rsid w:val="00090404"/>
    <w:rsid w:val="00090561"/>
    <w:rsid w:val="000906AE"/>
    <w:rsid w:val="00090889"/>
    <w:rsid w:val="000908AE"/>
    <w:rsid w:val="0009094D"/>
    <w:rsid w:val="00090D16"/>
    <w:rsid w:val="00090E8B"/>
    <w:rsid w:val="0009108F"/>
    <w:rsid w:val="0009110A"/>
    <w:rsid w:val="00091147"/>
    <w:rsid w:val="0009129E"/>
    <w:rsid w:val="000912B2"/>
    <w:rsid w:val="000914CC"/>
    <w:rsid w:val="000915D5"/>
    <w:rsid w:val="000915DB"/>
    <w:rsid w:val="0009165D"/>
    <w:rsid w:val="00091828"/>
    <w:rsid w:val="00091AD9"/>
    <w:rsid w:val="00091AF9"/>
    <w:rsid w:val="00091CBE"/>
    <w:rsid w:val="00091CFE"/>
    <w:rsid w:val="00091DE0"/>
    <w:rsid w:val="00091EEA"/>
    <w:rsid w:val="00091F90"/>
    <w:rsid w:val="000921F0"/>
    <w:rsid w:val="0009231E"/>
    <w:rsid w:val="00092362"/>
    <w:rsid w:val="00092490"/>
    <w:rsid w:val="000924A0"/>
    <w:rsid w:val="00092661"/>
    <w:rsid w:val="00092695"/>
    <w:rsid w:val="00092756"/>
    <w:rsid w:val="00092FE3"/>
    <w:rsid w:val="00093196"/>
    <w:rsid w:val="0009319D"/>
    <w:rsid w:val="00093286"/>
    <w:rsid w:val="000932C8"/>
    <w:rsid w:val="000933CD"/>
    <w:rsid w:val="0009384A"/>
    <w:rsid w:val="00093930"/>
    <w:rsid w:val="00093C19"/>
    <w:rsid w:val="00093D52"/>
    <w:rsid w:val="00093F2D"/>
    <w:rsid w:val="00093F87"/>
    <w:rsid w:val="00093FB3"/>
    <w:rsid w:val="00094083"/>
    <w:rsid w:val="000940CC"/>
    <w:rsid w:val="0009427F"/>
    <w:rsid w:val="00094379"/>
    <w:rsid w:val="0009457F"/>
    <w:rsid w:val="00094AC7"/>
    <w:rsid w:val="00094CDC"/>
    <w:rsid w:val="000950F0"/>
    <w:rsid w:val="00095270"/>
    <w:rsid w:val="00095388"/>
    <w:rsid w:val="000957D9"/>
    <w:rsid w:val="000957FF"/>
    <w:rsid w:val="0009589C"/>
    <w:rsid w:val="00095A9A"/>
    <w:rsid w:val="00095B39"/>
    <w:rsid w:val="00095E43"/>
    <w:rsid w:val="00095E69"/>
    <w:rsid w:val="00095FF7"/>
    <w:rsid w:val="0009606A"/>
    <w:rsid w:val="0009607B"/>
    <w:rsid w:val="00096080"/>
    <w:rsid w:val="000963B2"/>
    <w:rsid w:val="000963D6"/>
    <w:rsid w:val="00096456"/>
    <w:rsid w:val="00096611"/>
    <w:rsid w:val="00096670"/>
    <w:rsid w:val="00096815"/>
    <w:rsid w:val="00096857"/>
    <w:rsid w:val="00096869"/>
    <w:rsid w:val="000969E5"/>
    <w:rsid w:val="00096A8C"/>
    <w:rsid w:val="00096AE0"/>
    <w:rsid w:val="00096B05"/>
    <w:rsid w:val="00096BD0"/>
    <w:rsid w:val="00096BE8"/>
    <w:rsid w:val="00096C0B"/>
    <w:rsid w:val="00096C45"/>
    <w:rsid w:val="00096E3A"/>
    <w:rsid w:val="00096EFD"/>
    <w:rsid w:val="00096F6F"/>
    <w:rsid w:val="00096FA5"/>
    <w:rsid w:val="00097189"/>
    <w:rsid w:val="00097593"/>
    <w:rsid w:val="0009773A"/>
    <w:rsid w:val="00097935"/>
    <w:rsid w:val="00097A20"/>
    <w:rsid w:val="00097AE7"/>
    <w:rsid w:val="00097BC8"/>
    <w:rsid w:val="00097C07"/>
    <w:rsid w:val="000A008C"/>
    <w:rsid w:val="000A0166"/>
    <w:rsid w:val="000A01CF"/>
    <w:rsid w:val="000A04C2"/>
    <w:rsid w:val="000A04DF"/>
    <w:rsid w:val="000A05BB"/>
    <w:rsid w:val="000A0BFC"/>
    <w:rsid w:val="000A0CFA"/>
    <w:rsid w:val="000A0FB7"/>
    <w:rsid w:val="000A10EF"/>
    <w:rsid w:val="000A10F8"/>
    <w:rsid w:val="000A110A"/>
    <w:rsid w:val="000A110F"/>
    <w:rsid w:val="000A118E"/>
    <w:rsid w:val="000A121A"/>
    <w:rsid w:val="000A14E2"/>
    <w:rsid w:val="000A155A"/>
    <w:rsid w:val="000A19DD"/>
    <w:rsid w:val="000A1E36"/>
    <w:rsid w:val="000A1F37"/>
    <w:rsid w:val="000A203F"/>
    <w:rsid w:val="000A20DE"/>
    <w:rsid w:val="000A223C"/>
    <w:rsid w:val="000A22E3"/>
    <w:rsid w:val="000A2349"/>
    <w:rsid w:val="000A2808"/>
    <w:rsid w:val="000A288F"/>
    <w:rsid w:val="000A28A4"/>
    <w:rsid w:val="000A2A02"/>
    <w:rsid w:val="000A2BCD"/>
    <w:rsid w:val="000A2C4C"/>
    <w:rsid w:val="000A2D4C"/>
    <w:rsid w:val="000A2D98"/>
    <w:rsid w:val="000A2E90"/>
    <w:rsid w:val="000A2FC1"/>
    <w:rsid w:val="000A315B"/>
    <w:rsid w:val="000A3204"/>
    <w:rsid w:val="000A348E"/>
    <w:rsid w:val="000A3567"/>
    <w:rsid w:val="000A3891"/>
    <w:rsid w:val="000A38AB"/>
    <w:rsid w:val="000A3947"/>
    <w:rsid w:val="000A3ACD"/>
    <w:rsid w:val="000A3D78"/>
    <w:rsid w:val="000A3DB3"/>
    <w:rsid w:val="000A3FD2"/>
    <w:rsid w:val="000A41DF"/>
    <w:rsid w:val="000A4528"/>
    <w:rsid w:val="000A46F3"/>
    <w:rsid w:val="000A4819"/>
    <w:rsid w:val="000A4DC2"/>
    <w:rsid w:val="000A5460"/>
    <w:rsid w:val="000A5464"/>
    <w:rsid w:val="000A54D4"/>
    <w:rsid w:val="000A5703"/>
    <w:rsid w:val="000A570F"/>
    <w:rsid w:val="000A5823"/>
    <w:rsid w:val="000A58DF"/>
    <w:rsid w:val="000A59EC"/>
    <w:rsid w:val="000A5A63"/>
    <w:rsid w:val="000A5DFC"/>
    <w:rsid w:val="000A5E6C"/>
    <w:rsid w:val="000A603A"/>
    <w:rsid w:val="000A616F"/>
    <w:rsid w:val="000A622A"/>
    <w:rsid w:val="000A6232"/>
    <w:rsid w:val="000A63AB"/>
    <w:rsid w:val="000A63E7"/>
    <w:rsid w:val="000A64E9"/>
    <w:rsid w:val="000A64F1"/>
    <w:rsid w:val="000A65DD"/>
    <w:rsid w:val="000A670E"/>
    <w:rsid w:val="000A6C8E"/>
    <w:rsid w:val="000A6E84"/>
    <w:rsid w:val="000A702B"/>
    <w:rsid w:val="000A71A2"/>
    <w:rsid w:val="000A759D"/>
    <w:rsid w:val="000A766B"/>
    <w:rsid w:val="000A7823"/>
    <w:rsid w:val="000A78F2"/>
    <w:rsid w:val="000A7AFF"/>
    <w:rsid w:val="000A7B9E"/>
    <w:rsid w:val="000A7C59"/>
    <w:rsid w:val="000B029F"/>
    <w:rsid w:val="000B0676"/>
    <w:rsid w:val="000B09E5"/>
    <w:rsid w:val="000B0B6F"/>
    <w:rsid w:val="000B0E76"/>
    <w:rsid w:val="000B0EF5"/>
    <w:rsid w:val="000B0F0E"/>
    <w:rsid w:val="000B158A"/>
    <w:rsid w:val="000B15DA"/>
    <w:rsid w:val="000B164F"/>
    <w:rsid w:val="000B16D3"/>
    <w:rsid w:val="000B1D3E"/>
    <w:rsid w:val="000B1E56"/>
    <w:rsid w:val="000B212C"/>
    <w:rsid w:val="000B227F"/>
    <w:rsid w:val="000B2326"/>
    <w:rsid w:val="000B2803"/>
    <w:rsid w:val="000B28E6"/>
    <w:rsid w:val="000B2926"/>
    <w:rsid w:val="000B2B4D"/>
    <w:rsid w:val="000B2F64"/>
    <w:rsid w:val="000B2FD5"/>
    <w:rsid w:val="000B30FA"/>
    <w:rsid w:val="000B315A"/>
    <w:rsid w:val="000B3226"/>
    <w:rsid w:val="000B3356"/>
    <w:rsid w:val="000B3974"/>
    <w:rsid w:val="000B3A1C"/>
    <w:rsid w:val="000B3A80"/>
    <w:rsid w:val="000B3F04"/>
    <w:rsid w:val="000B3FDC"/>
    <w:rsid w:val="000B41FB"/>
    <w:rsid w:val="000B423B"/>
    <w:rsid w:val="000B4667"/>
    <w:rsid w:val="000B471D"/>
    <w:rsid w:val="000B47E1"/>
    <w:rsid w:val="000B492D"/>
    <w:rsid w:val="000B4B49"/>
    <w:rsid w:val="000B4B81"/>
    <w:rsid w:val="000B4C14"/>
    <w:rsid w:val="000B4CD5"/>
    <w:rsid w:val="000B4D37"/>
    <w:rsid w:val="000B4DA7"/>
    <w:rsid w:val="000B4F35"/>
    <w:rsid w:val="000B51AB"/>
    <w:rsid w:val="000B54C1"/>
    <w:rsid w:val="000B55EE"/>
    <w:rsid w:val="000B588A"/>
    <w:rsid w:val="000B58D1"/>
    <w:rsid w:val="000B596F"/>
    <w:rsid w:val="000B59B5"/>
    <w:rsid w:val="000B5A8B"/>
    <w:rsid w:val="000B5AE5"/>
    <w:rsid w:val="000B5B08"/>
    <w:rsid w:val="000B5BD2"/>
    <w:rsid w:val="000B5FBD"/>
    <w:rsid w:val="000B5FD9"/>
    <w:rsid w:val="000B6294"/>
    <w:rsid w:val="000B62AC"/>
    <w:rsid w:val="000B66C6"/>
    <w:rsid w:val="000B6811"/>
    <w:rsid w:val="000B69F8"/>
    <w:rsid w:val="000B6D18"/>
    <w:rsid w:val="000B6D4D"/>
    <w:rsid w:val="000B6D75"/>
    <w:rsid w:val="000B6E2E"/>
    <w:rsid w:val="000B6E87"/>
    <w:rsid w:val="000B6F89"/>
    <w:rsid w:val="000B70BE"/>
    <w:rsid w:val="000B7109"/>
    <w:rsid w:val="000B74F0"/>
    <w:rsid w:val="000B76A2"/>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98B"/>
    <w:rsid w:val="000C0A83"/>
    <w:rsid w:val="000C0A9A"/>
    <w:rsid w:val="000C0CAB"/>
    <w:rsid w:val="000C0D6A"/>
    <w:rsid w:val="000C0E3B"/>
    <w:rsid w:val="000C0E40"/>
    <w:rsid w:val="000C1273"/>
    <w:rsid w:val="000C1478"/>
    <w:rsid w:val="000C171F"/>
    <w:rsid w:val="000C1805"/>
    <w:rsid w:val="000C1BD7"/>
    <w:rsid w:val="000C1D07"/>
    <w:rsid w:val="000C1F17"/>
    <w:rsid w:val="000C1F52"/>
    <w:rsid w:val="000C2208"/>
    <w:rsid w:val="000C2444"/>
    <w:rsid w:val="000C25A1"/>
    <w:rsid w:val="000C268D"/>
    <w:rsid w:val="000C26D8"/>
    <w:rsid w:val="000C2716"/>
    <w:rsid w:val="000C285E"/>
    <w:rsid w:val="000C2D12"/>
    <w:rsid w:val="000C31BE"/>
    <w:rsid w:val="000C346F"/>
    <w:rsid w:val="000C3763"/>
    <w:rsid w:val="000C3851"/>
    <w:rsid w:val="000C38E9"/>
    <w:rsid w:val="000C3954"/>
    <w:rsid w:val="000C3955"/>
    <w:rsid w:val="000C3A6F"/>
    <w:rsid w:val="000C3B65"/>
    <w:rsid w:val="000C3D23"/>
    <w:rsid w:val="000C3FC7"/>
    <w:rsid w:val="000C4125"/>
    <w:rsid w:val="000C4171"/>
    <w:rsid w:val="000C41CA"/>
    <w:rsid w:val="000C42EE"/>
    <w:rsid w:val="000C43B8"/>
    <w:rsid w:val="000C45C0"/>
    <w:rsid w:val="000C45ED"/>
    <w:rsid w:val="000C470D"/>
    <w:rsid w:val="000C4727"/>
    <w:rsid w:val="000C473F"/>
    <w:rsid w:val="000C48F1"/>
    <w:rsid w:val="000C4C24"/>
    <w:rsid w:val="000C4D78"/>
    <w:rsid w:val="000C4E0E"/>
    <w:rsid w:val="000C50A9"/>
    <w:rsid w:val="000C5141"/>
    <w:rsid w:val="000C5142"/>
    <w:rsid w:val="000C5157"/>
    <w:rsid w:val="000C5619"/>
    <w:rsid w:val="000C5810"/>
    <w:rsid w:val="000C59CA"/>
    <w:rsid w:val="000C5A7E"/>
    <w:rsid w:val="000C5B74"/>
    <w:rsid w:val="000C5BA5"/>
    <w:rsid w:val="000C5BD0"/>
    <w:rsid w:val="000C609C"/>
    <w:rsid w:val="000C659D"/>
    <w:rsid w:val="000C6893"/>
    <w:rsid w:val="000C69B5"/>
    <w:rsid w:val="000C6A64"/>
    <w:rsid w:val="000C6B8A"/>
    <w:rsid w:val="000C6E0A"/>
    <w:rsid w:val="000C6F1E"/>
    <w:rsid w:val="000C7071"/>
    <w:rsid w:val="000C74AF"/>
    <w:rsid w:val="000C75D2"/>
    <w:rsid w:val="000C7ADF"/>
    <w:rsid w:val="000C7B6D"/>
    <w:rsid w:val="000D022D"/>
    <w:rsid w:val="000D05C5"/>
    <w:rsid w:val="000D0A4E"/>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B8F"/>
    <w:rsid w:val="000D2EB4"/>
    <w:rsid w:val="000D2FB9"/>
    <w:rsid w:val="000D3113"/>
    <w:rsid w:val="000D33FC"/>
    <w:rsid w:val="000D343D"/>
    <w:rsid w:val="000D362D"/>
    <w:rsid w:val="000D3781"/>
    <w:rsid w:val="000D3AF7"/>
    <w:rsid w:val="000D3D13"/>
    <w:rsid w:val="000D3DBF"/>
    <w:rsid w:val="000D3FE1"/>
    <w:rsid w:val="000D4081"/>
    <w:rsid w:val="000D40BB"/>
    <w:rsid w:val="000D46C8"/>
    <w:rsid w:val="000D4771"/>
    <w:rsid w:val="000D4891"/>
    <w:rsid w:val="000D49C3"/>
    <w:rsid w:val="000D49EF"/>
    <w:rsid w:val="000D4A5C"/>
    <w:rsid w:val="000D4A8C"/>
    <w:rsid w:val="000D4FCD"/>
    <w:rsid w:val="000D50E3"/>
    <w:rsid w:val="000D51C2"/>
    <w:rsid w:val="000D527B"/>
    <w:rsid w:val="000D553F"/>
    <w:rsid w:val="000D556D"/>
    <w:rsid w:val="000D575F"/>
    <w:rsid w:val="000D5911"/>
    <w:rsid w:val="000D5AA8"/>
    <w:rsid w:val="000D5C0F"/>
    <w:rsid w:val="000D5EAA"/>
    <w:rsid w:val="000D603B"/>
    <w:rsid w:val="000D60FD"/>
    <w:rsid w:val="000D619E"/>
    <w:rsid w:val="000D622E"/>
    <w:rsid w:val="000D6508"/>
    <w:rsid w:val="000D6590"/>
    <w:rsid w:val="000D65AE"/>
    <w:rsid w:val="000D6BA5"/>
    <w:rsid w:val="000D6E9A"/>
    <w:rsid w:val="000D7292"/>
    <w:rsid w:val="000D72EE"/>
    <w:rsid w:val="000D7306"/>
    <w:rsid w:val="000D79E4"/>
    <w:rsid w:val="000D7A37"/>
    <w:rsid w:val="000E028F"/>
    <w:rsid w:val="000E0895"/>
    <w:rsid w:val="000E0AD8"/>
    <w:rsid w:val="000E0C2F"/>
    <w:rsid w:val="000E0C5F"/>
    <w:rsid w:val="000E0C69"/>
    <w:rsid w:val="000E0FEA"/>
    <w:rsid w:val="000E1050"/>
    <w:rsid w:val="000E11E3"/>
    <w:rsid w:val="000E12DA"/>
    <w:rsid w:val="000E14DF"/>
    <w:rsid w:val="000E15D5"/>
    <w:rsid w:val="000E186F"/>
    <w:rsid w:val="000E1A77"/>
    <w:rsid w:val="000E1A84"/>
    <w:rsid w:val="000E1E18"/>
    <w:rsid w:val="000E1EB5"/>
    <w:rsid w:val="000E225B"/>
    <w:rsid w:val="000E2658"/>
    <w:rsid w:val="000E27F0"/>
    <w:rsid w:val="000E2C6D"/>
    <w:rsid w:val="000E2D5D"/>
    <w:rsid w:val="000E2F26"/>
    <w:rsid w:val="000E3108"/>
    <w:rsid w:val="000E3118"/>
    <w:rsid w:val="000E31BE"/>
    <w:rsid w:val="000E3286"/>
    <w:rsid w:val="000E3531"/>
    <w:rsid w:val="000E3A4C"/>
    <w:rsid w:val="000E3C69"/>
    <w:rsid w:val="000E3D5D"/>
    <w:rsid w:val="000E3DB0"/>
    <w:rsid w:val="000E3FC6"/>
    <w:rsid w:val="000E410D"/>
    <w:rsid w:val="000E4145"/>
    <w:rsid w:val="000E415A"/>
    <w:rsid w:val="000E4171"/>
    <w:rsid w:val="000E424C"/>
    <w:rsid w:val="000E4299"/>
    <w:rsid w:val="000E4382"/>
    <w:rsid w:val="000E43B8"/>
    <w:rsid w:val="000E478F"/>
    <w:rsid w:val="000E48A0"/>
    <w:rsid w:val="000E4922"/>
    <w:rsid w:val="000E4994"/>
    <w:rsid w:val="000E4A74"/>
    <w:rsid w:val="000E4B3D"/>
    <w:rsid w:val="000E4D97"/>
    <w:rsid w:val="000E4EE2"/>
    <w:rsid w:val="000E4FAD"/>
    <w:rsid w:val="000E5052"/>
    <w:rsid w:val="000E52C1"/>
    <w:rsid w:val="000E5330"/>
    <w:rsid w:val="000E554D"/>
    <w:rsid w:val="000E557A"/>
    <w:rsid w:val="000E5634"/>
    <w:rsid w:val="000E5707"/>
    <w:rsid w:val="000E5E4B"/>
    <w:rsid w:val="000E5FE8"/>
    <w:rsid w:val="000E60F5"/>
    <w:rsid w:val="000E6152"/>
    <w:rsid w:val="000E6193"/>
    <w:rsid w:val="000E6209"/>
    <w:rsid w:val="000E63E4"/>
    <w:rsid w:val="000E644F"/>
    <w:rsid w:val="000E65EB"/>
    <w:rsid w:val="000E6656"/>
    <w:rsid w:val="000E681E"/>
    <w:rsid w:val="000E687A"/>
    <w:rsid w:val="000E68AF"/>
    <w:rsid w:val="000E6D09"/>
    <w:rsid w:val="000E6D39"/>
    <w:rsid w:val="000E6E12"/>
    <w:rsid w:val="000E6F18"/>
    <w:rsid w:val="000E702D"/>
    <w:rsid w:val="000E717E"/>
    <w:rsid w:val="000E7326"/>
    <w:rsid w:val="000E7385"/>
    <w:rsid w:val="000E73F8"/>
    <w:rsid w:val="000E742F"/>
    <w:rsid w:val="000E75F7"/>
    <w:rsid w:val="000E7626"/>
    <w:rsid w:val="000E7850"/>
    <w:rsid w:val="000E7C1E"/>
    <w:rsid w:val="000E7CA0"/>
    <w:rsid w:val="000F01E1"/>
    <w:rsid w:val="000F01F3"/>
    <w:rsid w:val="000F035D"/>
    <w:rsid w:val="000F067C"/>
    <w:rsid w:val="000F08CE"/>
    <w:rsid w:val="000F0D55"/>
    <w:rsid w:val="000F0E32"/>
    <w:rsid w:val="000F0E40"/>
    <w:rsid w:val="000F1060"/>
    <w:rsid w:val="000F1085"/>
    <w:rsid w:val="000F1394"/>
    <w:rsid w:val="000F153D"/>
    <w:rsid w:val="000F18B2"/>
    <w:rsid w:val="000F1914"/>
    <w:rsid w:val="000F1C67"/>
    <w:rsid w:val="000F1CC5"/>
    <w:rsid w:val="000F1E2D"/>
    <w:rsid w:val="000F1E82"/>
    <w:rsid w:val="000F1EFA"/>
    <w:rsid w:val="000F1F81"/>
    <w:rsid w:val="000F203E"/>
    <w:rsid w:val="000F21EB"/>
    <w:rsid w:val="000F2402"/>
    <w:rsid w:val="000F2605"/>
    <w:rsid w:val="000F2766"/>
    <w:rsid w:val="000F28A9"/>
    <w:rsid w:val="000F2915"/>
    <w:rsid w:val="000F29F5"/>
    <w:rsid w:val="000F2ACC"/>
    <w:rsid w:val="000F2DD2"/>
    <w:rsid w:val="000F2F9F"/>
    <w:rsid w:val="000F310B"/>
    <w:rsid w:val="000F316B"/>
    <w:rsid w:val="000F32A8"/>
    <w:rsid w:val="000F32B6"/>
    <w:rsid w:val="000F364D"/>
    <w:rsid w:val="000F37F8"/>
    <w:rsid w:val="000F3A02"/>
    <w:rsid w:val="000F3AEA"/>
    <w:rsid w:val="000F3B8A"/>
    <w:rsid w:val="000F3D4B"/>
    <w:rsid w:val="000F3E04"/>
    <w:rsid w:val="000F3FA4"/>
    <w:rsid w:val="000F408B"/>
    <w:rsid w:val="000F40C3"/>
    <w:rsid w:val="000F48DE"/>
    <w:rsid w:val="000F4948"/>
    <w:rsid w:val="000F4A7B"/>
    <w:rsid w:val="000F4AF1"/>
    <w:rsid w:val="000F4D8D"/>
    <w:rsid w:val="000F4E91"/>
    <w:rsid w:val="000F513B"/>
    <w:rsid w:val="000F51A0"/>
    <w:rsid w:val="000F524F"/>
    <w:rsid w:val="000F5342"/>
    <w:rsid w:val="000F54FD"/>
    <w:rsid w:val="000F5713"/>
    <w:rsid w:val="000F5758"/>
    <w:rsid w:val="000F5774"/>
    <w:rsid w:val="000F59B0"/>
    <w:rsid w:val="000F5A32"/>
    <w:rsid w:val="000F5BA6"/>
    <w:rsid w:val="000F5D34"/>
    <w:rsid w:val="000F5E08"/>
    <w:rsid w:val="000F600E"/>
    <w:rsid w:val="000F6632"/>
    <w:rsid w:val="000F689D"/>
    <w:rsid w:val="000F6A3F"/>
    <w:rsid w:val="000F6AE7"/>
    <w:rsid w:val="000F6B60"/>
    <w:rsid w:val="000F6E0F"/>
    <w:rsid w:val="000F6EEA"/>
    <w:rsid w:val="000F6FB8"/>
    <w:rsid w:val="000F7069"/>
    <w:rsid w:val="000F70C0"/>
    <w:rsid w:val="000F715C"/>
    <w:rsid w:val="000F7234"/>
    <w:rsid w:val="000F7248"/>
    <w:rsid w:val="000F72BF"/>
    <w:rsid w:val="000F73D2"/>
    <w:rsid w:val="000F7800"/>
    <w:rsid w:val="000F7817"/>
    <w:rsid w:val="000F7BC7"/>
    <w:rsid w:val="000F7CB0"/>
    <w:rsid w:val="000F7DA2"/>
    <w:rsid w:val="000F7F99"/>
    <w:rsid w:val="000F7FE8"/>
    <w:rsid w:val="0010040B"/>
    <w:rsid w:val="001004DC"/>
    <w:rsid w:val="001004E7"/>
    <w:rsid w:val="0010050F"/>
    <w:rsid w:val="00100679"/>
    <w:rsid w:val="0010094D"/>
    <w:rsid w:val="00100C85"/>
    <w:rsid w:val="00100EBB"/>
    <w:rsid w:val="00100EC3"/>
    <w:rsid w:val="00100EE3"/>
    <w:rsid w:val="001010B2"/>
    <w:rsid w:val="001011B0"/>
    <w:rsid w:val="00101235"/>
    <w:rsid w:val="001013CE"/>
    <w:rsid w:val="00101421"/>
    <w:rsid w:val="001017B8"/>
    <w:rsid w:val="00101CB8"/>
    <w:rsid w:val="0010247F"/>
    <w:rsid w:val="0010286D"/>
    <w:rsid w:val="001029D2"/>
    <w:rsid w:val="00102C6A"/>
    <w:rsid w:val="00103132"/>
    <w:rsid w:val="001031EE"/>
    <w:rsid w:val="0010326A"/>
    <w:rsid w:val="00103285"/>
    <w:rsid w:val="0010344E"/>
    <w:rsid w:val="001034AD"/>
    <w:rsid w:val="0010361D"/>
    <w:rsid w:val="00103933"/>
    <w:rsid w:val="00103979"/>
    <w:rsid w:val="00103A9A"/>
    <w:rsid w:val="00103AEF"/>
    <w:rsid w:val="00103C2E"/>
    <w:rsid w:val="00103F8B"/>
    <w:rsid w:val="001044A9"/>
    <w:rsid w:val="001045A3"/>
    <w:rsid w:val="001045E5"/>
    <w:rsid w:val="00104730"/>
    <w:rsid w:val="00104BCF"/>
    <w:rsid w:val="00104CC0"/>
    <w:rsid w:val="001050C3"/>
    <w:rsid w:val="00105388"/>
    <w:rsid w:val="00105394"/>
    <w:rsid w:val="00105827"/>
    <w:rsid w:val="00105844"/>
    <w:rsid w:val="00105A7D"/>
    <w:rsid w:val="00105B4D"/>
    <w:rsid w:val="00105C3C"/>
    <w:rsid w:val="00105EAC"/>
    <w:rsid w:val="00105F8E"/>
    <w:rsid w:val="001060CD"/>
    <w:rsid w:val="00106149"/>
    <w:rsid w:val="0010637E"/>
    <w:rsid w:val="00106394"/>
    <w:rsid w:val="00106839"/>
    <w:rsid w:val="00106853"/>
    <w:rsid w:val="00106872"/>
    <w:rsid w:val="00106AAE"/>
    <w:rsid w:val="00106B59"/>
    <w:rsid w:val="00106CA9"/>
    <w:rsid w:val="00106E69"/>
    <w:rsid w:val="00106E80"/>
    <w:rsid w:val="00106EA8"/>
    <w:rsid w:val="00106EF2"/>
    <w:rsid w:val="00106F7E"/>
    <w:rsid w:val="00107020"/>
    <w:rsid w:val="00107174"/>
    <w:rsid w:val="001071DC"/>
    <w:rsid w:val="001079D3"/>
    <w:rsid w:val="00107C49"/>
    <w:rsid w:val="00107C7A"/>
    <w:rsid w:val="00107CBA"/>
    <w:rsid w:val="00107F54"/>
    <w:rsid w:val="001102DC"/>
    <w:rsid w:val="001103CF"/>
    <w:rsid w:val="00110477"/>
    <w:rsid w:val="00110541"/>
    <w:rsid w:val="001105B3"/>
    <w:rsid w:val="001105D4"/>
    <w:rsid w:val="00110869"/>
    <w:rsid w:val="00110A72"/>
    <w:rsid w:val="00110B01"/>
    <w:rsid w:val="00110B39"/>
    <w:rsid w:val="00110BDF"/>
    <w:rsid w:val="00110E11"/>
    <w:rsid w:val="001110D5"/>
    <w:rsid w:val="00111171"/>
    <w:rsid w:val="0011142A"/>
    <w:rsid w:val="001114D4"/>
    <w:rsid w:val="001114E8"/>
    <w:rsid w:val="00111660"/>
    <w:rsid w:val="001118E9"/>
    <w:rsid w:val="00111A66"/>
    <w:rsid w:val="00111B27"/>
    <w:rsid w:val="00111D8A"/>
    <w:rsid w:val="00111E4B"/>
    <w:rsid w:val="00111F45"/>
    <w:rsid w:val="0011222E"/>
    <w:rsid w:val="0011233B"/>
    <w:rsid w:val="0011234B"/>
    <w:rsid w:val="001123A6"/>
    <w:rsid w:val="001123DA"/>
    <w:rsid w:val="0011256D"/>
    <w:rsid w:val="00112614"/>
    <w:rsid w:val="00112797"/>
    <w:rsid w:val="0011298A"/>
    <w:rsid w:val="001129EF"/>
    <w:rsid w:val="00112D01"/>
    <w:rsid w:val="00112D16"/>
    <w:rsid w:val="00112D3E"/>
    <w:rsid w:val="00112EDE"/>
    <w:rsid w:val="00112EEC"/>
    <w:rsid w:val="00112EF3"/>
    <w:rsid w:val="00113244"/>
    <w:rsid w:val="001132B5"/>
    <w:rsid w:val="001133BC"/>
    <w:rsid w:val="001133E8"/>
    <w:rsid w:val="001137B0"/>
    <w:rsid w:val="001137C8"/>
    <w:rsid w:val="00113BB7"/>
    <w:rsid w:val="00113EA2"/>
    <w:rsid w:val="00113EB7"/>
    <w:rsid w:val="00113F5A"/>
    <w:rsid w:val="00113FEA"/>
    <w:rsid w:val="00114354"/>
    <w:rsid w:val="0011440D"/>
    <w:rsid w:val="001147B1"/>
    <w:rsid w:val="0011499D"/>
    <w:rsid w:val="00114AA4"/>
    <w:rsid w:val="00114B59"/>
    <w:rsid w:val="00114B63"/>
    <w:rsid w:val="00114C5E"/>
    <w:rsid w:val="00114D1D"/>
    <w:rsid w:val="00114DA7"/>
    <w:rsid w:val="00114ED1"/>
    <w:rsid w:val="00114F51"/>
    <w:rsid w:val="001151C6"/>
    <w:rsid w:val="00115281"/>
    <w:rsid w:val="001152C3"/>
    <w:rsid w:val="0011553B"/>
    <w:rsid w:val="0011588E"/>
    <w:rsid w:val="00115A09"/>
    <w:rsid w:val="00115A55"/>
    <w:rsid w:val="00115D43"/>
    <w:rsid w:val="00115E41"/>
    <w:rsid w:val="00115EE0"/>
    <w:rsid w:val="00115F95"/>
    <w:rsid w:val="0011612A"/>
    <w:rsid w:val="001166B2"/>
    <w:rsid w:val="001166ED"/>
    <w:rsid w:val="00116758"/>
    <w:rsid w:val="00116D5F"/>
    <w:rsid w:val="00116DA0"/>
    <w:rsid w:val="00116E10"/>
    <w:rsid w:val="001173C9"/>
    <w:rsid w:val="0011747F"/>
    <w:rsid w:val="00117573"/>
    <w:rsid w:val="001176F5"/>
    <w:rsid w:val="001179BE"/>
    <w:rsid w:val="00117ACE"/>
    <w:rsid w:val="00117C54"/>
    <w:rsid w:val="00117DD2"/>
    <w:rsid w:val="00117F5F"/>
    <w:rsid w:val="0012005D"/>
    <w:rsid w:val="00120068"/>
    <w:rsid w:val="001200DF"/>
    <w:rsid w:val="00120380"/>
    <w:rsid w:val="001204F2"/>
    <w:rsid w:val="0012076E"/>
    <w:rsid w:val="001209F3"/>
    <w:rsid w:val="00120A7B"/>
    <w:rsid w:val="00120A8B"/>
    <w:rsid w:val="00120B2F"/>
    <w:rsid w:val="00120C33"/>
    <w:rsid w:val="00120E0A"/>
    <w:rsid w:val="00120E2C"/>
    <w:rsid w:val="00121159"/>
    <w:rsid w:val="0012124D"/>
    <w:rsid w:val="00121523"/>
    <w:rsid w:val="00121622"/>
    <w:rsid w:val="0012174A"/>
    <w:rsid w:val="001217B5"/>
    <w:rsid w:val="0012182B"/>
    <w:rsid w:val="00121F49"/>
    <w:rsid w:val="00121F59"/>
    <w:rsid w:val="00122061"/>
    <w:rsid w:val="001220C6"/>
    <w:rsid w:val="00122493"/>
    <w:rsid w:val="0012257C"/>
    <w:rsid w:val="0012263A"/>
    <w:rsid w:val="001227EE"/>
    <w:rsid w:val="00122C57"/>
    <w:rsid w:val="00122CE6"/>
    <w:rsid w:val="0012303B"/>
    <w:rsid w:val="001230C7"/>
    <w:rsid w:val="001233D2"/>
    <w:rsid w:val="00123451"/>
    <w:rsid w:val="00123457"/>
    <w:rsid w:val="00123469"/>
    <w:rsid w:val="00123694"/>
    <w:rsid w:val="00123756"/>
    <w:rsid w:val="001237F8"/>
    <w:rsid w:val="0012398D"/>
    <w:rsid w:val="00123D7E"/>
    <w:rsid w:val="00123F42"/>
    <w:rsid w:val="0012419C"/>
    <w:rsid w:val="00124281"/>
    <w:rsid w:val="00124579"/>
    <w:rsid w:val="00124720"/>
    <w:rsid w:val="001249B0"/>
    <w:rsid w:val="00124C4F"/>
    <w:rsid w:val="00124D97"/>
    <w:rsid w:val="00124DAC"/>
    <w:rsid w:val="00124E51"/>
    <w:rsid w:val="00124EAC"/>
    <w:rsid w:val="00124F98"/>
    <w:rsid w:val="00124FF2"/>
    <w:rsid w:val="001250BB"/>
    <w:rsid w:val="00125113"/>
    <w:rsid w:val="00125225"/>
    <w:rsid w:val="001256AE"/>
    <w:rsid w:val="0012571F"/>
    <w:rsid w:val="001257BF"/>
    <w:rsid w:val="00125E0A"/>
    <w:rsid w:val="00125E6E"/>
    <w:rsid w:val="00125EBE"/>
    <w:rsid w:val="00125FBE"/>
    <w:rsid w:val="00125FC4"/>
    <w:rsid w:val="0012603B"/>
    <w:rsid w:val="001261E9"/>
    <w:rsid w:val="001262DE"/>
    <w:rsid w:val="00126382"/>
    <w:rsid w:val="001263B0"/>
    <w:rsid w:val="00126400"/>
    <w:rsid w:val="0012658A"/>
    <w:rsid w:val="001265B8"/>
    <w:rsid w:val="001266C1"/>
    <w:rsid w:val="0012689B"/>
    <w:rsid w:val="001268F4"/>
    <w:rsid w:val="00126B85"/>
    <w:rsid w:val="00126C84"/>
    <w:rsid w:val="00126EB5"/>
    <w:rsid w:val="00126EF5"/>
    <w:rsid w:val="00126FD1"/>
    <w:rsid w:val="00127068"/>
    <w:rsid w:val="00127369"/>
    <w:rsid w:val="0012749C"/>
    <w:rsid w:val="0012758D"/>
    <w:rsid w:val="00127702"/>
    <w:rsid w:val="001278F1"/>
    <w:rsid w:val="00127938"/>
    <w:rsid w:val="001279EA"/>
    <w:rsid w:val="00127A28"/>
    <w:rsid w:val="00127A30"/>
    <w:rsid w:val="00127CEE"/>
    <w:rsid w:val="00127D11"/>
    <w:rsid w:val="00130190"/>
    <w:rsid w:val="0013023B"/>
    <w:rsid w:val="00130365"/>
    <w:rsid w:val="00130576"/>
    <w:rsid w:val="00130578"/>
    <w:rsid w:val="001305E3"/>
    <w:rsid w:val="001306E6"/>
    <w:rsid w:val="001306F8"/>
    <w:rsid w:val="001307E4"/>
    <w:rsid w:val="00130B12"/>
    <w:rsid w:val="00130BE6"/>
    <w:rsid w:val="00130D3D"/>
    <w:rsid w:val="00130E12"/>
    <w:rsid w:val="001310D7"/>
    <w:rsid w:val="0013112F"/>
    <w:rsid w:val="00131179"/>
    <w:rsid w:val="0013138E"/>
    <w:rsid w:val="00131659"/>
    <w:rsid w:val="001316B4"/>
    <w:rsid w:val="00131A31"/>
    <w:rsid w:val="00131FBE"/>
    <w:rsid w:val="00132190"/>
    <w:rsid w:val="001321C2"/>
    <w:rsid w:val="00132487"/>
    <w:rsid w:val="0013297A"/>
    <w:rsid w:val="00132A72"/>
    <w:rsid w:val="00132CD8"/>
    <w:rsid w:val="00132E0D"/>
    <w:rsid w:val="00132E75"/>
    <w:rsid w:val="00133373"/>
    <w:rsid w:val="0013357C"/>
    <w:rsid w:val="00133ACC"/>
    <w:rsid w:val="00133B3F"/>
    <w:rsid w:val="00133F5B"/>
    <w:rsid w:val="00133FAE"/>
    <w:rsid w:val="00134144"/>
    <w:rsid w:val="00134234"/>
    <w:rsid w:val="0013425E"/>
    <w:rsid w:val="00134545"/>
    <w:rsid w:val="001345A9"/>
    <w:rsid w:val="0013470F"/>
    <w:rsid w:val="001347A9"/>
    <w:rsid w:val="001347D6"/>
    <w:rsid w:val="00134A17"/>
    <w:rsid w:val="00134AB7"/>
    <w:rsid w:val="00134B1E"/>
    <w:rsid w:val="00134CB1"/>
    <w:rsid w:val="00134DB1"/>
    <w:rsid w:val="00135462"/>
    <w:rsid w:val="0013564C"/>
    <w:rsid w:val="001356F8"/>
    <w:rsid w:val="0013587E"/>
    <w:rsid w:val="0013587F"/>
    <w:rsid w:val="00135891"/>
    <w:rsid w:val="00135915"/>
    <w:rsid w:val="00135AD2"/>
    <w:rsid w:val="00135DF0"/>
    <w:rsid w:val="00135FBA"/>
    <w:rsid w:val="001361DF"/>
    <w:rsid w:val="00136436"/>
    <w:rsid w:val="001364C6"/>
    <w:rsid w:val="0013655D"/>
    <w:rsid w:val="00136641"/>
    <w:rsid w:val="00136693"/>
    <w:rsid w:val="00136815"/>
    <w:rsid w:val="00136868"/>
    <w:rsid w:val="00136B2E"/>
    <w:rsid w:val="00136CE2"/>
    <w:rsid w:val="00136FD9"/>
    <w:rsid w:val="00137236"/>
    <w:rsid w:val="00137747"/>
    <w:rsid w:val="00137947"/>
    <w:rsid w:val="00137A77"/>
    <w:rsid w:val="00137DCB"/>
    <w:rsid w:val="00137FD2"/>
    <w:rsid w:val="001401D2"/>
    <w:rsid w:val="00140205"/>
    <w:rsid w:val="001408BC"/>
    <w:rsid w:val="00140B54"/>
    <w:rsid w:val="00140B6F"/>
    <w:rsid w:val="00140C5D"/>
    <w:rsid w:val="00140C62"/>
    <w:rsid w:val="00140D53"/>
    <w:rsid w:val="00140D6E"/>
    <w:rsid w:val="00140E4E"/>
    <w:rsid w:val="00140EA9"/>
    <w:rsid w:val="00140EF2"/>
    <w:rsid w:val="00140F10"/>
    <w:rsid w:val="00141140"/>
    <w:rsid w:val="0014115A"/>
    <w:rsid w:val="001413C4"/>
    <w:rsid w:val="001413EE"/>
    <w:rsid w:val="001415BC"/>
    <w:rsid w:val="00141CB2"/>
    <w:rsid w:val="00141E01"/>
    <w:rsid w:val="00142227"/>
    <w:rsid w:val="0014227C"/>
    <w:rsid w:val="001422AC"/>
    <w:rsid w:val="001422E9"/>
    <w:rsid w:val="00142532"/>
    <w:rsid w:val="001426B1"/>
    <w:rsid w:val="00142D1A"/>
    <w:rsid w:val="00142EF0"/>
    <w:rsid w:val="001430F9"/>
    <w:rsid w:val="001431C4"/>
    <w:rsid w:val="0014335A"/>
    <w:rsid w:val="001433C8"/>
    <w:rsid w:val="0014343E"/>
    <w:rsid w:val="001434A1"/>
    <w:rsid w:val="0014353B"/>
    <w:rsid w:val="001435E7"/>
    <w:rsid w:val="001435F0"/>
    <w:rsid w:val="001438AC"/>
    <w:rsid w:val="00143912"/>
    <w:rsid w:val="00143A8A"/>
    <w:rsid w:val="00143C4D"/>
    <w:rsid w:val="00143FBB"/>
    <w:rsid w:val="00144134"/>
    <w:rsid w:val="0014415F"/>
    <w:rsid w:val="00144171"/>
    <w:rsid w:val="001446E3"/>
    <w:rsid w:val="001447CA"/>
    <w:rsid w:val="001449A4"/>
    <w:rsid w:val="00144ACD"/>
    <w:rsid w:val="00144B23"/>
    <w:rsid w:val="00144BF6"/>
    <w:rsid w:val="00144C55"/>
    <w:rsid w:val="00144CF9"/>
    <w:rsid w:val="00144D99"/>
    <w:rsid w:val="00144DB6"/>
    <w:rsid w:val="00144E8B"/>
    <w:rsid w:val="00144FEF"/>
    <w:rsid w:val="00145063"/>
    <w:rsid w:val="001453DE"/>
    <w:rsid w:val="001458A2"/>
    <w:rsid w:val="00145A45"/>
    <w:rsid w:val="00145A95"/>
    <w:rsid w:val="00145ABF"/>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C79"/>
    <w:rsid w:val="00147E38"/>
    <w:rsid w:val="001501D0"/>
    <w:rsid w:val="00150274"/>
    <w:rsid w:val="0015076E"/>
    <w:rsid w:val="0015090C"/>
    <w:rsid w:val="0015104D"/>
    <w:rsid w:val="001511BB"/>
    <w:rsid w:val="001511ED"/>
    <w:rsid w:val="00151377"/>
    <w:rsid w:val="00151482"/>
    <w:rsid w:val="001514CF"/>
    <w:rsid w:val="001515F8"/>
    <w:rsid w:val="0015170A"/>
    <w:rsid w:val="00151C2B"/>
    <w:rsid w:val="00151D2D"/>
    <w:rsid w:val="00151DBD"/>
    <w:rsid w:val="00152069"/>
    <w:rsid w:val="00152128"/>
    <w:rsid w:val="001523D3"/>
    <w:rsid w:val="00152476"/>
    <w:rsid w:val="001529B7"/>
    <w:rsid w:val="00152C1E"/>
    <w:rsid w:val="00152C24"/>
    <w:rsid w:val="00152CFB"/>
    <w:rsid w:val="00152D32"/>
    <w:rsid w:val="00153088"/>
    <w:rsid w:val="0015330B"/>
    <w:rsid w:val="00153584"/>
    <w:rsid w:val="00153630"/>
    <w:rsid w:val="001536CE"/>
    <w:rsid w:val="001539E7"/>
    <w:rsid w:val="00153D47"/>
    <w:rsid w:val="00153EED"/>
    <w:rsid w:val="00153F8C"/>
    <w:rsid w:val="00153F92"/>
    <w:rsid w:val="00154085"/>
    <w:rsid w:val="001541D4"/>
    <w:rsid w:val="001542AF"/>
    <w:rsid w:val="001542E8"/>
    <w:rsid w:val="0015434C"/>
    <w:rsid w:val="0015441A"/>
    <w:rsid w:val="00154508"/>
    <w:rsid w:val="00154525"/>
    <w:rsid w:val="00154579"/>
    <w:rsid w:val="00154650"/>
    <w:rsid w:val="001549BA"/>
    <w:rsid w:val="00154DE4"/>
    <w:rsid w:val="00154E3C"/>
    <w:rsid w:val="00154F6F"/>
    <w:rsid w:val="00155176"/>
    <w:rsid w:val="001554C1"/>
    <w:rsid w:val="00155613"/>
    <w:rsid w:val="00155773"/>
    <w:rsid w:val="00155AE7"/>
    <w:rsid w:val="00155CF4"/>
    <w:rsid w:val="00155DC8"/>
    <w:rsid w:val="00155E6C"/>
    <w:rsid w:val="00155F40"/>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02"/>
    <w:rsid w:val="00160230"/>
    <w:rsid w:val="00160292"/>
    <w:rsid w:val="0016036E"/>
    <w:rsid w:val="00160590"/>
    <w:rsid w:val="0016060B"/>
    <w:rsid w:val="001606BA"/>
    <w:rsid w:val="00160A26"/>
    <w:rsid w:val="00160A51"/>
    <w:rsid w:val="00160A9B"/>
    <w:rsid w:val="00160B59"/>
    <w:rsid w:val="00160B60"/>
    <w:rsid w:val="00160C67"/>
    <w:rsid w:val="00160D36"/>
    <w:rsid w:val="0016130D"/>
    <w:rsid w:val="001613CB"/>
    <w:rsid w:val="00161697"/>
    <w:rsid w:val="0016170C"/>
    <w:rsid w:val="001617D2"/>
    <w:rsid w:val="0016184F"/>
    <w:rsid w:val="00161960"/>
    <w:rsid w:val="00161A38"/>
    <w:rsid w:val="00161F89"/>
    <w:rsid w:val="0016268C"/>
    <w:rsid w:val="001627ED"/>
    <w:rsid w:val="00162817"/>
    <w:rsid w:val="001629C1"/>
    <w:rsid w:val="00162A50"/>
    <w:rsid w:val="00162AE7"/>
    <w:rsid w:val="00162BE8"/>
    <w:rsid w:val="00162F06"/>
    <w:rsid w:val="00162F80"/>
    <w:rsid w:val="0016301E"/>
    <w:rsid w:val="001630C7"/>
    <w:rsid w:val="0016312B"/>
    <w:rsid w:val="001632B2"/>
    <w:rsid w:val="001634B8"/>
    <w:rsid w:val="0016362E"/>
    <w:rsid w:val="001638AA"/>
    <w:rsid w:val="00163969"/>
    <w:rsid w:val="001639B4"/>
    <w:rsid w:val="00163B58"/>
    <w:rsid w:val="00163F9A"/>
    <w:rsid w:val="0016405A"/>
    <w:rsid w:val="00164099"/>
    <w:rsid w:val="001640FA"/>
    <w:rsid w:val="00164246"/>
    <w:rsid w:val="0016475B"/>
    <w:rsid w:val="001647BD"/>
    <w:rsid w:val="00164817"/>
    <w:rsid w:val="0016492F"/>
    <w:rsid w:val="001649BF"/>
    <w:rsid w:val="001649D1"/>
    <w:rsid w:val="00164AFB"/>
    <w:rsid w:val="00164B22"/>
    <w:rsid w:val="00164D5F"/>
    <w:rsid w:val="00164DEC"/>
    <w:rsid w:val="00164F5A"/>
    <w:rsid w:val="00164FD7"/>
    <w:rsid w:val="00165083"/>
    <w:rsid w:val="00165263"/>
    <w:rsid w:val="001652F8"/>
    <w:rsid w:val="001654A8"/>
    <w:rsid w:val="001654E8"/>
    <w:rsid w:val="00165792"/>
    <w:rsid w:val="001659B3"/>
    <w:rsid w:val="00165A39"/>
    <w:rsid w:val="00165FAB"/>
    <w:rsid w:val="0016605D"/>
    <w:rsid w:val="00166102"/>
    <w:rsid w:val="00166933"/>
    <w:rsid w:val="00166CE5"/>
    <w:rsid w:val="00166D38"/>
    <w:rsid w:val="00166EDA"/>
    <w:rsid w:val="0016719F"/>
    <w:rsid w:val="00167496"/>
    <w:rsid w:val="00167538"/>
    <w:rsid w:val="001679DE"/>
    <w:rsid w:val="00167CEF"/>
    <w:rsid w:val="00167D59"/>
    <w:rsid w:val="00167F73"/>
    <w:rsid w:val="00170226"/>
    <w:rsid w:val="00170641"/>
    <w:rsid w:val="00170861"/>
    <w:rsid w:val="001709BF"/>
    <w:rsid w:val="00170A1E"/>
    <w:rsid w:val="00170B54"/>
    <w:rsid w:val="00170CA7"/>
    <w:rsid w:val="00170D7C"/>
    <w:rsid w:val="00170DE1"/>
    <w:rsid w:val="00170E6E"/>
    <w:rsid w:val="00170F30"/>
    <w:rsid w:val="00171674"/>
    <w:rsid w:val="00171698"/>
    <w:rsid w:val="00171A79"/>
    <w:rsid w:val="00171C81"/>
    <w:rsid w:val="00171DC6"/>
    <w:rsid w:val="00171F3B"/>
    <w:rsid w:val="00171F7E"/>
    <w:rsid w:val="00171F8D"/>
    <w:rsid w:val="001720D5"/>
    <w:rsid w:val="001725A3"/>
    <w:rsid w:val="001726B3"/>
    <w:rsid w:val="00172866"/>
    <w:rsid w:val="001728B2"/>
    <w:rsid w:val="00172AF9"/>
    <w:rsid w:val="00172BC3"/>
    <w:rsid w:val="00172C68"/>
    <w:rsid w:val="00172D1E"/>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312"/>
    <w:rsid w:val="001755D1"/>
    <w:rsid w:val="0017568B"/>
    <w:rsid w:val="001756F6"/>
    <w:rsid w:val="00175959"/>
    <w:rsid w:val="001759A7"/>
    <w:rsid w:val="00175B89"/>
    <w:rsid w:val="00175D14"/>
    <w:rsid w:val="00175DDF"/>
    <w:rsid w:val="001761B7"/>
    <w:rsid w:val="00176697"/>
    <w:rsid w:val="00176923"/>
    <w:rsid w:val="00176959"/>
    <w:rsid w:val="00176A77"/>
    <w:rsid w:val="00177155"/>
    <w:rsid w:val="0017716E"/>
    <w:rsid w:val="00177678"/>
    <w:rsid w:val="00177792"/>
    <w:rsid w:val="0017780B"/>
    <w:rsid w:val="00177928"/>
    <w:rsid w:val="00177964"/>
    <w:rsid w:val="00177A6D"/>
    <w:rsid w:val="00177B31"/>
    <w:rsid w:val="00177C5B"/>
    <w:rsid w:val="00177D7C"/>
    <w:rsid w:val="00177EDE"/>
    <w:rsid w:val="00177EE6"/>
    <w:rsid w:val="001801F0"/>
    <w:rsid w:val="00180486"/>
    <w:rsid w:val="00180589"/>
    <w:rsid w:val="00180595"/>
    <w:rsid w:val="001806DC"/>
    <w:rsid w:val="001807B6"/>
    <w:rsid w:val="00180814"/>
    <w:rsid w:val="001808A2"/>
    <w:rsid w:val="00180AEF"/>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DA5"/>
    <w:rsid w:val="00181E6A"/>
    <w:rsid w:val="00182229"/>
    <w:rsid w:val="001823AE"/>
    <w:rsid w:val="0018267A"/>
    <w:rsid w:val="00182AFB"/>
    <w:rsid w:val="00182C1C"/>
    <w:rsid w:val="00182E33"/>
    <w:rsid w:val="00182E59"/>
    <w:rsid w:val="0018319F"/>
    <w:rsid w:val="00183351"/>
    <w:rsid w:val="001833B9"/>
    <w:rsid w:val="00183482"/>
    <w:rsid w:val="001834CC"/>
    <w:rsid w:val="0018364A"/>
    <w:rsid w:val="001837F8"/>
    <w:rsid w:val="001838BA"/>
    <w:rsid w:val="001838E5"/>
    <w:rsid w:val="00183AC3"/>
    <w:rsid w:val="00183BAB"/>
    <w:rsid w:val="00183CA0"/>
    <w:rsid w:val="00183DD6"/>
    <w:rsid w:val="00183F2C"/>
    <w:rsid w:val="001841AD"/>
    <w:rsid w:val="00184556"/>
    <w:rsid w:val="001846AD"/>
    <w:rsid w:val="00184A2C"/>
    <w:rsid w:val="00184B0A"/>
    <w:rsid w:val="00184C25"/>
    <w:rsid w:val="00184C49"/>
    <w:rsid w:val="00184D05"/>
    <w:rsid w:val="00184E52"/>
    <w:rsid w:val="00184E82"/>
    <w:rsid w:val="00184FEE"/>
    <w:rsid w:val="0018544A"/>
    <w:rsid w:val="001855F6"/>
    <w:rsid w:val="00185688"/>
    <w:rsid w:val="001857A6"/>
    <w:rsid w:val="001857DF"/>
    <w:rsid w:val="00185822"/>
    <w:rsid w:val="001859A3"/>
    <w:rsid w:val="001859F3"/>
    <w:rsid w:val="00185A32"/>
    <w:rsid w:val="00185D19"/>
    <w:rsid w:val="001861C2"/>
    <w:rsid w:val="001863B5"/>
    <w:rsid w:val="001863F6"/>
    <w:rsid w:val="00186477"/>
    <w:rsid w:val="001864D4"/>
    <w:rsid w:val="0018657B"/>
    <w:rsid w:val="001866C3"/>
    <w:rsid w:val="001867F2"/>
    <w:rsid w:val="001869EE"/>
    <w:rsid w:val="00186C54"/>
    <w:rsid w:val="00186D70"/>
    <w:rsid w:val="00186F1D"/>
    <w:rsid w:val="0018709E"/>
    <w:rsid w:val="001875A8"/>
    <w:rsid w:val="001878BD"/>
    <w:rsid w:val="001879E2"/>
    <w:rsid w:val="00187AFB"/>
    <w:rsid w:val="00187C50"/>
    <w:rsid w:val="00190076"/>
    <w:rsid w:val="00190113"/>
    <w:rsid w:val="00190233"/>
    <w:rsid w:val="001902E6"/>
    <w:rsid w:val="001905E8"/>
    <w:rsid w:val="00190AAD"/>
    <w:rsid w:val="00190B3A"/>
    <w:rsid w:val="00190C1B"/>
    <w:rsid w:val="00190C78"/>
    <w:rsid w:val="00191228"/>
    <w:rsid w:val="001912AC"/>
    <w:rsid w:val="001913A8"/>
    <w:rsid w:val="00191E17"/>
    <w:rsid w:val="00191ED7"/>
    <w:rsid w:val="00191FB0"/>
    <w:rsid w:val="00191FB8"/>
    <w:rsid w:val="001922F2"/>
    <w:rsid w:val="00192389"/>
    <w:rsid w:val="00192506"/>
    <w:rsid w:val="00192737"/>
    <w:rsid w:val="001927AD"/>
    <w:rsid w:val="0019284B"/>
    <w:rsid w:val="001928E3"/>
    <w:rsid w:val="00192AD0"/>
    <w:rsid w:val="00192D8A"/>
    <w:rsid w:val="00192E60"/>
    <w:rsid w:val="00192FD5"/>
    <w:rsid w:val="0019319F"/>
    <w:rsid w:val="00193290"/>
    <w:rsid w:val="00193311"/>
    <w:rsid w:val="001933E1"/>
    <w:rsid w:val="001935FC"/>
    <w:rsid w:val="0019391E"/>
    <w:rsid w:val="00193997"/>
    <w:rsid w:val="00193DC9"/>
    <w:rsid w:val="00193FBE"/>
    <w:rsid w:val="00194083"/>
    <w:rsid w:val="0019429D"/>
    <w:rsid w:val="001942EC"/>
    <w:rsid w:val="001943A3"/>
    <w:rsid w:val="00194491"/>
    <w:rsid w:val="0019497F"/>
    <w:rsid w:val="00194B76"/>
    <w:rsid w:val="00194BA3"/>
    <w:rsid w:val="00194DC1"/>
    <w:rsid w:val="00195130"/>
    <w:rsid w:val="0019514A"/>
    <w:rsid w:val="00195208"/>
    <w:rsid w:val="00195441"/>
    <w:rsid w:val="0019544D"/>
    <w:rsid w:val="0019570F"/>
    <w:rsid w:val="00195901"/>
    <w:rsid w:val="001959BF"/>
    <w:rsid w:val="00195A24"/>
    <w:rsid w:val="00195FA1"/>
    <w:rsid w:val="001966F3"/>
    <w:rsid w:val="001969B3"/>
    <w:rsid w:val="00196F8B"/>
    <w:rsid w:val="0019713E"/>
    <w:rsid w:val="0019775D"/>
    <w:rsid w:val="00197850"/>
    <w:rsid w:val="001979EB"/>
    <w:rsid w:val="00197D5B"/>
    <w:rsid w:val="00197F57"/>
    <w:rsid w:val="001A0060"/>
    <w:rsid w:val="001A02F1"/>
    <w:rsid w:val="001A05DB"/>
    <w:rsid w:val="001A0629"/>
    <w:rsid w:val="001A0A5B"/>
    <w:rsid w:val="001A0E2E"/>
    <w:rsid w:val="001A0E57"/>
    <w:rsid w:val="001A0F20"/>
    <w:rsid w:val="001A10D1"/>
    <w:rsid w:val="001A1980"/>
    <w:rsid w:val="001A198A"/>
    <w:rsid w:val="001A19B9"/>
    <w:rsid w:val="001A1A13"/>
    <w:rsid w:val="001A1C15"/>
    <w:rsid w:val="001A1C6D"/>
    <w:rsid w:val="001A2123"/>
    <w:rsid w:val="001A2229"/>
    <w:rsid w:val="001A2395"/>
    <w:rsid w:val="001A2529"/>
    <w:rsid w:val="001A2629"/>
    <w:rsid w:val="001A26D0"/>
    <w:rsid w:val="001A2E70"/>
    <w:rsid w:val="001A3870"/>
    <w:rsid w:val="001A3CB9"/>
    <w:rsid w:val="001A4012"/>
    <w:rsid w:val="001A4134"/>
    <w:rsid w:val="001A4284"/>
    <w:rsid w:val="001A4696"/>
    <w:rsid w:val="001A4C10"/>
    <w:rsid w:val="001A4CE2"/>
    <w:rsid w:val="001A4F04"/>
    <w:rsid w:val="001A50B7"/>
    <w:rsid w:val="001A52DE"/>
    <w:rsid w:val="001A5355"/>
    <w:rsid w:val="001A53E3"/>
    <w:rsid w:val="001A54C8"/>
    <w:rsid w:val="001A56E1"/>
    <w:rsid w:val="001A5969"/>
    <w:rsid w:val="001A5B2A"/>
    <w:rsid w:val="001A5C02"/>
    <w:rsid w:val="001A5C4C"/>
    <w:rsid w:val="001A5CE8"/>
    <w:rsid w:val="001A60BD"/>
    <w:rsid w:val="001A6126"/>
    <w:rsid w:val="001A6573"/>
    <w:rsid w:val="001A6620"/>
    <w:rsid w:val="001A66D1"/>
    <w:rsid w:val="001A6882"/>
    <w:rsid w:val="001A69EA"/>
    <w:rsid w:val="001A6D1A"/>
    <w:rsid w:val="001A6DB6"/>
    <w:rsid w:val="001A74E2"/>
    <w:rsid w:val="001A779D"/>
    <w:rsid w:val="001A788C"/>
    <w:rsid w:val="001A789F"/>
    <w:rsid w:val="001A7922"/>
    <w:rsid w:val="001B00B4"/>
    <w:rsid w:val="001B00B8"/>
    <w:rsid w:val="001B010A"/>
    <w:rsid w:val="001B01AB"/>
    <w:rsid w:val="001B033C"/>
    <w:rsid w:val="001B0466"/>
    <w:rsid w:val="001B0567"/>
    <w:rsid w:val="001B064A"/>
    <w:rsid w:val="001B0904"/>
    <w:rsid w:val="001B0A29"/>
    <w:rsid w:val="001B127A"/>
    <w:rsid w:val="001B14ED"/>
    <w:rsid w:val="001B1637"/>
    <w:rsid w:val="001B1A1E"/>
    <w:rsid w:val="001B1B38"/>
    <w:rsid w:val="001B1B87"/>
    <w:rsid w:val="001B1BAB"/>
    <w:rsid w:val="001B1D01"/>
    <w:rsid w:val="001B20FF"/>
    <w:rsid w:val="001B2162"/>
    <w:rsid w:val="001B22D0"/>
    <w:rsid w:val="001B237B"/>
    <w:rsid w:val="001B2415"/>
    <w:rsid w:val="001B247E"/>
    <w:rsid w:val="001B24DE"/>
    <w:rsid w:val="001B270F"/>
    <w:rsid w:val="001B271C"/>
    <w:rsid w:val="001B273F"/>
    <w:rsid w:val="001B2812"/>
    <w:rsid w:val="001B2BBA"/>
    <w:rsid w:val="001B2D72"/>
    <w:rsid w:val="001B2F7D"/>
    <w:rsid w:val="001B2FDC"/>
    <w:rsid w:val="001B31E3"/>
    <w:rsid w:val="001B334E"/>
    <w:rsid w:val="001B35C8"/>
    <w:rsid w:val="001B377C"/>
    <w:rsid w:val="001B3846"/>
    <w:rsid w:val="001B3A78"/>
    <w:rsid w:val="001B3ACB"/>
    <w:rsid w:val="001B3B99"/>
    <w:rsid w:val="001B3B9C"/>
    <w:rsid w:val="001B3BE0"/>
    <w:rsid w:val="001B3D48"/>
    <w:rsid w:val="001B3F63"/>
    <w:rsid w:val="001B457C"/>
    <w:rsid w:val="001B45FE"/>
    <w:rsid w:val="001B469B"/>
    <w:rsid w:val="001B46AF"/>
    <w:rsid w:val="001B46CB"/>
    <w:rsid w:val="001B4754"/>
    <w:rsid w:val="001B4B37"/>
    <w:rsid w:val="001B4F7A"/>
    <w:rsid w:val="001B4F91"/>
    <w:rsid w:val="001B5008"/>
    <w:rsid w:val="001B518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3A"/>
    <w:rsid w:val="001B6CA8"/>
    <w:rsid w:val="001B6CC4"/>
    <w:rsid w:val="001B6E6E"/>
    <w:rsid w:val="001B6EFB"/>
    <w:rsid w:val="001B71D4"/>
    <w:rsid w:val="001B735E"/>
    <w:rsid w:val="001B7397"/>
    <w:rsid w:val="001B73D1"/>
    <w:rsid w:val="001B7473"/>
    <w:rsid w:val="001B7530"/>
    <w:rsid w:val="001B7612"/>
    <w:rsid w:val="001B7615"/>
    <w:rsid w:val="001B76BC"/>
    <w:rsid w:val="001B7743"/>
    <w:rsid w:val="001B7850"/>
    <w:rsid w:val="001B788F"/>
    <w:rsid w:val="001B7A4F"/>
    <w:rsid w:val="001B7B40"/>
    <w:rsid w:val="001B7C39"/>
    <w:rsid w:val="001B7E57"/>
    <w:rsid w:val="001B7F3F"/>
    <w:rsid w:val="001C010D"/>
    <w:rsid w:val="001C041F"/>
    <w:rsid w:val="001C0447"/>
    <w:rsid w:val="001C0937"/>
    <w:rsid w:val="001C101D"/>
    <w:rsid w:val="001C1068"/>
    <w:rsid w:val="001C106D"/>
    <w:rsid w:val="001C10FD"/>
    <w:rsid w:val="001C11CC"/>
    <w:rsid w:val="001C1468"/>
    <w:rsid w:val="001C181A"/>
    <w:rsid w:val="001C1821"/>
    <w:rsid w:val="001C186F"/>
    <w:rsid w:val="001C1A46"/>
    <w:rsid w:val="001C1C0C"/>
    <w:rsid w:val="001C1CAC"/>
    <w:rsid w:val="001C1CDB"/>
    <w:rsid w:val="001C1D93"/>
    <w:rsid w:val="001C1E98"/>
    <w:rsid w:val="001C249D"/>
    <w:rsid w:val="001C268D"/>
    <w:rsid w:val="001C26C4"/>
    <w:rsid w:val="001C27EC"/>
    <w:rsid w:val="001C28ED"/>
    <w:rsid w:val="001C2B8A"/>
    <w:rsid w:val="001C2E8E"/>
    <w:rsid w:val="001C2F71"/>
    <w:rsid w:val="001C3238"/>
    <w:rsid w:val="001C3547"/>
    <w:rsid w:val="001C366A"/>
    <w:rsid w:val="001C37A9"/>
    <w:rsid w:val="001C3DE4"/>
    <w:rsid w:val="001C4103"/>
    <w:rsid w:val="001C436A"/>
    <w:rsid w:val="001C43B0"/>
    <w:rsid w:val="001C4411"/>
    <w:rsid w:val="001C4518"/>
    <w:rsid w:val="001C4520"/>
    <w:rsid w:val="001C4663"/>
    <w:rsid w:val="001C4D67"/>
    <w:rsid w:val="001C4D94"/>
    <w:rsid w:val="001C4E7D"/>
    <w:rsid w:val="001C56C3"/>
    <w:rsid w:val="001C5896"/>
    <w:rsid w:val="001C5CF9"/>
    <w:rsid w:val="001C5FEA"/>
    <w:rsid w:val="001C603C"/>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B6"/>
    <w:rsid w:val="001D1EC5"/>
    <w:rsid w:val="001D1EF2"/>
    <w:rsid w:val="001D2050"/>
    <w:rsid w:val="001D209B"/>
    <w:rsid w:val="001D22DC"/>
    <w:rsid w:val="001D2406"/>
    <w:rsid w:val="001D2418"/>
    <w:rsid w:val="001D25A7"/>
    <w:rsid w:val="001D25FC"/>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799"/>
    <w:rsid w:val="001D383D"/>
    <w:rsid w:val="001D3858"/>
    <w:rsid w:val="001D38F0"/>
    <w:rsid w:val="001D3B69"/>
    <w:rsid w:val="001D409E"/>
    <w:rsid w:val="001D4A2E"/>
    <w:rsid w:val="001D4D49"/>
    <w:rsid w:val="001D4FEA"/>
    <w:rsid w:val="001D51D4"/>
    <w:rsid w:val="001D52F5"/>
    <w:rsid w:val="001D539F"/>
    <w:rsid w:val="001D5413"/>
    <w:rsid w:val="001D5550"/>
    <w:rsid w:val="001D567B"/>
    <w:rsid w:val="001D5A8B"/>
    <w:rsid w:val="001D5AD1"/>
    <w:rsid w:val="001D5D13"/>
    <w:rsid w:val="001D5FF7"/>
    <w:rsid w:val="001D6253"/>
    <w:rsid w:val="001D62E3"/>
    <w:rsid w:val="001D639A"/>
    <w:rsid w:val="001D6559"/>
    <w:rsid w:val="001D68F6"/>
    <w:rsid w:val="001D6CE1"/>
    <w:rsid w:val="001D6E5A"/>
    <w:rsid w:val="001D6F7E"/>
    <w:rsid w:val="001D74A0"/>
    <w:rsid w:val="001D783C"/>
    <w:rsid w:val="001D797E"/>
    <w:rsid w:val="001D7A3E"/>
    <w:rsid w:val="001D7FCF"/>
    <w:rsid w:val="001E00B7"/>
    <w:rsid w:val="001E0159"/>
    <w:rsid w:val="001E01C2"/>
    <w:rsid w:val="001E01D3"/>
    <w:rsid w:val="001E0595"/>
    <w:rsid w:val="001E0973"/>
    <w:rsid w:val="001E09F4"/>
    <w:rsid w:val="001E0A8F"/>
    <w:rsid w:val="001E0C01"/>
    <w:rsid w:val="001E1A70"/>
    <w:rsid w:val="001E1B8E"/>
    <w:rsid w:val="001E1BF3"/>
    <w:rsid w:val="001E1C06"/>
    <w:rsid w:val="001E1C7E"/>
    <w:rsid w:val="001E1FF4"/>
    <w:rsid w:val="001E2059"/>
    <w:rsid w:val="001E21FE"/>
    <w:rsid w:val="001E2268"/>
    <w:rsid w:val="001E24F0"/>
    <w:rsid w:val="001E28A8"/>
    <w:rsid w:val="001E2A3F"/>
    <w:rsid w:val="001E2C8F"/>
    <w:rsid w:val="001E2C9A"/>
    <w:rsid w:val="001E2D68"/>
    <w:rsid w:val="001E2EB9"/>
    <w:rsid w:val="001E2F2C"/>
    <w:rsid w:val="001E32EB"/>
    <w:rsid w:val="001E3446"/>
    <w:rsid w:val="001E3455"/>
    <w:rsid w:val="001E349B"/>
    <w:rsid w:val="001E359A"/>
    <w:rsid w:val="001E384E"/>
    <w:rsid w:val="001E3B24"/>
    <w:rsid w:val="001E3C39"/>
    <w:rsid w:val="001E4163"/>
    <w:rsid w:val="001E448A"/>
    <w:rsid w:val="001E450A"/>
    <w:rsid w:val="001E45AC"/>
    <w:rsid w:val="001E4738"/>
    <w:rsid w:val="001E47CA"/>
    <w:rsid w:val="001E4D0F"/>
    <w:rsid w:val="001E4D2A"/>
    <w:rsid w:val="001E4E57"/>
    <w:rsid w:val="001E4F62"/>
    <w:rsid w:val="001E5437"/>
    <w:rsid w:val="001E5527"/>
    <w:rsid w:val="001E5639"/>
    <w:rsid w:val="001E5817"/>
    <w:rsid w:val="001E59F2"/>
    <w:rsid w:val="001E59F8"/>
    <w:rsid w:val="001E5AD7"/>
    <w:rsid w:val="001E5AFF"/>
    <w:rsid w:val="001E5D5F"/>
    <w:rsid w:val="001E5E0B"/>
    <w:rsid w:val="001E5F1A"/>
    <w:rsid w:val="001E5F23"/>
    <w:rsid w:val="001E63FB"/>
    <w:rsid w:val="001E64A6"/>
    <w:rsid w:val="001E64D4"/>
    <w:rsid w:val="001E6569"/>
    <w:rsid w:val="001E656B"/>
    <w:rsid w:val="001E666B"/>
    <w:rsid w:val="001E66D1"/>
    <w:rsid w:val="001E6991"/>
    <w:rsid w:val="001E6D62"/>
    <w:rsid w:val="001E6FED"/>
    <w:rsid w:val="001E70DB"/>
    <w:rsid w:val="001E714E"/>
    <w:rsid w:val="001E71B6"/>
    <w:rsid w:val="001E75B7"/>
    <w:rsid w:val="001E771E"/>
    <w:rsid w:val="001E7732"/>
    <w:rsid w:val="001E7764"/>
    <w:rsid w:val="001E788A"/>
    <w:rsid w:val="001E792B"/>
    <w:rsid w:val="001E7E3D"/>
    <w:rsid w:val="001E7F35"/>
    <w:rsid w:val="001F0265"/>
    <w:rsid w:val="001F03F4"/>
    <w:rsid w:val="001F055B"/>
    <w:rsid w:val="001F0A2E"/>
    <w:rsid w:val="001F0AD8"/>
    <w:rsid w:val="001F0B34"/>
    <w:rsid w:val="001F0BB8"/>
    <w:rsid w:val="001F0D72"/>
    <w:rsid w:val="001F0DBB"/>
    <w:rsid w:val="001F1252"/>
    <w:rsid w:val="001F153D"/>
    <w:rsid w:val="001F1547"/>
    <w:rsid w:val="001F16AA"/>
    <w:rsid w:val="001F16DD"/>
    <w:rsid w:val="001F1856"/>
    <w:rsid w:val="001F191F"/>
    <w:rsid w:val="001F1BB2"/>
    <w:rsid w:val="001F1D69"/>
    <w:rsid w:val="001F201B"/>
    <w:rsid w:val="001F2042"/>
    <w:rsid w:val="001F23DB"/>
    <w:rsid w:val="001F24E6"/>
    <w:rsid w:val="001F257E"/>
    <w:rsid w:val="001F2626"/>
    <w:rsid w:val="001F2D80"/>
    <w:rsid w:val="001F2D96"/>
    <w:rsid w:val="001F2E86"/>
    <w:rsid w:val="001F2EAD"/>
    <w:rsid w:val="001F2F48"/>
    <w:rsid w:val="001F2F93"/>
    <w:rsid w:val="001F3249"/>
    <w:rsid w:val="001F34F8"/>
    <w:rsid w:val="001F350A"/>
    <w:rsid w:val="001F35B5"/>
    <w:rsid w:val="001F3E3C"/>
    <w:rsid w:val="001F4006"/>
    <w:rsid w:val="001F4165"/>
    <w:rsid w:val="001F41EC"/>
    <w:rsid w:val="001F42AE"/>
    <w:rsid w:val="001F435A"/>
    <w:rsid w:val="001F44E0"/>
    <w:rsid w:val="001F4530"/>
    <w:rsid w:val="001F4555"/>
    <w:rsid w:val="001F48E5"/>
    <w:rsid w:val="001F4A16"/>
    <w:rsid w:val="001F4FEB"/>
    <w:rsid w:val="001F5BB7"/>
    <w:rsid w:val="001F5C15"/>
    <w:rsid w:val="001F5D20"/>
    <w:rsid w:val="001F60FF"/>
    <w:rsid w:val="001F6165"/>
    <w:rsid w:val="001F655D"/>
    <w:rsid w:val="001F65F8"/>
    <w:rsid w:val="001F66C5"/>
    <w:rsid w:val="001F66EB"/>
    <w:rsid w:val="001F687D"/>
    <w:rsid w:val="001F69D4"/>
    <w:rsid w:val="001F6AFA"/>
    <w:rsid w:val="001F6B01"/>
    <w:rsid w:val="001F6CAA"/>
    <w:rsid w:val="001F6CD4"/>
    <w:rsid w:val="001F6F4E"/>
    <w:rsid w:val="001F7052"/>
    <w:rsid w:val="001F7269"/>
    <w:rsid w:val="001F73F9"/>
    <w:rsid w:val="001F75DB"/>
    <w:rsid w:val="001F7653"/>
    <w:rsid w:val="001F78E0"/>
    <w:rsid w:val="001F7B2A"/>
    <w:rsid w:val="001F7D82"/>
    <w:rsid w:val="001F7FE7"/>
    <w:rsid w:val="00200129"/>
    <w:rsid w:val="0020018E"/>
    <w:rsid w:val="0020020F"/>
    <w:rsid w:val="00200334"/>
    <w:rsid w:val="00200400"/>
    <w:rsid w:val="002004E8"/>
    <w:rsid w:val="00200679"/>
    <w:rsid w:val="00200A06"/>
    <w:rsid w:val="00200E70"/>
    <w:rsid w:val="0020111A"/>
    <w:rsid w:val="00201144"/>
    <w:rsid w:val="00201211"/>
    <w:rsid w:val="00201977"/>
    <w:rsid w:val="00201DC8"/>
    <w:rsid w:val="00201DC9"/>
    <w:rsid w:val="002020E3"/>
    <w:rsid w:val="0020215C"/>
    <w:rsid w:val="00202429"/>
    <w:rsid w:val="002024B3"/>
    <w:rsid w:val="00202A02"/>
    <w:rsid w:val="00202CAF"/>
    <w:rsid w:val="00202CF8"/>
    <w:rsid w:val="00202DBB"/>
    <w:rsid w:val="00203195"/>
    <w:rsid w:val="00203297"/>
    <w:rsid w:val="0020336B"/>
    <w:rsid w:val="00203398"/>
    <w:rsid w:val="00203455"/>
    <w:rsid w:val="002035B5"/>
    <w:rsid w:val="002036AB"/>
    <w:rsid w:val="00203ADB"/>
    <w:rsid w:val="0020410C"/>
    <w:rsid w:val="0020415E"/>
    <w:rsid w:val="0020453F"/>
    <w:rsid w:val="002047D9"/>
    <w:rsid w:val="00204808"/>
    <w:rsid w:val="00204903"/>
    <w:rsid w:val="00204B15"/>
    <w:rsid w:val="0020501A"/>
    <w:rsid w:val="00205045"/>
    <w:rsid w:val="00205053"/>
    <w:rsid w:val="00205364"/>
    <w:rsid w:val="00205371"/>
    <w:rsid w:val="00205624"/>
    <w:rsid w:val="00205653"/>
    <w:rsid w:val="00205859"/>
    <w:rsid w:val="002059E3"/>
    <w:rsid w:val="002059F9"/>
    <w:rsid w:val="00205A20"/>
    <w:rsid w:val="00205B3C"/>
    <w:rsid w:val="00205CB4"/>
    <w:rsid w:val="00205F3A"/>
    <w:rsid w:val="00205FE1"/>
    <w:rsid w:val="0020608D"/>
    <w:rsid w:val="0020644A"/>
    <w:rsid w:val="002067B0"/>
    <w:rsid w:val="0020699C"/>
    <w:rsid w:val="00206C52"/>
    <w:rsid w:val="002075DA"/>
    <w:rsid w:val="0020788C"/>
    <w:rsid w:val="002078EA"/>
    <w:rsid w:val="00207D72"/>
    <w:rsid w:val="00207E69"/>
    <w:rsid w:val="00207F6A"/>
    <w:rsid w:val="00210054"/>
    <w:rsid w:val="00210119"/>
    <w:rsid w:val="002101E6"/>
    <w:rsid w:val="0021059B"/>
    <w:rsid w:val="0021066B"/>
    <w:rsid w:val="0021097A"/>
    <w:rsid w:val="00210A23"/>
    <w:rsid w:val="00210AF3"/>
    <w:rsid w:val="00210C62"/>
    <w:rsid w:val="00210DF6"/>
    <w:rsid w:val="00210E48"/>
    <w:rsid w:val="0021106B"/>
    <w:rsid w:val="00211380"/>
    <w:rsid w:val="00211550"/>
    <w:rsid w:val="002116C4"/>
    <w:rsid w:val="00211B15"/>
    <w:rsid w:val="00211BC4"/>
    <w:rsid w:val="00211D14"/>
    <w:rsid w:val="00211D40"/>
    <w:rsid w:val="00211F43"/>
    <w:rsid w:val="00211FCB"/>
    <w:rsid w:val="0021206D"/>
    <w:rsid w:val="00212138"/>
    <w:rsid w:val="002121C8"/>
    <w:rsid w:val="002121CA"/>
    <w:rsid w:val="002121DB"/>
    <w:rsid w:val="00212266"/>
    <w:rsid w:val="002122E0"/>
    <w:rsid w:val="002128A7"/>
    <w:rsid w:val="00212936"/>
    <w:rsid w:val="00212A6F"/>
    <w:rsid w:val="00212CA2"/>
    <w:rsid w:val="00212DCC"/>
    <w:rsid w:val="0021306E"/>
    <w:rsid w:val="0021315B"/>
    <w:rsid w:val="00213318"/>
    <w:rsid w:val="00213528"/>
    <w:rsid w:val="002136CA"/>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4CD"/>
    <w:rsid w:val="0021695C"/>
    <w:rsid w:val="002169E7"/>
    <w:rsid w:val="00216CAB"/>
    <w:rsid w:val="00216DA7"/>
    <w:rsid w:val="00216F02"/>
    <w:rsid w:val="002170E7"/>
    <w:rsid w:val="0021715A"/>
    <w:rsid w:val="00217254"/>
    <w:rsid w:val="00217522"/>
    <w:rsid w:val="002176CD"/>
    <w:rsid w:val="002176F3"/>
    <w:rsid w:val="002177B6"/>
    <w:rsid w:val="00217887"/>
    <w:rsid w:val="00217A11"/>
    <w:rsid w:val="00217B1F"/>
    <w:rsid w:val="00217C90"/>
    <w:rsid w:val="00217D5D"/>
    <w:rsid w:val="00217DFE"/>
    <w:rsid w:val="00220343"/>
    <w:rsid w:val="00220473"/>
    <w:rsid w:val="002206A9"/>
    <w:rsid w:val="002208A5"/>
    <w:rsid w:val="00220E92"/>
    <w:rsid w:val="0022147C"/>
    <w:rsid w:val="00221573"/>
    <w:rsid w:val="00221576"/>
    <w:rsid w:val="00221A5E"/>
    <w:rsid w:val="00221B17"/>
    <w:rsid w:val="00221B9A"/>
    <w:rsid w:val="0022208F"/>
    <w:rsid w:val="002220BA"/>
    <w:rsid w:val="002222C3"/>
    <w:rsid w:val="00222300"/>
    <w:rsid w:val="0022232B"/>
    <w:rsid w:val="0022233E"/>
    <w:rsid w:val="00222473"/>
    <w:rsid w:val="00222633"/>
    <w:rsid w:val="00222B82"/>
    <w:rsid w:val="00222FB3"/>
    <w:rsid w:val="002230A7"/>
    <w:rsid w:val="0022324B"/>
    <w:rsid w:val="002232C0"/>
    <w:rsid w:val="00223439"/>
    <w:rsid w:val="002236AD"/>
    <w:rsid w:val="002238A3"/>
    <w:rsid w:val="00223BCC"/>
    <w:rsid w:val="00223E73"/>
    <w:rsid w:val="0022408A"/>
    <w:rsid w:val="002240E5"/>
    <w:rsid w:val="0022412A"/>
    <w:rsid w:val="00224573"/>
    <w:rsid w:val="002245AF"/>
    <w:rsid w:val="0022460E"/>
    <w:rsid w:val="00224849"/>
    <w:rsid w:val="002248E1"/>
    <w:rsid w:val="00224A65"/>
    <w:rsid w:val="00224BA1"/>
    <w:rsid w:val="00224D20"/>
    <w:rsid w:val="00224D4A"/>
    <w:rsid w:val="002250C4"/>
    <w:rsid w:val="00225148"/>
    <w:rsid w:val="00225247"/>
    <w:rsid w:val="00225350"/>
    <w:rsid w:val="0022580A"/>
    <w:rsid w:val="00225B0D"/>
    <w:rsid w:val="00225B15"/>
    <w:rsid w:val="00226010"/>
    <w:rsid w:val="002260DE"/>
    <w:rsid w:val="00226467"/>
    <w:rsid w:val="002264E8"/>
    <w:rsid w:val="00226691"/>
    <w:rsid w:val="002267D6"/>
    <w:rsid w:val="002268FB"/>
    <w:rsid w:val="002269EA"/>
    <w:rsid w:val="00226B65"/>
    <w:rsid w:val="00226C3C"/>
    <w:rsid w:val="00226D28"/>
    <w:rsid w:val="00226E5A"/>
    <w:rsid w:val="00226F33"/>
    <w:rsid w:val="00226FAC"/>
    <w:rsid w:val="00227336"/>
    <w:rsid w:val="002275EB"/>
    <w:rsid w:val="00227972"/>
    <w:rsid w:val="002279C6"/>
    <w:rsid w:val="00227C0F"/>
    <w:rsid w:val="00227D2C"/>
    <w:rsid w:val="00227E3A"/>
    <w:rsid w:val="00227E88"/>
    <w:rsid w:val="00230125"/>
    <w:rsid w:val="002307F0"/>
    <w:rsid w:val="00230AE7"/>
    <w:rsid w:val="00230B87"/>
    <w:rsid w:val="00230D71"/>
    <w:rsid w:val="00230D8F"/>
    <w:rsid w:val="0023187E"/>
    <w:rsid w:val="00231E8C"/>
    <w:rsid w:val="00232030"/>
    <w:rsid w:val="002323FE"/>
    <w:rsid w:val="002326E6"/>
    <w:rsid w:val="0023286B"/>
    <w:rsid w:val="002328A1"/>
    <w:rsid w:val="002328D0"/>
    <w:rsid w:val="00232CA2"/>
    <w:rsid w:val="00233092"/>
    <w:rsid w:val="0023323A"/>
    <w:rsid w:val="00233415"/>
    <w:rsid w:val="00233477"/>
    <w:rsid w:val="002334C4"/>
    <w:rsid w:val="00233596"/>
    <w:rsid w:val="00233613"/>
    <w:rsid w:val="00233639"/>
    <w:rsid w:val="00233668"/>
    <w:rsid w:val="0023369D"/>
    <w:rsid w:val="002337A9"/>
    <w:rsid w:val="00233816"/>
    <w:rsid w:val="0023383B"/>
    <w:rsid w:val="00233C02"/>
    <w:rsid w:val="00233E2C"/>
    <w:rsid w:val="00233EAC"/>
    <w:rsid w:val="00233FFA"/>
    <w:rsid w:val="0023414C"/>
    <w:rsid w:val="00234224"/>
    <w:rsid w:val="0023447A"/>
    <w:rsid w:val="002344DE"/>
    <w:rsid w:val="00234552"/>
    <w:rsid w:val="002346ED"/>
    <w:rsid w:val="00234711"/>
    <w:rsid w:val="002349F3"/>
    <w:rsid w:val="00234A37"/>
    <w:rsid w:val="00234ADD"/>
    <w:rsid w:val="00234D37"/>
    <w:rsid w:val="00235176"/>
    <w:rsid w:val="0023535D"/>
    <w:rsid w:val="0023542D"/>
    <w:rsid w:val="0023544C"/>
    <w:rsid w:val="00235477"/>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6E17"/>
    <w:rsid w:val="0023707E"/>
    <w:rsid w:val="002371DC"/>
    <w:rsid w:val="00237205"/>
    <w:rsid w:val="00237359"/>
    <w:rsid w:val="0023735B"/>
    <w:rsid w:val="0023736D"/>
    <w:rsid w:val="002373C4"/>
    <w:rsid w:val="00237587"/>
    <w:rsid w:val="0023758A"/>
    <w:rsid w:val="002376CE"/>
    <w:rsid w:val="002378AE"/>
    <w:rsid w:val="002379DA"/>
    <w:rsid w:val="00237AB1"/>
    <w:rsid w:val="00237C84"/>
    <w:rsid w:val="00237F45"/>
    <w:rsid w:val="00237F83"/>
    <w:rsid w:val="0024013F"/>
    <w:rsid w:val="00240250"/>
    <w:rsid w:val="00240430"/>
    <w:rsid w:val="002404A0"/>
    <w:rsid w:val="00240640"/>
    <w:rsid w:val="002406D6"/>
    <w:rsid w:val="002407FD"/>
    <w:rsid w:val="002408E9"/>
    <w:rsid w:val="00240927"/>
    <w:rsid w:val="002409E7"/>
    <w:rsid w:val="00240A65"/>
    <w:rsid w:val="00240AAF"/>
    <w:rsid w:val="00240DC9"/>
    <w:rsid w:val="00240EE3"/>
    <w:rsid w:val="00241087"/>
    <w:rsid w:val="002410FF"/>
    <w:rsid w:val="002412B6"/>
    <w:rsid w:val="002416C1"/>
    <w:rsid w:val="0024183E"/>
    <w:rsid w:val="0024191C"/>
    <w:rsid w:val="00241947"/>
    <w:rsid w:val="00241970"/>
    <w:rsid w:val="00241C82"/>
    <w:rsid w:val="00241D97"/>
    <w:rsid w:val="00242025"/>
    <w:rsid w:val="00242297"/>
    <w:rsid w:val="0024233C"/>
    <w:rsid w:val="00242391"/>
    <w:rsid w:val="002423BB"/>
    <w:rsid w:val="002425F8"/>
    <w:rsid w:val="00242865"/>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35"/>
    <w:rsid w:val="002444A4"/>
    <w:rsid w:val="002444E9"/>
    <w:rsid w:val="002446F1"/>
    <w:rsid w:val="0024488F"/>
    <w:rsid w:val="00244893"/>
    <w:rsid w:val="002448BE"/>
    <w:rsid w:val="00244AEE"/>
    <w:rsid w:val="00244B5A"/>
    <w:rsid w:val="002450D9"/>
    <w:rsid w:val="00245104"/>
    <w:rsid w:val="00245373"/>
    <w:rsid w:val="00245417"/>
    <w:rsid w:val="002455F7"/>
    <w:rsid w:val="002459C6"/>
    <w:rsid w:val="00245A2B"/>
    <w:rsid w:val="00245C15"/>
    <w:rsid w:val="00245CC2"/>
    <w:rsid w:val="00245D28"/>
    <w:rsid w:val="00245DEC"/>
    <w:rsid w:val="00245F85"/>
    <w:rsid w:val="00246234"/>
    <w:rsid w:val="002463A9"/>
    <w:rsid w:val="0024655E"/>
    <w:rsid w:val="002465DB"/>
    <w:rsid w:val="002466E3"/>
    <w:rsid w:val="0024692D"/>
    <w:rsid w:val="00246B5A"/>
    <w:rsid w:val="00246FC8"/>
    <w:rsid w:val="002472A1"/>
    <w:rsid w:val="002472A2"/>
    <w:rsid w:val="0024788C"/>
    <w:rsid w:val="002478DA"/>
    <w:rsid w:val="00247AC2"/>
    <w:rsid w:val="00247C82"/>
    <w:rsid w:val="00247F8F"/>
    <w:rsid w:val="00247FC0"/>
    <w:rsid w:val="00250129"/>
    <w:rsid w:val="00250219"/>
    <w:rsid w:val="0025038E"/>
    <w:rsid w:val="002503FD"/>
    <w:rsid w:val="00250609"/>
    <w:rsid w:val="002507B4"/>
    <w:rsid w:val="0025091F"/>
    <w:rsid w:val="00250CC0"/>
    <w:rsid w:val="00251041"/>
    <w:rsid w:val="00251144"/>
    <w:rsid w:val="00251273"/>
    <w:rsid w:val="00251382"/>
    <w:rsid w:val="0025175D"/>
    <w:rsid w:val="0025189A"/>
    <w:rsid w:val="00251900"/>
    <w:rsid w:val="00251A5F"/>
    <w:rsid w:val="00251A8E"/>
    <w:rsid w:val="00251B47"/>
    <w:rsid w:val="00251D39"/>
    <w:rsid w:val="00251EA4"/>
    <w:rsid w:val="002521A5"/>
    <w:rsid w:val="002522F2"/>
    <w:rsid w:val="00252B12"/>
    <w:rsid w:val="00252DF9"/>
    <w:rsid w:val="002534A2"/>
    <w:rsid w:val="002536FE"/>
    <w:rsid w:val="0025370B"/>
    <w:rsid w:val="002537AE"/>
    <w:rsid w:val="002538B5"/>
    <w:rsid w:val="00253CC4"/>
    <w:rsid w:val="00253CFE"/>
    <w:rsid w:val="00253D7B"/>
    <w:rsid w:val="00253DE8"/>
    <w:rsid w:val="00254103"/>
    <w:rsid w:val="002541A7"/>
    <w:rsid w:val="00254232"/>
    <w:rsid w:val="002543C8"/>
    <w:rsid w:val="00254717"/>
    <w:rsid w:val="00254755"/>
    <w:rsid w:val="002547A0"/>
    <w:rsid w:val="002547B5"/>
    <w:rsid w:val="00254851"/>
    <w:rsid w:val="00254958"/>
    <w:rsid w:val="0025495A"/>
    <w:rsid w:val="002549EE"/>
    <w:rsid w:val="00254C53"/>
    <w:rsid w:val="00254EAD"/>
    <w:rsid w:val="00255068"/>
    <w:rsid w:val="0025507E"/>
    <w:rsid w:val="00255130"/>
    <w:rsid w:val="002555C2"/>
    <w:rsid w:val="00255700"/>
    <w:rsid w:val="0025597A"/>
    <w:rsid w:val="00255B8D"/>
    <w:rsid w:val="00255C67"/>
    <w:rsid w:val="00255CC1"/>
    <w:rsid w:val="00255DCB"/>
    <w:rsid w:val="00255E30"/>
    <w:rsid w:val="00255ECE"/>
    <w:rsid w:val="00255F21"/>
    <w:rsid w:val="00255FD0"/>
    <w:rsid w:val="00256088"/>
    <w:rsid w:val="002560BA"/>
    <w:rsid w:val="00256157"/>
    <w:rsid w:val="0025648E"/>
    <w:rsid w:val="002566A2"/>
    <w:rsid w:val="002566FE"/>
    <w:rsid w:val="002567BD"/>
    <w:rsid w:val="00256B52"/>
    <w:rsid w:val="00257104"/>
    <w:rsid w:val="00257190"/>
    <w:rsid w:val="002572D5"/>
    <w:rsid w:val="00257355"/>
    <w:rsid w:val="002574B4"/>
    <w:rsid w:val="002574D4"/>
    <w:rsid w:val="002575A6"/>
    <w:rsid w:val="002577FE"/>
    <w:rsid w:val="00257B73"/>
    <w:rsid w:val="00257D0F"/>
    <w:rsid w:val="00257D7A"/>
    <w:rsid w:val="00257DD5"/>
    <w:rsid w:val="00257DE5"/>
    <w:rsid w:val="00257E92"/>
    <w:rsid w:val="00260116"/>
    <w:rsid w:val="002604A2"/>
    <w:rsid w:val="00260529"/>
    <w:rsid w:val="002605BC"/>
    <w:rsid w:val="002609B5"/>
    <w:rsid w:val="00260A0D"/>
    <w:rsid w:val="00260B25"/>
    <w:rsid w:val="00260CBE"/>
    <w:rsid w:val="00260EF5"/>
    <w:rsid w:val="00260F57"/>
    <w:rsid w:val="002615B1"/>
    <w:rsid w:val="002615B2"/>
    <w:rsid w:val="00261B58"/>
    <w:rsid w:val="00261C1A"/>
    <w:rsid w:val="00261CF4"/>
    <w:rsid w:val="00261DCA"/>
    <w:rsid w:val="00261EEC"/>
    <w:rsid w:val="00261F6F"/>
    <w:rsid w:val="0026210B"/>
    <w:rsid w:val="002623F0"/>
    <w:rsid w:val="002627DC"/>
    <w:rsid w:val="00262B23"/>
    <w:rsid w:val="00262C79"/>
    <w:rsid w:val="00262F54"/>
    <w:rsid w:val="002630A1"/>
    <w:rsid w:val="00263262"/>
    <w:rsid w:val="002633AA"/>
    <w:rsid w:val="002634A3"/>
    <w:rsid w:val="00263885"/>
    <w:rsid w:val="00263979"/>
    <w:rsid w:val="00263E36"/>
    <w:rsid w:val="00263F0B"/>
    <w:rsid w:val="00263FFE"/>
    <w:rsid w:val="0026461E"/>
    <w:rsid w:val="0026463A"/>
    <w:rsid w:val="00264737"/>
    <w:rsid w:val="00264A2C"/>
    <w:rsid w:val="00264B10"/>
    <w:rsid w:val="00264C34"/>
    <w:rsid w:val="00264D52"/>
    <w:rsid w:val="00264EED"/>
    <w:rsid w:val="00265074"/>
    <w:rsid w:val="002655EF"/>
    <w:rsid w:val="0026566D"/>
    <w:rsid w:val="0026581C"/>
    <w:rsid w:val="00265846"/>
    <w:rsid w:val="00265BCB"/>
    <w:rsid w:val="00265C05"/>
    <w:rsid w:val="00265C3D"/>
    <w:rsid w:val="00265CE8"/>
    <w:rsid w:val="00265DD2"/>
    <w:rsid w:val="00265E66"/>
    <w:rsid w:val="002660B2"/>
    <w:rsid w:val="002660E7"/>
    <w:rsid w:val="0026615C"/>
    <w:rsid w:val="00266A6B"/>
    <w:rsid w:val="00266AAA"/>
    <w:rsid w:val="00266BB4"/>
    <w:rsid w:val="0026709B"/>
    <w:rsid w:val="00267264"/>
    <w:rsid w:val="0026735E"/>
    <w:rsid w:val="00267445"/>
    <w:rsid w:val="002676E7"/>
    <w:rsid w:val="002678D9"/>
    <w:rsid w:val="00267C91"/>
    <w:rsid w:val="00267F37"/>
    <w:rsid w:val="00267F63"/>
    <w:rsid w:val="00270248"/>
    <w:rsid w:val="00270258"/>
    <w:rsid w:val="0027038F"/>
    <w:rsid w:val="00270423"/>
    <w:rsid w:val="002706C4"/>
    <w:rsid w:val="002708A6"/>
    <w:rsid w:val="002708D1"/>
    <w:rsid w:val="002709B1"/>
    <w:rsid w:val="00270A6D"/>
    <w:rsid w:val="00270B00"/>
    <w:rsid w:val="00270CAB"/>
    <w:rsid w:val="00270FD2"/>
    <w:rsid w:val="00271050"/>
    <w:rsid w:val="002712D7"/>
    <w:rsid w:val="002715C5"/>
    <w:rsid w:val="00271729"/>
    <w:rsid w:val="00271824"/>
    <w:rsid w:val="00271A87"/>
    <w:rsid w:val="00271C43"/>
    <w:rsid w:val="00271C66"/>
    <w:rsid w:val="00271D9B"/>
    <w:rsid w:val="00271DA4"/>
    <w:rsid w:val="00271EF5"/>
    <w:rsid w:val="002720BD"/>
    <w:rsid w:val="002721E6"/>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29B"/>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8AF"/>
    <w:rsid w:val="00275BDD"/>
    <w:rsid w:val="00275EEB"/>
    <w:rsid w:val="00276014"/>
    <w:rsid w:val="00276354"/>
    <w:rsid w:val="00276367"/>
    <w:rsid w:val="0027640C"/>
    <w:rsid w:val="002765ED"/>
    <w:rsid w:val="00276B44"/>
    <w:rsid w:val="00276C81"/>
    <w:rsid w:val="00276E4B"/>
    <w:rsid w:val="0027725A"/>
    <w:rsid w:val="0027735F"/>
    <w:rsid w:val="00277384"/>
    <w:rsid w:val="00277626"/>
    <w:rsid w:val="002776FF"/>
    <w:rsid w:val="00277745"/>
    <w:rsid w:val="00277797"/>
    <w:rsid w:val="002777C5"/>
    <w:rsid w:val="002779FC"/>
    <w:rsid w:val="00277A3D"/>
    <w:rsid w:val="00277A66"/>
    <w:rsid w:val="00277D03"/>
    <w:rsid w:val="00277D11"/>
    <w:rsid w:val="00277E4B"/>
    <w:rsid w:val="00277EDF"/>
    <w:rsid w:val="00277EF2"/>
    <w:rsid w:val="00280097"/>
    <w:rsid w:val="0028027C"/>
    <w:rsid w:val="002802F4"/>
    <w:rsid w:val="0028055B"/>
    <w:rsid w:val="00280573"/>
    <w:rsid w:val="002805D6"/>
    <w:rsid w:val="00280607"/>
    <w:rsid w:val="00280640"/>
    <w:rsid w:val="002809C7"/>
    <w:rsid w:val="002809FC"/>
    <w:rsid w:val="00280B6D"/>
    <w:rsid w:val="00280D59"/>
    <w:rsid w:val="00280DBE"/>
    <w:rsid w:val="0028146C"/>
    <w:rsid w:val="002815C8"/>
    <w:rsid w:val="002815CD"/>
    <w:rsid w:val="0028171E"/>
    <w:rsid w:val="00281A5E"/>
    <w:rsid w:val="00281A87"/>
    <w:rsid w:val="00281AAC"/>
    <w:rsid w:val="00281BA1"/>
    <w:rsid w:val="00281E08"/>
    <w:rsid w:val="00281E73"/>
    <w:rsid w:val="00281EE5"/>
    <w:rsid w:val="00282049"/>
    <w:rsid w:val="002820D7"/>
    <w:rsid w:val="002821C7"/>
    <w:rsid w:val="002822AD"/>
    <w:rsid w:val="002824A1"/>
    <w:rsid w:val="00282676"/>
    <w:rsid w:val="002828C1"/>
    <w:rsid w:val="00282A47"/>
    <w:rsid w:val="00282AC7"/>
    <w:rsid w:val="00282C65"/>
    <w:rsid w:val="00282C79"/>
    <w:rsid w:val="00282C7F"/>
    <w:rsid w:val="00282E5D"/>
    <w:rsid w:val="002830EA"/>
    <w:rsid w:val="002833B6"/>
    <w:rsid w:val="00283823"/>
    <w:rsid w:val="002839BA"/>
    <w:rsid w:val="00283B66"/>
    <w:rsid w:val="00284013"/>
    <w:rsid w:val="0028410A"/>
    <w:rsid w:val="00284160"/>
    <w:rsid w:val="0028429B"/>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451"/>
    <w:rsid w:val="0028656F"/>
    <w:rsid w:val="00286579"/>
    <w:rsid w:val="00286637"/>
    <w:rsid w:val="0028664A"/>
    <w:rsid w:val="0028679C"/>
    <w:rsid w:val="002868C4"/>
    <w:rsid w:val="00286A6C"/>
    <w:rsid w:val="00286DE2"/>
    <w:rsid w:val="00286EAE"/>
    <w:rsid w:val="00286F52"/>
    <w:rsid w:val="00287055"/>
    <w:rsid w:val="00287095"/>
    <w:rsid w:val="002870D1"/>
    <w:rsid w:val="002872AF"/>
    <w:rsid w:val="002872C7"/>
    <w:rsid w:val="002873CD"/>
    <w:rsid w:val="00287728"/>
    <w:rsid w:val="002878AC"/>
    <w:rsid w:val="00287BD6"/>
    <w:rsid w:val="00287C18"/>
    <w:rsid w:val="00287C56"/>
    <w:rsid w:val="00287CB5"/>
    <w:rsid w:val="00287E70"/>
    <w:rsid w:val="00287EF7"/>
    <w:rsid w:val="00287FD5"/>
    <w:rsid w:val="00290086"/>
    <w:rsid w:val="00290202"/>
    <w:rsid w:val="002903D6"/>
    <w:rsid w:val="00290677"/>
    <w:rsid w:val="00290943"/>
    <w:rsid w:val="00290F7D"/>
    <w:rsid w:val="00290F99"/>
    <w:rsid w:val="0029104A"/>
    <w:rsid w:val="002911E2"/>
    <w:rsid w:val="00291201"/>
    <w:rsid w:val="002914BA"/>
    <w:rsid w:val="00291A00"/>
    <w:rsid w:val="00291B72"/>
    <w:rsid w:val="00291BB3"/>
    <w:rsid w:val="00291CC0"/>
    <w:rsid w:val="00291D0A"/>
    <w:rsid w:val="00291DF7"/>
    <w:rsid w:val="00292050"/>
    <w:rsid w:val="002921D1"/>
    <w:rsid w:val="00292355"/>
    <w:rsid w:val="002925C6"/>
    <w:rsid w:val="002925DB"/>
    <w:rsid w:val="002929AA"/>
    <w:rsid w:val="002929F7"/>
    <w:rsid w:val="002929FD"/>
    <w:rsid w:val="00292B24"/>
    <w:rsid w:val="00292C31"/>
    <w:rsid w:val="00292C35"/>
    <w:rsid w:val="00292F98"/>
    <w:rsid w:val="002932EF"/>
    <w:rsid w:val="002932FE"/>
    <w:rsid w:val="002934D9"/>
    <w:rsid w:val="002936C7"/>
    <w:rsid w:val="00293A17"/>
    <w:rsid w:val="00293B29"/>
    <w:rsid w:val="0029446F"/>
    <w:rsid w:val="002944FA"/>
    <w:rsid w:val="00294543"/>
    <w:rsid w:val="002945D0"/>
    <w:rsid w:val="0029467C"/>
    <w:rsid w:val="0029471D"/>
    <w:rsid w:val="0029480A"/>
    <w:rsid w:val="002948B0"/>
    <w:rsid w:val="0029496D"/>
    <w:rsid w:val="00294999"/>
    <w:rsid w:val="00294AA0"/>
    <w:rsid w:val="00294ABE"/>
    <w:rsid w:val="00294CE6"/>
    <w:rsid w:val="00294D17"/>
    <w:rsid w:val="00294F71"/>
    <w:rsid w:val="00294FD6"/>
    <w:rsid w:val="00295064"/>
    <w:rsid w:val="002950B4"/>
    <w:rsid w:val="00295484"/>
    <w:rsid w:val="00295559"/>
    <w:rsid w:val="0029599A"/>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97E23"/>
    <w:rsid w:val="00297E6D"/>
    <w:rsid w:val="00297FA3"/>
    <w:rsid w:val="002A0028"/>
    <w:rsid w:val="002A0053"/>
    <w:rsid w:val="002A0093"/>
    <w:rsid w:val="002A01E9"/>
    <w:rsid w:val="002A0223"/>
    <w:rsid w:val="002A028D"/>
    <w:rsid w:val="002A0383"/>
    <w:rsid w:val="002A047E"/>
    <w:rsid w:val="002A054B"/>
    <w:rsid w:val="002A05BC"/>
    <w:rsid w:val="002A0977"/>
    <w:rsid w:val="002A0ABE"/>
    <w:rsid w:val="002A0D39"/>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E55"/>
    <w:rsid w:val="002A1F2D"/>
    <w:rsid w:val="002A21D7"/>
    <w:rsid w:val="002A29EF"/>
    <w:rsid w:val="002A2D6B"/>
    <w:rsid w:val="002A3051"/>
    <w:rsid w:val="002A30F7"/>
    <w:rsid w:val="002A33C4"/>
    <w:rsid w:val="002A34E6"/>
    <w:rsid w:val="002A361A"/>
    <w:rsid w:val="002A37CE"/>
    <w:rsid w:val="002A3A5F"/>
    <w:rsid w:val="002A3A66"/>
    <w:rsid w:val="002A3B11"/>
    <w:rsid w:val="002A3E5F"/>
    <w:rsid w:val="002A42B2"/>
    <w:rsid w:val="002A44A6"/>
    <w:rsid w:val="002A4626"/>
    <w:rsid w:val="002A47BB"/>
    <w:rsid w:val="002A4A10"/>
    <w:rsid w:val="002A4EA9"/>
    <w:rsid w:val="002A4EE0"/>
    <w:rsid w:val="002A502C"/>
    <w:rsid w:val="002A51C6"/>
    <w:rsid w:val="002A554D"/>
    <w:rsid w:val="002A581C"/>
    <w:rsid w:val="002A5824"/>
    <w:rsid w:val="002A5875"/>
    <w:rsid w:val="002A5FDD"/>
    <w:rsid w:val="002A6300"/>
    <w:rsid w:val="002A6348"/>
    <w:rsid w:val="002A63FD"/>
    <w:rsid w:val="002A64D8"/>
    <w:rsid w:val="002A6642"/>
    <w:rsid w:val="002A6696"/>
    <w:rsid w:val="002A67EA"/>
    <w:rsid w:val="002A6B67"/>
    <w:rsid w:val="002A6C48"/>
    <w:rsid w:val="002A6D93"/>
    <w:rsid w:val="002A6F53"/>
    <w:rsid w:val="002A70E5"/>
    <w:rsid w:val="002A7210"/>
    <w:rsid w:val="002A7243"/>
    <w:rsid w:val="002A7455"/>
    <w:rsid w:val="002A753D"/>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989"/>
    <w:rsid w:val="002B0A08"/>
    <w:rsid w:val="002B0C08"/>
    <w:rsid w:val="002B0C34"/>
    <w:rsid w:val="002B0F6F"/>
    <w:rsid w:val="002B107A"/>
    <w:rsid w:val="002B13E2"/>
    <w:rsid w:val="002B14E8"/>
    <w:rsid w:val="002B15B6"/>
    <w:rsid w:val="002B160C"/>
    <w:rsid w:val="002B1C53"/>
    <w:rsid w:val="002B1E46"/>
    <w:rsid w:val="002B1F44"/>
    <w:rsid w:val="002B2062"/>
    <w:rsid w:val="002B2170"/>
    <w:rsid w:val="002B21CA"/>
    <w:rsid w:val="002B2295"/>
    <w:rsid w:val="002B24B0"/>
    <w:rsid w:val="002B25A5"/>
    <w:rsid w:val="002B2635"/>
    <w:rsid w:val="002B2661"/>
    <w:rsid w:val="002B2692"/>
    <w:rsid w:val="002B27C9"/>
    <w:rsid w:val="002B28A6"/>
    <w:rsid w:val="002B2B4F"/>
    <w:rsid w:val="002B2DD6"/>
    <w:rsid w:val="002B369D"/>
    <w:rsid w:val="002B3712"/>
    <w:rsid w:val="002B3745"/>
    <w:rsid w:val="002B3A35"/>
    <w:rsid w:val="002B3A7C"/>
    <w:rsid w:val="002B3B08"/>
    <w:rsid w:val="002B3B12"/>
    <w:rsid w:val="002B3C8B"/>
    <w:rsid w:val="002B3F3C"/>
    <w:rsid w:val="002B42EE"/>
    <w:rsid w:val="002B45D3"/>
    <w:rsid w:val="002B45D4"/>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CCE"/>
    <w:rsid w:val="002B5D5C"/>
    <w:rsid w:val="002B5E59"/>
    <w:rsid w:val="002B5FBB"/>
    <w:rsid w:val="002B6036"/>
    <w:rsid w:val="002B60DF"/>
    <w:rsid w:val="002B6257"/>
    <w:rsid w:val="002B646D"/>
    <w:rsid w:val="002B6652"/>
    <w:rsid w:val="002B6655"/>
    <w:rsid w:val="002B6669"/>
    <w:rsid w:val="002B6951"/>
    <w:rsid w:val="002B6EC5"/>
    <w:rsid w:val="002B7205"/>
    <w:rsid w:val="002B731D"/>
    <w:rsid w:val="002B741A"/>
    <w:rsid w:val="002B7518"/>
    <w:rsid w:val="002B78AE"/>
    <w:rsid w:val="002B78BB"/>
    <w:rsid w:val="002B7936"/>
    <w:rsid w:val="002B7A39"/>
    <w:rsid w:val="002B7BD5"/>
    <w:rsid w:val="002B7C9C"/>
    <w:rsid w:val="002B7FEE"/>
    <w:rsid w:val="002C0061"/>
    <w:rsid w:val="002C010D"/>
    <w:rsid w:val="002C0454"/>
    <w:rsid w:val="002C083A"/>
    <w:rsid w:val="002C0A60"/>
    <w:rsid w:val="002C1115"/>
    <w:rsid w:val="002C1138"/>
    <w:rsid w:val="002C113F"/>
    <w:rsid w:val="002C14BD"/>
    <w:rsid w:val="002C14EC"/>
    <w:rsid w:val="002C1604"/>
    <w:rsid w:val="002C193F"/>
    <w:rsid w:val="002C1B53"/>
    <w:rsid w:val="002C1CE8"/>
    <w:rsid w:val="002C1D34"/>
    <w:rsid w:val="002C1D5B"/>
    <w:rsid w:val="002C1E3F"/>
    <w:rsid w:val="002C1EF7"/>
    <w:rsid w:val="002C2087"/>
    <w:rsid w:val="002C217A"/>
    <w:rsid w:val="002C22B6"/>
    <w:rsid w:val="002C2422"/>
    <w:rsid w:val="002C2423"/>
    <w:rsid w:val="002C2495"/>
    <w:rsid w:val="002C26C8"/>
    <w:rsid w:val="002C2777"/>
    <w:rsid w:val="002C27B8"/>
    <w:rsid w:val="002C2B3F"/>
    <w:rsid w:val="002C2D65"/>
    <w:rsid w:val="002C2D72"/>
    <w:rsid w:val="002C2EAF"/>
    <w:rsid w:val="002C2FB5"/>
    <w:rsid w:val="002C314C"/>
    <w:rsid w:val="002C3554"/>
    <w:rsid w:val="002C35D0"/>
    <w:rsid w:val="002C39F9"/>
    <w:rsid w:val="002C3B3C"/>
    <w:rsid w:val="002C3FF4"/>
    <w:rsid w:val="002C458F"/>
    <w:rsid w:val="002C45AC"/>
    <w:rsid w:val="002C48F1"/>
    <w:rsid w:val="002C48F8"/>
    <w:rsid w:val="002C4A19"/>
    <w:rsid w:val="002C4AFC"/>
    <w:rsid w:val="002C5226"/>
    <w:rsid w:val="002C52EF"/>
    <w:rsid w:val="002C5326"/>
    <w:rsid w:val="002C5339"/>
    <w:rsid w:val="002C585D"/>
    <w:rsid w:val="002C5A00"/>
    <w:rsid w:val="002C5CD5"/>
    <w:rsid w:val="002C5CF4"/>
    <w:rsid w:val="002C5F84"/>
    <w:rsid w:val="002C6202"/>
    <w:rsid w:val="002C63FB"/>
    <w:rsid w:val="002C6496"/>
    <w:rsid w:val="002C6BAC"/>
    <w:rsid w:val="002C6C51"/>
    <w:rsid w:val="002C71DF"/>
    <w:rsid w:val="002C7536"/>
    <w:rsid w:val="002C7757"/>
    <w:rsid w:val="002C7B8C"/>
    <w:rsid w:val="002C7DD5"/>
    <w:rsid w:val="002C7E65"/>
    <w:rsid w:val="002C7FBF"/>
    <w:rsid w:val="002D034C"/>
    <w:rsid w:val="002D0433"/>
    <w:rsid w:val="002D05C4"/>
    <w:rsid w:val="002D075F"/>
    <w:rsid w:val="002D09E1"/>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53"/>
    <w:rsid w:val="002D22AE"/>
    <w:rsid w:val="002D2316"/>
    <w:rsid w:val="002D24E5"/>
    <w:rsid w:val="002D259F"/>
    <w:rsid w:val="002D28AE"/>
    <w:rsid w:val="002D2CE0"/>
    <w:rsid w:val="002D2F24"/>
    <w:rsid w:val="002D2FEF"/>
    <w:rsid w:val="002D35DD"/>
    <w:rsid w:val="002D384C"/>
    <w:rsid w:val="002D3A3D"/>
    <w:rsid w:val="002D3AC0"/>
    <w:rsid w:val="002D3AF6"/>
    <w:rsid w:val="002D3AFF"/>
    <w:rsid w:val="002D3BE3"/>
    <w:rsid w:val="002D3C1F"/>
    <w:rsid w:val="002D3C2C"/>
    <w:rsid w:val="002D3D6A"/>
    <w:rsid w:val="002D3FB3"/>
    <w:rsid w:val="002D44C4"/>
    <w:rsid w:val="002D4651"/>
    <w:rsid w:val="002D4865"/>
    <w:rsid w:val="002D4A0E"/>
    <w:rsid w:val="002D4A7E"/>
    <w:rsid w:val="002D4AB4"/>
    <w:rsid w:val="002D4B7B"/>
    <w:rsid w:val="002D4B9F"/>
    <w:rsid w:val="002D4D1D"/>
    <w:rsid w:val="002D4D86"/>
    <w:rsid w:val="002D4F48"/>
    <w:rsid w:val="002D5257"/>
    <w:rsid w:val="002D5360"/>
    <w:rsid w:val="002D5376"/>
    <w:rsid w:val="002D544C"/>
    <w:rsid w:val="002D5756"/>
    <w:rsid w:val="002D576C"/>
    <w:rsid w:val="002D58CC"/>
    <w:rsid w:val="002D597E"/>
    <w:rsid w:val="002D59F3"/>
    <w:rsid w:val="002D5C96"/>
    <w:rsid w:val="002D5DF8"/>
    <w:rsid w:val="002D5E69"/>
    <w:rsid w:val="002D5FAD"/>
    <w:rsid w:val="002D60BB"/>
    <w:rsid w:val="002D6190"/>
    <w:rsid w:val="002D6548"/>
    <w:rsid w:val="002D6588"/>
    <w:rsid w:val="002D67FB"/>
    <w:rsid w:val="002D68E1"/>
    <w:rsid w:val="002D6BEE"/>
    <w:rsid w:val="002D6D93"/>
    <w:rsid w:val="002D70E1"/>
    <w:rsid w:val="002D70E8"/>
    <w:rsid w:val="002D7106"/>
    <w:rsid w:val="002D75CB"/>
    <w:rsid w:val="002D7627"/>
    <w:rsid w:val="002D7695"/>
    <w:rsid w:val="002D76D6"/>
    <w:rsid w:val="002D76FC"/>
    <w:rsid w:val="002D7821"/>
    <w:rsid w:val="002D7B26"/>
    <w:rsid w:val="002D7B7E"/>
    <w:rsid w:val="002D7E2A"/>
    <w:rsid w:val="002D7EDA"/>
    <w:rsid w:val="002E010F"/>
    <w:rsid w:val="002E013F"/>
    <w:rsid w:val="002E056A"/>
    <w:rsid w:val="002E0628"/>
    <w:rsid w:val="002E09E1"/>
    <w:rsid w:val="002E0A71"/>
    <w:rsid w:val="002E0C6A"/>
    <w:rsid w:val="002E0CAA"/>
    <w:rsid w:val="002E0DB8"/>
    <w:rsid w:val="002E0F22"/>
    <w:rsid w:val="002E12EF"/>
    <w:rsid w:val="002E151A"/>
    <w:rsid w:val="002E156B"/>
    <w:rsid w:val="002E166C"/>
    <w:rsid w:val="002E16C5"/>
    <w:rsid w:val="002E1AC5"/>
    <w:rsid w:val="002E1B93"/>
    <w:rsid w:val="002E1BB0"/>
    <w:rsid w:val="002E1BBF"/>
    <w:rsid w:val="002E1D0D"/>
    <w:rsid w:val="002E2053"/>
    <w:rsid w:val="002E20BC"/>
    <w:rsid w:val="002E2160"/>
    <w:rsid w:val="002E2663"/>
    <w:rsid w:val="002E29D3"/>
    <w:rsid w:val="002E2B35"/>
    <w:rsid w:val="002E2B92"/>
    <w:rsid w:val="002E2E7F"/>
    <w:rsid w:val="002E2FBB"/>
    <w:rsid w:val="002E318A"/>
    <w:rsid w:val="002E355F"/>
    <w:rsid w:val="002E3693"/>
    <w:rsid w:val="002E37C0"/>
    <w:rsid w:val="002E3954"/>
    <w:rsid w:val="002E3A88"/>
    <w:rsid w:val="002E3B21"/>
    <w:rsid w:val="002E3D5E"/>
    <w:rsid w:val="002E3F1B"/>
    <w:rsid w:val="002E4024"/>
    <w:rsid w:val="002E4260"/>
    <w:rsid w:val="002E4276"/>
    <w:rsid w:val="002E4B4A"/>
    <w:rsid w:val="002E4C32"/>
    <w:rsid w:val="002E4FF0"/>
    <w:rsid w:val="002E525B"/>
    <w:rsid w:val="002E52FB"/>
    <w:rsid w:val="002E53D7"/>
    <w:rsid w:val="002E5507"/>
    <w:rsid w:val="002E5903"/>
    <w:rsid w:val="002E596A"/>
    <w:rsid w:val="002E59A0"/>
    <w:rsid w:val="002E5A42"/>
    <w:rsid w:val="002E5B3E"/>
    <w:rsid w:val="002E5D6D"/>
    <w:rsid w:val="002E604F"/>
    <w:rsid w:val="002E62E1"/>
    <w:rsid w:val="002E634B"/>
    <w:rsid w:val="002E63B2"/>
    <w:rsid w:val="002E6436"/>
    <w:rsid w:val="002E64CB"/>
    <w:rsid w:val="002E6514"/>
    <w:rsid w:val="002E6583"/>
    <w:rsid w:val="002E66BD"/>
    <w:rsid w:val="002E6B5F"/>
    <w:rsid w:val="002E6C05"/>
    <w:rsid w:val="002E71F3"/>
    <w:rsid w:val="002E7367"/>
    <w:rsid w:val="002E7729"/>
    <w:rsid w:val="002E7B8B"/>
    <w:rsid w:val="002E7D6F"/>
    <w:rsid w:val="002E7FF4"/>
    <w:rsid w:val="002F0070"/>
    <w:rsid w:val="002F01DA"/>
    <w:rsid w:val="002F0450"/>
    <w:rsid w:val="002F060E"/>
    <w:rsid w:val="002F0613"/>
    <w:rsid w:val="002F084B"/>
    <w:rsid w:val="002F08F0"/>
    <w:rsid w:val="002F090C"/>
    <w:rsid w:val="002F091C"/>
    <w:rsid w:val="002F0A35"/>
    <w:rsid w:val="002F0A9C"/>
    <w:rsid w:val="002F0AA9"/>
    <w:rsid w:val="002F0C29"/>
    <w:rsid w:val="002F0F22"/>
    <w:rsid w:val="002F0FCC"/>
    <w:rsid w:val="002F1878"/>
    <w:rsid w:val="002F2069"/>
    <w:rsid w:val="002F208C"/>
    <w:rsid w:val="002F2405"/>
    <w:rsid w:val="002F25AB"/>
    <w:rsid w:val="002F267F"/>
    <w:rsid w:val="002F280A"/>
    <w:rsid w:val="002F28A8"/>
    <w:rsid w:val="002F2A2E"/>
    <w:rsid w:val="002F2CD5"/>
    <w:rsid w:val="002F2D0E"/>
    <w:rsid w:val="002F2E1E"/>
    <w:rsid w:val="002F30E6"/>
    <w:rsid w:val="002F31D7"/>
    <w:rsid w:val="002F33AF"/>
    <w:rsid w:val="002F33D3"/>
    <w:rsid w:val="002F378D"/>
    <w:rsid w:val="002F3B59"/>
    <w:rsid w:val="002F3C03"/>
    <w:rsid w:val="002F3CB4"/>
    <w:rsid w:val="002F3E73"/>
    <w:rsid w:val="002F3FD3"/>
    <w:rsid w:val="002F4011"/>
    <w:rsid w:val="002F40AB"/>
    <w:rsid w:val="002F40D6"/>
    <w:rsid w:val="002F42C7"/>
    <w:rsid w:val="002F466B"/>
    <w:rsid w:val="002F4B95"/>
    <w:rsid w:val="002F4DC9"/>
    <w:rsid w:val="002F4E09"/>
    <w:rsid w:val="002F4E58"/>
    <w:rsid w:val="002F4F9D"/>
    <w:rsid w:val="002F5122"/>
    <w:rsid w:val="002F537D"/>
    <w:rsid w:val="002F55D0"/>
    <w:rsid w:val="002F55DA"/>
    <w:rsid w:val="002F57D9"/>
    <w:rsid w:val="002F5890"/>
    <w:rsid w:val="002F5BEA"/>
    <w:rsid w:val="002F5CAF"/>
    <w:rsid w:val="002F6241"/>
    <w:rsid w:val="002F65D8"/>
    <w:rsid w:val="002F65F0"/>
    <w:rsid w:val="002F6971"/>
    <w:rsid w:val="002F6A3E"/>
    <w:rsid w:val="002F6AAA"/>
    <w:rsid w:val="002F6CF6"/>
    <w:rsid w:val="002F6EC9"/>
    <w:rsid w:val="002F6F70"/>
    <w:rsid w:val="002F6F79"/>
    <w:rsid w:val="002F707B"/>
    <w:rsid w:val="002F70C9"/>
    <w:rsid w:val="002F73EA"/>
    <w:rsid w:val="002F745E"/>
    <w:rsid w:val="002F746C"/>
    <w:rsid w:val="002F76F9"/>
    <w:rsid w:val="002F7767"/>
    <w:rsid w:val="002F7821"/>
    <w:rsid w:val="002F7849"/>
    <w:rsid w:val="002F7921"/>
    <w:rsid w:val="002F79A5"/>
    <w:rsid w:val="002F7AC8"/>
    <w:rsid w:val="002F7CC7"/>
    <w:rsid w:val="002F7E2F"/>
    <w:rsid w:val="00300140"/>
    <w:rsid w:val="00300262"/>
    <w:rsid w:val="003003D3"/>
    <w:rsid w:val="003003EF"/>
    <w:rsid w:val="00300523"/>
    <w:rsid w:val="00300553"/>
    <w:rsid w:val="0030063A"/>
    <w:rsid w:val="003007A2"/>
    <w:rsid w:val="00300923"/>
    <w:rsid w:val="003009DA"/>
    <w:rsid w:val="00300CF3"/>
    <w:rsid w:val="00300E01"/>
    <w:rsid w:val="00301067"/>
    <w:rsid w:val="00301642"/>
    <w:rsid w:val="003017E9"/>
    <w:rsid w:val="003018E4"/>
    <w:rsid w:val="003018E5"/>
    <w:rsid w:val="00301C03"/>
    <w:rsid w:val="00301CEF"/>
    <w:rsid w:val="00301ED4"/>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EB5"/>
    <w:rsid w:val="00302F59"/>
    <w:rsid w:val="00302FE1"/>
    <w:rsid w:val="003032F4"/>
    <w:rsid w:val="00303309"/>
    <w:rsid w:val="003039AB"/>
    <w:rsid w:val="003039DB"/>
    <w:rsid w:val="00303C40"/>
    <w:rsid w:val="00303CD8"/>
    <w:rsid w:val="00303EEF"/>
    <w:rsid w:val="00304127"/>
    <w:rsid w:val="00304201"/>
    <w:rsid w:val="00304381"/>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5E5"/>
    <w:rsid w:val="0030587D"/>
    <w:rsid w:val="0030595A"/>
    <w:rsid w:val="00305B96"/>
    <w:rsid w:val="00305BE3"/>
    <w:rsid w:val="00305C4A"/>
    <w:rsid w:val="00305C5A"/>
    <w:rsid w:val="0030618F"/>
    <w:rsid w:val="003062AB"/>
    <w:rsid w:val="00306564"/>
    <w:rsid w:val="0030673F"/>
    <w:rsid w:val="00306790"/>
    <w:rsid w:val="00306884"/>
    <w:rsid w:val="00306908"/>
    <w:rsid w:val="00306BDD"/>
    <w:rsid w:val="0030723C"/>
    <w:rsid w:val="00307431"/>
    <w:rsid w:val="0030750F"/>
    <w:rsid w:val="00307572"/>
    <w:rsid w:val="0030783E"/>
    <w:rsid w:val="003078B1"/>
    <w:rsid w:val="003079A8"/>
    <w:rsid w:val="003079B3"/>
    <w:rsid w:val="00307E4C"/>
    <w:rsid w:val="00307E6F"/>
    <w:rsid w:val="00310310"/>
    <w:rsid w:val="00310463"/>
    <w:rsid w:val="003104FC"/>
    <w:rsid w:val="00310942"/>
    <w:rsid w:val="00310A4F"/>
    <w:rsid w:val="00310A88"/>
    <w:rsid w:val="00310B32"/>
    <w:rsid w:val="00310B75"/>
    <w:rsid w:val="00310B86"/>
    <w:rsid w:val="00310E7E"/>
    <w:rsid w:val="00310F50"/>
    <w:rsid w:val="003111F9"/>
    <w:rsid w:val="0031123E"/>
    <w:rsid w:val="0031131C"/>
    <w:rsid w:val="0031155F"/>
    <w:rsid w:val="0031168E"/>
    <w:rsid w:val="003117B7"/>
    <w:rsid w:val="00311912"/>
    <w:rsid w:val="00311A83"/>
    <w:rsid w:val="00311EB2"/>
    <w:rsid w:val="00311ECA"/>
    <w:rsid w:val="00311EE9"/>
    <w:rsid w:val="00311F92"/>
    <w:rsid w:val="003121C1"/>
    <w:rsid w:val="003121F9"/>
    <w:rsid w:val="00312278"/>
    <w:rsid w:val="0031239B"/>
    <w:rsid w:val="003123E4"/>
    <w:rsid w:val="0031274F"/>
    <w:rsid w:val="00312A37"/>
    <w:rsid w:val="00312AFA"/>
    <w:rsid w:val="00312B3C"/>
    <w:rsid w:val="00312C7C"/>
    <w:rsid w:val="00312D61"/>
    <w:rsid w:val="00312D63"/>
    <w:rsid w:val="00313383"/>
    <w:rsid w:val="0031338E"/>
    <w:rsid w:val="00313568"/>
    <w:rsid w:val="003137D6"/>
    <w:rsid w:val="003139A7"/>
    <w:rsid w:val="003139B7"/>
    <w:rsid w:val="00313A8B"/>
    <w:rsid w:val="00313AB7"/>
    <w:rsid w:val="00313AD9"/>
    <w:rsid w:val="00313EDD"/>
    <w:rsid w:val="00313F13"/>
    <w:rsid w:val="003141CA"/>
    <w:rsid w:val="0031427E"/>
    <w:rsid w:val="003142D1"/>
    <w:rsid w:val="0031475E"/>
    <w:rsid w:val="00314A18"/>
    <w:rsid w:val="00314BE0"/>
    <w:rsid w:val="00314D43"/>
    <w:rsid w:val="00314FA1"/>
    <w:rsid w:val="00315047"/>
    <w:rsid w:val="0031561D"/>
    <w:rsid w:val="00315697"/>
    <w:rsid w:val="00315A3B"/>
    <w:rsid w:val="00315EF3"/>
    <w:rsid w:val="00315F1E"/>
    <w:rsid w:val="0031607E"/>
    <w:rsid w:val="00316357"/>
    <w:rsid w:val="00316397"/>
    <w:rsid w:val="00316657"/>
    <w:rsid w:val="003168AC"/>
    <w:rsid w:val="003168B6"/>
    <w:rsid w:val="00316A87"/>
    <w:rsid w:val="00316ABB"/>
    <w:rsid w:val="00317239"/>
    <w:rsid w:val="00317364"/>
    <w:rsid w:val="0031748C"/>
    <w:rsid w:val="0031758D"/>
    <w:rsid w:val="003175D5"/>
    <w:rsid w:val="003176C2"/>
    <w:rsid w:val="00317921"/>
    <w:rsid w:val="00317C64"/>
    <w:rsid w:val="00317D99"/>
    <w:rsid w:val="00317E87"/>
    <w:rsid w:val="00317EC2"/>
    <w:rsid w:val="00317F1C"/>
    <w:rsid w:val="0032010D"/>
    <w:rsid w:val="0032016F"/>
    <w:rsid w:val="0032035F"/>
    <w:rsid w:val="00320827"/>
    <w:rsid w:val="003209BA"/>
    <w:rsid w:val="00320A8C"/>
    <w:rsid w:val="00320C18"/>
    <w:rsid w:val="00320CBD"/>
    <w:rsid w:val="00320DD9"/>
    <w:rsid w:val="00320DDD"/>
    <w:rsid w:val="00320E07"/>
    <w:rsid w:val="00320EEC"/>
    <w:rsid w:val="00321146"/>
    <w:rsid w:val="00321256"/>
    <w:rsid w:val="003212A6"/>
    <w:rsid w:val="0032146D"/>
    <w:rsid w:val="0032159E"/>
    <w:rsid w:val="00321773"/>
    <w:rsid w:val="003218B5"/>
    <w:rsid w:val="00321A3E"/>
    <w:rsid w:val="00321C29"/>
    <w:rsid w:val="00321EAA"/>
    <w:rsid w:val="00322058"/>
    <w:rsid w:val="0032213B"/>
    <w:rsid w:val="0032228D"/>
    <w:rsid w:val="00322493"/>
    <w:rsid w:val="003225CE"/>
    <w:rsid w:val="0032265F"/>
    <w:rsid w:val="003228CF"/>
    <w:rsid w:val="00322A20"/>
    <w:rsid w:val="00322A26"/>
    <w:rsid w:val="00322A29"/>
    <w:rsid w:val="00322C7B"/>
    <w:rsid w:val="00322D11"/>
    <w:rsid w:val="00322F4E"/>
    <w:rsid w:val="003232D4"/>
    <w:rsid w:val="003233F8"/>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7B"/>
    <w:rsid w:val="00324BFD"/>
    <w:rsid w:val="00324D2D"/>
    <w:rsid w:val="00324D3F"/>
    <w:rsid w:val="00324F92"/>
    <w:rsid w:val="00325363"/>
    <w:rsid w:val="00325709"/>
    <w:rsid w:val="0032581B"/>
    <w:rsid w:val="0032582E"/>
    <w:rsid w:val="0032585B"/>
    <w:rsid w:val="00325AF5"/>
    <w:rsid w:val="00325E2C"/>
    <w:rsid w:val="00325E3A"/>
    <w:rsid w:val="0032647D"/>
    <w:rsid w:val="003264E0"/>
    <w:rsid w:val="0032652D"/>
    <w:rsid w:val="00326546"/>
    <w:rsid w:val="003266B8"/>
    <w:rsid w:val="0032671A"/>
    <w:rsid w:val="00326ED5"/>
    <w:rsid w:val="00327069"/>
    <w:rsid w:val="00327513"/>
    <w:rsid w:val="00327A3F"/>
    <w:rsid w:val="00327BB6"/>
    <w:rsid w:val="00327CA8"/>
    <w:rsid w:val="00327D7B"/>
    <w:rsid w:val="00330061"/>
    <w:rsid w:val="003300AB"/>
    <w:rsid w:val="003301A2"/>
    <w:rsid w:val="00330377"/>
    <w:rsid w:val="00330766"/>
    <w:rsid w:val="00330776"/>
    <w:rsid w:val="0033079D"/>
    <w:rsid w:val="00330817"/>
    <w:rsid w:val="0033086C"/>
    <w:rsid w:val="003308CE"/>
    <w:rsid w:val="00330989"/>
    <w:rsid w:val="003309E2"/>
    <w:rsid w:val="00330A43"/>
    <w:rsid w:val="00331081"/>
    <w:rsid w:val="00331327"/>
    <w:rsid w:val="00331348"/>
    <w:rsid w:val="00331426"/>
    <w:rsid w:val="003317A0"/>
    <w:rsid w:val="003317A8"/>
    <w:rsid w:val="00331973"/>
    <w:rsid w:val="00331AF7"/>
    <w:rsid w:val="00331B33"/>
    <w:rsid w:val="00331C51"/>
    <w:rsid w:val="00331CDB"/>
    <w:rsid w:val="00331E49"/>
    <w:rsid w:val="003320E2"/>
    <w:rsid w:val="003321AB"/>
    <w:rsid w:val="003322AA"/>
    <w:rsid w:val="003322EB"/>
    <w:rsid w:val="0033232B"/>
    <w:rsid w:val="003323C8"/>
    <w:rsid w:val="00332459"/>
    <w:rsid w:val="003324D4"/>
    <w:rsid w:val="00332919"/>
    <w:rsid w:val="003329F9"/>
    <w:rsid w:val="00332AF2"/>
    <w:rsid w:val="00332EAA"/>
    <w:rsid w:val="0033356A"/>
    <w:rsid w:val="00333651"/>
    <w:rsid w:val="0033379D"/>
    <w:rsid w:val="0033390F"/>
    <w:rsid w:val="00333954"/>
    <w:rsid w:val="00333AC5"/>
    <w:rsid w:val="00333C62"/>
    <w:rsid w:val="00334048"/>
    <w:rsid w:val="00334164"/>
    <w:rsid w:val="00334241"/>
    <w:rsid w:val="0033436E"/>
    <w:rsid w:val="003343BA"/>
    <w:rsid w:val="00334534"/>
    <w:rsid w:val="00334C7C"/>
    <w:rsid w:val="00334CD6"/>
    <w:rsid w:val="00334E1F"/>
    <w:rsid w:val="00334F4D"/>
    <w:rsid w:val="00334FD5"/>
    <w:rsid w:val="003350A0"/>
    <w:rsid w:val="003351D2"/>
    <w:rsid w:val="00335340"/>
    <w:rsid w:val="00335488"/>
    <w:rsid w:val="00335AFA"/>
    <w:rsid w:val="00335EC3"/>
    <w:rsid w:val="00336091"/>
    <w:rsid w:val="003361BB"/>
    <w:rsid w:val="00336298"/>
    <w:rsid w:val="003362C2"/>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40108"/>
    <w:rsid w:val="0034013B"/>
    <w:rsid w:val="00340268"/>
    <w:rsid w:val="0034034A"/>
    <w:rsid w:val="0034073B"/>
    <w:rsid w:val="003407E0"/>
    <w:rsid w:val="003408A2"/>
    <w:rsid w:val="00340ED9"/>
    <w:rsid w:val="00341078"/>
    <w:rsid w:val="00341152"/>
    <w:rsid w:val="00341192"/>
    <w:rsid w:val="00341390"/>
    <w:rsid w:val="0034150B"/>
    <w:rsid w:val="00341544"/>
    <w:rsid w:val="00341A5C"/>
    <w:rsid w:val="00341A93"/>
    <w:rsid w:val="00341BFE"/>
    <w:rsid w:val="00341D24"/>
    <w:rsid w:val="00341E1A"/>
    <w:rsid w:val="00341E39"/>
    <w:rsid w:val="00341EA9"/>
    <w:rsid w:val="003420C7"/>
    <w:rsid w:val="0034222B"/>
    <w:rsid w:val="003422DC"/>
    <w:rsid w:val="003422F7"/>
    <w:rsid w:val="00342E85"/>
    <w:rsid w:val="00342EBC"/>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7E1"/>
    <w:rsid w:val="003449A0"/>
    <w:rsid w:val="00344B6E"/>
    <w:rsid w:val="00344BF1"/>
    <w:rsid w:val="00344F7B"/>
    <w:rsid w:val="0034508F"/>
    <w:rsid w:val="00345151"/>
    <w:rsid w:val="00345227"/>
    <w:rsid w:val="0034532B"/>
    <w:rsid w:val="00345396"/>
    <w:rsid w:val="0034560B"/>
    <w:rsid w:val="003458B8"/>
    <w:rsid w:val="0034613D"/>
    <w:rsid w:val="00346217"/>
    <w:rsid w:val="003463AA"/>
    <w:rsid w:val="003464D9"/>
    <w:rsid w:val="00346581"/>
    <w:rsid w:val="003466D8"/>
    <w:rsid w:val="003467B2"/>
    <w:rsid w:val="0034690D"/>
    <w:rsid w:val="003469B5"/>
    <w:rsid w:val="003469F6"/>
    <w:rsid w:val="00346AF3"/>
    <w:rsid w:val="00346B4A"/>
    <w:rsid w:val="00346C34"/>
    <w:rsid w:val="003470F8"/>
    <w:rsid w:val="00347128"/>
    <w:rsid w:val="003472D6"/>
    <w:rsid w:val="003473B6"/>
    <w:rsid w:val="0034758C"/>
    <w:rsid w:val="0034763F"/>
    <w:rsid w:val="0034770A"/>
    <w:rsid w:val="003478E8"/>
    <w:rsid w:val="00347938"/>
    <w:rsid w:val="00347A11"/>
    <w:rsid w:val="00347B21"/>
    <w:rsid w:val="00347B60"/>
    <w:rsid w:val="00347D3E"/>
    <w:rsid w:val="00347E5E"/>
    <w:rsid w:val="00347FD8"/>
    <w:rsid w:val="0035010B"/>
    <w:rsid w:val="00350683"/>
    <w:rsid w:val="003506B6"/>
    <w:rsid w:val="00350912"/>
    <w:rsid w:val="00350999"/>
    <w:rsid w:val="00350A30"/>
    <w:rsid w:val="00350AF2"/>
    <w:rsid w:val="00350BD3"/>
    <w:rsid w:val="00350C9A"/>
    <w:rsid w:val="00350D9C"/>
    <w:rsid w:val="00350DF2"/>
    <w:rsid w:val="00350E05"/>
    <w:rsid w:val="00350F98"/>
    <w:rsid w:val="00350FFE"/>
    <w:rsid w:val="00351040"/>
    <w:rsid w:val="00351251"/>
    <w:rsid w:val="003517F4"/>
    <w:rsid w:val="00351806"/>
    <w:rsid w:val="00351A5E"/>
    <w:rsid w:val="00351AB8"/>
    <w:rsid w:val="00351BA7"/>
    <w:rsid w:val="00351C10"/>
    <w:rsid w:val="00351DDE"/>
    <w:rsid w:val="00352196"/>
    <w:rsid w:val="00352226"/>
    <w:rsid w:val="003524E5"/>
    <w:rsid w:val="00352711"/>
    <w:rsid w:val="003527F7"/>
    <w:rsid w:val="003529B7"/>
    <w:rsid w:val="00352A11"/>
    <w:rsid w:val="00352BA9"/>
    <w:rsid w:val="00352BEC"/>
    <w:rsid w:val="00352C89"/>
    <w:rsid w:val="00352C8D"/>
    <w:rsid w:val="00352CA2"/>
    <w:rsid w:val="00352D66"/>
    <w:rsid w:val="0035300F"/>
    <w:rsid w:val="00353278"/>
    <w:rsid w:val="003532F3"/>
    <w:rsid w:val="00353331"/>
    <w:rsid w:val="00353472"/>
    <w:rsid w:val="003536A6"/>
    <w:rsid w:val="003538F9"/>
    <w:rsid w:val="00353BC8"/>
    <w:rsid w:val="00353EB2"/>
    <w:rsid w:val="00354087"/>
    <w:rsid w:val="003540A8"/>
    <w:rsid w:val="0035479B"/>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225"/>
    <w:rsid w:val="003573D6"/>
    <w:rsid w:val="003573E3"/>
    <w:rsid w:val="003574FC"/>
    <w:rsid w:val="00357515"/>
    <w:rsid w:val="00357647"/>
    <w:rsid w:val="00357757"/>
    <w:rsid w:val="0035781A"/>
    <w:rsid w:val="00357AA7"/>
    <w:rsid w:val="00357BEA"/>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4A7"/>
    <w:rsid w:val="00361758"/>
    <w:rsid w:val="0036180C"/>
    <w:rsid w:val="0036188B"/>
    <w:rsid w:val="00361A1A"/>
    <w:rsid w:val="00361B4A"/>
    <w:rsid w:val="00361EC1"/>
    <w:rsid w:val="00361F5E"/>
    <w:rsid w:val="00361FB3"/>
    <w:rsid w:val="003621CD"/>
    <w:rsid w:val="0036243C"/>
    <w:rsid w:val="003625A7"/>
    <w:rsid w:val="003625B9"/>
    <w:rsid w:val="00362B60"/>
    <w:rsid w:val="00362C52"/>
    <w:rsid w:val="00362DE8"/>
    <w:rsid w:val="00362F87"/>
    <w:rsid w:val="00362FA9"/>
    <w:rsid w:val="003633A3"/>
    <w:rsid w:val="003633F5"/>
    <w:rsid w:val="0036369C"/>
    <w:rsid w:val="0036398B"/>
    <w:rsid w:val="00363CB9"/>
    <w:rsid w:val="00363CBC"/>
    <w:rsid w:val="00363DB6"/>
    <w:rsid w:val="00364259"/>
    <w:rsid w:val="00364341"/>
    <w:rsid w:val="00364955"/>
    <w:rsid w:val="003649C0"/>
    <w:rsid w:val="00364A48"/>
    <w:rsid w:val="00364C47"/>
    <w:rsid w:val="00364E9D"/>
    <w:rsid w:val="00365521"/>
    <w:rsid w:val="0036562D"/>
    <w:rsid w:val="00365697"/>
    <w:rsid w:val="003658E6"/>
    <w:rsid w:val="003658FD"/>
    <w:rsid w:val="003659BF"/>
    <w:rsid w:val="00365EFD"/>
    <w:rsid w:val="003661FA"/>
    <w:rsid w:val="0036626A"/>
    <w:rsid w:val="003664DB"/>
    <w:rsid w:val="0036655C"/>
    <w:rsid w:val="0036672B"/>
    <w:rsid w:val="00366B2E"/>
    <w:rsid w:val="00366D04"/>
    <w:rsid w:val="00367480"/>
    <w:rsid w:val="003674F3"/>
    <w:rsid w:val="003675F0"/>
    <w:rsid w:val="0036764F"/>
    <w:rsid w:val="0036767A"/>
    <w:rsid w:val="00367A6A"/>
    <w:rsid w:val="00367D42"/>
    <w:rsid w:val="00367E8C"/>
    <w:rsid w:val="00367FDB"/>
    <w:rsid w:val="00370294"/>
    <w:rsid w:val="003702D5"/>
    <w:rsid w:val="00370353"/>
    <w:rsid w:val="003704A0"/>
    <w:rsid w:val="0037077C"/>
    <w:rsid w:val="0037081C"/>
    <w:rsid w:val="00370A5C"/>
    <w:rsid w:val="00370C69"/>
    <w:rsid w:val="00370D4D"/>
    <w:rsid w:val="00370D5E"/>
    <w:rsid w:val="00370F81"/>
    <w:rsid w:val="0037115C"/>
    <w:rsid w:val="0037171D"/>
    <w:rsid w:val="003717EF"/>
    <w:rsid w:val="00371BE2"/>
    <w:rsid w:val="00371CC1"/>
    <w:rsid w:val="00371F25"/>
    <w:rsid w:val="0037247C"/>
    <w:rsid w:val="003724A2"/>
    <w:rsid w:val="00372A5B"/>
    <w:rsid w:val="00372C91"/>
    <w:rsid w:val="00372CF9"/>
    <w:rsid w:val="00373066"/>
    <w:rsid w:val="00373091"/>
    <w:rsid w:val="00373097"/>
    <w:rsid w:val="003735D0"/>
    <w:rsid w:val="00373696"/>
    <w:rsid w:val="003737FE"/>
    <w:rsid w:val="00373AD0"/>
    <w:rsid w:val="00373B12"/>
    <w:rsid w:val="00373B81"/>
    <w:rsid w:val="00373BAD"/>
    <w:rsid w:val="00373BCB"/>
    <w:rsid w:val="00373C8C"/>
    <w:rsid w:val="003740B4"/>
    <w:rsid w:val="00374224"/>
    <w:rsid w:val="00374469"/>
    <w:rsid w:val="003745A9"/>
    <w:rsid w:val="00374710"/>
    <w:rsid w:val="00374932"/>
    <w:rsid w:val="00374BCA"/>
    <w:rsid w:val="00374C9C"/>
    <w:rsid w:val="003751C0"/>
    <w:rsid w:val="003751F1"/>
    <w:rsid w:val="00375330"/>
    <w:rsid w:val="00375372"/>
    <w:rsid w:val="003755B5"/>
    <w:rsid w:val="0037573E"/>
    <w:rsid w:val="00375796"/>
    <w:rsid w:val="003757E6"/>
    <w:rsid w:val="00375A31"/>
    <w:rsid w:val="00375FA7"/>
    <w:rsid w:val="0037604F"/>
    <w:rsid w:val="00376121"/>
    <w:rsid w:val="003763BC"/>
    <w:rsid w:val="003765A4"/>
    <w:rsid w:val="0037671E"/>
    <w:rsid w:val="003769FC"/>
    <w:rsid w:val="00376EA0"/>
    <w:rsid w:val="00376FB9"/>
    <w:rsid w:val="003771D3"/>
    <w:rsid w:val="00377249"/>
    <w:rsid w:val="003776C1"/>
    <w:rsid w:val="0037788C"/>
    <w:rsid w:val="00377915"/>
    <w:rsid w:val="00377B28"/>
    <w:rsid w:val="00377CE7"/>
    <w:rsid w:val="00377D7B"/>
    <w:rsid w:val="00377E4B"/>
    <w:rsid w:val="003801EA"/>
    <w:rsid w:val="0038021F"/>
    <w:rsid w:val="003802C6"/>
    <w:rsid w:val="0038051E"/>
    <w:rsid w:val="003807D4"/>
    <w:rsid w:val="003808DE"/>
    <w:rsid w:val="00380940"/>
    <w:rsid w:val="00380B00"/>
    <w:rsid w:val="00380B2F"/>
    <w:rsid w:val="00380F26"/>
    <w:rsid w:val="00380F68"/>
    <w:rsid w:val="00381024"/>
    <w:rsid w:val="003810B8"/>
    <w:rsid w:val="0038135D"/>
    <w:rsid w:val="0038169E"/>
    <w:rsid w:val="0038170A"/>
    <w:rsid w:val="00381869"/>
    <w:rsid w:val="0038198C"/>
    <w:rsid w:val="003819C7"/>
    <w:rsid w:val="00381AB2"/>
    <w:rsid w:val="00381CB6"/>
    <w:rsid w:val="00382221"/>
    <w:rsid w:val="003823FC"/>
    <w:rsid w:val="00382652"/>
    <w:rsid w:val="00382EDE"/>
    <w:rsid w:val="00382FDF"/>
    <w:rsid w:val="003833F9"/>
    <w:rsid w:val="00383A74"/>
    <w:rsid w:val="00383B0F"/>
    <w:rsid w:val="00383EB1"/>
    <w:rsid w:val="00383ED9"/>
    <w:rsid w:val="00383FC9"/>
    <w:rsid w:val="00383FDC"/>
    <w:rsid w:val="00384152"/>
    <w:rsid w:val="0038429A"/>
    <w:rsid w:val="003842B0"/>
    <w:rsid w:val="003846E0"/>
    <w:rsid w:val="00384772"/>
    <w:rsid w:val="003847CA"/>
    <w:rsid w:val="00384922"/>
    <w:rsid w:val="00384A9E"/>
    <w:rsid w:val="00384B82"/>
    <w:rsid w:val="00384BFB"/>
    <w:rsid w:val="00384C67"/>
    <w:rsid w:val="00384D0F"/>
    <w:rsid w:val="00384E2D"/>
    <w:rsid w:val="00384FA8"/>
    <w:rsid w:val="00384FFE"/>
    <w:rsid w:val="003851FE"/>
    <w:rsid w:val="00385433"/>
    <w:rsid w:val="003857FD"/>
    <w:rsid w:val="0038588D"/>
    <w:rsid w:val="00385996"/>
    <w:rsid w:val="003859C8"/>
    <w:rsid w:val="00385B7E"/>
    <w:rsid w:val="00385BA9"/>
    <w:rsid w:val="00385D4D"/>
    <w:rsid w:val="00385E8A"/>
    <w:rsid w:val="00385FC8"/>
    <w:rsid w:val="003861A4"/>
    <w:rsid w:val="00386427"/>
    <w:rsid w:val="00386761"/>
    <w:rsid w:val="00386ABC"/>
    <w:rsid w:val="00386B99"/>
    <w:rsid w:val="00386C2F"/>
    <w:rsid w:val="00386E3B"/>
    <w:rsid w:val="00386ECD"/>
    <w:rsid w:val="00386FF7"/>
    <w:rsid w:val="00387167"/>
    <w:rsid w:val="00387580"/>
    <w:rsid w:val="003875E3"/>
    <w:rsid w:val="003878EF"/>
    <w:rsid w:val="00387A1E"/>
    <w:rsid w:val="00387A6A"/>
    <w:rsid w:val="00390236"/>
    <w:rsid w:val="00390430"/>
    <w:rsid w:val="00390477"/>
    <w:rsid w:val="003905C5"/>
    <w:rsid w:val="003906ED"/>
    <w:rsid w:val="00390824"/>
    <w:rsid w:val="00390A02"/>
    <w:rsid w:val="00390A62"/>
    <w:rsid w:val="00390B39"/>
    <w:rsid w:val="00390D07"/>
    <w:rsid w:val="00390E2E"/>
    <w:rsid w:val="00391001"/>
    <w:rsid w:val="003911F1"/>
    <w:rsid w:val="003917A1"/>
    <w:rsid w:val="00391855"/>
    <w:rsid w:val="00391871"/>
    <w:rsid w:val="00391D30"/>
    <w:rsid w:val="00391E51"/>
    <w:rsid w:val="00391EAB"/>
    <w:rsid w:val="00391EC6"/>
    <w:rsid w:val="00391F9B"/>
    <w:rsid w:val="003924C2"/>
    <w:rsid w:val="003924C8"/>
    <w:rsid w:val="0039275D"/>
    <w:rsid w:val="003929CC"/>
    <w:rsid w:val="00392A89"/>
    <w:rsid w:val="00392C56"/>
    <w:rsid w:val="0039329F"/>
    <w:rsid w:val="0039387D"/>
    <w:rsid w:val="003939C2"/>
    <w:rsid w:val="00393A7F"/>
    <w:rsid w:val="00393AE3"/>
    <w:rsid w:val="00393F7B"/>
    <w:rsid w:val="0039451F"/>
    <w:rsid w:val="003948CE"/>
    <w:rsid w:val="00394A38"/>
    <w:rsid w:val="00394C3A"/>
    <w:rsid w:val="00394C5E"/>
    <w:rsid w:val="00394C5F"/>
    <w:rsid w:val="00394F0B"/>
    <w:rsid w:val="00395500"/>
    <w:rsid w:val="0039568C"/>
    <w:rsid w:val="003956F1"/>
    <w:rsid w:val="00395A73"/>
    <w:rsid w:val="00395BBF"/>
    <w:rsid w:val="00395C47"/>
    <w:rsid w:val="00395C89"/>
    <w:rsid w:val="00395D64"/>
    <w:rsid w:val="00395E83"/>
    <w:rsid w:val="00395FAE"/>
    <w:rsid w:val="00396147"/>
    <w:rsid w:val="00396437"/>
    <w:rsid w:val="00396479"/>
    <w:rsid w:val="0039651D"/>
    <w:rsid w:val="00396597"/>
    <w:rsid w:val="0039661A"/>
    <w:rsid w:val="0039661C"/>
    <w:rsid w:val="00396819"/>
    <w:rsid w:val="003969B0"/>
    <w:rsid w:val="00396A41"/>
    <w:rsid w:val="00396AA5"/>
    <w:rsid w:val="00396B69"/>
    <w:rsid w:val="00396CCE"/>
    <w:rsid w:val="00396D2B"/>
    <w:rsid w:val="00396D87"/>
    <w:rsid w:val="0039723A"/>
    <w:rsid w:val="003972B9"/>
    <w:rsid w:val="0039730E"/>
    <w:rsid w:val="003974F5"/>
    <w:rsid w:val="00397764"/>
    <w:rsid w:val="00397853"/>
    <w:rsid w:val="00397BFC"/>
    <w:rsid w:val="003A0107"/>
    <w:rsid w:val="003A02EA"/>
    <w:rsid w:val="003A03B6"/>
    <w:rsid w:val="003A081A"/>
    <w:rsid w:val="003A08DA"/>
    <w:rsid w:val="003A0913"/>
    <w:rsid w:val="003A0BF2"/>
    <w:rsid w:val="003A0D90"/>
    <w:rsid w:val="003A0EC6"/>
    <w:rsid w:val="003A1128"/>
    <w:rsid w:val="003A12C6"/>
    <w:rsid w:val="003A1342"/>
    <w:rsid w:val="003A1488"/>
    <w:rsid w:val="003A1503"/>
    <w:rsid w:val="003A1604"/>
    <w:rsid w:val="003A1640"/>
    <w:rsid w:val="003A1745"/>
    <w:rsid w:val="003A1BD6"/>
    <w:rsid w:val="003A1EDF"/>
    <w:rsid w:val="003A204B"/>
    <w:rsid w:val="003A204D"/>
    <w:rsid w:val="003A22CB"/>
    <w:rsid w:val="003A24C7"/>
    <w:rsid w:val="003A24F4"/>
    <w:rsid w:val="003A253E"/>
    <w:rsid w:val="003A26AA"/>
    <w:rsid w:val="003A2A3E"/>
    <w:rsid w:val="003A2B0D"/>
    <w:rsid w:val="003A2CA4"/>
    <w:rsid w:val="003A3080"/>
    <w:rsid w:val="003A312F"/>
    <w:rsid w:val="003A32CF"/>
    <w:rsid w:val="003A330F"/>
    <w:rsid w:val="003A3737"/>
    <w:rsid w:val="003A37C2"/>
    <w:rsid w:val="003A3888"/>
    <w:rsid w:val="003A3A3F"/>
    <w:rsid w:val="003A3AB8"/>
    <w:rsid w:val="003A3B15"/>
    <w:rsid w:val="003A412F"/>
    <w:rsid w:val="003A425D"/>
    <w:rsid w:val="003A42BE"/>
    <w:rsid w:val="003A470A"/>
    <w:rsid w:val="003A48E8"/>
    <w:rsid w:val="003A49DB"/>
    <w:rsid w:val="003A49E9"/>
    <w:rsid w:val="003A4B13"/>
    <w:rsid w:val="003A4D39"/>
    <w:rsid w:val="003A4D6D"/>
    <w:rsid w:val="003A4F47"/>
    <w:rsid w:val="003A5059"/>
    <w:rsid w:val="003A50E2"/>
    <w:rsid w:val="003A522F"/>
    <w:rsid w:val="003A52F9"/>
    <w:rsid w:val="003A5468"/>
    <w:rsid w:val="003A547F"/>
    <w:rsid w:val="003A5679"/>
    <w:rsid w:val="003A5745"/>
    <w:rsid w:val="003A58CE"/>
    <w:rsid w:val="003A5B51"/>
    <w:rsid w:val="003A5CCA"/>
    <w:rsid w:val="003A5D34"/>
    <w:rsid w:val="003A5D3A"/>
    <w:rsid w:val="003A5DBF"/>
    <w:rsid w:val="003A6069"/>
    <w:rsid w:val="003A6363"/>
    <w:rsid w:val="003A64E2"/>
    <w:rsid w:val="003A65E8"/>
    <w:rsid w:val="003A6742"/>
    <w:rsid w:val="003A6775"/>
    <w:rsid w:val="003A6782"/>
    <w:rsid w:val="003A68F7"/>
    <w:rsid w:val="003A6AEF"/>
    <w:rsid w:val="003A6B3A"/>
    <w:rsid w:val="003A6B50"/>
    <w:rsid w:val="003A71C7"/>
    <w:rsid w:val="003A71FD"/>
    <w:rsid w:val="003A7398"/>
    <w:rsid w:val="003A74A2"/>
    <w:rsid w:val="003A785E"/>
    <w:rsid w:val="003A7AF5"/>
    <w:rsid w:val="003A7FFC"/>
    <w:rsid w:val="003B0097"/>
    <w:rsid w:val="003B00BB"/>
    <w:rsid w:val="003B02AF"/>
    <w:rsid w:val="003B047C"/>
    <w:rsid w:val="003B05FA"/>
    <w:rsid w:val="003B05FB"/>
    <w:rsid w:val="003B06E2"/>
    <w:rsid w:val="003B0C41"/>
    <w:rsid w:val="003B114F"/>
    <w:rsid w:val="003B178C"/>
    <w:rsid w:val="003B19B6"/>
    <w:rsid w:val="003B1A97"/>
    <w:rsid w:val="003B2043"/>
    <w:rsid w:val="003B2306"/>
    <w:rsid w:val="003B24BC"/>
    <w:rsid w:val="003B2519"/>
    <w:rsid w:val="003B2558"/>
    <w:rsid w:val="003B268E"/>
    <w:rsid w:val="003B278A"/>
    <w:rsid w:val="003B27E9"/>
    <w:rsid w:val="003B2927"/>
    <w:rsid w:val="003B2981"/>
    <w:rsid w:val="003B2C76"/>
    <w:rsid w:val="003B2EC9"/>
    <w:rsid w:val="003B2EDB"/>
    <w:rsid w:val="003B3152"/>
    <w:rsid w:val="003B3227"/>
    <w:rsid w:val="003B32B2"/>
    <w:rsid w:val="003B33BE"/>
    <w:rsid w:val="003B3861"/>
    <w:rsid w:val="003B3B3B"/>
    <w:rsid w:val="003B3E22"/>
    <w:rsid w:val="003B40B7"/>
    <w:rsid w:val="003B40EF"/>
    <w:rsid w:val="003B41C2"/>
    <w:rsid w:val="003B42ED"/>
    <w:rsid w:val="003B4720"/>
    <w:rsid w:val="003B4754"/>
    <w:rsid w:val="003B4769"/>
    <w:rsid w:val="003B4817"/>
    <w:rsid w:val="003B48BD"/>
    <w:rsid w:val="003B4B45"/>
    <w:rsid w:val="003B4F6C"/>
    <w:rsid w:val="003B5074"/>
    <w:rsid w:val="003B50E4"/>
    <w:rsid w:val="003B5420"/>
    <w:rsid w:val="003B55DA"/>
    <w:rsid w:val="003B5D8E"/>
    <w:rsid w:val="003B5E81"/>
    <w:rsid w:val="003B5E92"/>
    <w:rsid w:val="003B62B9"/>
    <w:rsid w:val="003B62C1"/>
    <w:rsid w:val="003B643B"/>
    <w:rsid w:val="003B67C7"/>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9A"/>
    <w:rsid w:val="003C0AAC"/>
    <w:rsid w:val="003C0B24"/>
    <w:rsid w:val="003C0B61"/>
    <w:rsid w:val="003C0C72"/>
    <w:rsid w:val="003C0D95"/>
    <w:rsid w:val="003C101E"/>
    <w:rsid w:val="003C10D2"/>
    <w:rsid w:val="003C1107"/>
    <w:rsid w:val="003C11EA"/>
    <w:rsid w:val="003C150D"/>
    <w:rsid w:val="003C1528"/>
    <w:rsid w:val="003C187D"/>
    <w:rsid w:val="003C188A"/>
    <w:rsid w:val="003C18FA"/>
    <w:rsid w:val="003C1AFC"/>
    <w:rsid w:val="003C1F3D"/>
    <w:rsid w:val="003C209E"/>
    <w:rsid w:val="003C259F"/>
    <w:rsid w:val="003C266A"/>
    <w:rsid w:val="003C2837"/>
    <w:rsid w:val="003C2A04"/>
    <w:rsid w:val="003C2AB1"/>
    <w:rsid w:val="003C2EAF"/>
    <w:rsid w:val="003C2EE4"/>
    <w:rsid w:val="003C2F5B"/>
    <w:rsid w:val="003C314E"/>
    <w:rsid w:val="003C3211"/>
    <w:rsid w:val="003C3713"/>
    <w:rsid w:val="003C3CE0"/>
    <w:rsid w:val="003C3EEE"/>
    <w:rsid w:val="003C431C"/>
    <w:rsid w:val="003C4334"/>
    <w:rsid w:val="003C444D"/>
    <w:rsid w:val="003C4512"/>
    <w:rsid w:val="003C480D"/>
    <w:rsid w:val="003C4919"/>
    <w:rsid w:val="003C4B63"/>
    <w:rsid w:val="003C4BCE"/>
    <w:rsid w:val="003C4BE8"/>
    <w:rsid w:val="003C4C35"/>
    <w:rsid w:val="003C4CE8"/>
    <w:rsid w:val="003C50C1"/>
    <w:rsid w:val="003C5234"/>
    <w:rsid w:val="003C5327"/>
    <w:rsid w:val="003C536A"/>
    <w:rsid w:val="003C5377"/>
    <w:rsid w:val="003C56D8"/>
    <w:rsid w:val="003C58C6"/>
    <w:rsid w:val="003C597C"/>
    <w:rsid w:val="003C599E"/>
    <w:rsid w:val="003C5B89"/>
    <w:rsid w:val="003C5D3F"/>
    <w:rsid w:val="003C5E17"/>
    <w:rsid w:val="003C5F41"/>
    <w:rsid w:val="003C6459"/>
    <w:rsid w:val="003C64B1"/>
    <w:rsid w:val="003C65BB"/>
    <w:rsid w:val="003C6852"/>
    <w:rsid w:val="003C68BB"/>
    <w:rsid w:val="003C68D8"/>
    <w:rsid w:val="003C68D9"/>
    <w:rsid w:val="003C6C01"/>
    <w:rsid w:val="003C702B"/>
    <w:rsid w:val="003C708C"/>
    <w:rsid w:val="003C70B2"/>
    <w:rsid w:val="003C7118"/>
    <w:rsid w:val="003C71F1"/>
    <w:rsid w:val="003C73C3"/>
    <w:rsid w:val="003C7545"/>
    <w:rsid w:val="003C76D8"/>
    <w:rsid w:val="003C7722"/>
    <w:rsid w:val="003C7736"/>
    <w:rsid w:val="003C7872"/>
    <w:rsid w:val="003C7915"/>
    <w:rsid w:val="003C7AD0"/>
    <w:rsid w:val="003C7C8A"/>
    <w:rsid w:val="003C7E28"/>
    <w:rsid w:val="003C7E32"/>
    <w:rsid w:val="003C7EE0"/>
    <w:rsid w:val="003C7F4E"/>
    <w:rsid w:val="003D040F"/>
    <w:rsid w:val="003D0468"/>
    <w:rsid w:val="003D060D"/>
    <w:rsid w:val="003D0648"/>
    <w:rsid w:val="003D0D05"/>
    <w:rsid w:val="003D0F90"/>
    <w:rsid w:val="003D121E"/>
    <w:rsid w:val="003D152B"/>
    <w:rsid w:val="003D1592"/>
    <w:rsid w:val="003D174C"/>
    <w:rsid w:val="003D1758"/>
    <w:rsid w:val="003D19A4"/>
    <w:rsid w:val="003D1C00"/>
    <w:rsid w:val="003D1EEC"/>
    <w:rsid w:val="003D1FD2"/>
    <w:rsid w:val="003D2204"/>
    <w:rsid w:val="003D22A7"/>
    <w:rsid w:val="003D2529"/>
    <w:rsid w:val="003D2632"/>
    <w:rsid w:val="003D26CE"/>
    <w:rsid w:val="003D279C"/>
    <w:rsid w:val="003D2869"/>
    <w:rsid w:val="003D28F9"/>
    <w:rsid w:val="003D2C85"/>
    <w:rsid w:val="003D2E23"/>
    <w:rsid w:val="003D2E61"/>
    <w:rsid w:val="003D3453"/>
    <w:rsid w:val="003D357C"/>
    <w:rsid w:val="003D35C0"/>
    <w:rsid w:val="003D3836"/>
    <w:rsid w:val="003D389C"/>
    <w:rsid w:val="003D3B04"/>
    <w:rsid w:val="003D3B54"/>
    <w:rsid w:val="003D402A"/>
    <w:rsid w:val="003D4439"/>
    <w:rsid w:val="003D470F"/>
    <w:rsid w:val="003D4730"/>
    <w:rsid w:val="003D4920"/>
    <w:rsid w:val="003D4AE6"/>
    <w:rsid w:val="003D4AF9"/>
    <w:rsid w:val="003D4D73"/>
    <w:rsid w:val="003D4E4B"/>
    <w:rsid w:val="003D4E76"/>
    <w:rsid w:val="003D4EC9"/>
    <w:rsid w:val="003D5017"/>
    <w:rsid w:val="003D51DA"/>
    <w:rsid w:val="003D5274"/>
    <w:rsid w:val="003D534B"/>
    <w:rsid w:val="003D53BE"/>
    <w:rsid w:val="003D53C5"/>
    <w:rsid w:val="003D57D4"/>
    <w:rsid w:val="003D5918"/>
    <w:rsid w:val="003D593C"/>
    <w:rsid w:val="003D5ABB"/>
    <w:rsid w:val="003D5C10"/>
    <w:rsid w:val="003D5CD2"/>
    <w:rsid w:val="003D5E3D"/>
    <w:rsid w:val="003D5F85"/>
    <w:rsid w:val="003D6065"/>
    <w:rsid w:val="003D6267"/>
    <w:rsid w:val="003D62F1"/>
    <w:rsid w:val="003D6490"/>
    <w:rsid w:val="003D65D1"/>
    <w:rsid w:val="003D66FB"/>
    <w:rsid w:val="003D68EF"/>
    <w:rsid w:val="003D69E8"/>
    <w:rsid w:val="003D6A7A"/>
    <w:rsid w:val="003D6AE5"/>
    <w:rsid w:val="003D6E6D"/>
    <w:rsid w:val="003D6FAA"/>
    <w:rsid w:val="003D728B"/>
    <w:rsid w:val="003D72D0"/>
    <w:rsid w:val="003D78AF"/>
    <w:rsid w:val="003D7977"/>
    <w:rsid w:val="003D7A3A"/>
    <w:rsid w:val="003D7B69"/>
    <w:rsid w:val="003D7CE8"/>
    <w:rsid w:val="003D7DB9"/>
    <w:rsid w:val="003D7E14"/>
    <w:rsid w:val="003D7E81"/>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844"/>
    <w:rsid w:val="003E2BE5"/>
    <w:rsid w:val="003E2C8D"/>
    <w:rsid w:val="003E2CA2"/>
    <w:rsid w:val="003E30B9"/>
    <w:rsid w:val="003E3291"/>
    <w:rsid w:val="003E342A"/>
    <w:rsid w:val="003E36D2"/>
    <w:rsid w:val="003E3704"/>
    <w:rsid w:val="003E386F"/>
    <w:rsid w:val="003E38FD"/>
    <w:rsid w:val="003E392B"/>
    <w:rsid w:val="003E3944"/>
    <w:rsid w:val="003E3A3F"/>
    <w:rsid w:val="003E3C38"/>
    <w:rsid w:val="003E3C3B"/>
    <w:rsid w:val="003E4091"/>
    <w:rsid w:val="003E4361"/>
    <w:rsid w:val="003E43C0"/>
    <w:rsid w:val="003E43DD"/>
    <w:rsid w:val="003E4521"/>
    <w:rsid w:val="003E45AC"/>
    <w:rsid w:val="003E4937"/>
    <w:rsid w:val="003E4D5B"/>
    <w:rsid w:val="003E4DE0"/>
    <w:rsid w:val="003E4FD7"/>
    <w:rsid w:val="003E5002"/>
    <w:rsid w:val="003E532B"/>
    <w:rsid w:val="003E5362"/>
    <w:rsid w:val="003E536C"/>
    <w:rsid w:val="003E54FB"/>
    <w:rsid w:val="003E5702"/>
    <w:rsid w:val="003E57DB"/>
    <w:rsid w:val="003E589C"/>
    <w:rsid w:val="003E5E7A"/>
    <w:rsid w:val="003E5FF1"/>
    <w:rsid w:val="003E6169"/>
    <w:rsid w:val="003E620B"/>
    <w:rsid w:val="003E6634"/>
    <w:rsid w:val="003E6914"/>
    <w:rsid w:val="003E6E18"/>
    <w:rsid w:val="003E70D2"/>
    <w:rsid w:val="003E713B"/>
    <w:rsid w:val="003E71B2"/>
    <w:rsid w:val="003E743C"/>
    <w:rsid w:val="003E74FE"/>
    <w:rsid w:val="003E76CB"/>
    <w:rsid w:val="003E779A"/>
    <w:rsid w:val="003E7929"/>
    <w:rsid w:val="003E7A6F"/>
    <w:rsid w:val="003E7B81"/>
    <w:rsid w:val="003E7CBD"/>
    <w:rsid w:val="003E7DFA"/>
    <w:rsid w:val="003E7F83"/>
    <w:rsid w:val="003F00CC"/>
    <w:rsid w:val="003F01C6"/>
    <w:rsid w:val="003F0551"/>
    <w:rsid w:val="003F0729"/>
    <w:rsid w:val="003F07B1"/>
    <w:rsid w:val="003F07D1"/>
    <w:rsid w:val="003F0930"/>
    <w:rsid w:val="003F0BF6"/>
    <w:rsid w:val="003F1504"/>
    <w:rsid w:val="003F1527"/>
    <w:rsid w:val="003F1592"/>
    <w:rsid w:val="003F175F"/>
    <w:rsid w:val="003F18E3"/>
    <w:rsid w:val="003F1B1D"/>
    <w:rsid w:val="003F1B38"/>
    <w:rsid w:val="003F1C61"/>
    <w:rsid w:val="003F1CE1"/>
    <w:rsid w:val="003F201B"/>
    <w:rsid w:val="003F2106"/>
    <w:rsid w:val="003F2112"/>
    <w:rsid w:val="003F21A6"/>
    <w:rsid w:val="003F21EA"/>
    <w:rsid w:val="003F25FA"/>
    <w:rsid w:val="003F2721"/>
    <w:rsid w:val="003F2730"/>
    <w:rsid w:val="003F285E"/>
    <w:rsid w:val="003F289A"/>
    <w:rsid w:val="003F2C49"/>
    <w:rsid w:val="003F2C81"/>
    <w:rsid w:val="003F3522"/>
    <w:rsid w:val="003F3627"/>
    <w:rsid w:val="003F37D3"/>
    <w:rsid w:val="003F37E1"/>
    <w:rsid w:val="003F38B8"/>
    <w:rsid w:val="003F391E"/>
    <w:rsid w:val="003F3A7C"/>
    <w:rsid w:val="003F3BC6"/>
    <w:rsid w:val="003F3E8A"/>
    <w:rsid w:val="003F4141"/>
    <w:rsid w:val="003F4222"/>
    <w:rsid w:val="003F4588"/>
    <w:rsid w:val="003F4794"/>
    <w:rsid w:val="003F4913"/>
    <w:rsid w:val="003F4AD0"/>
    <w:rsid w:val="003F4B37"/>
    <w:rsid w:val="003F4B3B"/>
    <w:rsid w:val="003F4EE1"/>
    <w:rsid w:val="003F5062"/>
    <w:rsid w:val="003F52F1"/>
    <w:rsid w:val="003F5391"/>
    <w:rsid w:val="003F55C0"/>
    <w:rsid w:val="003F55F1"/>
    <w:rsid w:val="003F5A4A"/>
    <w:rsid w:val="003F5AA8"/>
    <w:rsid w:val="003F5C6A"/>
    <w:rsid w:val="003F6061"/>
    <w:rsid w:val="003F638D"/>
    <w:rsid w:val="003F6452"/>
    <w:rsid w:val="003F664A"/>
    <w:rsid w:val="003F66D9"/>
    <w:rsid w:val="003F6759"/>
    <w:rsid w:val="003F699C"/>
    <w:rsid w:val="003F69A0"/>
    <w:rsid w:val="003F6AA9"/>
    <w:rsid w:val="003F6AC9"/>
    <w:rsid w:val="003F6C84"/>
    <w:rsid w:val="003F6DE0"/>
    <w:rsid w:val="003F7010"/>
    <w:rsid w:val="003F70FA"/>
    <w:rsid w:val="003F7153"/>
    <w:rsid w:val="003F71D2"/>
    <w:rsid w:val="003F7445"/>
    <w:rsid w:val="003F751F"/>
    <w:rsid w:val="003F763E"/>
    <w:rsid w:val="003F798C"/>
    <w:rsid w:val="003F7A51"/>
    <w:rsid w:val="00400055"/>
    <w:rsid w:val="0040011E"/>
    <w:rsid w:val="00400208"/>
    <w:rsid w:val="0040025B"/>
    <w:rsid w:val="00400315"/>
    <w:rsid w:val="00400455"/>
    <w:rsid w:val="00400470"/>
    <w:rsid w:val="0040055C"/>
    <w:rsid w:val="00400728"/>
    <w:rsid w:val="00400BC8"/>
    <w:rsid w:val="00400D26"/>
    <w:rsid w:val="00400F85"/>
    <w:rsid w:val="00400FE5"/>
    <w:rsid w:val="004010F2"/>
    <w:rsid w:val="004012EB"/>
    <w:rsid w:val="00401326"/>
    <w:rsid w:val="004013B0"/>
    <w:rsid w:val="004015EF"/>
    <w:rsid w:val="00401711"/>
    <w:rsid w:val="00401A39"/>
    <w:rsid w:val="00401E74"/>
    <w:rsid w:val="00401F1D"/>
    <w:rsid w:val="00402197"/>
    <w:rsid w:val="004021C0"/>
    <w:rsid w:val="00402486"/>
    <w:rsid w:val="00402516"/>
    <w:rsid w:val="0040266A"/>
    <w:rsid w:val="00402691"/>
    <w:rsid w:val="00402726"/>
    <w:rsid w:val="004027E6"/>
    <w:rsid w:val="00402838"/>
    <w:rsid w:val="004028FB"/>
    <w:rsid w:val="004029AE"/>
    <w:rsid w:val="004029CD"/>
    <w:rsid w:val="00402A14"/>
    <w:rsid w:val="00402A27"/>
    <w:rsid w:val="00402A5D"/>
    <w:rsid w:val="00402BA7"/>
    <w:rsid w:val="00402E9B"/>
    <w:rsid w:val="00403133"/>
    <w:rsid w:val="004031AC"/>
    <w:rsid w:val="00403370"/>
    <w:rsid w:val="004034AE"/>
    <w:rsid w:val="00403789"/>
    <w:rsid w:val="00403806"/>
    <w:rsid w:val="004038CE"/>
    <w:rsid w:val="00403B10"/>
    <w:rsid w:val="00403BB4"/>
    <w:rsid w:val="00403BBF"/>
    <w:rsid w:val="00403FEB"/>
    <w:rsid w:val="00404156"/>
    <w:rsid w:val="00404172"/>
    <w:rsid w:val="00404A9D"/>
    <w:rsid w:val="00404B68"/>
    <w:rsid w:val="00404B8F"/>
    <w:rsid w:val="00404FC4"/>
    <w:rsid w:val="004053AC"/>
    <w:rsid w:val="004053AE"/>
    <w:rsid w:val="004053F7"/>
    <w:rsid w:val="00405880"/>
    <w:rsid w:val="0040594D"/>
    <w:rsid w:val="00405DA8"/>
    <w:rsid w:val="00405E91"/>
    <w:rsid w:val="00405E9C"/>
    <w:rsid w:val="00405E9E"/>
    <w:rsid w:val="00406034"/>
    <w:rsid w:val="00406091"/>
    <w:rsid w:val="004061B3"/>
    <w:rsid w:val="004062A0"/>
    <w:rsid w:val="004063DB"/>
    <w:rsid w:val="004064E0"/>
    <w:rsid w:val="00406691"/>
    <w:rsid w:val="004066F9"/>
    <w:rsid w:val="0040684B"/>
    <w:rsid w:val="004068F7"/>
    <w:rsid w:val="00406D0E"/>
    <w:rsid w:val="00406EBF"/>
    <w:rsid w:val="00406EFB"/>
    <w:rsid w:val="00406F6C"/>
    <w:rsid w:val="00407034"/>
    <w:rsid w:val="0040708B"/>
    <w:rsid w:val="00407098"/>
    <w:rsid w:val="004074BB"/>
    <w:rsid w:val="004076D9"/>
    <w:rsid w:val="00407A20"/>
    <w:rsid w:val="00407A9D"/>
    <w:rsid w:val="00407BC1"/>
    <w:rsid w:val="00407C52"/>
    <w:rsid w:val="00407EB2"/>
    <w:rsid w:val="00407ED7"/>
    <w:rsid w:val="004101FD"/>
    <w:rsid w:val="0041033B"/>
    <w:rsid w:val="00410475"/>
    <w:rsid w:val="0041058E"/>
    <w:rsid w:val="004107D8"/>
    <w:rsid w:val="004107FD"/>
    <w:rsid w:val="00410923"/>
    <w:rsid w:val="00410B59"/>
    <w:rsid w:val="00410C79"/>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6E4"/>
    <w:rsid w:val="00412748"/>
    <w:rsid w:val="004127E4"/>
    <w:rsid w:val="0041280D"/>
    <w:rsid w:val="004128E4"/>
    <w:rsid w:val="004129F2"/>
    <w:rsid w:val="00412C1D"/>
    <w:rsid w:val="00412CFE"/>
    <w:rsid w:val="00412D59"/>
    <w:rsid w:val="00413075"/>
    <w:rsid w:val="00413286"/>
    <w:rsid w:val="0041345B"/>
    <w:rsid w:val="00413496"/>
    <w:rsid w:val="004135B8"/>
    <w:rsid w:val="0041361B"/>
    <w:rsid w:val="0041369E"/>
    <w:rsid w:val="004139E3"/>
    <w:rsid w:val="00413CF3"/>
    <w:rsid w:val="00413FA2"/>
    <w:rsid w:val="00413FAC"/>
    <w:rsid w:val="00414138"/>
    <w:rsid w:val="004141D5"/>
    <w:rsid w:val="00414295"/>
    <w:rsid w:val="00414377"/>
    <w:rsid w:val="004143F3"/>
    <w:rsid w:val="004144DB"/>
    <w:rsid w:val="0041459A"/>
    <w:rsid w:val="00414777"/>
    <w:rsid w:val="004148A2"/>
    <w:rsid w:val="00414A10"/>
    <w:rsid w:val="00414A65"/>
    <w:rsid w:val="00414B67"/>
    <w:rsid w:val="00414C74"/>
    <w:rsid w:val="00414DE0"/>
    <w:rsid w:val="00414E46"/>
    <w:rsid w:val="00414FA8"/>
    <w:rsid w:val="0041508C"/>
    <w:rsid w:val="004150DF"/>
    <w:rsid w:val="0041525B"/>
    <w:rsid w:val="00415562"/>
    <w:rsid w:val="004155AB"/>
    <w:rsid w:val="0041588F"/>
    <w:rsid w:val="00415BC8"/>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625"/>
    <w:rsid w:val="0041778C"/>
    <w:rsid w:val="00417A65"/>
    <w:rsid w:val="00417AFD"/>
    <w:rsid w:val="00417B0B"/>
    <w:rsid w:val="00417B5D"/>
    <w:rsid w:val="00417C7F"/>
    <w:rsid w:val="00417CA9"/>
    <w:rsid w:val="00417CD5"/>
    <w:rsid w:val="00417D81"/>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31A"/>
    <w:rsid w:val="004224A0"/>
    <w:rsid w:val="0042256B"/>
    <w:rsid w:val="0042279A"/>
    <w:rsid w:val="004228C4"/>
    <w:rsid w:val="00422A88"/>
    <w:rsid w:val="00422C01"/>
    <w:rsid w:val="00422D4D"/>
    <w:rsid w:val="00422D64"/>
    <w:rsid w:val="00422DE9"/>
    <w:rsid w:val="00422E16"/>
    <w:rsid w:val="00422EB6"/>
    <w:rsid w:val="00423006"/>
    <w:rsid w:val="00423417"/>
    <w:rsid w:val="004237B7"/>
    <w:rsid w:val="0042381C"/>
    <w:rsid w:val="004238A0"/>
    <w:rsid w:val="004239D7"/>
    <w:rsid w:val="00423B8C"/>
    <w:rsid w:val="00423F27"/>
    <w:rsid w:val="004242AF"/>
    <w:rsid w:val="004242C3"/>
    <w:rsid w:val="0042448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DB"/>
    <w:rsid w:val="00425DE9"/>
    <w:rsid w:val="00425E16"/>
    <w:rsid w:val="0042642E"/>
    <w:rsid w:val="004264BE"/>
    <w:rsid w:val="00426C05"/>
    <w:rsid w:val="00426F5A"/>
    <w:rsid w:val="00426FF6"/>
    <w:rsid w:val="00427087"/>
    <w:rsid w:val="00427109"/>
    <w:rsid w:val="00427267"/>
    <w:rsid w:val="004275D1"/>
    <w:rsid w:val="004275E5"/>
    <w:rsid w:val="00427936"/>
    <w:rsid w:val="00427A16"/>
    <w:rsid w:val="00427C85"/>
    <w:rsid w:val="00427D68"/>
    <w:rsid w:val="00427F76"/>
    <w:rsid w:val="004302A8"/>
    <w:rsid w:val="00430499"/>
    <w:rsid w:val="00430725"/>
    <w:rsid w:val="0043081A"/>
    <w:rsid w:val="0043089E"/>
    <w:rsid w:val="004309F9"/>
    <w:rsid w:val="00430B5A"/>
    <w:rsid w:val="00430BA9"/>
    <w:rsid w:val="00430BBB"/>
    <w:rsid w:val="00430CFC"/>
    <w:rsid w:val="00430D2D"/>
    <w:rsid w:val="00430E5B"/>
    <w:rsid w:val="0043105F"/>
    <w:rsid w:val="00431206"/>
    <w:rsid w:val="004313B0"/>
    <w:rsid w:val="0043175D"/>
    <w:rsid w:val="00431861"/>
    <w:rsid w:val="00431927"/>
    <w:rsid w:val="00431E31"/>
    <w:rsid w:val="00431FBF"/>
    <w:rsid w:val="00432066"/>
    <w:rsid w:val="0043225E"/>
    <w:rsid w:val="00432360"/>
    <w:rsid w:val="0043260A"/>
    <w:rsid w:val="0043261E"/>
    <w:rsid w:val="00432753"/>
    <w:rsid w:val="0043286C"/>
    <w:rsid w:val="00432BFD"/>
    <w:rsid w:val="00432E06"/>
    <w:rsid w:val="00432E0D"/>
    <w:rsid w:val="00433124"/>
    <w:rsid w:val="0043313C"/>
    <w:rsid w:val="004333A2"/>
    <w:rsid w:val="004333EE"/>
    <w:rsid w:val="0043341F"/>
    <w:rsid w:val="00433426"/>
    <w:rsid w:val="004334A9"/>
    <w:rsid w:val="00433562"/>
    <w:rsid w:val="00433776"/>
    <w:rsid w:val="00433C89"/>
    <w:rsid w:val="00433D3B"/>
    <w:rsid w:val="00433D40"/>
    <w:rsid w:val="00433EE7"/>
    <w:rsid w:val="00434135"/>
    <w:rsid w:val="00434480"/>
    <w:rsid w:val="00434535"/>
    <w:rsid w:val="004347F6"/>
    <w:rsid w:val="00434988"/>
    <w:rsid w:val="00434C44"/>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1D7"/>
    <w:rsid w:val="004363C8"/>
    <w:rsid w:val="004363EA"/>
    <w:rsid w:val="004364B8"/>
    <w:rsid w:val="00436842"/>
    <w:rsid w:val="004369C3"/>
    <w:rsid w:val="00436A80"/>
    <w:rsid w:val="00436C41"/>
    <w:rsid w:val="00436CB6"/>
    <w:rsid w:val="004373CB"/>
    <w:rsid w:val="00437550"/>
    <w:rsid w:val="00437797"/>
    <w:rsid w:val="00437AAA"/>
    <w:rsid w:val="00437B77"/>
    <w:rsid w:val="00437CA2"/>
    <w:rsid w:val="00437FC4"/>
    <w:rsid w:val="00437FDD"/>
    <w:rsid w:val="0044017B"/>
    <w:rsid w:val="004402E1"/>
    <w:rsid w:val="004404B7"/>
    <w:rsid w:val="0044072E"/>
    <w:rsid w:val="00440B0B"/>
    <w:rsid w:val="00440DE6"/>
    <w:rsid w:val="00440F4D"/>
    <w:rsid w:val="00441022"/>
    <w:rsid w:val="004410A2"/>
    <w:rsid w:val="00441166"/>
    <w:rsid w:val="004411D9"/>
    <w:rsid w:val="004413A7"/>
    <w:rsid w:val="004413E1"/>
    <w:rsid w:val="0044147F"/>
    <w:rsid w:val="00441576"/>
    <w:rsid w:val="004417CE"/>
    <w:rsid w:val="0044181F"/>
    <w:rsid w:val="004418BA"/>
    <w:rsid w:val="00441BC4"/>
    <w:rsid w:val="00441CC3"/>
    <w:rsid w:val="00441D38"/>
    <w:rsid w:val="00442049"/>
    <w:rsid w:val="0044227B"/>
    <w:rsid w:val="00442488"/>
    <w:rsid w:val="00442AD1"/>
    <w:rsid w:val="00442B70"/>
    <w:rsid w:val="00442C6F"/>
    <w:rsid w:val="00442E43"/>
    <w:rsid w:val="00442E55"/>
    <w:rsid w:val="00442FF3"/>
    <w:rsid w:val="004431B4"/>
    <w:rsid w:val="004431F7"/>
    <w:rsid w:val="004432AE"/>
    <w:rsid w:val="00443406"/>
    <w:rsid w:val="00443AFC"/>
    <w:rsid w:val="00443C7F"/>
    <w:rsid w:val="00443EA1"/>
    <w:rsid w:val="00443F98"/>
    <w:rsid w:val="004441F9"/>
    <w:rsid w:val="00444713"/>
    <w:rsid w:val="0044486C"/>
    <w:rsid w:val="004449B9"/>
    <w:rsid w:val="00444C25"/>
    <w:rsid w:val="00444D8D"/>
    <w:rsid w:val="00444F08"/>
    <w:rsid w:val="00445276"/>
    <w:rsid w:val="004452E4"/>
    <w:rsid w:val="00445392"/>
    <w:rsid w:val="004454B4"/>
    <w:rsid w:val="00445700"/>
    <w:rsid w:val="00445906"/>
    <w:rsid w:val="004459B0"/>
    <w:rsid w:val="00445C6A"/>
    <w:rsid w:val="00445C98"/>
    <w:rsid w:val="00446492"/>
    <w:rsid w:val="00446508"/>
    <w:rsid w:val="0044664C"/>
    <w:rsid w:val="00446717"/>
    <w:rsid w:val="004467E7"/>
    <w:rsid w:val="00446C72"/>
    <w:rsid w:val="00446C92"/>
    <w:rsid w:val="00446F1C"/>
    <w:rsid w:val="004472E8"/>
    <w:rsid w:val="0044756B"/>
    <w:rsid w:val="004475BE"/>
    <w:rsid w:val="00447CAD"/>
    <w:rsid w:val="00447D92"/>
    <w:rsid w:val="00447E0A"/>
    <w:rsid w:val="004500C3"/>
    <w:rsid w:val="00450130"/>
    <w:rsid w:val="0045024C"/>
    <w:rsid w:val="004502D6"/>
    <w:rsid w:val="004503F6"/>
    <w:rsid w:val="0045067B"/>
    <w:rsid w:val="00450D22"/>
    <w:rsid w:val="00450F71"/>
    <w:rsid w:val="00451010"/>
    <w:rsid w:val="004512A7"/>
    <w:rsid w:val="004512EC"/>
    <w:rsid w:val="004513FF"/>
    <w:rsid w:val="00451517"/>
    <w:rsid w:val="00451740"/>
    <w:rsid w:val="00451ADA"/>
    <w:rsid w:val="00451CC6"/>
    <w:rsid w:val="00451E42"/>
    <w:rsid w:val="0045206E"/>
    <w:rsid w:val="004526D1"/>
    <w:rsid w:val="004527B4"/>
    <w:rsid w:val="00452BC2"/>
    <w:rsid w:val="00452C1A"/>
    <w:rsid w:val="00452CA2"/>
    <w:rsid w:val="00452D94"/>
    <w:rsid w:val="00452DBE"/>
    <w:rsid w:val="00452E54"/>
    <w:rsid w:val="004531B0"/>
    <w:rsid w:val="004532DF"/>
    <w:rsid w:val="0045335E"/>
    <w:rsid w:val="00453616"/>
    <w:rsid w:val="00453700"/>
    <w:rsid w:val="00453A02"/>
    <w:rsid w:val="00453C57"/>
    <w:rsid w:val="00453F18"/>
    <w:rsid w:val="00453FCB"/>
    <w:rsid w:val="00454301"/>
    <w:rsid w:val="0045431E"/>
    <w:rsid w:val="00454343"/>
    <w:rsid w:val="00454602"/>
    <w:rsid w:val="00454779"/>
    <w:rsid w:val="0045485E"/>
    <w:rsid w:val="00454A2C"/>
    <w:rsid w:val="00454A8C"/>
    <w:rsid w:val="00454DCF"/>
    <w:rsid w:val="00454E1A"/>
    <w:rsid w:val="00454FE1"/>
    <w:rsid w:val="00455209"/>
    <w:rsid w:val="0045533F"/>
    <w:rsid w:val="00455573"/>
    <w:rsid w:val="00455780"/>
    <w:rsid w:val="004558F6"/>
    <w:rsid w:val="0045598B"/>
    <w:rsid w:val="00455AE7"/>
    <w:rsid w:val="00455DFA"/>
    <w:rsid w:val="004560D1"/>
    <w:rsid w:val="004561BD"/>
    <w:rsid w:val="004561FB"/>
    <w:rsid w:val="00456247"/>
    <w:rsid w:val="0045629D"/>
    <w:rsid w:val="0045676B"/>
    <w:rsid w:val="004569FA"/>
    <w:rsid w:val="00456B4E"/>
    <w:rsid w:val="00456DAA"/>
    <w:rsid w:val="00456F96"/>
    <w:rsid w:val="004570C7"/>
    <w:rsid w:val="00457194"/>
    <w:rsid w:val="004571D6"/>
    <w:rsid w:val="004573F7"/>
    <w:rsid w:val="0045773E"/>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0E5A"/>
    <w:rsid w:val="004610B1"/>
    <w:rsid w:val="00461430"/>
    <w:rsid w:val="004614D1"/>
    <w:rsid w:val="0046158F"/>
    <w:rsid w:val="0046163C"/>
    <w:rsid w:val="0046185F"/>
    <w:rsid w:val="004618CD"/>
    <w:rsid w:val="004619FC"/>
    <w:rsid w:val="00461B5F"/>
    <w:rsid w:val="00461BC4"/>
    <w:rsid w:val="00461C9B"/>
    <w:rsid w:val="00461DCA"/>
    <w:rsid w:val="00461E64"/>
    <w:rsid w:val="00461EB3"/>
    <w:rsid w:val="00462040"/>
    <w:rsid w:val="0046263A"/>
    <w:rsid w:val="004626D1"/>
    <w:rsid w:val="004626D9"/>
    <w:rsid w:val="004626EF"/>
    <w:rsid w:val="004627FD"/>
    <w:rsid w:val="00462A87"/>
    <w:rsid w:val="00462B49"/>
    <w:rsid w:val="00462B5A"/>
    <w:rsid w:val="00462F65"/>
    <w:rsid w:val="004631EF"/>
    <w:rsid w:val="004632E6"/>
    <w:rsid w:val="0046348E"/>
    <w:rsid w:val="00463496"/>
    <w:rsid w:val="0046354F"/>
    <w:rsid w:val="004635A2"/>
    <w:rsid w:val="0046366A"/>
    <w:rsid w:val="004636A1"/>
    <w:rsid w:val="00463C5D"/>
    <w:rsid w:val="00463DF6"/>
    <w:rsid w:val="00463E4B"/>
    <w:rsid w:val="0046401E"/>
    <w:rsid w:val="0046444F"/>
    <w:rsid w:val="00464609"/>
    <w:rsid w:val="004647A0"/>
    <w:rsid w:val="00464890"/>
    <w:rsid w:val="004649F1"/>
    <w:rsid w:val="00464BE4"/>
    <w:rsid w:val="00464CD6"/>
    <w:rsid w:val="00464E31"/>
    <w:rsid w:val="00464FA2"/>
    <w:rsid w:val="00465337"/>
    <w:rsid w:val="004653A1"/>
    <w:rsid w:val="004655FD"/>
    <w:rsid w:val="00465B0D"/>
    <w:rsid w:val="00465CF6"/>
    <w:rsid w:val="00465DC6"/>
    <w:rsid w:val="00465E54"/>
    <w:rsid w:val="00466309"/>
    <w:rsid w:val="004664B8"/>
    <w:rsid w:val="0046692E"/>
    <w:rsid w:val="00466978"/>
    <w:rsid w:val="00466AA4"/>
    <w:rsid w:val="00466AC8"/>
    <w:rsid w:val="00466B4F"/>
    <w:rsid w:val="00466CA9"/>
    <w:rsid w:val="00466D38"/>
    <w:rsid w:val="00467B9F"/>
    <w:rsid w:val="00467EA0"/>
    <w:rsid w:val="0047039E"/>
    <w:rsid w:val="00470430"/>
    <w:rsid w:val="00470477"/>
    <w:rsid w:val="0047056F"/>
    <w:rsid w:val="004708AB"/>
    <w:rsid w:val="004708D1"/>
    <w:rsid w:val="004708DC"/>
    <w:rsid w:val="00470D44"/>
    <w:rsid w:val="00470DC7"/>
    <w:rsid w:val="00470E46"/>
    <w:rsid w:val="00470F49"/>
    <w:rsid w:val="004711BB"/>
    <w:rsid w:val="00471224"/>
    <w:rsid w:val="0047151C"/>
    <w:rsid w:val="004715BA"/>
    <w:rsid w:val="004717FB"/>
    <w:rsid w:val="00471956"/>
    <w:rsid w:val="00471BA1"/>
    <w:rsid w:val="00471E07"/>
    <w:rsid w:val="00471F74"/>
    <w:rsid w:val="004721E9"/>
    <w:rsid w:val="00472214"/>
    <w:rsid w:val="00472596"/>
    <w:rsid w:val="004727DD"/>
    <w:rsid w:val="00472860"/>
    <w:rsid w:val="0047297B"/>
    <w:rsid w:val="00472CE3"/>
    <w:rsid w:val="004731FD"/>
    <w:rsid w:val="00473270"/>
    <w:rsid w:val="004732F2"/>
    <w:rsid w:val="0047332A"/>
    <w:rsid w:val="004734DF"/>
    <w:rsid w:val="00473614"/>
    <w:rsid w:val="00473794"/>
    <w:rsid w:val="00473964"/>
    <w:rsid w:val="00473A8E"/>
    <w:rsid w:val="00473DD5"/>
    <w:rsid w:val="00474017"/>
    <w:rsid w:val="004740B0"/>
    <w:rsid w:val="004742D6"/>
    <w:rsid w:val="0047437E"/>
    <w:rsid w:val="0047442D"/>
    <w:rsid w:val="00474533"/>
    <w:rsid w:val="0047457E"/>
    <w:rsid w:val="004748B3"/>
    <w:rsid w:val="00474B22"/>
    <w:rsid w:val="00474E51"/>
    <w:rsid w:val="00474FA4"/>
    <w:rsid w:val="00475020"/>
    <w:rsid w:val="004753C9"/>
    <w:rsid w:val="004756A9"/>
    <w:rsid w:val="00475871"/>
    <w:rsid w:val="00475A72"/>
    <w:rsid w:val="00475B13"/>
    <w:rsid w:val="00475BE3"/>
    <w:rsid w:val="00475BF7"/>
    <w:rsid w:val="00475E34"/>
    <w:rsid w:val="00475E5A"/>
    <w:rsid w:val="00475EFB"/>
    <w:rsid w:val="00475FBD"/>
    <w:rsid w:val="00476189"/>
    <w:rsid w:val="004768A0"/>
    <w:rsid w:val="0047697F"/>
    <w:rsid w:val="004769E3"/>
    <w:rsid w:val="00476A81"/>
    <w:rsid w:val="00476BCC"/>
    <w:rsid w:val="00476CFC"/>
    <w:rsid w:val="0047702B"/>
    <w:rsid w:val="00477378"/>
    <w:rsid w:val="00477699"/>
    <w:rsid w:val="0047775C"/>
    <w:rsid w:val="00477817"/>
    <w:rsid w:val="00477A1F"/>
    <w:rsid w:val="00477A21"/>
    <w:rsid w:val="00477B90"/>
    <w:rsid w:val="00477E0E"/>
    <w:rsid w:val="00477FF5"/>
    <w:rsid w:val="0048018A"/>
    <w:rsid w:val="00480197"/>
    <w:rsid w:val="004801DD"/>
    <w:rsid w:val="0048047F"/>
    <w:rsid w:val="00480546"/>
    <w:rsid w:val="00480970"/>
    <w:rsid w:val="004809AF"/>
    <w:rsid w:val="00480D4C"/>
    <w:rsid w:val="00480EC5"/>
    <w:rsid w:val="00480FAB"/>
    <w:rsid w:val="0048107C"/>
    <w:rsid w:val="00481677"/>
    <w:rsid w:val="00481852"/>
    <w:rsid w:val="00481A06"/>
    <w:rsid w:val="00481C0E"/>
    <w:rsid w:val="00481C76"/>
    <w:rsid w:val="00481D32"/>
    <w:rsid w:val="00481EB3"/>
    <w:rsid w:val="00481FB2"/>
    <w:rsid w:val="004820A2"/>
    <w:rsid w:val="00482305"/>
    <w:rsid w:val="00482684"/>
    <w:rsid w:val="00482725"/>
    <w:rsid w:val="00482793"/>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3FBF"/>
    <w:rsid w:val="0048404A"/>
    <w:rsid w:val="0048431C"/>
    <w:rsid w:val="00484577"/>
    <w:rsid w:val="0048467D"/>
    <w:rsid w:val="004848C2"/>
    <w:rsid w:val="00484937"/>
    <w:rsid w:val="00484A73"/>
    <w:rsid w:val="00484AD0"/>
    <w:rsid w:val="00485368"/>
    <w:rsid w:val="004853D2"/>
    <w:rsid w:val="0048544E"/>
    <w:rsid w:val="00485495"/>
    <w:rsid w:val="00485541"/>
    <w:rsid w:val="00485641"/>
    <w:rsid w:val="004856D4"/>
    <w:rsid w:val="0048588D"/>
    <w:rsid w:val="00485B18"/>
    <w:rsid w:val="00485B93"/>
    <w:rsid w:val="00485C6A"/>
    <w:rsid w:val="00485CF8"/>
    <w:rsid w:val="00485F1C"/>
    <w:rsid w:val="004860DF"/>
    <w:rsid w:val="004862DC"/>
    <w:rsid w:val="004863BE"/>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087"/>
    <w:rsid w:val="0049044E"/>
    <w:rsid w:val="004905A3"/>
    <w:rsid w:val="00490975"/>
    <w:rsid w:val="00490AC6"/>
    <w:rsid w:val="00490B40"/>
    <w:rsid w:val="00490C41"/>
    <w:rsid w:val="00490C9A"/>
    <w:rsid w:val="00490D4B"/>
    <w:rsid w:val="00490FBF"/>
    <w:rsid w:val="0049161E"/>
    <w:rsid w:val="004917EA"/>
    <w:rsid w:val="0049188A"/>
    <w:rsid w:val="004919B5"/>
    <w:rsid w:val="00491D58"/>
    <w:rsid w:val="00491E57"/>
    <w:rsid w:val="00491EB9"/>
    <w:rsid w:val="00491F74"/>
    <w:rsid w:val="00492241"/>
    <w:rsid w:val="00492333"/>
    <w:rsid w:val="00492362"/>
    <w:rsid w:val="004924A8"/>
    <w:rsid w:val="00492630"/>
    <w:rsid w:val="00492B5E"/>
    <w:rsid w:val="00492B86"/>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0D"/>
    <w:rsid w:val="00493EF3"/>
    <w:rsid w:val="004940B5"/>
    <w:rsid w:val="00494106"/>
    <w:rsid w:val="004941DB"/>
    <w:rsid w:val="004942C6"/>
    <w:rsid w:val="0049450C"/>
    <w:rsid w:val="00494691"/>
    <w:rsid w:val="00494962"/>
    <w:rsid w:val="004949A8"/>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0DA"/>
    <w:rsid w:val="00496583"/>
    <w:rsid w:val="004965B3"/>
    <w:rsid w:val="004967D7"/>
    <w:rsid w:val="0049695C"/>
    <w:rsid w:val="00496BD3"/>
    <w:rsid w:val="00496D2F"/>
    <w:rsid w:val="00496DF0"/>
    <w:rsid w:val="00496E37"/>
    <w:rsid w:val="00496E61"/>
    <w:rsid w:val="0049700F"/>
    <w:rsid w:val="0049701E"/>
    <w:rsid w:val="004970A8"/>
    <w:rsid w:val="00497186"/>
    <w:rsid w:val="004972EA"/>
    <w:rsid w:val="004974BD"/>
    <w:rsid w:val="0049752C"/>
    <w:rsid w:val="004975B5"/>
    <w:rsid w:val="004978E7"/>
    <w:rsid w:val="00497AC3"/>
    <w:rsid w:val="00497DDD"/>
    <w:rsid w:val="004A0088"/>
    <w:rsid w:val="004A019D"/>
    <w:rsid w:val="004A0266"/>
    <w:rsid w:val="004A04A1"/>
    <w:rsid w:val="004A054F"/>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5CE"/>
    <w:rsid w:val="004A2618"/>
    <w:rsid w:val="004A26E9"/>
    <w:rsid w:val="004A290C"/>
    <w:rsid w:val="004A2A97"/>
    <w:rsid w:val="004A2B72"/>
    <w:rsid w:val="004A328E"/>
    <w:rsid w:val="004A32E2"/>
    <w:rsid w:val="004A34D8"/>
    <w:rsid w:val="004A3990"/>
    <w:rsid w:val="004A3FA3"/>
    <w:rsid w:val="004A45E8"/>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5A8"/>
    <w:rsid w:val="004A6622"/>
    <w:rsid w:val="004A69CD"/>
    <w:rsid w:val="004A6CB2"/>
    <w:rsid w:val="004A6D51"/>
    <w:rsid w:val="004A6E0F"/>
    <w:rsid w:val="004A72B4"/>
    <w:rsid w:val="004A7789"/>
    <w:rsid w:val="004A7B3E"/>
    <w:rsid w:val="004A7F3E"/>
    <w:rsid w:val="004B009C"/>
    <w:rsid w:val="004B03DB"/>
    <w:rsid w:val="004B058A"/>
    <w:rsid w:val="004B05A3"/>
    <w:rsid w:val="004B068E"/>
    <w:rsid w:val="004B077A"/>
    <w:rsid w:val="004B087E"/>
    <w:rsid w:val="004B08E0"/>
    <w:rsid w:val="004B09A5"/>
    <w:rsid w:val="004B0A34"/>
    <w:rsid w:val="004B0C90"/>
    <w:rsid w:val="004B0CB7"/>
    <w:rsid w:val="004B0E2E"/>
    <w:rsid w:val="004B0E63"/>
    <w:rsid w:val="004B0FF0"/>
    <w:rsid w:val="004B1133"/>
    <w:rsid w:val="004B11F0"/>
    <w:rsid w:val="004B1247"/>
    <w:rsid w:val="004B1292"/>
    <w:rsid w:val="004B12B7"/>
    <w:rsid w:val="004B1549"/>
    <w:rsid w:val="004B16BB"/>
    <w:rsid w:val="004B1AD5"/>
    <w:rsid w:val="004B1E78"/>
    <w:rsid w:val="004B2022"/>
    <w:rsid w:val="004B215D"/>
    <w:rsid w:val="004B230D"/>
    <w:rsid w:val="004B2427"/>
    <w:rsid w:val="004B244C"/>
    <w:rsid w:val="004B2461"/>
    <w:rsid w:val="004B272F"/>
    <w:rsid w:val="004B27A0"/>
    <w:rsid w:val="004B28B8"/>
    <w:rsid w:val="004B2A32"/>
    <w:rsid w:val="004B2CC0"/>
    <w:rsid w:val="004B2EBA"/>
    <w:rsid w:val="004B3063"/>
    <w:rsid w:val="004B316F"/>
    <w:rsid w:val="004B37B3"/>
    <w:rsid w:val="004B3CEC"/>
    <w:rsid w:val="004B3ED7"/>
    <w:rsid w:val="004B4154"/>
    <w:rsid w:val="004B423E"/>
    <w:rsid w:val="004B4261"/>
    <w:rsid w:val="004B4277"/>
    <w:rsid w:val="004B4353"/>
    <w:rsid w:val="004B43DA"/>
    <w:rsid w:val="004B443D"/>
    <w:rsid w:val="004B455C"/>
    <w:rsid w:val="004B4560"/>
    <w:rsid w:val="004B46AB"/>
    <w:rsid w:val="004B46D8"/>
    <w:rsid w:val="004B4800"/>
    <w:rsid w:val="004B49E3"/>
    <w:rsid w:val="004B4B23"/>
    <w:rsid w:val="004B4C4D"/>
    <w:rsid w:val="004B4E1F"/>
    <w:rsid w:val="004B4EB1"/>
    <w:rsid w:val="004B4EFA"/>
    <w:rsid w:val="004B4F69"/>
    <w:rsid w:val="004B4FCD"/>
    <w:rsid w:val="004B503A"/>
    <w:rsid w:val="004B50DA"/>
    <w:rsid w:val="004B50DF"/>
    <w:rsid w:val="004B5139"/>
    <w:rsid w:val="004B5151"/>
    <w:rsid w:val="004B5174"/>
    <w:rsid w:val="004B5562"/>
    <w:rsid w:val="004B55FC"/>
    <w:rsid w:val="004B58A9"/>
    <w:rsid w:val="004B5964"/>
    <w:rsid w:val="004B5EBB"/>
    <w:rsid w:val="004B5FB7"/>
    <w:rsid w:val="004B603B"/>
    <w:rsid w:val="004B6092"/>
    <w:rsid w:val="004B60C0"/>
    <w:rsid w:val="004B611A"/>
    <w:rsid w:val="004B6263"/>
    <w:rsid w:val="004B6499"/>
    <w:rsid w:val="004B6710"/>
    <w:rsid w:val="004B677F"/>
    <w:rsid w:val="004B68F0"/>
    <w:rsid w:val="004B68FF"/>
    <w:rsid w:val="004B6965"/>
    <w:rsid w:val="004B69BC"/>
    <w:rsid w:val="004B6B54"/>
    <w:rsid w:val="004B6CD9"/>
    <w:rsid w:val="004B6F52"/>
    <w:rsid w:val="004B7115"/>
    <w:rsid w:val="004B71D6"/>
    <w:rsid w:val="004B7244"/>
    <w:rsid w:val="004B726B"/>
    <w:rsid w:val="004B7415"/>
    <w:rsid w:val="004B75FB"/>
    <w:rsid w:val="004B7861"/>
    <w:rsid w:val="004B78A8"/>
    <w:rsid w:val="004B79D2"/>
    <w:rsid w:val="004B7E54"/>
    <w:rsid w:val="004B7EB0"/>
    <w:rsid w:val="004B7EFB"/>
    <w:rsid w:val="004C007C"/>
    <w:rsid w:val="004C0163"/>
    <w:rsid w:val="004C0274"/>
    <w:rsid w:val="004C05D4"/>
    <w:rsid w:val="004C0682"/>
    <w:rsid w:val="004C06A4"/>
    <w:rsid w:val="004C0751"/>
    <w:rsid w:val="004C07F9"/>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A87"/>
    <w:rsid w:val="004C2BF9"/>
    <w:rsid w:val="004C2C4D"/>
    <w:rsid w:val="004C2C8B"/>
    <w:rsid w:val="004C3285"/>
    <w:rsid w:val="004C3370"/>
    <w:rsid w:val="004C38D0"/>
    <w:rsid w:val="004C3ABA"/>
    <w:rsid w:val="004C3B2B"/>
    <w:rsid w:val="004C3C29"/>
    <w:rsid w:val="004C3CFD"/>
    <w:rsid w:val="004C3E20"/>
    <w:rsid w:val="004C3EA5"/>
    <w:rsid w:val="004C3F72"/>
    <w:rsid w:val="004C40A9"/>
    <w:rsid w:val="004C41EA"/>
    <w:rsid w:val="004C43E0"/>
    <w:rsid w:val="004C45F5"/>
    <w:rsid w:val="004C46CF"/>
    <w:rsid w:val="004C47B2"/>
    <w:rsid w:val="004C489F"/>
    <w:rsid w:val="004C48FC"/>
    <w:rsid w:val="004C499C"/>
    <w:rsid w:val="004C4DC3"/>
    <w:rsid w:val="004C4EE8"/>
    <w:rsid w:val="004C4F33"/>
    <w:rsid w:val="004C5265"/>
    <w:rsid w:val="004C534D"/>
    <w:rsid w:val="004C5367"/>
    <w:rsid w:val="004C5409"/>
    <w:rsid w:val="004C553B"/>
    <w:rsid w:val="004C57C1"/>
    <w:rsid w:val="004C57C7"/>
    <w:rsid w:val="004C5A41"/>
    <w:rsid w:val="004C5AC2"/>
    <w:rsid w:val="004C5E07"/>
    <w:rsid w:val="004C5E98"/>
    <w:rsid w:val="004C5F18"/>
    <w:rsid w:val="004C610A"/>
    <w:rsid w:val="004C62B4"/>
    <w:rsid w:val="004C62C9"/>
    <w:rsid w:val="004C655C"/>
    <w:rsid w:val="004C6925"/>
    <w:rsid w:val="004C6AF9"/>
    <w:rsid w:val="004C6D08"/>
    <w:rsid w:val="004C6D75"/>
    <w:rsid w:val="004C6E47"/>
    <w:rsid w:val="004C6E55"/>
    <w:rsid w:val="004C6E69"/>
    <w:rsid w:val="004C6F7F"/>
    <w:rsid w:val="004C6FF5"/>
    <w:rsid w:val="004C7880"/>
    <w:rsid w:val="004C78AB"/>
    <w:rsid w:val="004C7A5C"/>
    <w:rsid w:val="004C7A65"/>
    <w:rsid w:val="004C7E09"/>
    <w:rsid w:val="004C7F5B"/>
    <w:rsid w:val="004C7F77"/>
    <w:rsid w:val="004C7F98"/>
    <w:rsid w:val="004D015E"/>
    <w:rsid w:val="004D0508"/>
    <w:rsid w:val="004D0775"/>
    <w:rsid w:val="004D07FA"/>
    <w:rsid w:val="004D0A4F"/>
    <w:rsid w:val="004D0A6B"/>
    <w:rsid w:val="004D0BDC"/>
    <w:rsid w:val="004D0CE5"/>
    <w:rsid w:val="004D0E00"/>
    <w:rsid w:val="004D10CE"/>
    <w:rsid w:val="004D113E"/>
    <w:rsid w:val="004D1326"/>
    <w:rsid w:val="004D1406"/>
    <w:rsid w:val="004D1666"/>
    <w:rsid w:val="004D1736"/>
    <w:rsid w:val="004D1A34"/>
    <w:rsid w:val="004D1C6D"/>
    <w:rsid w:val="004D1D12"/>
    <w:rsid w:val="004D1D19"/>
    <w:rsid w:val="004D1D23"/>
    <w:rsid w:val="004D1F4B"/>
    <w:rsid w:val="004D218B"/>
    <w:rsid w:val="004D219E"/>
    <w:rsid w:val="004D21C9"/>
    <w:rsid w:val="004D2659"/>
    <w:rsid w:val="004D2956"/>
    <w:rsid w:val="004D29EB"/>
    <w:rsid w:val="004D2A6C"/>
    <w:rsid w:val="004D2B29"/>
    <w:rsid w:val="004D2BD2"/>
    <w:rsid w:val="004D2FA2"/>
    <w:rsid w:val="004D311D"/>
    <w:rsid w:val="004D39A6"/>
    <w:rsid w:val="004D3A02"/>
    <w:rsid w:val="004D3FE2"/>
    <w:rsid w:val="004D4064"/>
    <w:rsid w:val="004D45AD"/>
    <w:rsid w:val="004D45D8"/>
    <w:rsid w:val="004D45F9"/>
    <w:rsid w:val="004D467B"/>
    <w:rsid w:val="004D474C"/>
    <w:rsid w:val="004D478C"/>
    <w:rsid w:val="004D4AB6"/>
    <w:rsid w:val="004D4B4E"/>
    <w:rsid w:val="004D4BB3"/>
    <w:rsid w:val="004D4BE6"/>
    <w:rsid w:val="004D4E93"/>
    <w:rsid w:val="004D4F12"/>
    <w:rsid w:val="004D51E2"/>
    <w:rsid w:val="004D544D"/>
    <w:rsid w:val="004D554F"/>
    <w:rsid w:val="004D57FE"/>
    <w:rsid w:val="004D58F7"/>
    <w:rsid w:val="004D5B34"/>
    <w:rsid w:val="004D5C92"/>
    <w:rsid w:val="004D5CBF"/>
    <w:rsid w:val="004D5CD2"/>
    <w:rsid w:val="004D5D2B"/>
    <w:rsid w:val="004D5E96"/>
    <w:rsid w:val="004D5EFB"/>
    <w:rsid w:val="004D6382"/>
    <w:rsid w:val="004D649B"/>
    <w:rsid w:val="004D65A9"/>
    <w:rsid w:val="004D673D"/>
    <w:rsid w:val="004D6815"/>
    <w:rsid w:val="004D6B5A"/>
    <w:rsid w:val="004D6BCB"/>
    <w:rsid w:val="004D6C15"/>
    <w:rsid w:val="004D6EAD"/>
    <w:rsid w:val="004D71D0"/>
    <w:rsid w:val="004D71DD"/>
    <w:rsid w:val="004D7748"/>
    <w:rsid w:val="004D7871"/>
    <w:rsid w:val="004D78D0"/>
    <w:rsid w:val="004D7A13"/>
    <w:rsid w:val="004D7BDC"/>
    <w:rsid w:val="004D7C4D"/>
    <w:rsid w:val="004D7D55"/>
    <w:rsid w:val="004D7E04"/>
    <w:rsid w:val="004D7FB7"/>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1EDE"/>
    <w:rsid w:val="004E2033"/>
    <w:rsid w:val="004E2198"/>
    <w:rsid w:val="004E2443"/>
    <w:rsid w:val="004E2602"/>
    <w:rsid w:val="004E2836"/>
    <w:rsid w:val="004E2AAF"/>
    <w:rsid w:val="004E2CE3"/>
    <w:rsid w:val="004E32B4"/>
    <w:rsid w:val="004E3431"/>
    <w:rsid w:val="004E3445"/>
    <w:rsid w:val="004E36B7"/>
    <w:rsid w:val="004E36FE"/>
    <w:rsid w:val="004E3868"/>
    <w:rsid w:val="004E3C82"/>
    <w:rsid w:val="004E3DE8"/>
    <w:rsid w:val="004E3E3C"/>
    <w:rsid w:val="004E4174"/>
    <w:rsid w:val="004E4410"/>
    <w:rsid w:val="004E471D"/>
    <w:rsid w:val="004E479E"/>
    <w:rsid w:val="004E481A"/>
    <w:rsid w:val="004E4931"/>
    <w:rsid w:val="004E4A34"/>
    <w:rsid w:val="004E4B8B"/>
    <w:rsid w:val="004E4D6F"/>
    <w:rsid w:val="004E4E09"/>
    <w:rsid w:val="004E4F56"/>
    <w:rsid w:val="004E54EA"/>
    <w:rsid w:val="004E5673"/>
    <w:rsid w:val="004E567B"/>
    <w:rsid w:val="004E579B"/>
    <w:rsid w:val="004E587D"/>
    <w:rsid w:val="004E5984"/>
    <w:rsid w:val="004E5BFA"/>
    <w:rsid w:val="004E5C0A"/>
    <w:rsid w:val="004E5E0D"/>
    <w:rsid w:val="004E5E30"/>
    <w:rsid w:val="004E603E"/>
    <w:rsid w:val="004E613D"/>
    <w:rsid w:val="004E614A"/>
    <w:rsid w:val="004E62D5"/>
    <w:rsid w:val="004E6335"/>
    <w:rsid w:val="004E641B"/>
    <w:rsid w:val="004E6528"/>
    <w:rsid w:val="004E67C6"/>
    <w:rsid w:val="004E69C0"/>
    <w:rsid w:val="004E6A54"/>
    <w:rsid w:val="004E6AD0"/>
    <w:rsid w:val="004E6CC7"/>
    <w:rsid w:val="004E6CED"/>
    <w:rsid w:val="004E6E8A"/>
    <w:rsid w:val="004E712C"/>
    <w:rsid w:val="004E7166"/>
    <w:rsid w:val="004E7252"/>
    <w:rsid w:val="004E737D"/>
    <w:rsid w:val="004E765A"/>
    <w:rsid w:val="004E7795"/>
    <w:rsid w:val="004E77F5"/>
    <w:rsid w:val="004E7904"/>
    <w:rsid w:val="004E7A5A"/>
    <w:rsid w:val="004E7C55"/>
    <w:rsid w:val="004E7C90"/>
    <w:rsid w:val="004E7D48"/>
    <w:rsid w:val="004E7D80"/>
    <w:rsid w:val="004E7E73"/>
    <w:rsid w:val="004E7EA2"/>
    <w:rsid w:val="004F0160"/>
    <w:rsid w:val="004F0206"/>
    <w:rsid w:val="004F0248"/>
    <w:rsid w:val="004F0397"/>
    <w:rsid w:val="004F04E7"/>
    <w:rsid w:val="004F05E5"/>
    <w:rsid w:val="004F0661"/>
    <w:rsid w:val="004F089D"/>
    <w:rsid w:val="004F0AD1"/>
    <w:rsid w:val="004F0AF0"/>
    <w:rsid w:val="004F0C23"/>
    <w:rsid w:val="004F0C8B"/>
    <w:rsid w:val="004F0DCB"/>
    <w:rsid w:val="004F0F73"/>
    <w:rsid w:val="004F100E"/>
    <w:rsid w:val="004F1154"/>
    <w:rsid w:val="004F13D9"/>
    <w:rsid w:val="004F149C"/>
    <w:rsid w:val="004F1513"/>
    <w:rsid w:val="004F1517"/>
    <w:rsid w:val="004F15D3"/>
    <w:rsid w:val="004F186B"/>
    <w:rsid w:val="004F19DC"/>
    <w:rsid w:val="004F1A68"/>
    <w:rsid w:val="004F1B2C"/>
    <w:rsid w:val="004F1B82"/>
    <w:rsid w:val="004F1CAD"/>
    <w:rsid w:val="004F1DEE"/>
    <w:rsid w:val="004F1EF4"/>
    <w:rsid w:val="004F222B"/>
    <w:rsid w:val="004F2364"/>
    <w:rsid w:val="004F246A"/>
    <w:rsid w:val="004F2575"/>
    <w:rsid w:val="004F2597"/>
    <w:rsid w:val="004F29C1"/>
    <w:rsid w:val="004F2A45"/>
    <w:rsid w:val="004F2A7E"/>
    <w:rsid w:val="004F2D1E"/>
    <w:rsid w:val="004F2EC8"/>
    <w:rsid w:val="004F2F07"/>
    <w:rsid w:val="004F3314"/>
    <w:rsid w:val="004F33AE"/>
    <w:rsid w:val="004F34C9"/>
    <w:rsid w:val="004F3686"/>
    <w:rsid w:val="004F3787"/>
    <w:rsid w:val="004F3CFE"/>
    <w:rsid w:val="004F3D46"/>
    <w:rsid w:val="004F3D7B"/>
    <w:rsid w:val="004F3FD7"/>
    <w:rsid w:val="004F40D4"/>
    <w:rsid w:val="004F41DE"/>
    <w:rsid w:val="004F424D"/>
    <w:rsid w:val="004F4354"/>
    <w:rsid w:val="004F45D8"/>
    <w:rsid w:val="004F46FB"/>
    <w:rsid w:val="004F48D0"/>
    <w:rsid w:val="004F4A11"/>
    <w:rsid w:val="004F4A83"/>
    <w:rsid w:val="004F4C75"/>
    <w:rsid w:val="004F4EDE"/>
    <w:rsid w:val="004F530A"/>
    <w:rsid w:val="004F58FC"/>
    <w:rsid w:val="004F5A1C"/>
    <w:rsid w:val="004F5D5A"/>
    <w:rsid w:val="004F5DD7"/>
    <w:rsid w:val="004F5F7F"/>
    <w:rsid w:val="004F6097"/>
    <w:rsid w:val="004F612B"/>
    <w:rsid w:val="004F62C3"/>
    <w:rsid w:val="004F636C"/>
    <w:rsid w:val="004F6496"/>
    <w:rsid w:val="004F682C"/>
    <w:rsid w:val="004F69C4"/>
    <w:rsid w:val="004F6A00"/>
    <w:rsid w:val="004F6AE5"/>
    <w:rsid w:val="004F6D4F"/>
    <w:rsid w:val="004F6E69"/>
    <w:rsid w:val="004F6F17"/>
    <w:rsid w:val="004F7197"/>
    <w:rsid w:val="004F7211"/>
    <w:rsid w:val="004F73AE"/>
    <w:rsid w:val="004F7528"/>
    <w:rsid w:val="004F770E"/>
    <w:rsid w:val="004F77FA"/>
    <w:rsid w:val="004F7850"/>
    <w:rsid w:val="004F7927"/>
    <w:rsid w:val="004F795D"/>
    <w:rsid w:val="004F7C40"/>
    <w:rsid w:val="004F7F56"/>
    <w:rsid w:val="004F7FDB"/>
    <w:rsid w:val="00500083"/>
    <w:rsid w:val="00500531"/>
    <w:rsid w:val="005007C3"/>
    <w:rsid w:val="005008A3"/>
    <w:rsid w:val="005008F5"/>
    <w:rsid w:val="00500BED"/>
    <w:rsid w:val="00500C91"/>
    <w:rsid w:val="00500DE5"/>
    <w:rsid w:val="00501124"/>
    <w:rsid w:val="005013FE"/>
    <w:rsid w:val="0050160E"/>
    <w:rsid w:val="005019E2"/>
    <w:rsid w:val="00501AD8"/>
    <w:rsid w:val="00501C00"/>
    <w:rsid w:val="00501CB4"/>
    <w:rsid w:val="00501E26"/>
    <w:rsid w:val="00501EC3"/>
    <w:rsid w:val="00501F90"/>
    <w:rsid w:val="0050235F"/>
    <w:rsid w:val="00502647"/>
    <w:rsid w:val="005029CF"/>
    <w:rsid w:val="00502BE6"/>
    <w:rsid w:val="00502D4D"/>
    <w:rsid w:val="00502DD6"/>
    <w:rsid w:val="00503047"/>
    <w:rsid w:val="005035E6"/>
    <w:rsid w:val="005036F1"/>
    <w:rsid w:val="005036F7"/>
    <w:rsid w:val="0050399A"/>
    <w:rsid w:val="005039B6"/>
    <w:rsid w:val="00503A6B"/>
    <w:rsid w:val="00503BB0"/>
    <w:rsid w:val="00503C76"/>
    <w:rsid w:val="00503D7D"/>
    <w:rsid w:val="00503EB1"/>
    <w:rsid w:val="00503EC0"/>
    <w:rsid w:val="00503EFF"/>
    <w:rsid w:val="00504081"/>
    <w:rsid w:val="005040F3"/>
    <w:rsid w:val="0050432B"/>
    <w:rsid w:val="0050433C"/>
    <w:rsid w:val="00504360"/>
    <w:rsid w:val="0050439F"/>
    <w:rsid w:val="005043E7"/>
    <w:rsid w:val="005046E4"/>
    <w:rsid w:val="005048E8"/>
    <w:rsid w:val="00504947"/>
    <w:rsid w:val="00504D38"/>
    <w:rsid w:val="00504EDC"/>
    <w:rsid w:val="00504FDE"/>
    <w:rsid w:val="005050C6"/>
    <w:rsid w:val="005051F6"/>
    <w:rsid w:val="0050528E"/>
    <w:rsid w:val="0050529F"/>
    <w:rsid w:val="00505339"/>
    <w:rsid w:val="00505590"/>
    <w:rsid w:val="00505B2B"/>
    <w:rsid w:val="00505BDC"/>
    <w:rsid w:val="00505E6F"/>
    <w:rsid w:val="005062FD"/>
    <w:rsid w:val="0050633E"/>
    <w:rsid w:val="00506461"/>
    <w:rsid w:val="005064D0"/>
    <w:rsid w:val="005067FE"/>
    <w:rsid w:val="00506982"/>
    <w:rsid w:val="00506B5D"/>
    <w:rsid w:val="00506CFA"/>
    <w:rsid w:val="00507106"/>
    <w:rsid w:val="005071D6"/>
    <w:rsid w:val="00507280"/>
    <w:rsid w:val="0050728C"/>
    <w:rsid w:val="0050742A"/>
    <w:rsid w:val="00507536"/>
    <w:rsid w:val="005075F1"/>
    <w:rsid w:val="005077EA"/>
    <w:rsid w:val="005078A9"/>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898"/>
    <w:rsid w:val="00511907"/>
    <w:rsid w:val="00511BA3"/>
    <w:rsid w:val="00511E10"/>
    <w:rsid w:val="00511FBF"/>
    <w:rsid w:val="0051204E"/>
    <w:rsid w:val="005121E8"/>
    <w:rsid w:val="0051228E"/>
    <w:rsid w:val="005122DE"/>
    <w:rsid w:val="0051235F"/>
    <w:rsid w:val="0051261F"/>
    <w:rsid w:val="00512794"/>
    <w:rsid w:val="005127EB"/>
    <w:rsid w:val="00512857"/>
    <w:rsid w:val="005128A9"/>
    <w:rsid w:val="00512A4B"/>
    <w:rsid w:val="00512AC5"/>
    <w:rsid w:val="00512B38"/>
    <w:rsid w:val="00512BEA"/>
    <w:rsid w:val="00512DB8"/>
    <w:rsid w:val="00512F7C"/>
    <w:rsid w:val="0051331D"/>
    <w:rsid w:val="005134E3"/>
    <w:rsid w:val="0051356B"/>
    <w:rsid w:val="00513783"/>
    <w:rsid w:val="00513827"/>
    <w:rsid w:val="00513839"/>
    <w:rsid w:val="005138BA"/>
    <w:rsid w:val="00513951"/>
    <w:rsid w:val="00513A5D"/>
    <w:rsid w:val="00513BA9"/>
    <w:rsid w:val="00513C03"/>
    <w:rsid w:val="00513C88"/>
    <w:rsid w:val="00513CEF"/>
    <w:rsid w:val="00514365"/>
    <w:rsid w:val="0051455D"/>
    <w:rsid w:val="005145C1"/>
    <w:rsid w:val="005146C3"/>
    <w:rsid w:val="00514736"/>
    <w:rsid w:val="00514858"/>
    <w:rsid w:val="00514C2C"/>
    <w:rsid w:val="00514DFC"/>
    <w:rsid w:val="00514E25"/>
    <w:rsid w:val="00514E54"/>
    <w:rsid w:val="00514F28"/>
    <w:rsid w:val="00514F3A"/>
    <w:rsid w:val="0051509F"/>
    <w:rsid w:val="00515112"/>
    <w:rsid w:val="0051535C"/>
    <w:rsid w:val="005153AF"/>
    <w:rsid w:val="0051545A"/>
    <w:rsid w:val="005154E1"/>
    <w:rsid w:val="00515665"/>
    <w:rsid w:val="005156A1"/>
    <w:rsid w:val="00515A6D"/>
    <w:rsid w:val="00515B53"/>
    <w:rsid w:val="00515CC9"/>
    <w:rsid w:val="00515E10"/>
    <w:rsid w:val="0051657B"/>
    <w:rsid w:val="0051698D"/>
    <w:rsid w:val="00516A23"/>
    <w:rsid w:val="00516A59"/>
    <w:rsid w:val="00516D1E"/>
    <w:rsid w:val="00516F6E"/>
    <w:rsid w:val="0051747F"/>
    <w:rsid w:val="005174DF"/>
    <w:rsid w:val="0051768E"/>
    <w:rsid w:val="00517713"/>
    <w:rsid w:val="005177D6"/>
    <w:rsid w:val="005178AD"/>
    <w:rsid w:val="00517A2B"/>
    <w:rsid w:val="00517B54"/>
    <w:rsid w:val="00517B76"/>
    <w:rsid w:val="00517B8D"/>
    <w:rsid w:val="00517C0A"/>
    <w:rsid w:val="0052024E"/>
    <w:rsid w:val="00520516"/>
    <w:rsid w:val="00520761"/>
    <w:rsid w:val="00520C1B"/>
    <w:rsid w:val="00520C2D"/>
    <w:rsid w:val="00520D8C"/>
    <w:rsid w:val="00520E5B"/>
    <w:rsid w:val="00521003"/>
    <w:rsid w:val="0052107A"/>
    <w:rsid w:val="005212BC"/>
    <w:rsid w:val="005215EC"/>
    <w:rsid w:val="00521C85"/>
    <w:rsid w:val="00521C88"/>
    <w:rsid w:val="00521CB6"/>
    <w:rsid w:val="00521D17"/>
    <w:rsid w:val="00522077"/>
    <w:rsid w:val="00522525"/>
    <w:rsid w:val="0052263A"/>
    <w:rsid w:val="005226A4"/>
    <w:rsid w:val="00522862"/>
    <w:rsid w:val="00522C00"/>
    <w:rsid w:val="00522C52"/>
    <w:rsid w:val="005230C5"/>
    <w:rsid w:val="005233AD"/>
    <w:rsid w:val="005237D1"/>
    <w:rsid w:val="00523A30"/>
    <w:rsid w:val="00523C8A"/>
    <w:rsid w:val="00523CEF"/>
    <w:rsid w:val="00523F2A"/>
    <w:rsid w:val="00524240"/>
    <w:rsid w:val="0052429B"/>
    <w:rsid w:val="005244D8"/>
    <w:rsid w:val="005244DE"/>
    <w:rsid w:val="00524A7D"/>
    <w:rsid w:val="00524ADC"/>
    <w:rsid w:val="00524B3A"/>
    <w:rsid w:val="00524C36"/>
    <w:rsid w:val="00524E0B"/>
    <w:rsid w:val="00524E17"/>
    <w:rsid w:val="00524EA9"/>
    <w:rsid w:val="00524EAA"/>
    <w:rsid w:val="00524FCA"/>
    <w:rsid w:val="00525258"/>
    <w:rsid w:val="00525347"/>
    <w:rsid w:val="00525560"/>
    <w:rsid w:val="005256E7"/>
    <w:rsid w:val="00525951"/>
    <w:rsid w:val="0052595B"/>
    <w:rsid w:val="00525A97"/>
    <w:rsid w:val="00525B5C"/>
    <w:rsid w:val="00525B94"/>
    <w:rsid w:val="00525BDF"/>
    <w:rsid w:val="00525D65"/>
    <w:rsid w:val="00525E17"/>
    <w:rsid w:val="00525FA6"/>
    <w:rsid w:val="00525FEB"/>
    <w:rsid w:val="00526087"/>
    <w:rsid w:val="005262F9"/>
    <w:rsid w:val="005265FF"/>
    <w:rsid w:val="00526713"/>
    <w:rsid w:val="00526875"/>
    <w:rsid w:val="0052691D"/>
    <w:rsid w:val="00526AA6"/>
    <w:rsid w:val="00526B0D"/>
    <w:rsid w:val="00526B5B"/>
    <w:rsid w:val="00526C70"/>
    <w:rsid w:val="0052714C"/>
    <w:rsid w:val="00527499"/>
    <w:rsid w:val="00527716"/>
    <w:rsid w:val="00527719"/>
    <w:rsid w:val="0052778A"/>
    <w:rsid w:val="00527852"/>
    <w:rsid w:val="00527DE4"/>
    <w:rsid w:val="00527DFB"/>
    <w:rsid w:val="00527E4A"/>
    <w:rsid w:val="00527ECA"/>
    <w:rsid w:val="00527F68"/>
    <w:rsid w:val="0053001B"/>
    <w:rsid w:val="0053008A"/>
    <w:rsid w:val="0053018A"/>
    <w:rsid w:val="005301A6"/>
    <w:rsid w:val="00530270"/>
    <w:rsid w:val="00530703"/>
    <w:rsid w:val="005307E8"/>
    <w:rsid w:val="0053086C"/>
    <w:rsid w:val="0053091F"/>
    <w:rsid w:val="0053098B"/>
    <w:rsid w:val="00530A2A"/>
    <w:rsid w:val="00530A5B"/>
    <w:rsid w:val="00530AAF"/>
    <w:rsid w:val="00530AB8"/>
    <w:rsid w:val="00530C06"/>
    <w:rsid w:val="00531015"/>
    <w:rsid w:val="0053131F"/>
    <w:rsid w:val="00531C0A"/>
    <w:rsid w:val="00531C3F"/>
    <w:rsid w:val="00531DFE"/>
    <w:rsid w:val="00531FA8"/>
    <w:rsid w:val="00532251"/>
    <w:rsid w:val="00532440"/>
    <w:rsid w:val="00532500"/>
    <w:rsid w:val="005325D3"/>
    <w:rsid w:val="0053286E"/>
    <w:rsid w:val="00532AE3"/>
    <w:rsid w:val="00532DE9"/>
    <w:rsid w:val="00533066"/>
    <w:rsid w:val="00533123"/>
    <w:rsid w:val="00533405"/>
    <w:rsid w:val="005335A4"/>
    <w:rsid w:val="00533727"/>
    <w:rsid w:val="005337B9"/>
    <w:rsid w:val="0053389F"/>
    <w:rsid w:val="005339FF"/>
    <w:rsid w:val="00533C3C"/>
    <w:rsid w:val="00533F2F"/>
    <w:rsid w:val="00534041"/>
    <w:rsid w:val="0053415A"/>
    <w:rsid w:val="005342A7"/>
    <w:rsid w:val="00534676"/>
    <w:rsid w:val="005347A5"/>
    <w:rsid w:val="0053484D"/>
    <w:rsid w:val="00534A08"/>
    <w:rsid w:val="00534AD1"/>
    <w:rsid w:val="00534B0F"/>
    <w:rsid w:val="00534C70"/>
    <w:rsid w:val="00534C8B"/>
    <w:rsid w:val="00534E48"/>
    <w:rsid w:val="005351AD"/>
    <w:rsid w:val="0053523C"/>
    <w:rsid w:val="00535276"/>
    <w:rsid w:val="00535287"/>
    <w:rsid w:val="005352C2"/>
    <w:rsid w:val="0053557E"/>
    <w:rsid w:val="0053583C"/>
    <w:rsid w:val="00535D09"/>
    <w:rsid w:val="00535DAF"/>
    <w:rsid w:val="00535DFB"/>
    <w:rsid w:val="00535EC2"/>
    <w:rsid w:val="00535F6C"/>
    <w:rsid w:val="0053608D"/>
    <w:rsid w:val="005360A0"/>
    <w:rsid w:val="0053633A"/>
    <w:rsid w:val="005363D9"/>
    <w:rsid w:val="00536924"/>
    <w:rsid w:val="00536DDE"/>
    <w:rsid w:val="00536F2F"/>
    <w:rsid w:val="00537184"/>
    <w:rsid w:val="005373E8"/>
    <w:rsid w:val="00537564"/>
    <w:rsid w:val="00537584"/>
    <w:rsid w:val="005377BE"/>
    <w:rsid w:val="0053788F"/>
    <w:rsid w:val="00537CD2"/>
    <w:rsid w:val="00537D2F"/>
    <w:rsid w:val="00537E11"/>
    <w:rsid w:val="00537ED7"/>
    <w:rsid w:val="00537F8B"/>
    <w:rsid w:val="00540202"/>
    <w:rsid w:val="0054034F"/>
    <w:rsid w:val="0054059B"/>
    <w:rsid w:val="0054076F"/>
    <w:rsid w:val="0054087A"/>
    <w:rsid w:val="00540899"/>
    <w:rsid w:val="00540AB5"/>
    <w:rsid w:val="00540B29"/>
    <w:rsid w:val="00540B98"/>
    <w:rsid w:val="00541160"/>
    <w:rsid w:val="00541651"/>
    <w:rsid w:val="005416CE"/>
    <w:rsid w:val="00541781"/>
    <w:rsid w:val="00541BBB"/>
    <w:rsid w:val="00542082"/>
    <w:rsid w:val="005423CF"/>
    <w:rsid w:val="00542602"/>
    <w:rsid w:val="00542708"/>
    <w:rsid w:val="00542714"/>
    <w:rsid w:val="00542D6B"/>
    <w:rsid w:val="00542E61"/>
    <w:rsid w:val="00543058"/>
    <w:rsid w:val="00543143"/>
    <w:rsid w:val="005434DC"/>
    <w:rsid w:val="005434F9"/>
    <w:rsid w:val="0054384C"/>
    <w:rsid w:val="00543A6B"/>
    <w:rsid w:val="00543E9E"/>
    <w:rsid w:val="0054414B"/>
    <w:rsid w:val="005441B3"/>
    <w:rsid w:val="0054437D"/>
    <w:rsid w:val="005443F6"/>
    <w:rsid w:val="00544428"/>
    <w:rsid w:val="00544554"/>
    <w:rsid w:val="005447D1"/>
    <w:rsid w:val="005448D3"/>
    <w:rsid w:val="00544983"/>
    <w:rsid w:val="00544C45"/>
    <w:rsid w:val="00544E0A"/>
    <w:rsid w:val="00545324"/>
    <w:rsid w:val="00545492"/>
    <w:rsid w:val="0054553C"/>
    <w:rsid w:val="005455B5"/>
    <w:rsid w:val="00545875"/>
    <w:rsid w:val="0054587A"/>
    <w:rsid w:val="00545A2D"/>
    <w:rsid w:val="00545F0C"/>
    <w:rsid w:val="005461D1"/>
    <w:rsid w:val="00546205"/>
    <w:rsid w:val="00546401"/>
    <w:rsid w:val="00546432"/>
    <w:rsid w:val="00546447"/>
    <w:rsid w:val="00546499"/>
    <w:rsid w:val="005464E0"/>
    <w:rsid w:val="00546590"/>
    <w:rsid w:val="00546708"/>
    <w:rsid w:val="00546866"/>
    <w:rsid w:val="005468ED"/>
    <w:rsid w:val="005469D5"/>
    <w:rsid w:val="00546B4C"/>
    <w:rsid w:val="00546C52"/>
    <w:rsid w:val="00546D77"/>
    <w:rsid w:val="00546DBC"/>
    <w:rsid w:val="00546F72"/>
    <w:rsid w:val="00546FD0"/>
    <w:rsid w:val="00547200"/>
    <w:rsid w:val="005472F7"/>
    <w:rsid w:val="00547481"/>
    <w:rsid w:val="0054749B"/>
    <w:rsid w:val="0054770F"/>
    <w:rsid w:val="0054773D"/>
    <w:rsid w:val="00547836"/>
    <w:rsid w:val="00547A1E"/>
    <w:rsid w:val="00547A84"/>
    <w:rsid w:val="00547B58"/>
    <w:rsid w:val="00547C69"/>
    <w:rsid w:val="00550257"/>
    <w:rsid w:val="0055047D"/>
    <w:rsid w:val="005504AF"/>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637"/>
    <w:rsid w:val="00552807"/>
    <w:rsid w:val="00552DDF"/>
    <w:rsid w:val="00552F89"/>
    <w:rsid w:val="005530C6"/>
    <w:rsid w:val="005534A5"/>
    <w:rsid w:val="005534CA"/>
    <w:rsid w:val="005535BB"/>
    <w:rsid w:val="0055389F"/>
    <w:rsid w:val="00553AB7"/>
    <w:rsid w:val="00553B1C"/>
    <w:rsid w:val="00553BC8"/>
    <w:rsid w:val="00553D84"/>
    <w:rsid w:val="00553F0D"/>
    <w:rsid w:val="00553F31"/>
    <w:rsid w:val="00554212"/>
    <w:rsid w:val="00554517"/>
    <w:rsid w:val="0055458D"/>
    <w:rsid w:val="005545B0"/>
    <w:rsid w:val="005546E4"/>
    <w:rsid w:val="0055483A"/>
    <w:rsid w:val="00554FF4"/>
    <w:rsid w:val="0055510F"/>
    <w:rsid w:val="005551E4"/>
    <w:rsid w:val="0055520C"/>
    <w:rsid w:val="005554BE"/>
    <w:rsid w:val="005555A5"/>
    <w:rsid w:val="005557B7"/>
    <w:rsid w:val="005558AF"/>
    <w:rsid w:val="005559B3"/>
    <w:rsid w:val="005559E0"/>
    <w:rsid w:val="00555C5C"/>
    <w:rsid w:val="00555E78"/>
    <w:rsid w:val="00556226"/>
    <w:rsid w:val="005562DF"/>
    <w:rsid w:val="00556444"/>
    <w:rsid w:val="00556497"/>
    <w:rsid w:val="005567C1"/>
    <w:rsid w:val="00556900"/>
    <w:rsid w:val="00556C12"/>
    <w:rsid w:val="00556D0E"/>
    <w:rsid w:val="005573E6"/>
    <w:rsid w:val="0055748B"/>
    <w:rsid w:val="00557718"/>
    <w:rsid w:val="005577BB"/>
    <w:rsid w:val="005578CA"/>
    <w:rsid w:val="00557E24"/>
    <w:rsid w:val="00560109"/>
    <w:rsid w:val="005602A5"/>
    <w:rsid w:val="0056036C"/>
    <w:rsid w:val="00560440"/>
    <w:rsid w:val="00560510"/>
    <w:rsid w:val="005605F8"/>
    <w:rsid w:val="005605FA"/>
    <w:rsid w:val="00560679"/>
    <w:rsid w:val="005607D2"/>
    <w:rsid w:val="00560896"/>
    <w:rsid w:val="00560DD8"/>
    <w:rsid w:val="00560FC3"/>
    <w:rsid w:val="00561066"/>
    <w:rsid w:val="005610B7"/>
    <w:rsid w:val="00561100"/>
    <w:rsid w:val="0056110E"/>
    <w:rsid w:val="00561330"/>
    <w:rsid w:val="005614F0"/>
    <w:rsid w:val="00561667"/>
    <w:rsid w:val="00561803"/>
    <w:rsid w:val="005619BE"/>
    <w:rsid w:val="00561A1A"/>
    <w:rsid w:val="00561C6C"/>
    <w:rsid w:val="00561D61"/>
    <w:rsid w:val="00561D93"/>
    <w:rsid w:val="00561EBA"/>
    <w:rsid w:val="00561EFF"/>
    <w:rsid w:val="0056204E"/>
    <w:rsid w:val="0056205F"/>
    <w:rsid w:val="00562176"/>
    <w:rsid w:val="0056228A"/>
    <w:rsid w:val="005622B8"/>
    <w:rsid w:val="005622FA"/>
    <w:rsid w:val="0056247B"/>
    <w:rsid w:val="0056263E"/>
    <w:rsid w:val="005628AC"/>
    <w:rsid w:val="00562918"/>
    <w:rsid w:val="00562961"/>
    <w:rsid w:val="00562BB6"/>
    <w:rsid w:val="00562F93"/>
    <w:rsid w:val="0056313C"/>
    <w:rsid w:val="0056316C"/>
    <w:rsid w:val="00563264"/>
    <w:rsid w:val="00563358"/>
    <w:rsid w:val="0056361C"/>
    <w:rsid w:val="00563868"/>
    <w:rsid w:val="00563C26"/>
    <w:rsid w:val="00563C57"/>
    <w:rsid w:val="00563E01"/>
    <w:rsid w:val="00563E17"/>
    <w:rsid w:val="005641C2"/>
    <w:rsid w:val="00564405"/>
    <w:rsid w:val="005644F8"/>
    <w:rsid w:val="005645FD"/>
    <w:rsid w:val="00564711"/>
    <w:rsid w:val="005649FE"/>
    <w:rsid w:val="00564C94"/>
    <w:rsid w:val="00564F85"/>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20B8"/>
    <w:rsid w:val="005720D2"/>
    <w:rsid w:val="005721E7"/>
    <w:rsid w:val="0057265F"/>
    <w:rsid w:val="005728FA"/>
    <w:rsid w:val="00572AE8"/>
    <w:rsid w:val="00572AEC"/>
    <w:rsid w:val="00572B3F"/>
    <w:rsid w:val="00572D3B"/>
    <w:rsid w:val="00573058"/>
    <w:rsid w:val="005730B7"/>
    <w:rsid w:val="00573507"/>
    <w:rsid w:val="0057383D"/>
    <w:rsid w:val="005738C8"/>
    <w:rsid w:val="00573A32"/>
    <w:rsid w:val="00573B0D"/>
    <w:rsid w:val="00573BF2"/>
    <w:rsid w:val="00573D65"/>
    <w:rsid w:val="00573EBB"/>
    <w:rsid w:val="00573FF1"/>
    <w:rsid w:val="00574006"/>
    <w:rsid w:val="0057413E"/>
    <w:rsid w:val="00574291"/>
    <w:rsid w:val="0057469F"/>
    <w:rsid w:val="00574711"/>
    <w:rsid w:val="00574DD8"/>
    <w:rsid w:val="00574F4B"/>
    <w:rsid w:val="00574F4C"/>
    <w:rsid w:val="0057512A"/>
    <w:rsid w:val="00575197"/>
    <w:rsid w:val="00575238"/>
    <w:rsid w:val="0057526B"/>
    <w:rsid w:val="005755C7"/>
    <w:rsid w:val="0057573D"/>
    <w:rsid w:val="00575AAE"/>
    <w:rsid w:val="00575B48"/>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218"/>
    <w:rsid w:val="005773CF"/>
    <w:rsid w:val="00577554"/>
    <w:rsid w:val="00577AE7"/>
    <w:rsid w:val="00577B5F"/>
    <w:rsid w:val="00577BF3"/>
    <w:rsid w:val="00577CB3"/>
    <w:rsid w:val="00577D72"/>
    <w:rsid w:val="00577D85"/>
    <w:rsid w:val="005802B1"/>
    <w:rsid w:val="005804E0"/>
    <w:rsid w:val="00580663"/>
    <w:rsid w:val="00580673"/>
    <w:rsid w:val="0058067A"/>
    <w:rsid w:val="00580826"/>
    <w:rsid w:val="005809B5"/>
    <w:rsid w:val="00580DAE"/>
    <w:rsid w:val="00580FC3"/>
    <w:rsid w:val="00581284"/>
    <w:rsid w:val="0058140D"/>
    <w:rsid w:val="005814EB"/>
    <w:rsid w:val="00581B24"/>
    <w:rsid w:val="00581C7C"/>
    <w:rsid w:val="00581D84"/>
    <w:rsid w:val="00582100"/>
    <w:rsid w:val="00582369"/>
    <w:rsid w:val="00582CF3"/>
    <w:rsid w:val="00582E32"/>
    <w:rsid w:val="0058320D"/>
    <w:rsid w:val="00583248"/>
    <w:rsid w:val="00583583"/>
    <w:rsid w:val="0058359F"/>
    <w:rsid w:val="00583915"/>
    <w:rsid w:val="00583BA9"/>
    <w:rsid w:val="00583CF8"/>
    <w:rsid w:val="00583E56"/>
    <w:rsid w:val="00584196"/>
    <w:rsid w:val="00584222"/>
    <w:rsid w:val="00584229"/>
    <w:rsid w:val="005842C2"/>
    <w:rsid w:val="005844C1"/>
    <w:rsid w:val="0058453F"/>
    <w:rsid w:val="005847B3"/>
    <w:rsid w:val="005847CF"/>
    <w:rsid w:val="00584836"/>
    <w:rsid w:val="00584A32"/>
    <w:rsid w:val="00584ACE"/>
    <w:rsid w:val="00584B50"/>
    <w:rsid w:val="00584BA8"/>
    <w:rsid w:val="00584C13"/>
    <w:rsid w:val="00584C91"/>
    <w:rsid w:val="00584D1E"/>
    <w:rsid w:val="00584D6F"/>
    <w:rsid w:val="00584FC3"/>
    <w:rsid w:val="005851D4"/>
    <w:rsid w:val="00585388"/>
    <w:rsid w:val="00585480"/>
    <w:rsid w:val="0058560D"/>
    <w:rsid w:val="005856AE"/>
    <w:rsid w:val="0058578C"/>
    <w:rsid w:val="00585AE9"/>
    <w:rsid w:val="00585C22"/>
    <w:rsid w:val="00585CA0"/>
    <w:rsid w:val="00585CCD"/>
    <w:rsid w:val="00585CE5"/>
    <w:rsid w:val="00585D6C"/>
    <w:rsid w:val="00585D78"/>
    <w:rsid w:val="005861D2"/>
    <w:rsid w:val="0058625B"/>
    <w:rsid w:val="005862A9"/>
    <w:rsid w:val="005862F4"/>
    <w:rsid w:val="005865A4"/>
    <w:rsid w:val="005868E7"/>
    <w:rsid w:val="00586A64"/>
    <w:rsid w:val="00586B89"/>
    <w:rsid w:val="00586D8D"/>
    <w:rsid w:val="00586ED4"/>
    <w:rsid w:val="00586EE4"/>
    <w:rsid w:val="00586F8B"/>
    <w:rsid w:val="00587232"/>
    <w:rsid w:val="0058725B"/>
    <w:rsid w:val="00587367"/>
    <w:rsid w:val="00587778"/>
    <w:rsid w:val="00587B6E"/>
    <w:rsid w:val="00587B7C"/>
    <w:rsid w:val="00587E21"/>
    <w:rsid w:val="00587F3B"/>
    <w:rsid w:val="005902E7"/>
    <w:rsid w:val="005905CA"/>
    <w:rsid w:val="0059072F"/>
    <w:rsid w:val="005908F8"/>
    <w:rsid w:val="00590DC6"/>
    <w:rsid w:val="00590EC7"/>
    <w:rsid w:val="0059107E"/>
    <w:rsid w:val="005911A8"/>
    <w:rsid w:val="005911FB"/>
    <w:rsid w:val="0059137F"/>
    <w:rsid w:val="005913AD"/>
    <w:rsid w:val="00591525"/>
    <w:rsid w:val="005915E7"/>
    <w:rsid w:val="0059161C"/>
    <w:rsid w:val="0059166C"/>
    <w:rsid w:val="005917C4"/>
    <w:rsid w:val="00591897"/>
    <w:rsid w:val="005918B9"/>
    <w:rsid w:val="005918CD"/>
    <w:rsid w:val="00591C16"/>
    <w:rsid w:val="00591CF3"/>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59"/>
    <w:rsid w:val="00593D04"/>
    <w:rsid w:val="00593DEB"/>
    <w:rsid w:val="00593F38"/>
    <w:rsid w:val="0059403C"/>
    <w:rsid w:val="0059427E"/>
    <w:rsid w:val="005943D6"/>
    <w:rsid w:val="00594570"/>
    <w:rsid w:val="00594597"/>
    <w:rsid w:val="005945D6"/>
    <w:rsid w:val="0059469F"/>
    <w:rsid w:val="0059494D"/>
    <w:rsid w:val="00594B41"/>
    <w:rsid w:val="00594EA8"/>
    <w:rsid w:val="00594EF9"/>
    <w:rsid w:val="0059537C"/>
    <w:rsid w:val="00595598"/>
    <w:rsid w:val="00595798"/>
    <w:rsid w:val="00595B1C"/>
    <w:rsid w:val="00595C7F"/>
    <w:rsid w:val="00595DC0"/>
    <w:rsid w:val="00595E6A"/>
    <w:rsid w:val="00595F9D"/>
    <w:rsid w:val="00596169"/>
    <w:rsid w:val="0059616C"/>
    <w:rsid w:val="0059627E"/>
    <w:rsid w:val="005966AA"/>
    <w:rsid w:val="005967F0"/>
    <w:rsid w:val="00596888"/>
    <w:rsid w:val="00596931"/>
    <w:rsid w:val="005969B0"/>
    <w:rsid w:val="00596D78"/>
    <w:rsid w:val="00597115"/>
    <w:rsid w:val="005972AF"/>
    <w:rsid w:val="005975A0"/>
    <w:rsid w:val="0059763E"/>
    <w:rsid w:val="005977C9"/>
    <w:rsid w:val="005977D9"/>
    <w:rsid w:val="0059783B"/>
    <w:rsid w:val="005978FE"/>
    <w:rsid w:val="0059795D"/>
    <w:rsid w:val="0059797A"/>
    <w:rsid w:val="005979C0"/>
    <w:rsid w:val="005979D4"/>
    <w:rsid w:val="00597BFC"/>
    <w:rsid w:val="00597DE8"/>
    <w:rsid w:val="005A02C1"/>
    <w:rsid w:val="005A0387"/>
    <w:rsid w:val="005A04A1"/>
    <w:rsid w:val="005A05A0"/>
    <w:rsid w:val="005A082A"/>
    <w:rsid w:val="005A088E"/>
    <w:rsid w:val="005A0970"/>
    <w:rsid w:val="005A0BBB"/>
    <w:rsid w:val="005A0C6B"/>
    <w:rsid w:val="005A0EEF"/>
    <w:rsid w:val="005A11FB"/>
    <w:rsid w:val="005A126A"/>
    <w:rsid w:val="005A126F"/>
    <w:rsid w:val="005A16EE"/>
    <w:rsid w:val="005A1741"/>
    <w:rsid w:val="005A202E"/>
    <w:rsid w:val="005A2088"/>
    <w:rsid w:val="005A23AB"/>
    <w:rsid w:val="005A2540"/>
    <w:rsid w:val="005A2967"/>
    <w:rsid w:val="005A29E0"/>
    <w:rsid w:val="005A2DD8"/>
    <w:rsid w:val="005A2DE3"/>
    <w:rsid w:val="005A317D"/>
    <w:rsid w:val="005A3214"/>
    <w:rsid w:val="005A3315"/>
    <w:rsid w:val="005A3341"/>
    <w:rsid w:val="005A3562"/>
    <w:rsid w:val="005A36C7"/>
    <w:rsid w:val="005A3730"/>
    <w:rsid w:val="005A3845"/>
    <w:rsid w:val="005A3870"/>
    <w:rsid w:val="005A3C23"/>
    <w:rsid w:val="005A3C55"/>
    <w:rsid w:val="005A3C6E"/>
    <w:rsid w:val="005A40AF"/>
    <w:rsid w:val="005A4238"/>
    <w:rsid w:val="005A429B"/>
    <w:rsid w:val="005A439C"/>
    <w:rsid w:val="005A43A1"/>
    <w:rsid w:val="005A450C"/>
    <w:rsid w:val="005A453F"/>
    <w:rsid w:val="005A45CD"/>
    <w:rsid w:val="005A4629"/>
    <w:rsid w:val="005A47CD"/>
    <w:rsid w:val="005A4965"/>
    <w:rsid w:val="005A49B9"/>
    <w:rsid w:val="005A4D07"/>
    <w:rsid w:val="005A5112"/>
    <w:rsid w:val="005A5187"/>
    <w:rsid w:val="005A559A"/>
    <w:rsid w:val="005A592D"/>
    <w:rsid w:val="005A5954"/>
    <w:rsid w:val="005A5B78"/>
    <w:rsid w:val="005A5C3C"/>
    <w:rsid w:val="005A5D84"/>
    <w:rsid w:val="005A5E71"/>
    <w:rsid w:val="005A60DE"/>
    <w:rsid w:val="005A6184"/>
    <w:rsid w:val="005A6206"/>
    <w:rsid w:val="005A620F"/>
    <w:rsid w:val="005A63A6"/>
    <w:rsid w:val="005A63A9"/>
    <w:rsid w:val="005A64E5"/>
    <w:rsid w:val="005A66FF"/>
    <w:rsid w:val="005A6B72"/>
    <w:rsid w:val="005A6DE6"/>
    <w:rsid w:val="005A6E85"/>
    <w:rsid w:val="005A6FC1"/>
    <w:rsid w:val="005A704F"/>
    <w:rsid w:val="005A70C7"/>
    <w:rsid w:val="005A71BF"/>
    <w:rsid w:val="005A7276"/>
    <w:rsid w:val="005A727D"/>
    <w:rsid w:val="005A728E"/>
    <w:rsid w:val="005A768D"/>
    <w:rsid w:val="005A7973"/>
    <w:rsid w:val="005A7A60"/>
    <w:rsid w:val="005A7A8E"/>
    <w:rsid w:val="005A7C28"/>
    <w:rsid w:val="005A7CA8"/>
    <w:rsid w:val="005A7D23"/>
    <w:rsid w:val="005A7DE1"/>
    <w:rsid w:val="005A7F29"/>
    <w:rsid w:val="005A7F66"/>
    <w:rsid w:val="005B000A"/>
    <w:rsid w:val="005B0076"/>
    <w:rsid w:val="005B00FC"/>
    <w:rsid w:val="005B0100"/>
    <w:rsid w:val="005B0290"/>
    <w:rsid w:val="005B0614"/>
    <w:rsid w:val="005B0760"/>
    <w:rsid w:val="005B0761"/>
    <w:rsid w:val="005B07CD"/>
    <w:rsid w:val="005B095E"/>
    <w:rsid w:val="005B0A38"/>
    <w:rsid w:val="005B0B09"/>
    <w:rsid w:val="005B0BC6"/>
    <w:rsid w:val="005B0D42"/>
    <w:rsid w:val="005B0EB7"/>
    <w:rsid w:val="005B12BB"/>
    <w:rsid w:val="005B131D"/>
    <w:rsid w:val="005B13F8"/>
    <w:rsid w:val="005B15CC"/>
    <w:rsid w:val="005B15FA"/>
    <w:rsid w:val="005B1811"/>
    <w:rsid w:val="005B1C36"/>
    <w:rsid w:val="005B1D46"/>
    <w:rsid w:val="005B1E97"/>
    <w:rsid w:val="005B1F91"/>
    <w:rsid w:val="005B20CF"/>
    <w:rsid w:val="005B2213"/>
    <w:rsid w:val="005B235C"/>
    <w:rsid w:val="005B255D"/>
    <w:rsid w:val="005B2590"/>
    <w:rsid w:val="005B293D"/>
    <w:rsid w:val="005B2A59"/>
    <w:rsid w:val="005B2AFE"/>
    <w:rsid w:val="005B2CE4"/>
    <w:rsid w:val="005B2D62"/>
    <w:rsid w:val="005B2E82"/>
    <w:rsid w:val="005B2E83"/>
    <w:rsid w:val="005B2EEF"/>
    <w:rsid w:val="005B2F74"/>
    <w:rsid w:val="005B3184"/>
    <w:rsid w:val="005B362E"/>
    <w:rsid w:val="005B3811"/>
    <w:rsid w:val="005B38B1"/>
    <w:rsid w:val="005B3A84"/>
    <w:rsid w:val="005B3BB2"/>
    <w:rsid w:val="005B3D72"/>
    <w:rsid w:val="005B4075"/>
    <w:rsid w:val="005B4312"/>
    <w:rsid w:val="005B4404"/>
    <w:rsid w:val="005B47F9"/>
    <w:rsid w:val="005B4896"/>
    <w:rsid w:val="005B49DA"/>
    <w:rsid w:val="005B4EDF"/>
    <w:rsid w:val="005B4F17"/>
    <w:rsid w:val="005B526A"/>
    <w:rsid w:val="005B5487"/>
    <w:rsid w:val="005B554A"/>
    <w:rsid w:val="005B5568"/>
    <w:rsid w:val="005B5764"/>
    <w:rsid w:val="005B590F"/>
    <w:rsid w:val="005B5978"/>
    <w:rsid w:val="005B597D"/>
    <w:rsid w:val="005B60C6"/>
    <w:rsid w:val="005B62F7"/>
    <w:rsid w:val="005B63EC"/>
    <w:rsid w:val="005B641B"/>
    <w:rsid w:val="005B643D"/>
    <w:rsid w:val="005B6588"/>
    <w:rsid w:val="005B6827"/>
    <w:rsid w:val="005B6C19"/>
    <w:rsid w:val="005B6D05"/>
    <w:rsid w:val="005B6E6E"/>
    <w:rsid w:val="005B7368"/>
    <w:rsid w:val="005B7A2C"/>
    <w:rsid w:val="005B7A33"/>
    <w:rsid w:val="005B7F9C"/>
    <w:rsid w:val="005C01C5"/>
    <w:rsid w:val="005C01FA"/>
    <w:rsid w:val="005C0215"/>
    <w:rsid w:val="005C02C6"/>
    <w:rsid w:val="005C02EB"/>
    <w:rsid w:val="005C0309"/>
    <w:rsid w:val="005C062E"/>
    <w:rsid w:val="005C0A9F"/>
    <w:rsid w:val="005C0F44"/>
    <w:rsid w:val="005C0F55"/>
    <w:rsid w:val="005C14D4"/>
    <w:rsid w:val="005C163D"/>
    <w:rsid w:val="005C167F"/>
    <w:rsid w:val="005C16D3"/>
    <w:rsid w:val="005C18FD"/>
    <w:rsid w:val="005C19EE"/>
    <w:rsid w:val="005C1F7D"/>
    <w:rsid w:val="005C2089"/>
    <w:rsid w:val="005C209F"/>
    <w:rsid w:val="005C20B5"/>
    <w:rsid w:val="005C22CE"/>
    <w:rsid w:val="005C2362"/>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04"/>
    <w:rsid w:val="005C3CD7"/>
    <w:rsid w:val="005C3D26"/>
    <w:rsid w:val="005C4257"/>
    <w:rsid w:val="005C4312"/>
    <w:rsid w:val="005C438E"/>
    <w:rsid w:val="005C45AD"/>
    <w:rsid w:val="005C47B7"/>
    <w:rsid w:val="005C4C4C"/>
    <w:rsid w:val="005C4CA6"/>
    <w:rsid w:val="005C4DBF"/>
    <w:rsid w:val="005C4E57"/>
    <w:rsid w:val="005C4F91"/>
    <w:rsid w:val="005C50DA"/>
    <w:rsid w:val="005C533F"/>
    <w:rsid w:val="005C5361"/>
    <w:rsid w:val="005C539F"/>
    <w:rsid w:val="005C58CE"/>
    <w:rsid w:val="005C59DC"/>
    <w:rsid w:val="005C5B37"/>
    <w:rsid w:val="005C5C8C"/>
    <w:rsid w:val="005C5DE5"/>
    <w:rsid w:val="005C61C9"/>
    <w:rsid w:val="005C61DC"/>
    <w:rsid w:val="005C62D7"/>
    <w:rsid w:val="005C635E"/>
    <w:rsid w:val="005C6705"/>
    <w:rsid w:val="005C6774"/>
    <w:rsid w:val="005C688C"/>
    <w:rsid w:val="005C68E6"/>
    <w:rsid w:val="005C69AF"/>
    <w:rsid w:val="005C6E7E"/>
    <w:rsid w:val="005C71DE"/>
    <w:rsid w:val="005C74C7"/>
    <w:rsid w:val="005C7548"/>
    <w:rsid w:val="005C77D1"/>
    <w:rsid w:val="005C7AD6"/>
    <w:rsid w:val="005C7D05"/>
    <w:rsid w:val="005C7D65"/>
    <w:rsid w:val="005C7F8C"/>
    <w:rsid w:val="005D0357"/>
    <w:rsid w:val="005D035F"/>
    <w:rsid w:val="005D0407"/>
    <w:rsid w:val="005D0458"/>
    <w:rsid w:val="005D053A"/>
    <w:rsid w:val="005D064A"/>
    <w:rsid w:val="005D06E9"/>
    <w:rsid w:val="005D075F"/>
    <w:rsid w:val="005D08E3"/>
    <w:rsid w:val="005D0B85"/>
    <w:rsid w:val="005D0BF7"/>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06E"/>
    <w:rsid w:val="005D211C"/>
    <w:rsid w:val="005D2120"/>
    <w:rsid w:val="005D2262"/>
    <w:rsid w:val="005D22D4"/>
    <w:rsid w:val="005D258E"/>
    <w:rsid w:val="005D2649"/>
    <w:rsid w:val="005D2773"/>
    <w:rsid w:val="005D2783"/>
    <w:rsid w:val="005D2814"/>
    <w:rsid w:val="005D28FF"/>
    <w:rsid w:val="005D2B82"/>
    <w:rsid w:val="005D2BB2"/>
    <w:rsid w:val="005D2C6F"/>
    <w:rsid w:val="005D310F"/>
    <w:rsid w:val="005D338E"/>
    <w:rsid w:val="005D34F4"/>
    <w:rsid w:val="005D3637"/>
    <w:rsid w:val="005D36A1"/>
    <w:rsid w:val="005D36C1"/>
    <w:rsid w:val="005D3761"/>
    <w:rsid w:val="005D3938"/>
    <w:rsid w:val="005D3BBB"/>
    <w:rsid w:val="005D3EBB"/>
    <w:rsid w:val="005D3F63"/>
    <w:rsid w:val="005D3FB2"/>
    <w:rsid w:val="005D41F0"/>
    <w:rsid w:val="005D4772"/>
    <w:rsid w:val="005D48DD"/>
    <w:rsid w:val="005D4916"/>
    <w:rsid w:val="005D49E8"/>
    <w:rsid w:val="005D4A57"/>
    <w:rsid w:val="005D4AAB"/>
    <w:rsid w:val="005D4F0A"/>
    <w:rsid w:val="005D5013"/>
    <w:rsid w:val="005D509B"/>
    <w:rsid w:val="005D5290"/>
    <w:rsid w:val="005D5597"/>
    <w:rsid w:val="005D5724"/>
    <w:rsid w:val="005D578C"/>
    <w:rsid w:val="005D5EEE"/>
    <w:rsid w:val="005D6180"/>
    <w:rsid w:val="005D618E"/>
    <w:rsid w:val="005D6351"/>
    <w:rsid w:val="005D6406"/>
    <w:rsid w:val="005D6479"/>
    <w:rsid w:val="005D64B9"/>
    <w:rsid w:val="005D6649"/>
    <w:rsid w:val="005D699E"/>
    <w:rsid w:val="005D6DA3"/>
    <w:rsid w:val="005D6EF0"/>
    <w:rsid w:val="005D6F1F"/>
    <w:rsid w:val="005D7073"/>
    <w:rsid w:val="005D74DD"/>
    <w:rsid w:val="005D7930"/>
    <w:rsid w:val="005D7A87"/>
    <w:rsid w:val="005D7C06"/>
    <w:rsid w:val="005D7CE3"/>
    <w:rsid w:val="005D7DC7"/>
    <w:rsid w:val="005D7E48"/>
    <w:rsid w:val="005D7EEF"/>
    <w:rsid w:val="005D7F65"/>
    <w:rsid w:val="005E0017"/>
    <w:rsid w:val="005E015E"/>
    <w:rsid w:val="005E0206"/>
    <w:rsid w:val="005E029E"/>
    <w:rsid w:val="005E0393"/>
    <w:rsid w:val="005E0450"/>
    <w:rsid w:val="005E04B6"/>
    <w:rsid w:val="005E0531"/>
    <w:rsid w:val="005E058E"/>
    <w:rsid w:val="005E071A"/>
    <w:rsid w:val="005E07F4"/>
    <w:rsid w:val="005E0A94"/>
    <w:rsid w:val="005E0AC7"/>
    <w:rsid w:val="005E0B0F"/>
    <w:rsid w:val="005E0B7F"/>
    <w:rsid w:val="005E0BF6"/>
    <w:rsid w:val="005E0E21"/>
    <w:rsid w:val="005E0FBE"/>
    <w:rsid w:val="005E126D"/>
    <w:rsid w:val="005E1368"/>
    <w:rsid w:val="005E13ED"/>
    <w:rsid w:val="005E1684"/>
    <w:rsid w:val="005E1748"/>
    <w:rsid w:val="005E1783"/>
    <w:rsid w:val="005E183D"/>
    <w:rsid w:val="005E18A9"/>
    <w:rsid w:val="005E1A12"/>
    <w:rsid w:val="005E1C29"/>
    <w:rsid w:val="005E1C2B"/>
    <w:rsid w:val="005E1C6A"/>
    <w:rsid w:val="005E1ED4"/>
    <w:rsid w:val="005E1F28"/>
    <w:rsid w:val="005E20B3"/>
    <w:rsid w:val="005E2135"/>
    <w:rsid w:val="005E2183"/>
    <w:rsid w:val="005E22E9"/>
    <w:rsid w:val="005E263F"/>
    <w:rsid w:val="005E271A"/>
    <w:rsid w:val="005E278D"/>
    <w:rsid w:val="005E27FF"/>
    <w:rsid w:val="005E280A"/>
    <w:rsid w:val="005E2920"/>
    <w:rsid w:val="005E2B29"/>
    <w:rsid w:val="005E2CD5"/>
    <w:rsid w:val="005E2D0F"/>
    <w:rsid w:val="005E2DDB"/>
    <w:rsid w:val="005E2F7B"/>
    <w:rsid w:val="005E3022"/>
    <w:rsid w:val="005E3069"/>
    <w:rsid w:val="005E30E9"/>
    <w:rsid w:val="005E3715"/>
    <w:rsid w:val="005E37B0"/>
    <w:rsid w:val="005E388E"/>
    <w:rsid w:val="005E3EC9"/>
    <w:rsid w:val="005E3F53"/>
    <w:rsid w:val="005E400E"/>
    <w:rsid w:val="005E405D"/>
    <w:rsid w:val="005E40B9"/>
    <w:rsid w:val="005E422E"/>
    <w:rsid w:val="005E4274"/>
    <w:rsid w:val="005E42C5"/>
    <w:rsid w:val="005E42EC"/>
    <w:rsid w:val="005E4425"/>
    <w:rsid w:val="005E445C"/>
    <w:rsid w:val="005E4692"/>
    <w:rsid w:val="005E46FC"/>
    <w:rsid w:val="005E4720"/>
    <w:rsid w:val="005E489E"/>
    <w:rsid w:val="005E48F1"/>
    <w:rsid w:val="005E4C2E"/>
    <w:rsid w:val="005E4D9C"/>
    <w:rsid w:val="005E4DB0"/>
    <w:rsid w:val="005E5216"/>
    <w:rsid w:val="005E522C"/>
    <w:rsid w:val="005E5412"/>
    <w:rsid w:val="005E5449"/>
    <w:rsid w:val="005E5567"/>
    <w:rsid w:val="005E5754"/>
    <w:rsid w:val="005E5755"/>
    <w:rsid w:val="005E57AA"/>
    <w:rsid w:val="005E59E0"/>
    <w:rsid w:val="005E5BAE"/>
    <w:rsid w:val="005E5DCB"/>
    <w:rsid w:val="005E5E58"/>
    <w:rsid w:val="005E5EB7"/>
    <w:rsid w:val="005E5F26"/>
    <w:rsid w:val="005E6058"/>
    <w:rsid w:val="005E621C"/>
    <w:rsid w:val="005E62A6"/>
    <w:rsid w:val="005E677A"/>
    <w:rsid w:val="005E69DE"/>
    <w:rsid w:val="005E6B28"/>
    <w:rsid w:val="005E6B34"/>
    <w:rsid w:val="005E70B6"/>
    <w:rsid w:val="005E715F"/>
    <w:rsid w:val="005E726B"/>
    <w:rsid w:val="005E7285"/>
    <w:rsid w:val="005E729B"/>
    <w:rsid w:val="005E7477"/>
    <w:rsid w:val="005E76ED"/>
    <w:rsid w:val="005E78F9"/>
    <w:rsid w:val="005E7A41"/>
    <w:rsid w:val="005E7AC1"/>
    <w:rsid w:val="005E7C75"/>
    <w:rsid w:val="005E7E9E"/>
    <w:rsid w:val="005E7F2F"/>
    <w:rsid w:val="005E7F96"/>
    <w:rsid w:val="005F00D2"/>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2C"/>
    <w:rsid w:val="005F2AF1"/>
    <w:rsid w:val="005F2B4F"/>
    <w:rsid w:val="005F2C48"/>
    <w:rsid w:val="005F2E72"/>
    <w:rsid w:val="005F2E8C"/>
    <w:rsid w:val="005F2FE8"/>
    <w:rsid w:val="005F3063"/>
    <w:rsid w:val="005F315D"/>
    <w:rsid w:val="005F330D"/>
    <w:rsid w:val="005F33AB"/>
    <w:rsid w:val="005F33D5"/>
    <w:rsid w:val="005F3848"/>
    <w:rsid w:val="005F3874"/>
    <w:rsid w:val="005F397B"/>
    <w:rsid w:val="005F3C30"/>
    <w:rsid w:val="005F3D99"/>
    <w:rsid w:val="005F3EB4"/>
    <w:rsid w:val="005F4BFA"/>
    <w:rsid w:val="005F5321"/>
    <w:rsid w:val="005F53B1"/>
    <w:rsid w:val="005F544B"/>
    <w:rsid w:val="005F5686"/>
    <w:rsid w:val="005F57C2"/>
    <w:rsid w:val="005F57E9"/>
    <w:rsid w:val="005F58D2"/>
    <w:rsid w:val="005F595C"/>
    <w:rsid w:val="005F5C64"/>
    <w:rsid w:val="005F5E1D"/>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A6A"/>
    <w:rsid w:val="005F7AC4"/>
    <w:rsid w:val="005F7C0A"/>
    <w:rsid w:val="005F7D21"/>
    <w:rsid w:val="005F7DB7"/>
    <w:rsid w:val="005F7F8A"/>
    <w:rsid w:val="006000EF"/>
    <w:rsid w:val="006002A5"/>
    <w:rsid w:val="006002EA"/>
    <w:rsid w:val="00600310"/>
    <w:rsid w:val="006004A1"/>
    <w:rsid w:val="006004BE"/>
    <w:rsid w:val="006004C7"/>
    <w:rsid w:val="006005A2"/>
    <w:rsid w:val="006006C1"/>
    <w:rsid w:val="0060071E"/>
    <w:rsid w:val="00600852"/>
    <w:rsid w:val="00600975"/>
    <w:rsid w:val="00600AE2"/>
    <w:rsid w:val="00600C15"/>
    <w:rsid w:val="00600C2A"/>
    <w:rsid w:val="00600E05"/>
    <w:rsid w:val="0060108A"/>
    <w:rsid w:val="006011BC"/>
    <w:rsid w:val="006014A0"/>
    <w:rsid w:val="006014A3"/>
    <w:rsid w:val="0060152E"/>
    <w:rsid w:val="00601594"/>
    <w:rsid w:val="006018DB"/>
    <w:rsid w:val="0060193E"/>
    <w:rsid w:val="00601BD3"/>
    <w:rsid w:val="00601EE0"/>
    <w:rsid w:val="00601F60"/>
    <w:rsid w:val="0060225F"/>
    <w:rsid w:val="0060253F"/>
    <w:rsid w:val="006025C1"/>
    <w:rsid w:val="00602D3D"/>
    <w:rsid w:val="00602DFB"/>
    <w:rsid w:val="00602E65"/>
    <w:rsid w:val="00602F6F"/>
    <w:rsid w:val="006030A4"/>
    <w:rsid w:val="0060329D"/>
    <w:rsid w:val="006032B3"/>
    <w:rsid w:val="0060373C"/>
    <w:rsid w:val="00603883"/>
    <w:rsid w:val="00603938"/>
    <w:rsid w:val="00603ADC"/>
    <w:rsid w:val="00603BFE"/>
    <w:rsid w:val="00603DFC"/>
    <w:rsid w:val="006042AF"/>
    <w:rsid w:val="00604429"/>
    <w:rsid w:val="00604494"/>
    <w:rsid w:val="006044D1"/>
    <w:rsid w:val="00604518"/>
    <w:rsid w:val="006045B8"/>
    <w:rsid w:val="0060464F"/>
    <w:rsid w:val="0060477F"/>
    <w:rsid w:val="006049DC"/>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B59"/>
    <w:rsid w:val="00605C42"/>
    <w:rsid w:val="00605C71"/>
    <w:rsid w:val="00605D01"/>
    <w:rsid w:val="00605D88"/>
    <w:rsid w:val="00605DD9"/>
    <w:rsid w:val="00605E3D"/>
    <w:rsid w:val="00605E83"/>
    <w:rsid w:val="0060607C"/>
    <w:rsid w:val="00606193"/>
    <w:rsid w:val="006062B7"/>
    <w:rsid w:val="0060638F"/>
    <w:rsid w:val="00606558"/>
    <w:rsid w:val="0060694C"/>
    <w:rsid w:val="00606982"/>
    <w:rsid w:val="00606993"/>
    <w:rsid w:val="00606ACD"/>
    <w:rsid w:val="00606B23"/>
    <w:rsid w:val="00606B74"/>
    <w:rsid w:val="00606BC1"/>
    <w:rsid w:val="00606CC5"/>
    <w:rsid w:val="00606D68"/>
    <w:rsid w:val="00606DC2"/>
    <w:rsid w:val="00606FFF"/>
    <w:rsid w:val="0060707E"/>
    <w:rsid w:val="006071B2"/>
    <w:rsid w:val="0060723C"/>
    <w:rsid w:val="00607414"/>
    <w:rsid w:val="0060745C"/>
    <w:rsid w:val="006074A3"/>
    <w:rsid w:val="0060759E"/>
    <w:rsid w:val="006076E8"/>
    <w:rsid w:val="00607820"/>
    <w:rsid w:val="00607CA6"/>
    <w:rsid w:val="00607CBD"/>
    <w:rsid w:val="00607F1E"/>
    <w:rsid w:val="00607FE8"/>
    <w:rsid w:val="006101BA"/>
    <w:rsid w:val="0061026B"/>
    <w:rsid w:val="006102E0"/>
    <w:rsid w:val="0061044C"/>
    <w:rsid w:val="00610615"/>
    <w:rsid w:val="00610664"/>
    <w:rsid w:val="0061066E"/>
    <w:rsid w:val="006106A9"/>
    <w:rsid w:val="006106C9"/>
    <w:rsid w:val="006108DA"/>
    <w:rsid w:val="00610E9A"/>
    <w:rsid w:val="00610EF6"/>
    <w:rsid w:val="0061121A"/>
    <w:rsid w:val="006112A9"/>
    <w:rsid w:val="00611401"/>
    <w:rsid w:val="006115B1"/>
    <w:rsid w:val="00611650"/>
    <w:rsid w:val="00611780"/>
    <w:rsid w:val="00611803"/>
    <w:rsid w:val="00611878"/>
    <w:rsid w:val="006118C3"/>
    <w:rsid w:val="006121FF"/>
    <w:rsid w:val="0061221E"/>
    <w:rsid w:val="00612291"/>
    <w:rsid w:val="006126CD"/>
    <w:rsid w:val="006126D3"/>
    <w:rsid w:val="006128D5"/>
    <w:rsid w:val="00612A65"/>
    <w:rsid w:val="00612CFC"/>
    <w:rsid w:val="00612D46"/>
    <w:rsid w:val="00612E0F"/>
    <w:rsid w:val="00612E6C"/>
    <w:rsid w:val="00613158"/>
    <w:rsid w:val="00613362"/>
    <w:rsid w:val="00613441"/>
    <w:rsid w:val="0061354C"/>
    <w:rsid w:val="0061358A"/>
    <w:rsid w:val="006137CF"/>
    <w:rsid w:val="00613D04"/>
    <w:rsid w:val="00614258"/>
    <w:rsid w:val="006142D6"/>
    <w:rsid w:val="0061445A"/>
    <w:rsid w:val="0061448C"/>
    <w:rsid w:val="006144D5"/>
    <w:rsid w:val="00614597"/>
    <w:rsid w:val="006146D9"/>
    <w:rsid w:val="006146DB"/>
    <w:rsid w:val="006146E4"/>
    <w:rsid w:val="00614A15"/>
    <w:rsid w:val="00614A8D"/>
    <w:rsid w:val="00614AFC"/>
    <w:rsid w:val="00614B1B"/>
    <w:rsid w:val="00614B74"/>
    <w:rsid w:val="00614DE2"/>
    <w:rsid w:val="00614F68"/>
    <w:rsid w:val="006150B0"/>
    <w:rsid w:val="006151BA"/>
    <w:rsid w:val="0061573D"/>
    <w:rsid w:val="00615760"/>
    <w:rsid w:val="006159E7"/>
    <w:rsid w:val="00615DF2"/>
    <w:rsid w:val="00615F78"/>
    <w:rsid w:val="0061611D"/>
    <w:rsid w:val="00616144"/>
    <w:rsid w:val="0061620B"/>
    <w:rsid w:val="0061630F"/>
    <w:rsid w:val="006163A6"/>
    <w:rsid w:val="00616B9B"/>
    <w:rsid w:val="00616E5F"/>
    <w:rsid w:val="00616E62"/>
    <w:rsid w:val="00617087"/>
    <w:rsid w:val="0061719A"/>
    <w:rsid w:val="0061729C"/>
    <w:rsid w:val="00617A80"/>
    <w:rsid w:val="00617DF3"/>
    <w:rsid w:val="006203C9"/>
    <w:rsid w:val="006204BB"/>
    <w:rsid w:val="00620562"/>
    <w:rsid w:val="0062066A"/>
    <w:rsid w:val="00620CF8"/>
    <w:rsid w:val="00620D42"/>
    <w:rsid w:val="00620D64"/>
    <w:rsid w:val="00620F4B"/>
    <w:rsid w:val="00620F76"/>
    <w:rsid w:val="00621074"/>
    <w:rsid w:val="006217C7"/>
    <w:rsid w:val="00621801"/>
    <w:rsid w:val="006219A4"/>
    <w:rsid w:val="006219D9"/>
    <w:rsid w:val="00621A87"/>
    <w:rsid w:val="006220E1"/>
    <w:rsid w:val="0062234B"/>
    <w:rsid w:val="006223DA"/>
    <w:rsid w:val="00622773"/>
    <w:rsid w:val="00622814"/>
    <w:rsid w:val="0062283A"/>
    <w:rsid w:val="00622DA8"/>
    <w:rsid w:val="00622ED2"/>
    <w:rsid w:val="006230C4"/>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BE9"/>
    <w:rsid w:val="00624C0F"/>
    <w:rsid w:val="00624D54"/>
    <w:rsid w:val="006254E6"/>
    <w:rsid w:val="00625555"/>
    <w:rsid w:val="006257B1"/>
    <w:rsid w:val="00625A16"/>
    <w:rsid w:val="00625C82"/>
    <w:rsid w:val="00625F47"/>
    <w:rsid w:val="0062619C"/>
    <w:rsid w:val="006261A6"/>
    <w:rsid w:val="006264B4"/>
    <w:rsid w:val="00626560"/>
    <w:rsid w:val="0062680F"/>
    <w:rsid w:val="00626BB6"/>
    <w:rsid w:val="00626BB9"/>
    <w:rsid w:val="00626CBF"/>
    <w:rsid w:val="006270DF"/>
    <w:rsid w:val="0062716B"/>
    <w:rsid w:val="00627328"/>
    <w:rsid w:val="0062737C"/>
    <w:rsid w:val="006273A2"/>
    <w:rsid w:val="00627448"/>
    <w:rsid w:val="006274CB"/>
    <w:rsid w:val="00627859"/>
    <w:rsid w:val="00627986"/>
    <w:rsid w:val="00627A0C"/>
    <w:rsid w:val="00627A39"/>
    <w:rsid w:val="00627BD6"/>
    <w:rsid w:val="00630022"/>
    <w:rsid w:val="0063018E"/>
    <w:rsid w:val="00630243"/>
    <w:rsid w:val="00630275"/>
    <w:rsid w:val="00630389"/>
    <w:rsid w:val="00630447"/>
    <w:rsid w:val="00630526"/>
    <w:rsid w:val="0063058F"/>
    <w:rsid w:val="00630691"/>
    <w:rsid w:val="00630703"/>
    <w:rsid w:val="0063073E"/>
    <w:rsid w:val="006307D1"/>
    <w:rsid w:val="00630820"/>
    <w:rsid w:val="00630868"/>
    <w:rsid w:val="006309B7"/>
    <w:rsid w:val="00630BBE"/>
    <w:rsid w:val="00631405"/>
    <w:rsid w:val="00631636"/>
    <w:rsid w:val="00631709"/>
    <w:rsid w:val="006317C4"/>
    <w:rsid w:val="00631887"/>
    <w:rsid w:val="00631896"/>
    <w:rsid w:val="006318C2"/>
    <w:rsid w:val="006318F5"/>
    <w:rsid w:val="00631A27"/>
    <w:rsid w:val="00631AE2"/>
    <w:rsid w:val="00631BA1"/>
    <w:rsid w:val="00631D22"/>
    <w:rsid w:val="00631DD9"/>
    <w:rsid w:val="00631FB0"/>
    <w:rsid w:val="006320D2"/>
    <w:rsid w:val="006321D1"/>
    <w:rsid w:val="0063223E"/>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CC2"/>
    <w:rsid w:val="00633DC4"/>
    <w:rsid w:val="00633E00"/>
    <w:rsid w:val="00633F03"/>
    <w:rsid w:val="00634247"/>
    <w:rsid w:val="006343F3"/>
    <w:rsid w:val="00634667"/>
    <w:rsid w:val="00634955"/>
    <w:rsid w:val="00634E66"/>
    <w:rsid w:val="00634FBF"/>
    <w:rsid w:val="006350CF"/>
    <w:rsid w:val="0063591F"/>
    <w:rsid w:val="0063595A"/>
    <w:rsid w:val="0063596F"/>
    <w:rsid w:val="00635D95"/>
    <w:rsid w:val="00635E2C"/>
    <w:rsid w:val="00635E73"/>
    <w:rsid w:val="006363C6"/>
    <w:rsid w:val="006364AC"/>
    <w:rsid w:val="006364BF"/>
    <w:rsid w:val="00636579"/>
    <w:rsid w:val="006366A8"/>
    <w:rsid w:val="006367B5"/>
    <w:rsid w:val="00636866"/>
    <w:rsid w:val="00636A16"/>
    <w:rsid w:val="00637176"/>
    <w:rsid w:val="006371AF"/>
    <w:rsid w:val="0063722B"/>
    <w:rsid w:val="00637364"/>
    <w:rsid w:val="00637769"/>
    <w:rsid w:val="00637877"/>
    <w:rsid w:val="0063787B"/>
    <w:rsid w:val="00637C67"/>
    <w:rsid w:val="00637DBD"/>
    <w:rsid w:val="00637E9A"/>
    <w:rsid w:val="00640030"/>
    <w:rsid w:val="00640469"/>
    <w:rsid w:val="0064060A"/>
    <w:rsid w:val="00640AFB"/>
    <w:rsid w:val="00640E37"/>
    <w:rsid w:val="00640F70"/>
    <w:rsid w:val="006410EA"/>
    <w:rsid w:val="006411F3"/>
    <w:rsid w:val="00641954"/>
    <w:rsid w:val="00641ABE"/>
    <w:rsid w:val="00641B56"/>
    <w:rsid w:val="00641D0E"/>
    <w:rsid w:val="00641D37"/>
    <w:rsid w:val="00641D72"/>
    <w:rsid w:val="00641DDD"/>
    <w:rsid w:val="00642084"/>
    <w:rsid w:val="006421CF"/>
    <w:rsid w:val="006422F6"/>
    <w:rsid w:val="0064246E"/>
    <w:rsid w:val="0064279F"/>
    <w:rsid w:val="00642877"/>
    <w:rsid w:val="00642B50"/>
    <w:rsid w:val="00642BA0"/>
    <w:rsid w:val="00642FAC"/>
    <w:rsid w:val="00643605"/>
    <w:rsid w:val="0064382E"/>
    <w:rsid w:val="006439F2"/>
    <w:rsid w:val="00643E4F"/>
    <w:rsid w:val="00643FFE"/>
    <w:rsid w:val="006441F7"/>
    <w:rsid w:val="00644470"/>
    <w:rsid w:val="00644484"/>
    <w:rsid w:val="00644650"/>
    <w:rsid w:val="00644855"/>
    <w:rsid w:val="00644946"/>
    <w:rsid w:val="006449FC"/>
    <w:rsid w:val="00644BB3"/>
    <w:rsid w:val="00644E75"/>
    <w:rsid w:val="006451B3"/>
    <w:rsid w:val="006451C1"/>
    <w:rsid w:val="006454B6"/>
    <w:rsid w:val="006456A7"/>
    <w:rsid w:val="006456C2"/>
    <w:rsid w:val="00645701"/>
    <w:rsid w:val="00645823"/>
    <w:rsid w:val="006458F0"/>
    <w:rsid w:val="00645940"/>
    <w:rsid w:val="00645C02"/>
    <w:rsid w:val="00645E77"/>
    <w:rsid w:val="0064605F"/>
    <w:rsid w:val="00646292"/>
    <w:rsid w:val="00646507"/>
    <w:rsid w:val="0064670A"/>
    <w:rsid w:val="0064671B"/>
    <w:rsid w:val="00646889"/>
    <w:rsid w:val="00646B9D"/>
    <w:rsid w:val="00646C70"/>
    <w:rsid w:val="00646CF5"/>
    <w:rsid w:val="00646D9A"/>
    <w:rsid w:val="00646F86"/>
    <w:rsid w:val="00647294"/>
    <w:rsid w:val="0064729C"/>
    <w:rsid w:val="006472EB"/>
    <w:rsid w:val="00647300"/>
    <w:rsid w:val="00647469"/>
    <w:rsid w:val="006474FD"/>
    <w:rsid w:val="0064769C"/>
    <w:rsid w:val="00647861"/>
    <w:rsid w:val="00647AB8"/>
    <w:rsid w:val="00647FD8"/>
    <w:rsid w:val="006503F1"/>
    <w:rsid w:val="00650501"/>
    <w:rsid w:val="006505E9"/>
    <w:rsid w:val="0065079E"/>
    <w:rsid w:val="006507D1"/>
    <w:rsid w:val="00650B45"/>
    <w:rsid w:val="00650CC7"/>
    <w:rsid w:val="00650D7D"/>
    <w:rsid w:val="00651739"/>
    <w:rsid w:val="006517E0"/>
    <w:rsid w:val="006518F2"/>
    <w:rsid w:val="00651AD6"/>
    <w:rsid w:val="00652217"/>
    <w:rsid w:val="00652373"/>
    <w:rsid w:val="00652389"/>
    <w:rsid w:val="006524B7"/>
    <w:rsid w:val="006525FB"/>
    <w:rsid w:val="0065265E"/>
    <w:rsid w:val="006528A9"/>
    <w:rsid w:val="00652D47"/>
    <w:rsid w:val="00652DB6"/>
    <w:rsid w:val="00652EAC"/>
    <w:rsid w:val="006530A8"/>
    <w:rsid w:val="006535D0"/>
    <w:rsid w:val="006536D1"/>
    <w:rsid w:val="006537E8"/>
    <w:rsid w:val="006538A8"/>
    <w:rsid w:val="00653A4C"/>
    <w:rsid w:val="00653A61"/>
    <w:rsid w:val="00653C46"/>
    <w:rsid w:val="00653EE8"/>
    <w:rsid w:val="006542A1"/>
    <w:rsid w:val="006542C8"/>
    <w:rsid w:val="006542D9"/>
    <w:rsid w:val="006544B1"/>
    <w:rsid w:val="006545DA"/>
    <w:rsid w:val="006546DE"/>
    <w:rsid w:val="0065498A"/>
    <w:rsid w:val="0065499F"/>
    <w:rsid w:val="00654B0E"/>
    <w:rsid w:val="00654BB0"/>
    <w:rsid w:val="00654C4B"/>
    <w:rsid w:val="00655123"/>
    <w:rsid w:val="00655457"/>
    <w:rsid w:val="0065566F"/>
    <w:rsid w:val="00655774"/>
    <w:rsid w:val="006558E1"/>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88B"/>
    <w:rsid w:val="00657E44"/>
    <w:rsid w:val="0066002C"/>
    <w:rsid w:val="006602D4"/>
    <w:rsid w:val="00660366"/>
    <w:rsid w:val="00660379"/>
    <w:rsid w:val="00660409"/>
    <w:rsid w:val="006605F4"/>
    <w:rsid w:val="00660616"/>
    <w:rsid w:val="006606EA"/>
    <w:rsid w:val="0066079E"/>
    <w:rsid w:val="00660836"/>
    <w:rsid w:val="00660953"/>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1E90"/>
    <w:rsid w:val="00662218"/>
    <w:rsid w:val="0066233A"/>
    <w:rsid w:val="00662392"/>
    <w:rsid w:val="00662523"/>
    <w:rsid w:val="00662670"/>
    <w:rsid w:val="0066293B"/>
    <w:rsid w:val="00662B22"/>
    <w:rsid w:val="00662C9D"/>
    <w:rsid w:val="006630F0"/>
    <w:rsid w:val="006632DC"/>
    <w:rsid w:val="00663321"/>
    <w:rsid w:val="006634E6"/>
    <w:rsid w:val="0066352E"/>
    <w:rsid w:val="0066373C"/>
    <w:rsid w:val="00663769"/>
    <w:rsid w:val="00663956"/>
    <w:rsid w:val="00663BF6"/>
    <w:rsid w:val="00663E1D"/>
    <w:rsid w:val="00664014"/>
    <w:rsid w:val="00664347"/>
    <w:rsid w:val="006644D3"/>
    <w:rsid w:val="006645F6"/>
    <w:rsid w:val="00664898"/>
    <w:rsid w:val="0066489E"/>
    <w:rsid w:val="006648A1"/>
    <w:rsid w:val="006649D7"/>
    <w:rsid w:val="00664A18"/>
    <w:rsid w:val="00664DFF"/>
    <w:rsid w:val="00664ED3"/>
    <w:rsid w:val="006650A0"/>
    <w:rsid w:val="00665453"/>
    <w:rsid w:val="006655E3"/>
    <w:rsid w:val="006655F8"/>
    <w:rsid w:val="006656F9"/>
    <w:rsid w:val="0066593C"/>
    <w:rsid w:val="006659D1"/>
    <w:rsid w:val="00665B5E"/>
    <w:rsid w:val="00665C56"/>
    <w:rsid w:val="00665CD4"/>
    <w:rsid w:val="00665D69"/>
    <w:rsid w:val="00665F6E"/>
    <w:rsid w:val="006663D5"/>
    <w:rsid w:val="00666460"/>
    <w:rsid w:val="00666591"/>
    <w:rsid w:val="0066665B"/>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67FA9"/>
    <w:rsid w:val="00670022"/>
    <w:rsid w:val="006700AD"/>
    <w:rsid w:val="00670117"/>
    <w:rsid w:val="006702F8"/>
    <w:rsid w:val="006703BC"/>
    <w:rsid w:val="00670425"/>
    <w:rsid w:val="0067064A"/>
    <w:rsid w:val="006709D3"/>
    <w:rsid w:val="00670A76"/>
    <w:rsid w:val="00670C76"/>
    <w:rsid w:val="00670CFD"/>
    <w:rsid w:val="00670D79"/>
    <w:rsid w:val="00670E7C"/>
    <w:rsid w:val="006710D8"/>
    <w:rsid w:val="006711F0"/>
    <w:rsid w:val="006712B8"/>
    <w:rsid w:val="006712BE"/>
    <w:rsid w:val="006712C6"/>
    <w:rsid w:val="00671360"/>
    <w:rsid w:val="006713C6"/>
    <w:rsid w:val="0067150B"/>
    <w:rsid w:val="00671966"/>
    <w:rsid w:val="00671969"/>
    <w:rsid w:val="006719B9"/>
    <w:rsid w:val="00671B06"/>
    <w:rsid w:val="00671B7B"/>
    <w:rsid w:val="00671BCE"/>
    <w:rsid w:val="00671C7F"/>
    <w:rsid w:val="00671CCE"/>
    <w:rsid w:val="00671D0D"/>
    <w:rsid w:val="0067209E"/>
    <w:rsid w:val="006725B4"/>
    <w:rsid w:val="00672760"/>
    <w:rsid w:val="00672780"/>
    <w:rsid w:val="00672970"/>
    <w:rsid w:val="006729A5"/>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6C"/>
    <w:rsid w:val="00674FCB"/>
    <w:rsid w:val="00675224"/>
    <w:rsid w:val="006752AA"/>
    <w:rsid w:val="006753C1"/>
    <w:rsid w:val="006753DB"/>
    <w:rsid w:val="0067556D"/>
    <w:rsid w:val="0067560F"/>
    <w:rsid w:val="006758A2"/>
    <w:rsid w:val="006758EC"/>
    <w:rsid w:val="006759A8"/>
    <w:rsid w:val="00675A5A"/>
    <w:rsid w:val="00675AD7"/>
    <w:rsid w:val="00675D17"/>
    <w:rsid w:val="00675D40"/>
    <w:rsid w:val="00675F43"/>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77F7C"/>
    <w:rsid w:val="00680021"/>
    <w:rsid w:val="006800FF"/>
    <w:rsid w:val="0068019F"/>
    <w:rsid w:val="006801DA"/>
    <w:rsid w:val="006807A3"/>
    <w:rsid w:val="00680B07"/>
    <w:rsid w:val="00680D97"/>
    <w:rsid w:val="00680EDD"/>
    <w:rsid w:val="00681290"/>
    <w:rsid w:val="0068143A"/>
    <w:rsid w:val="0068146F"/>
    <w:rsid w:val="0068147B"/>
    <w:rsid w:val="006816CB"/>
    <w:rsid w:val="00681AB4"/>
    <w:rsid w:val="00682573"/>
    <w:rsid w:val="0068269A"/>
    <w:rsid w:val="00682F69"/>
    <w:rsid w:val="00683195"/>
    <w:rsid w:val="006831C9"/>
    <w:rsid w:val="00683239"/>
    <w:rsid w:val="00683359"/>
    <w:rsid w:val="006834AD"/>
    <w:rsid w:val="00683520"/>
    <w:rsid w:val="00683538"/>
    <w:rsid w:val="00683594"/>
    <w:rsid w:val="00683630"/>
    <w:rsid w:val="006837F3"/>
    <w:rsid w:val="00683893"/>
    <w:rsid w:val="0068399F"/>
    <w:rsid w:val="00683A17"/>
    <w:rsid w:val="00683AA5"/>
    <w:rsid w:val="00683B48"/>
    <w:rsid w:val="00683C58"/>
    <w:rsid w:val="00683CCC"/>
    <w:rsid w:val="00683CE4"/>
    <w:rsid w:val="00683DCF"/>
    <w:rsid w:val="00684056"/>
    <w:rsid w:val="0068483F"/>
    <w:rsid w:val="006848CB"/>
    <w:rsid w:val="00684975"/>
    <w:rsid w:val="00684D41"/>
    <w:rsid w:val="00684D52"/>
    <w:rsid w:val="006850A0"/>
    <w:rsid w:val="006853BD"/>
    <w:rsid w:val="00685628"/>
    <w:rsid w:val="006856F6"/>
    <w:rsid w:val="0068575A"/>
    <w:rsid w:val="0068575D"/>
    <w:rsid w:val="00685793"/>
    <w:rsid w:val="006857B6"/>
    <w:rsid w:val="00685832"/>
    <w:rsid w:val="00685B5A"/>
    <w:rsid w:val="00685B81"/>
    <w:rsid w:val="00685D35"/>
    <w:rsid w:val="00685DB2"/>
    <w:rsid w:val="00685FC3"/>
    <w:rsid w:val="006860AB"/>
    <w:rsid w:val="00686195"/>
    <w:rsid w:val="00686369"/>
    <w:rsid w:val="006863E0"/>
    <w:rsid w:val="0068652E"/>
    <w:rsid w:val="00686578"/>
    <w:rsid w:val="00686962"/>
    <w:rsid w:val="006869AA"/>
    <w:rsid w:val="006869EB"/>
    <w:rsid w:val="00686C92"/>
    <w:rsid w:val="00686F47"/>
    <w:rsid w:val="0068706E"/>
    <w:rsid w:val="0068725A"/>
    <w:rsid w:val="006872D8"/>
    <w:rsid w:val="00687370"/>
    <w:rsid w:val="006874F2"/>
    <w:rsid w:val="006876BA"/>
    <w:rsid w:val="00687B18"/>
    <w:rsid w:val="006900AD"/>
    <w:rsid w:val="00690126"/>
    <w:rsid w:val="00690600"/>
    <w:rsid w:val="006906E7"/>
    <w:rsid w:val="006908AC"/>
    <w:rsid w:val="006909EA"/>
    <w:rsid w:val="00690B2A"/>
    <w:rsid w:val="00690C9F"/>
    <w:rsid w:val="00690D24"/>
    <w:rsid w:val="00690EDA"/>
    <w:rsid w:val="00690F3D"/>
    <w:rsid w:val="00690F98"/>
    <w:rsid w:val="00691042"/>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AEF"/>
    <w:rsid w:val="00692C2A"/>
    <w:rsid w:val="00692D2B"/>
    <w:rsid w:val="00692FBD"/>
    <w:rsid w:val="006930E8"/>
    <w:rsid w:val="006932EB"/>
    <w:rsid w:val="0069335C"/>
    <w:rsid w:val="006933DE"/>
    <w:rsid w:val="00693410"/>
    <w:rsid w:val="00693472"/>
    <w:rsid w:val="006939FB"/>
    <w:rsid w:val="00693B38"/>
    <w:rsid w:val="00693F9E"/>
    <w:rsid w:val="00694048"/>
    <w:rsid w:val="00694159"/>
    <w:rsid w:val="006943C5"/>
    <w:rsid w:val="00694627"/>
    <w:rsid w:val="00694A20"/>
    <w:rsid w:val="00694AA6"/>
    <w:rsid w:val="00694B49"/>
    <w:rsid w:val="00694B64"/>
    <w:rsid w:val="00694D70"/>
    <w:rsid w:val="00694E44"/>
    <w:rsid w:val="00694E47"/>
    <w:rsid w:val="00694EC5"/>
    <w:rsid w:val="00695067"/>
    <w:rsid w:val="00695168"/>
    <w:rsid w:val="0069525D"/>
    <w:rsid w:val="006954CD"/>
    <w:rsid w:val="00695537"/>
    <w:rsid w:val="0069576B"/>
    <w:rsid w:val="006957B0"/>
    <w:rsid w:val="006958F6"/>
    <w:rsid w:val="00695B67"/>
    <w:rsid w:val="00695CE9"/>
    <w:rsid w:val="00695D24"/>
    <w:rsid w:val="00695EFE"/>
    <w:rsid w:val="0069602F"/>
    <w:rsid w:val="00696374"/>
    <w:rsid w:val="006965F7"/>
    <w:rsid w:val="00696639"/>
    <w:rsid w:val="006966E4"/>
    <w:rsid w:val="00696709"/>
    <w:rsid w:val="006967C5"/>
    <w:rsid w:val="0069683A"/>
    <w:rsid w:val="006968C1"/>
    <w:rsid w:val="00696B04"/>
    <w:rsid w:val="00696B4E"/>
    <w:rsid w:val="00697029"/>
    <w:rsid w:val="00697598"/>
    <w:rsid w:val="006975A9"/>
    <w:rsid w:val="006975FD"/>
    <w:rsid w:val="006976DD"/>
    <w:rsid w:val="00697703"/>
    <w:rsid w:val="00697C70"/>
    <w:rsid w:val="00697D1A"/>
    <w:rsid w:val="00697DD2"/>
    <w:rsid w:val="006A0105"/>
    <w:rsid w:val="006A0582"/>
    <w:rsid w:val="006A077E"/>
    <w:rsid w:val="006A0791"/>
    <w:rsid w:val="006A08D0"/>
    <w:rsid w:val="006A09A7"/>
    <w:rsid w:val="006A0A36"/>
    <w:rsid w:val="006A0BC3"/>
    <w:rsid w:val="006A0D95"/>
    <w:rsid w:val="006A0DA4"/>
    <w:rsid w:val="006A0DDF"/>
    <w:rsid w:val="006A0E94"/>
    <w:rsid w:val="006A0F76"/>
    <w:rsid w:val="006A0FDB"/>
    <w:rsid w:val="006A100F"/>
    <w:rsid w:val="006A1093"/>
    <w:rsid w:val="006A1133"/>
    <w:rsid w:val="006A1218"/>
    <w:rsid w:val="006A1226"/>
    <w:rsid w:val="006A12B4"/>
    <w:rsid w:val="006A1735"/>
    <w:rsid w:val="006A17CE"/>
    <w:rsid w:val="006A1948"/>
    <w:rsid w:val="006A1F70"/>
    <w:rsid w:val="006A22FF"/>
    <w:rsid w:val="006A23C5"/>
    <w:rsid w:val="006A24B0"/>
    <w:rsid w:val="006A27D9"/>
    <w:rsid w:val="006A28F5"/>
    <w:rsid w:val="006A292D"/>
    <w:rsid w:val="006A2B30"/>
    <w:rsid w:val="006A2B3E"/>
    <w:rsid w:val="006A2B78"/>
    <w:rsid w:val="006A2E54"/>
    <w:rsid w:val="006A2F60"/>
    <w:rsid w:val="006A31F3"/>
    <w:rsid w:val="006A3501"/>
    <w:rsid w:val="006A37B1"/>
    <w:rsid w:val="006A3953"/>
    <w:rsid w:val="006A3ADC"/>
    <w:rsid w:val="006A3DBD"/>
    <w:rsid w:val="006A3E38"/>
    <w:rsid w:val="006A3F30"/>
    <w:rsid w:val="006A46A9"/>
    <w:rsid w:val="006A4765"/>
    <w:rsid w:val="006A4B88"/>
    <w:rsid w:val="006A4C66"/>
    <w:rsid w:val="006A4DBD"/>
    <w:rsid w:val="006A4DD7"/>
    <w:rsid w:val="006A4FDF"/>
    <w:rsid w:val="006A51C2"/>
    <w:rsid w:val="006A52D2"/>
    <w:rsid w:val="006A53FD"/>
    <w:rsid w:val="006A55C6"/>
    <w:rsid w:val="006A581F"/>
    <w:rsid w:val="006A5843"/>
    <w:rsid w:val="006A58E3"/>
    <w:rsid w:val="006A59E1"/>
    <w:rsid w:val="006A5A45"/>
    <w:rsid w:val="006A5A79"/>
    <w:rsid w:val="006A5C7F"/>
    <w:rsid w:val="006A5CBC"/>
    <w:rsid w:val="006A6151"/>
    <w:rsid w:val="006A6304"/>
    <w:rsid w:val="006A657F"/>
    <w:rsid w:val="006A66B9"/>
    <w:rsid w:val="006A66DE"/>
    <w:rsid w:val="006A69DD"/>
    <w:rsid w:val="006A6A5C"/>
    <w:rsid w:val="006A6C1F"/>
    <w:rsid w:val="006A6C2F"/>
    <w:rsid w:val="006A6CAE"/>
    <w:rsid w:val="006A6D4B"/>
    <w:rsid w:val="006A6DD8"/>
    <w:rsid w:val="006A6E11"/>
    <w:rsid w:val="006A6FEC"/>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D6C"/>
    <w:rsid w:val="006B0E52"/>
    <w:rsid w:val="006B0E99"/>
    <w:rsid w:val="006B0F3D"/>
    <w:rsid w:val="006B1333"/>
    <w:rsid w:val="006B1720"/>
    <w:rsid w:val="006B1FC1"/>
    <w:rsid w:val="006B2056"/>
    <w:rsid w:val="006B2083"/>
    <w:rsid w:val="006B216F"/>
    <w:rsid w:val="006B22EF"/>
    <w:rsid w:val="006B26D5"/>
    <w:rsid w:val="006B2728"/>
    <w:rsid w:val="006B2775"/>
    <w:rsid w:val="006B29DE"/>
    <w:rsid w:val="006B2A22"/>
    <w:rsid w:val="006B2C57"/>
    <w:rsid w:val="006B2D09"/>
    <w:rsid w:val="006B2D2B"/>
    <w:rsid w:val="006B2F83"/>
    <w:rsid w:val="006B2FB7"/>
    <w:rsid w:val="006B325F"/>
    <w:rsid w:val="006B328F"/>
    <w:rsid w:val="006B35A7"/>
    <w:rsid w:val="006B3C18"/>
    <w:rsid w:val="006B3E1E"/>
    <w:rsid w:val="006B428E"/>
    <w:rsid w:val="006B42E2"/>
    <w:rsid w:val="006B43D5"/>
    <w:rsid w:val="006B49C0"/>
    <w:rsid w:val="006B4B21"/>
    <w:rsid w:val="006B4B73"/>
    <w:rsid w:val="006B4D24"/>
    <w:rsid w:val="006B4DA4"/>
    <w:rsid w:val="006B4EA9"/>
    <w:rsid w:val="006B4FFA"/>
    <w:rsid w:val="006B5223"/>
    <w:rsid w:val="006B5281"/>
    <w:rsid w:val="006B530D"/>
    <w:rsid w:val="006B54C5"/>
    <w:rsid w:val="006B569F"/>
    <w:rsid w:val="006B572B"/>
    <w:rsid w:val="006B5793"/>
    <w:rsid w:val="006B5843"/>
    <w:rsid w:val="006B5A34"/>
    <w:rsid w:val="006B5AE2"/>
    <w:rsid w:val="006B5BC0"/>
    <w:rsid w:val="006B5BD6"/>
    <w:rsid w:val="006B5C49"/>
    <w:rsid w:val="006B5C87"/>
    <w:rsid w:val="006B6030"/>
    <w:rsid w:val="006B6364"/>
    <w:rsid w:val="006B638F"/>
    <w:rsid w:val="006B64F9"/>
    <w:rsid w:val="006B6558"/>
    <w:rsid w:val="006B65AB"/>
    <w:rsid w:val="006B6656"/>
    <w:rsid w:val="006B6818"/>
    <w:rsid w:val="006B6910"/>
    <w:rsid w:val="006B6AF7"/>
    <w:rsid w:val="006B6B00"/>
    <w:rsid w:val="006B6CC5"/>
    <w:rsid w:val="006B6EB3"/>
    <w:rsid w:val="006B6F28"/>
    <w:rsid w:val="006B6FDF"/>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7AE"/>
    <w:rsid w:val="006C1A1F"/>
    <w:rsid w:val="006C1B28"/>
    <w:rsid w:val="006C1C14"/>
    <w:rsid w:val="006C1D1A"/>
    <w:rsid w:val="006C2290"/>
    <w:rsid w:val="006C22C7"/>
    <w:rsid w:val="006C23FA"/>
    <w:rsid w:val="006C25E2"/>
    <w:rsid w:val="006C273E"/>
    <w:rsid w:val="006C2897"/>
    <w:rsid w:val="006C28D8"/>
    <w:rsid w:val="006C290F"/>
    <w:rsid w:val="006C2A97"/>
    <w:rsid w:val="006C2C97"/>
    <w:rsid w:val="006C2D5F"/>
    <w:rsid w:val="006C2E30"/>
    <w:rsid w:val="006C2ED4"/>
    <w:rsid w:val="006C2FBB"/>
    <w:rsid w:val="006C2FCC"/>
    <w:rsid w:val="006C315E"/>
    <w:rsid w:val="006C31EE"/>
    <w:rsid w:val="006C348F"/>
    <w:rsid w:val="006C355C"/>
    <w:rsid w:val="006C35FA"/>
    <w:rsid w:val="006C3ABD"/>
    <w:rsid w:val="006C3D0B"/>
    <w:rsid w:val="006C3F10"/>
    <w:rsid w:val="006C46B5"/>
    <w:rsid w:val="006C495B"/>
    <w:rsid w:val="006C4F2C"/>
    <w:rsid w:val="006C4FB4"/>
    <w:rsid w:val="006C5060"/>
    <w:rsid w:val="006C5071"/>
    <w:rsid w:val="006C5114"/>
    <w:rsid w:val="006C512B"/>
    <w:rsid w:val="006C516C"/>
    <w:rsid w:val="006C5280"/>
    <w:rsid w:val="006C5340"/>
    <w:rsid w:val="006C5855"/>
    <w:rsid w:val="006C5ADD"/>
    <w:rsid w:val="006C5AEE"/>
    <w:rsid w:val="006C5AEF"/>
    <w:rsid w:val="006C5BA2"/>
    <w:rsid w:val="006C5C6D"/>
    <w:rsid w:val="006C5D0B"/>
    <w:rsid w:val="006C5DF9"/>
    <w:rsid w:val="006C5E6B"/>
    <w:rsid w:val="006C5F57"/>
    <w:rsid w:val="006C611A"/>
    <w:rsid w:val="006C6453"/>
    <w:rsid w:val="006C6675"/>
    <w:rsid w:val="006C67DC"/>
    <w:rsid w:val="006C6A4F"/>
    <w:rsid w:val="006C6A65"/>
    <w:rsid w:val="006C6CFD"/>
    <w:rsid w:val="006C6E61"/>
    <w:rsid w:val="006C70A1"/>
    <w:rsid w:val="006C710F"/>
    <w:rsid w:val="006C72A7"/>
    <w:rsid w:val="006C7376"/>
    <w:rsid w:val="006C753E"/>
    <w:rsid w:val="006C776A"/>
    <w:rsid w:val="006C7937"/>
    <w:rsid w:val="006C7996"/>
    <w:rsid w:val="006C79D3"/>
    <w:rsid w:val="006C7E2A"/>
    <w:rsid w:val="006C7F0B"/>
    <w:rsid w:val="006C7F5F"/>
    <w:rsid w:val="006D0054"/>
    <w:rsid w:val="006D0330"/>
    <w:rsid w:val="006D0611"/>
    <w:rsid w:val="006D09AF"/>
    <w:rsid w:val="006D0D2A"/>
    <w:rsid w:val="006D0DDF"/>
    <w:rsid w:val="006D0F57"/>
    <w:rsid w:val="006D0FB7"/>
    <w:rsid w:val="006D0FEA"/>
    <w:rsid w:val="006D1203"/>
    <w:rsid w:val="006D1442"/>
    <w:rsid w:val="006D14E5"/>
    <w:rsid w:val="006D1575"/>
    <w:rsid w:val="006D19CC"/>
    <w:rsid w:val="006D19E2"/>
    <w:rsid w:val="006D1FD2"/>
    <w:rsid w:val="006D207F"/>
    <w:rsid w:val="006D21B9"/>
    <w:rsid w:val="006D227C"/>
    <w:rsid w:val="006D24F9"/>
    <w:rsid w:val="006D2546"/>
    <w:rsid w:val="006D25F8"/>
    <w:rsid w:val="006D27C3"/>
    <w:rsid w:val="006D27D5"/>
    <w:rsid w:val="006D27FD"/>
    <w:rsid w:val="006D2A0D"/>
    <w:rsid w:val="006D2A88"/>
    <w:rsid w:val="006D2DFF"/>
    <w:rsid w:val="006D3286"/>
    <w:rsid w:val="006D344D"/>
    <w:rsid w:val="006D359E"/>
    <w:rsid w:val="006D396E"/>
    <w:rsid w:val="006D3E99"/>
    <w:rsid w:val="006D4303"/>
    <w:rsid w:val="006D432A"/>
    <w:rsid w:val="006D4437"/>
    <w:rsid w:val="006D4958"/>
    <w:rsid w:val="006D4986"/>
    <w:rsid w:val="006D4CDD"/>
    <w:rsid w:val="006D4E10"/>
    <w:rsid w:val="006D501B"/>
    <w:rsid w:val="006D5295"/>
    <w:rsid w:val="006D5339"/>
    <w:rsid w:val="006D586F"/>
    <w:rsid w:val="006D58FF"/>
    <w:rsid w:val="006D5A2A"/>
    <w:rsid w:val="006D5F99"/>
    <w:rsid w:val="006D62D7"/>
    <w:rsid w:val="006D6415"/>
    <w:rsid w:val="006D65F0"/>
    <w:rsid w:val="006D6692"/>
    <w:rsid w:val="006D67D8"/>
    <w:rsid w:val="006D6844"/>
    <w:rsid w:val="006D6937"/>
    <w:rsid w:val="006D69CE"/>
    <w:rsid w:val="006D6A8E"/>
    <w:rsid w:val="006D6D6D"/>
    <w:rsid w:val="006D6E6A"/>
    <w:rsid w:val="006D704D"/>
    <w:rsid w:val="006D71A7"/>
    <w:rsid w:val="006D7749"/>
    <w:rsid w:val="006D7C47"/>
    <w:rsid w:val="006D7CDF"/>
    <w:rsid w:val="006D7D29"/>
    <w:rsid w:val="006D7D6E"/>
    <w:rsid w:val="006E029F"/>
    <w:rsid w:val="006E0405"/>
    <w:rsid w:val="006E042D"/>
    <w:rsid w:val="006E0531"/>
    <w:rsid w:val="006E061B"/>
    <w:rsid w:val="006E06CF"/>
    <w:rsid w:val="006E0716"/>
    <w:rsid w:val="006E07D9"/>
    <w:rsid w:val="006E0855"/>
    <w:rsid w:val="006E0877"/>
    <w:rsid w:val="006E0A13"/>
    <w:rsid w:val="006E0AE3"/>
    <w:rsid w:val="006E0B99"/>
    <w:rsid w:val="006E0BF5"/>
    <w:rsid w:val="006E0C52"/>
    <w:rsid w:val="006E0E20"/>
    <w:rsid w:val="006E0FD5"/>
    <w:rsid w:val="006E10B4"/>
    <w:rsid w:val="006E1593"/>
    <w:rsid w:val="006E1623"/>
    <w:rsid w:val="006E16CF"/>
    <w:rsid w:val="006E186C"/>
    <w:rsid w:val="006E1ADD"/>
    <w:rsid w:val="006E1C3F"/>
    <w:rsid w:val="006E1FEB"/>
    <w:rsid w:val="006E2177"/>
    <w:rsid w:val="006E21BE"/>
    <w:rsid w:val="006E2290"/>
    <w:rsid w:val="006E2315"/>
    <w:rsid w:val="006E2B49"/>
    <w:rsid w:val="006E2F0B"/>
    <w:rsid w:val="006E3009"/>
    <w:rsid w:val="006E3081"/>
    <w:rsid w:val="006E310F"/>
    <w:rsid w:val="006E312F"/>
    <w:rsid w:val="006E33BA"/>
    <w:rsid w:val="006E36C6"/>
    <w:rsid w:val="006E370E"/>
    <w:rsid w:val="006E3787"/>
    <w:rsid w:val="006E390C"/>
    <w:rsid w:val="006E39D5"/>
    <w:rsid w:val="006E39F0"/>
    <w:rsid w:val="006E3A0F"/>
    <w:rsid w:val="006E3BC1"/>
    <w:rsid w:val="006E3C46"/>
    <w:rsid w:val="006E3E92"/>
    <w:rsid w:val="006E3EF6"/>
    <w:rsid w:val="006E3FBB"/>
    <w:rsid w:val="006E414C"/>
    <w:rsid w:val="006E41F2"/>
    <w:rsid w:val="006E420D"/>
    <w:rsid w:val="006E4237"/>
    <w:rsid w:val="006E43A9"/>
    <w:rsid w:val="006E491B"/>
    <w:rsid w:val="006E4B54"/>
    <w:rsid w:val="006E4CC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6F1"/>
    <w:rsid w:val="006F07D3"/>
    <w:rsid w:val="006F0800"/>
    <w:rsid w:val="006F08FF"/>
    <w:rsid w:val="006F0A9B"/>
    <w:rsid w:val="006F1152"/>
    <w:rsid w:val="006F1218"/>
    <w:rsid w:val="006F162A"/>
    <w:rsid w:val="006F182C"/>
    <w:rsid w:val="006F188E"/>
    <w:rsid w:val="006F190A"/>
    <w:rsid w:val="006F1AA0"/>
    <w:rsid w:val="006F1B0E"/>
    <w:rsid w:val="006F1CDA"/>
    <w:rsid w:val="006F1DE0"/>
    <w:rsid w:val="006F1F79"/>
    <w:rsid w:val="006F1FBB"/>
    <w:rsid w:val="006F226E"/>
    <w:rsid w:val="006F22F2"/>
    <w:rsid w:val="006F23CC"/>
    <w:rsid w:val="006F23EB"/>
    <w:rsid w:val="006F2701"/>
    <w:rsid w:val="006F2784"/>
    <w:rsid w:val="006F27AF"/>
    <w:rsid w:val="006F2944"/>
    <w:rsid w:val="006F2AC0"/>
    <w:rsid w:val="006F2B54"/>
    <w:rsid w:val="006F2D52"/>
    <w:rsid w:val="006F2E1B"/>
    <w:rsid w:val="006F2F5A"/>
    <w:rsid w:val="006F3201"/>
    <w:rsid w:val="006F375B"/>
    <w:rsid w:val="006F37F7"/>
    <w:rsid w:val="006F3A80"/>
    <w:rsid w:val="006F3BEC"/>
    <w:rsid w:val="006F3C25"/>
    <w:rsid w:val="006F3DBA"/>
    <w:rsid w:val="006F3DC6"/>
    <w:rsid w:val="006F3EFE"/>
    <w:rsid w:val="006F3F88"/>
    <w:rsid w:val="006F40F9"/>
    <w:rsid w:val="006F45E1"/>
    <w:rsid w:val="006F4642"/>
    <w:rsid w:val="006F46AB"/>
    <w:rsid w:val="006F4CDD"/>
    <w:rsid w:val="006F4E18"/>
    <w:rsid w:val="006F4E7F"/>
    <w:rsid w:val="006F5054"/>
    <w:rsid w:val="006F5358"/>
    <w:rsid w:val="006F558E"/>
    <w:rsid w:val="006F5610"/>
    <w:rsid w:val="006F5658"/>
    <w:rsid w:val="006F568D"/>
    <w:rsid w:val="006F586E"/>
    <w:rsid w:val="006F58D1"/>
    <w:rsid w:val="006F5933"/>
    <w:rsid w:val="006F5B11"/>
    <w:rsid w:val="006F5B2F"/>
    <w:rsid w:val="006F5EE2"/>
    <w:rsid w:val="006F5EF8"/>
    <w:rsid w:val="006F604C"/>
    <w:rsid w:val="006F6253"/>
    <w:rsid w:val="006F6293"/>
    <w:rsid w:val="006F62FF"/>
    <w:rsid w:val="006F65C2"/>
    <w:rsid w:val="006F6636"/>
    <w:rsid w:val="006F680C"/>
    <w:rsid w:val="006F68E9"/>
    <w:rsid w:val="006F6982"/>
    <w:rsid w:val="006F6EAC"/>
    <w:rsid w:val="006F6FA1"/>
    <w:rsid w:val="006F7331"/>
    <w:rsid w:val="006F76FF"/>
    <w:rsid w:val="006F7B1B"/>
    <w:rsid w:val="006F7C1D"/>
    <w:rsid w:val="006F7D10"/>
    <w:rsid w:val="006F7D82"/>
    <w:rsid w:val="006F7DDE"/>
    <w:rsid w:val="006F7EC0"/>
    <w:rsid w:val="006F7F9C"/>
    <w:rsid w:val="00700084"/>
    <w:rsid w:val="00700168"/>
    <w:rsid w:val="0070023D"/>
    <w:rsid w:val="00700258"/>
    <w:rsid w:val="00700320"/>
    <w:rsid w:val="00700391"/>
    <w:rsid w:val="00700B5D"/>
    <w:rsid w:val="00700F3A"/>
    <w:rsid w:val="00700F85"/>
    <w:rsid w:val="007013F4"/>
    <w:rsid w:val="007013FA"/>
    <w:rsid w:val="007014FA"/>
    <w:rsid w:val="00701672"/>
    <w:rsid w:val="007016B0"/>
    <w:rsid w:val="007018FB"/>
    <w:rsid w:val="00701D8F"/>
    <w:rsid w:val="00701DEE"/>
    <w:rsid w:val="00701E5F"/>
    <w:rsid w:val="00701EFB"/>
    <w:rsid w:val="00701F3F"/>
    <w:rsid w:val="007020C2"/>
    <w:rsid w:val="0070211E"/>
    <w:rsid w:val="00702324"/>
    <w:rsid w:val="007024C2"/>
    <w:rsid w:val="00702537"/>
    <w:rsid w:val="0070292C"/>
    <w:rsid w:val="00702AE8"/>
    <w:rsid w:val="00702C38"/>
    <w:rsid w:val="00702FD9"/>
    <w:rsid w:val="00703121"/>
    <w:rsid w:val="00703336"/>
    <w:rsid w:val="00703374"/>
    <w:rsid w:val="007035BF"/>
    <w:rsid w:val="0070366B"/>
    <w:rsid w:val="00703699"/>
    <w:rsid w:val="00703782"/>
    <w:rsid w:val="00703A93"/>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28"/>
    <w:rsid w:val="00704C5A"/>
    <w:rsid w:val="00704F80"/>
    <w:rsid w:val="00705253"/>
    <w:rsid w:val="00705589"/>
    <w:rsid w:val="007057AC"/>
    <w:rsid w:val="00705AE1"/>
    <w:rsid w:val="00705B27"/>
    <w:rsid w:val="00705E28"/>
    <w:rsid w:val="0070665E"/>
    <w:rsid w:val="00706915"/>
    <w:rsid w:val="0070693F"/>
    <w:rsid w:val="00706A6A"/>
    <w:rsid w:val="00706A6C"/>
    <w:rsid w:val="00706DE5"/>
    <w:rsid w:val="00706E39"/>
    <w:rsid w:val="00707008"/>
    <w:rsid w:val="007073CF"/>
    <w:rsid w:val="007076D5"/>
    <w:rsid w:val="00707847"/>
    <w:rsid w:val="00707A79"/>
    <w:rsid w:val="00707D44"/>
    <w:rsid w:val="00707F17"/>
    <w:rsid w:val="00707FFA"/>
    <w:rsid w:val="007107E3"/>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441"/>
    <w:rsid w:val="0071260F"/>
    <w:rsid w:val="00712674"/>
    <w:rsid w:val="00712678"/>
    <w:rsid w:val="0071295C"/>
    <w:rsid w:val="007129F5"/>
    <w:rsid w:val="00712C1B"/>
    <w:rsid w:val="00712DB1"/>
    <w:rsid w:val="00712E5A"/>
    <w:rsid w:val="00712E70"/>
    <w:rsid w:val="00712F9D"/>
    <w:rsid w:val="00712FC4"/>
    <w:rsid w:val="00713035"/>
    <w:rsid w:val="0071307F"/>
    <w:rsid w:val="007132EB"/>
    <w:rsid w:val="00713379"/>
    <w:rsid w:val="0071350B"/>
    <w:rsid w:val="007136E7"/>
    <w:rsid w:val="007138B8"/>
    <w:rsid w:val="00713911"/>
    <w:rsid w:val="00713BAA"/>
    <w:rsid w:val="00713FCA"/>
    <w:rsid w:val="007141FF"/>
    <w:rsid w:val="0071439E"/>
    <w:rsid w:val="007143B9"/>
    <w:rsid w:val="00714508"/>
    <w:rsid w:val="00714A85"/>
    <w:rsid w:val="00714AFB"/>
    <w:rsid w:val="00714B44"/>
    <w:rsid w:val="00714B4E"/>
    <w:rsid w:val="00714E18"/>
    <w:rsid w:val="00714FBD"/>
    <w:rsid w:val="00714FF4"/>
    <w:rsid w:val="00715158"/>
    <w:rsid w:val="00715343"/>
    <w:rsid w:val="0071534A"/>
    <w:rsid w:val="007158BB"/>
    <w:rsid w:val="00716011"/>
    <w:rsid w:val="00716414"/>
    <w:rsid w:val="007167DB"/>
    <w:rsid w:val="00716885"/>
    <w:rsid w:val="00716B14"/>
    <w:rsid w:val="00716B3F"/>
    <w:rsid w:val="00716EEB"/>
    <w:rsid w:val="00716F22"/>
    <w:rsid w:val="00716F51"/>
    <w:rsid w:val="0071702C"/>
    <w:rsid w:val="007174C6"/>
    <w:rsid w:val="0071758A"/>
    <w:rsid w:val="0071779E"/>
    <w:rsid w:val="007177EE"/>
    <w:rsid w:val="00717AB6"/>
    <w:rsid w:val="00717B3D"/>
    <w:rsid w:val="00717B55"/>
    <w:rsid w:val="00717C4E"/>
    <w:rsid w:val="00717E3B"/>
    <w:rsid w:val="00717E97"/>
    <w:rsid w:val="00717F04"/>
    <w:rsid w:val="00717F9E"/>
    <w:rsid w:val="00720088"/>
    <w:rsid w:val="0072013B"/>
    <w:rsid w:val="0072017A"/>
    <w:rsid w:val="007202D1"/>
    <w:rsid w:val="00720551"/>
    <w:rsid w:val="007205EA"/>
    <w:rsid w:val="0072085B"/>
    <w:rsid w:val="00720902"/>
    <w:rsid w:val="00720A27"/>
    <w:rsid w:val="00720BB1"/>
    <w:rsid w:val="00720BEA"/>
    <w:rsid w:val="00720EB3"/>
    <w:rsid w:val="00720FCD"/>
    <w:rsid w:val="007211BF"/>
    <w:rsid w:val="007211FE"/>
    <w:rsid w:val="00721273"/>
    <w:rsid w:val="007212BD"/>
    <w:rsid w:val="007216E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34EE"/>
    <w:rsid w:val="0072366E"/>
    <w:rsid w:val="00724241"/>
    <w:rsid w:val="007242C5"/>
    <w:rsid w:val="007242D3"/>
    <w:rsid w:val="007247DF"/>
    <w:rsid w:val="007247FC"/>
    <w:rsid w:val="00724890"/>
    <w:rsid w:val="007248AC"/>
    <w:rsid w:val="00724D8A"/>
    <w:rsid w:val="0072506D"/>
    <w:rsid w:val="0072512D"/>
    <w:rsid w:val="0072517F"/>
    <w:rsid w:val="007252BD"/>
    <w:rsid w:val="00725610"/>
    <w:rsid w:val="007257DE"/>
    <w:rsid w:val="0072580B"/>
    <w:rsid w:val="0072593C"/>
    <w:rsid w:val="0072595E"/>
    <w:rsid w:val="00725992"/>
    <w:rsid w:val="00725A31"/>
    <w:rsid w:val="00725B6D"/>
    <w:rsid w:val="007262E6"/>
    <w:rsid w:val="00726762"/>
    <w:rsid w:val="007267F9"/>
    <w:rsid w:val="00726956"/>
    <w:rsid w:val="007269AC"/>
    <w:rsid w:val="00726C2C"/>
    <w:rsid w:val="00726DFA"/>
    <w:rsid w:val="00727231"/>
    <w:rsid w:val="00727B00"/>
    <w:rsid w:val="00727B94"/>
    <w:rsid w:val="00727C16"/>
    <w:rsid w:val="00727DFE"/>
    <w:rsid w:val="00730018"/>
    <w:rsid w:val="00730225"/>
    <w:rsid w:val="00730346"/>
    <w:rsid w:val="00730423"/>
    <w:rsid w:val="0073082D"/>
    <w:rsid w:val="00730A10"/>
    <w:rsid w:val="00730BC4"/>
    <w:rsid w:val="0073103D"/>
    <w:rsid w:val="007313E9"/>
    <w:rsid w:val="00731629"/>
    <w:rsid w:val="00731935"/>
    <w:rsid w:val="00731AA8"/>
    <w:rsid w:val="00731C50"/>
    <w:rsid w:val="00731DF0"/>
    <w:rsid w:val="007320FD"/>
    <w:rsid w:val="00732733"/>
    <w:rsid w:val="007327BE"/>
    <w:rsid w:val="00732847"/>
    <w:rsid w:val="007328FF"/>
    <w:rsid w:val="00733050"/>
    <w:rsid w:val="007330EB"/>
    <w:rsid w:val="00733391"/>
    <w:rsid w:val="00733398"/>
    <w:rsid w:val="0073348A"/>
    <w:rsid w:val="007336C9"/>
    <w:rsid w:val="00733738"/>
    <w:rsid w:val="00733CE6"/>
    <w:rsid w:val="00733DE0"/>
    <w:rsid w:val="00733E23"/>
    <w:rsid w:val="00733EF4"/>
    <w:rsid w:val="0073410C"/>
    <w:rsid w:val="00734183"/>
    <w:rsid w:val="0073436F"/>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4AB"/>
    <w:rsid w:val="00735547"/>
    <w:rsid w:val="0073568C"/>
    <w:rsid w:val="00735970"/>
    <w:rsid w:val="00735B15"/>
    <w:rsid w:val="00735BF1"/>
    <w:rsid w:val="00735E54"/>
    <w:rsid w:val="00735F5A"/>
    <w:rsid w:val="00736020"/>
    <w:rsid w:val="0073621D"/>
    <w:rsid w:val="0073625C"/>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A1"/>
    <w:rsid w:val="00737FDA"/>
    <w:rsid w:val="00740309"/>
    <w:rsid w:val="00740520"/>
    <w:rsid w:val="00740558"/>
    <w:rsid w:val="00740566"/>
    <w:rsid w:val="00740573"/>
    <w:rsid w:val="007405CB"/>
    <w:rsid w:val="00740844"/>
    <w:rsid w:val="007409D1"/>
    <w:rsid w:val="00740C65"/>
    <w:rsid w:val="00740E75"/>
    <w:rsid w:val="00740EC1"/>
    <w:rsid w:val="00740FA2"/>
    <w:rsid w:val="00740FDF"/>
    <w:rsid w:val="00741A7D"/>
    <w:rsid w:val="00741AB8"/>
    <w:rsid w:val="00741B35"/>
    <w:rsid w:val="00741D2B"/>
    <w:rsid w:val="00741DE1"/>
    <w:rsid w:val="00741E2B"/>
    <w:rsid w:val="007420DC"/>
    <w:rsid w:val="00742820"/>
    <w:rsid w:val="00742983"/>
    <w:rsid w:val="00742BB4"/>
    <w:rsid w:val="00742C03"/>
    <w:rsid w:val="00742C12"/>
    <w:rsid w:val="00742C7E"/>
    <w:rsid w:val="00742CBF"/>
    <w:rsid w:val="00742D5F"/>
    <w:rsid w:val="007430B7"/>
    <w:rsid w:val="0074311E"/>
    <w:rsid w:val="0074385A"/>
    <w:rsid w:val="007438D5"/>
    <w:rsid w:val="00743900"/>
    <w:rsid w:val="0074391B"/>
    <w:rsid w:val="00743A98"/>
    <w:rsid w:val="00743E28"/>
    <w:rsid w:val="0074418F"/>
    <w:rsid w:val="007443CB"/>
    <w:rsid w:val="00744795"/>
    <w:rsid w:val="007448C4"/>
    <w:rsid w:val="007448E9"/>
    <w:rsid w:val="00744ADD"/>
    <w:rsid w:val="00744AE1"/>
    <w:rsid w:val="00744B4C"/>
    <w:rsid w:val="00744B4F"/>
    <w:rsid w:val="00744B69"/>
    <w:rsid w:val="00744C78"/>
    <w:rsid w:val="00744D4B"/>
    <w:rsid w:val="00744F7D"/>
    <w:rsid w:val="00744FB4"/>
    <w:rsid w:val="007450C7"/>
    <w:rsid w:val="007451A4"/>
    <w:rsid w:val="007451EA"/>
    <w:rsid w:val="007453DA"/>
    <w:rsid w:val="00745448"/>
    <w:rsid w:val="00745688"/>
    <w:rsid w:val="007457B3"/>
    <w:rsid w:val="00745878"/>
    <w:rsid w:val="0074594E"/>
    <w:rsid w:val="00745A89"/>
    <w:rsid w:val="00745C5B"/>
    <w:rsid w:val="00745F39"/>
    <w:rsid w:val="00745FE7"/>
    <w:rsid w:val="007460C6"/>
    <w:rsid w:val="007461DB"/>
    <w:rsid w:val="00746265"/>
    <w:rsid w:val="007463C6"/>
    <w:rsid w:val="007464D6"/>
    <w:rsid w:val="00746555"/>
    <w:rsid w:val="007468B7"/>
    <w:rsid w:val="007468D3"/>
    <w:rsid w:val="00746ABA"/>
    <w:rsid w:val="00746BE6"/>
    <w:rsid w:val="00746DA5"/>
    <w:rsid w:val="00746DBE"/>
    <w:rsid w:val="00746EA6"/>
    <w:rsid w:val="00747068"/>
    <w:rsid w:val="0074718A"/>
    <w:rsid w:val="00747237"/>
    <w:rsid w:val="0074741C"/>
    <w:rsid w:val="007501A7"/>
    <w:rsid w:val="007502DB"/>
    <w:rsid w:val="0075031B"/>
    <w:rsid w:val="007504D4"/>
    <w:rsid w:val="007504F9"/>
    <w:rsid w:val="007505FA"/>
    <w:rsid w:val="0075082E"/>
    <w:rsid w:val="0075084C"/>
    <w:rsid w:val="0075084E"/>
    <w:rsid w:val="00750888"/>
    <w:rsid w:val="00750AFD"/>
    <w:rsid w:val="00750C98"/>
    <w:rsid w:val="00750EA6"/>
    <w:rsid w:val="00751003"/>
    <w:rsid w:val="0075129F"/>
    <w:rsid w:val="007512BA"/>
    <w:rsid w:val="007512D6"/>
    <w:rsid w:val="00751591"/>
    <w:rsid w:val="007516C2"/>
    <w:rsid w:val="007516DC"/>
    <w:rsid w:val="00751941"/>
    <w:rsid w:val="00751949"/>
    <w:rsid w:val="00751CB6"/>
    <w:rsid w:val="00751D29"/>
    <w:rsid w:val="00751D2B"/>
    <w:rsid w:val="00751DDF"/>
    <w:rsid w:val="00752198"/>
    <w:rsid w:val="0075230E"/>
    <w:rsid w:val="007525B5"/>
    <w:rsid w:val="00752676"/>
    <w:rsid w:val="00752981"/>
    <w:rsid w:val="007529CE"/>
    <w:rsid w:val="00752A20"/>
    <w:rsid w:val="00752C02"/>
    <w:rsid w:val="007530A4"/>
    <w:rsid w:val="0075315A"/>
    <w:rsid w:val="00753195"/>
    <w:rsid w:val="0075360D"/>
    <w:rsid w:val="0075361D"/>
    <w:rsid w:val="00753772"/>
    <w:rsid w:val="00753927"/>
    <w:rsid w:val="00753AD4"/>
    <w:rsid w:val="00753B2D"/>
    <w:rsid w:val="00753C4D"/>
    <w:rsid w:val="00753C6D"/>
    <w:rsid w:val="00753D39"/>
    <w:rsid w:val="00753D46"/>
    <w:rsid w:val="00753D54"/>
    <w:rsid w:val="00753DBB"/>
    <w:rsid w:val="0075410C"/>
    <w:rsid w:val="007545ED"/>
    <w:rsid w:val="007548D4"/>
    <w:rsid w:val="00754A78"/>
    <w:rsid w:val="00754BC8"/>
    <w:rsid w:val="00754BCD"/>
    <w:rsid w:val="00754CCE"/>
    <w:rsid w:val="00754F94"/>
    <w:rsid w:val="00755028"/>
    <w:rsid w:val="007551CD"/>
    <w:rsid w:val="00755215"/>
    <w:rsid w:val="00755291"/>
    <w:rsid w:val="007552AD"/>
    <w:rsid w:val="00755429"/>
    <w:rsid w:val="007557B6"/>
    <w:rsid w:val="00755871"/>
    <w:rsid w:val="00755A95"/>
    <w:rsid w:val="00755AF9"/>
    <w:rsid w:val="00755CB2"/>
    <w:rsid w:val="00755D2C"/>
    <w:rsid w:val="00755D5E"/>
    <w:rsid w:val="00755DDA"/>
    <w:rsid w:val="00755E2E"/>
    <w:rsid w:val="00755E3A"/>
    <w:rsid w:val="00755FAA"/>
    <w:rsid w:val="007561F8"/>
    <w:rsid w:val="00756279"/>
    <w:rsid w:val="007563A7"/>
    <w:rsid w:val="007565EA"/>
    <w:rsid w:val="0075665A"/>
    <w:rsid w:val="0075665D"/>
    <w:rsid w:val="007566BE"/>
    <w:rsid w:val="0075673B"/>
    <w:rsid w:val="007567A8"/>
    <w:rsid w:val="00756857"/>
    <w:rsid w:val="00756A90"/>
    <w:rsid w:val="00756B2C"/>
    <w:rsid w:val="00756C07"/>
    <w:rsid w:val="00756DF7"/>
    <w:rsid w:val="00756E07"/>
    <w:rsid w:val="00756E3B"/>
    <w:rsid w:val="00756F47"/>
    <w:rsid w:val="0075718F"/>
    <w:rsid w:val="0075736D"/>
    <w:rsid w:val="00757418"/>
    <w:rsid w:val="007574C2"/>
    <w:rsid w:val="007574CE"/>
    <w:rsid w:val="007574E8"/>
    <w:rsid w:val="007575F9"/>
    <w:rsid w:val="00757ADE"/>
    <w:rsid w:val="00757C0A"/>
    <w:rsid w:val="00757D30"/>
    <w:rsid w:val="00757D4E"/>
    <w:rsid w:val="007603F3"/>
    <w:rsid w:val="00760A35"/>
    <w:rsid w:val="00760ADD"/>
    <w:rsid w:val="00760AFB"/>
    <w:rsid w:val="00761198"/>
    <w:rsid w:val="0076119D"/>
    <w:rsid w:val="0076137D"/>
    <w:rsid w:val="00761514"/>
    <w:rsid w:val="007615EA"/>
    <w:rsid w:val="007619EE"/>
    <w:rsid w:val="00761A27"/>
    <w:rsid w:val="00761B65"/>
    <w:rsid w:val="00761D6F"/>
    <w:rsid w:val="00761E23"/>
    <w:rsid w:val="00761F7F"/>
    <w:rsid w:val="0076202F"/>
    <w:rsid w:val="007621EC"/>
    <w:rsid w:val="0076243B"/>
    <w:rsid w:val="007625AA"/>
    <w:rsid w:val="00762662"/>
    <w:rsid w:val="0076281B"/>
    <w:rsid w:val="0076299B"/>
    <w:rsid w:val="007629A7"/>
    <w:rsid w:val="00762B63"/>
    <w:rsid w:val="00762BA7"/>
    <w:rsid w:val="00762C7B"/>
    <w:rsid w:val="00762D60"/>
    <w:rsid w:val="00762E48"/>
    <w:rsid w:val="00762F11"/>
    <w:rsid w:val="00763002"/>
    <w:rsid w:val="0076340F"/>
    <w:rsid w:val="007634DA"/>
    <w:rsid w:val="00763792"/>
    <w:rsid w:val="007637A3"/>
    <w:rsid w:val="00763850"/>
    <w:rsid w:val="00763956"/>
    <w:rsid w:val="0076399F"/>
    <w:rsid w:val="007639AB"/>
    <w:rsid w:val="00763ABB"/>
    <w:rsid w:val="00763B11"/>
    <w:rsid w:val="00763BC0"/>
    <w:rsid w:val="00763CB0"/>
    <w:rsid w:val="00763E45"/>
    <w:rsid w:val="00764032"/>
    <w:rsid w:val="007640FA"/>
    <w:rsid w:val="00764182"/>
    <w:rsid w:val="00764220"/>
    <w:rsid w:val="00764B8F"/>
    <w:rsid w:val="00764DAB"/>
    <w:rsid w:val="00764EB9"/>
    <w:rsid w:val="0076505C"/>
    <w:rsid w:val="007653B0"/>
    <w:rsid w:val="007653EA"/>
    <w:rsid w:val="007654E3"/>
    <w:rsid w:val="0076566C"/>
    <w:rsid w:val="00765873"/>
    <w:rsid w:val="007659A1"/>
    <w:rsid w:val="00765C90"/>
    <w:rsid w:val="00765D32"/>
    <w:rsid w:val="00765DD5"/>
    <w:rsid w:val="00765DF2"/>
    <w:rsid w:val="00765F6C"/>
    <w:rsid w:val="007660B0"/>
    <w:rsid w:val="007662AF"/>
    <w:rsid w:val="00766432"/>
    <w:rsid w:val="00766551"/>
    <w:rsid w:val="007665E2"/>
    <w:rsid w:val="00766681"/>
    <w:rsid w:val="00766727"/>
    <w:rsid w:val="00766847"/>
    <w:rsid w:val="00766A39"/>
    <w:rsid w:val="00766A5D"/>
    <w:rsid w:val="00766AA5"/>
    <w:rsid w:val="00766B94"/>
    <w:rsid w:val="00766C84"/>
    <w:rsid w:val="00766D12"/>
    <w:rsid w:val="00766D73"/>
    <w:rsid w:val="00766F80"/>
    <w:rsid w:val="00767172"/>
    <w:rsid w:val="00767196"/>
    <w:rsid w:val="00767A3A"/>
    <w:rsid w:val="00767A5A"/>
    <w:rsid w:val="00767B12"/>
    <w:rsid w:val="00767BC5"/>
    <w:rsid w:val="00767BEE"/>
    <w:rsid w:val="00767C92"/>
    <w:rsid w:val="0077006E"/>
    <w:rsid w:val="0077023E"/>
    <w:rsid w:val="007704A0"/>
    <w:rsid w:val="007707FF"/>
    <w:rsid w:val="007708E7"/>
    <w:rsid w:val="0077094D"/>
    <w:rsid w:val="00770A62"/>
    <w:rsid w:val="00770A90"/>
    <w:rsid w:val="00770A9C"/>
    <w:rsid w:val="00770B89"/>
    <w:rsid w:val="00770C5A"/>
    <w:rsid w:val="00770CE0"/>
    <w:rsid w:val="0077111B"/>
    <w:rsid w:val="0077142B"/>
    <w:rsid w:val="00771466"/>
    <w:rsid w:val="0077157F"/>
    <w:rsid w:val="0077171B"/>
    <w:rsid w:val="0077183E"/>
    <w:rsid w:val="007719F5"/>
    <w:rsid w:val="00771A14"/>
    <w:rsid w:val="00771B23"/>
    <w:rsid w:val="0077201F"/>
    <w:rsid w:val="0077227D"/>
    <w:rsid w:val="007723DB"/>
    <w:rsid w:val="00772435"/>
    <w:rsid w:val="00772591"/>
    <w:rsid w:val="007726F6"/>
    <w:rsid w:val="007727B0"/>
    <w:rsid w:val="00772C31"/>
    <w:rsid w:val="00772CF7"/>
    <w:rsid w:val="00772E37"/>
    <w:rsid w:val="00772ED6"/>
    <w:rsid w:val="007730B8"/>
    <w:rsid w:val="007730CF"/>
    <w:rsid w:val="00773150"/>
    <w:rsid w:val="007731BB"/>
    <w:rsid w:val="007731D0"/>
    <w:rsid w:val="0077330B"/>
    <w:rsid w:val="007734AD"/>
    <w:rsid w:val="007734B0"/>
    <w:rsid w:val="00773676"/>
    <w:rsid w:val="007736E0"/>
    <w:rsid w:val="007738B1"/>
    <w:rsid w:val="00773AE5"/>
    <w:rsid w:val="00773C0F"/>
    <w:rsid w:val="00773D8A"/>
    <w:rsid w:val="00773F5B"/>
    <w:rsid w:val="00774178"/>
    <w:rsid w:val="0077426A"/>
    <w:rsid w:val="00774296"/>
    <w:rsid w:val="007742AB"/>
    <w:rsid w:val="007743CD"/>
    <w:rsid w:val="007743EB"/>
    <w:rsid w:val="007744CF"/>
    <w:rsid w:val="0077476E"/>
    <w:rsid w:val="00774778"/>
    <w:rsid w:val="0077502D"/>
    <w:rsid w:val="007754BD"/>
    <w:rsid w:val="007755C9"/>
    <w:rsid w:val="00775629"/>
    <w:rsid w:val="007756EA"/>
    <w:rsid w:val="0077577D"/>
    <w:rsid w:val="00775A31"/>
    <w:rsid w:val="00775B2A"/>
    <w:rsid w:val="00775C91"/>
    <w:rsid w:val="00775D2B"/>
    <w:rsid w:val="00775F2D"/>
    <w:rsid w:val="0077604E"/>
    <w:rsid w:val="007760C0"/>
    <w:rsid w:val="0077617B"/>
    <w:rsid w:val="00776295"/>
    <w:rsid w:val="0077678E"/>
    <w:rsid w:val="00776C26"/>
    <w:rsid w:val="00776CBF"/>
    <w:rsid w:val="00777033"/>
    <w:rsid w:val="0077718F"/>
    <w:rsid w:val="007771BE"/>
    <w:rsid w:val="007772DB"/>
    <w:rsid w:val="0077776E"/>
    <w:rsid w:val="00777796"/>
    <w:rsid w:val="0077794C"/>
    <w:rsid w:val="00777B8D"/>
    <w:rsid w:val="007800A0"/>
    <w:rsid w:val="007800FA"/>
    <w:rsid w:val="00780273"/>
    <w:rsid w:val="00780299"/>
    <w:rsid w:val="00780408"/>
    <w:rsid w:val="007805B1"/>
    <w:rsid w:val="00780734"/>
    <w:rsid w:val="00780758"/>
    <w:rsid w:val="00780783"/>
    <w:rsid w:val="00780786"/>
    <w:rsid w:val="007807B5"/>
    <w:rsid w:val="00780953"/>
    <w:rsid w:val="00780C42"/>
    <w:rsid w:val="00780E1C"/>
    <w:rsid w:val="00780E27"/>
    <w:rsid w:val="00780E7E"/>
    <w:rsid w:val="00780F21"/>
    <w:rsid w:val="00781094"/>
    <w:rsid w:val="007813E3"/>
    <w:rsid w:val="00781752"/>
    <w:rsid w:val="0078180D"/>
    <w:rsid w:val="00781848"/>
    <w:rsid w:val="00781865"/>
    <w:rsid w:val="00781932"/>
    <w:rsid w:val="00781F47"/>
    <w:rsid w:val="00782013"/>
    <w:rsid w:val="00782092"/>
    <w:rsid w:val="007821B4"/>
    <w:rsid w:val="007824C0"/>
    <w:rsid w:val="007826E3"/>
    <w:rsid w:val="007826FF"/>
    <w:rsid w:val="00782942"/>
    <w:rsid w:val="00782A0B"/>
    <w:rsid w:val="00782B14"/>
    <w:rsid w:val="00782C46"/>
    <w:rsid w:val="00782D19"/>
    <w:rsid w:val="00782DC6"/>
    <w:rsid w:val="00782DCA"/>
    <w:rsid w:val="007835FA"/>
    <w:rsid w:val="0078376B"/>
    <w:rsid w:val="007838FB"/>
    <w:rsid w:val="00783D15"/>
    <w:rsid w:val="00783ED8"/>
    <w:rsid w:val="00783F13"/>
    <w:rsid w:val="00783F55"/>
    <w:rsid w:val="00784242"/>
    <w:rsid w:val="007844B6"/>
    <w:rsid w:val="007847CF"/>
    <w:rsid w:val="00784B01"/>
    <w:rsid w:val="00784D3E"/>
    <w:rsid w:val="00784FE7"/>
    <w:rsid w:val="007850A6"/>
    <w:rsid w:val="0078554F"/>
    <w:rsid w:val="0078592D"/>
    <w:rsid w:val="00785B2C"/>
    <w:rsid w:val="00785DB6"/>
    <w:rsid w:val="00785DFA"/>
    <w:rsid w:val="00785FA0"/>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87F1B"/>
    <w:rsid w:val="00790088"/>
    <w:rsid w:val="00790184"/>
    <w:rsid w:val="0079064A"/>
    <w:rsid w:val="0079079F"/>
    <w:rsid w:val="00790974"/>
    <w:rsid w:val="00790EFE"/>
    <w:rsid w:val="00791417"/>
    <w:rsid w:val="007914E0"/>
    <w:rsid w:val="00791587"/>
    <w:rsid w:val="007916AC"/>
    <w:rsid w:val="00791820"/>
    <w:rsid w:val="00791B32"/>
    <w:rsid w:val="00791C76"/>
    <w:rsid w:val="00791E02"/>
    <w:rsid w:val="00791E1C"/>
    <w:rsid w:val="00791E1F"/>
    <w:rsid w:val="0079214B"/>
    <w:rsid w:val="00792185"/>
    <w:rsid w:val="00792412"/>
    <w:rsid w:val="007924EC"/>
    <w:rsid w:val="007926BC"/>
    <w:rsid w:val="00792899"/>
    <w:rsid w:val="007928AB"/>
    <w:rsid w:val="00792DD3"/>
    <w:rsid w:val="0079312D"/>
    <w:rsid w:val="00793163"/>
    <w:rsid w:val="007931BF"/>
    <w:rsid w:val="0079320D"/>
    <w:rsid w:val="00793558"/>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044"/>
    <w:rsid w:val="007974BD"/>
    <w:rsid w:val="00797652"/>
    <w:rsid w:val="007976B9"/>
    <w:rsid w:val="00797813"/>
    <w:rsid w:val="007978B1"/>
    <w:rsid w:val="00797AD4"/>
    <w:rsid w:val="00797C42"/>
    <w:rsid w:val="00797D04"/>
    <w:rsid w:val="00797FB4"/>
    <w:rsid w:val="007A002E"/>
    <w:rsid w:val="007A02D2"/>
    <w:rsid w:val="007A048F"/>
    <w:rsid w:val="007A05CF"/>
    <w:rsid w:val="007A05F6"/>
    <w:rsid w:val="007A0956"/>
    <w:rsid w:val="007A0B71"/>
    <w:rsid w:val="007A0BE7"/>
    <w:rsid w:val="007A0E0D"/>
    <w:rsid w:val="007A0E55"/>
    <w:rsid w:val="007A0F8E"/>
    <w:rsid w:val="007A0FA0"/>
    <w:rsid w:val="007A101B"/>
    <w:rsid w:val="007A110E"/>
    <w:rsid w:val="007A11BD"/>
    <w:rsid w:val="007A1308"/>
    <w:rsid w:val="007A1385"/>
    <w:rsid w:val="007A1467"/>
    <w:rsid w:val="007A156D"/>
    <w:rsid w:val="007A180F"/>
    <w:rsid w:val="007A2003"/>
    <w:rsid w:val="007A21D6"/>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4C53"/>
    <w:rsid w:val="007A4CAC"/>
    <w:rsid w:val="007A5045"/>
    <w:rsid w:val="007A5141"/>
    <w:rsid w:val="007A5244"/>
    <w:rsid w:val="007A52E2"/>
    <w:rsid w:val="007A534F"/>
    <w:rsid w:val="007A53BB"/>
    <w:rsid w:val="007A5735"/>
    <w:rsid w:val="007A5A38"/>
    <w:rsid w:val="007A5A44"/>
    <w:rsid w:val="007A5ADC"/>
    <w:rsid w:val="007A5B2A"/>
    <w:rsid w:val="007A5B83"/>
    <w:rsid w:val="007A613D"/>
    <w:rsid w:val="007A6399"/>
    <w:rsid w:val="007A63E9"/>
    <w:rsid w:val="007A66AC"/>
    <w:rsid w:val="007A6883"/>
    <w:rsid w:val="007A693D"/>
    <w:rsid w:val="007A6944"/>
    <w:rsid w:val="007A69A8"/>
    <w:rsid w:val="007A69B5"/>
    <w:rsid w:val="007A6B9C"/>
    <w:rsid w:val="007A6FB3"/>
    <w:rsid w:val="007A723B"/>
    <w:rsid w:val="007A7259"/>
    <w:rsid w:val="007A7480"/>
    <w:rsid w:val="007A7493"/>
    <w:rsid w:val="007A7630"/>
    <w:rsid w:val="007A76DD"/>
    <w:rsid w:val="007A7708"/>
    <w:rsid w:val="007A772F"/>
    <w:rsid w:val="007A77C3"/>
    <w:rsid w:val="007A7B2F"/>
    <w:rsid w:val="007A7B71"/>
    <w:rsid w:val="007A7CAE"/>
    <w:rsid w:val="007A7D0C"/>
    <w:rsid w:val="007A7EE4"/>
    <w:rsid w:val="007B00FE"/>
    <w:rsid w:val="007B01B5"/>
    <w:rsid w:val="007B0206"/>
    <w:rsid w:val="007B07DF"/>
    <w:rsid w:val="007B0AE6"/>
    <w:rsid w:val="007B0C34"/>
    <w:rsid w:val="007B0C99"/>
    <w:rsid w:val="007B0DE9"/>
    <w:rsid w:val="007B0EB4"/>
    <w:rsid w:val="007B0EC3"/>
    <w:rsid w:val="007B0EE6"/>
    <w:rsid w:val="007B0F21"/>
    <w:rsid w:val="007B1134"/>
    <w:rsid w:val="007B12F0"/>
    <w:rsid w:val="007B1314"/>
    <w:rsid w:val="007B137B"/>
    <w:rsid w:val="007B14DC"/>
    <w:rsid w:val="007B14EB"/>
    <w:rsid w:val="007B1A9C"/>
    <w:rsid w:val="007B1B1F"/>
    <w:rsid w:val="007B1D50"/>
    <w:rsid w:val="007B1D81"/>
    <w:rsid w:val="007B1F5A"/>
    <w:rsid w:val="007B1FCA"/>
    <w:rsid w:val="007B2054"/>
    <w:rsid w:val="007B2793"/>
    <w:rsid w:val="007B2C74"/>
    <w:rsid w:val="007B2D95"/>
    <w:rsid w:val="007B2EB0"/>
    <w:rsid w:val="007B3062"/>
    <w:rsid w:val="007B3063"/>
    <w:rsid w:val="007B3114"/>
    <w:rsid w:val="007B353C"/>
    <w:rsid w:val="007B36DD"/>
    <w:rsid w:val="007B38F5"/>
    <w:rsid w:val="007B4165"/>
    <w:rsid w:val="007B43AD"/>
    <w:rsid w:val="007B43BC"/>
    <w:rsid w:val="007B43E3"/>
    <w:rsid w:val="007B461D"/>
    <w:rsid w:val="007B46DF"/>
    <w:rsid w:val="007B48AF"/>
    <w:rsid w:val="007B48ED"/>
    <w:rsid w:val="007B496F"/>
    <w:rsid w:val="007B4DBF"/>
    <w:rsid w:val="007B4E92"/>
    <w:rsid w:val="007B4F86"/>
    <w:rsid w:val="007B5361"/>
    <w:rsid w:val="007B543F"/>
    <w:rsid w:val="007B546C"/>
    <w:rsid w:val="007B5510"/>
    <w:rsid w:val="007B5641"/>
    <w:rsid w:val="007B595B"/>
    <w:rsid w:val="007B5ABE"/>
    <w:rsid w:val="007B5DB6"/>
    <w:rsid w:val="007B6069"/>
    <w:rsid w:val="007B60DB"/>
    <w:rsid w:val="007B64ED"/>
    <w:rsid w:val="007B669F"/>
    <w:rsid w:val="007B683E"/>
    <w:rsid w:val="007B68CA"/>
    <w:rsid w:val="007B68DE"/>
    <w:rsid w:val="007B6B8C"/>
    <w:rsid w:val="007B6CED"/>
    <w:rsid w:val="007B6E0E"/>
    <w:rsid w:val="007B719E"/>
    <w:rsid w:val="007B731A"/>
    <w:rsid w:val="007B7448"/>
    <w:rsid w:val="007B7733"/>
    <w:rsid w:val="007B794A"/>
    <w:rsid w:val="007B7A6A"/>
    <w:rsid w:val="007B7B8F"/>
    <w:rsid w:val="007B7E4D"/>
    <w:rsid w:val="007B7E78"/>
    <w:rsid w:val="007B7E7E"/>
    <w:rsid w:val="007B7E9B"/>
    <w:rsid w:val="007C029D"/>
    <w:rsid w:val="007C02CB"/>
    <w:rsid w:val="007C0598"/>
    <w:rsid w:val="007C0829"/>
    <w:rsid w:val="007C08AA"/>
    <w:rsid w:val="007C099F"/>
    <w:rsid w:val="007C0AFA"/>
    <w:rsid w:val="007C0B7D"/>
    <w:rsid w:val="007C0B8E"/>
    <w:rsid w:val="007C0F74"/>
    <w:rsid w:val="007C0FB9"/>
    <w:rsid w:val="007C0FD9"/>
    <w:rsid w:val="007C1227"/>
    <w:rsid w:val="007C135D"/>
    <w:rsid w:val="007C148B"/>
    <w:rsid w:val="007C155E"/>
    <w:rsid w:val="007C17E4"/>
    <w:rsid w:val="007C186E"/>
    <w:rsid w:val="007C1916"/>
    <w:rsid w:val="007C19AF"/>
    <w:rsid w:val="007C1AA9"/>
    <w:rsid w:val="007C1B6F"/>
    <w:rsid w:val="007C1C47"/>
    <w:rsid w:val="007C1C66"/>
    <w:rsid w:val="007C1CD6"/>
    <w:rsid w:val="007C1D68"/>
    <w:rsid w:val="007C1EAC"/>
    <w:rsid w:val="007C1F0A"/>
    <w:rsid w:val="007C20CA"/>
    <w:rsid w:val="007C23D2"/>
    <w:rsid w:val="007C26AD"/>
    <w:rsid w:val="007C2836"/>
    <w:rsid w:val="007C284C"/>
    <w:rsid w:val="007C2C70"/>
    <w:rsid w:val="007C2CF8"/>
    <w:rsid w:val="007C2EF6"/>
    <w:rsid w:val="007C322D"/>
    <w:rsid w:val="007C364F"/>
    <w:rsid w:val="007C3720"/>
    <w:rsid w:val="007C39B9"/>
    <w:rsid w:val="007C3A66"/>
    <w:rsid w:val="007C3C31"/>
    <w:rsid w:val="007C3C65"/>
    <w:rsid w:val="007C3CD4"/>
    <w:rsid w:val="007C3D85"/>
    <w:rsid w:val="007C3DBE"/>
    <w:rsid w:val="007C3E5B"/>
    <w:rsid w:val="007C3E63"/>
    <w:rsid w:val="007C4066"/>
    <w:rsid w:val="007C40BB"/>
    <w:rsid w:val="007C4228"/>
    <w:rsid w:val="007C441E"/>
    <w:rsid w:val="007C4564"/>
    <w:rsid w:val="007C46AD"/>
    <w:rsid w:val="007C470A"/>
    <w:rsid w:val="007C498B"/>
    <w:rsid w:val="007C4AF9"/>
    <w:rsid w:val="007C4F02"/>
    <w:rsid w:val="007C4F15"/>
    <w:rsid w:val="007C5080"/>
    <w:rsid w:val="007C51A4"/>
    <w:rsid w:val="007C5207"/>
    <w:rsid w:val="007C5292"/>
    <w:rsid w:val="007C54E3"/>
    <w:rsid w:val="007C54E4"/>
    <w:rsid w:val="007C5A6B"/>
    <w:rsid w:val="007C5C0C"/>
    <w:rsid w:val="007C5D33"/>
    <w:rsid w:val="007C5E9F"/>
    <w:rsid w:val="007C5EA3"/>
    <w:rsid w:val="007C6404"/>
    <w:rsid w:val="007C6493"/>
    <w:rsid w:val="007C66B0"/>
    <w:rsid w:val="007C6856"/>
    <w:rsid w:val="007C68D2"/>
    <w:rsid w:val="007C6BFA"/>
    <w:rsid w:val="007C6D24"/>
    <w:rsid w:val="007C71EF"/>
    <w:rsid w:val="007C7466"/>
    <w:rsid w:val="007C762F"/>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712"/>
    <w:rsid w:val="007D1BA7"/>
    <w:rsid w:val="007D1C04"/>
    <w:rsid w:val="007D1C2A"/>
    <w:rsid w:val="007D1C47"/>
    <w:rsid w:val="007D1DE2"/>
    <w:rsid w:val="007D1EAA"/>
    <w:rsid w:val="007D2030"/>
    <w:rsid w:val="007D24B2"/>
    <w:rsid w:val="007D24F1"/>
    <w:rsid w:val="007D29AC"/>
    <w:rsid w:val="007D2A1C"/>
    <w:rsid w:val="007D2BE7"/>
    <w:rsid w:val="007D2D2E"/>
    <w:rsid w:val="007D2EFB"/>
    <w:rsid w:val="007D2FAE"/>
    <w:rsid w:val="007D2FD5"/>
    <w:rsid w:val="007D30A4"/>
    <w:rsid w:val="007D32DC"/>
    <w:rsid w:val="007D3354"/>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490"/>
    <w:rsid w:val="007D457D"/>
    <w:rsid w:val="007D474D"/>
    <w:rsid w:val="007D4771"/>
    <w:rsid w:val="007D49E0"/>
    <w:rsid w:val="007D4B15"/>
    <w:rsid w:val="007D4C12"/>
    <w:rsid w:val="007D4EEA"/>
    <w:rsid w:val="007D4F75"/>
    <w:rsid w:val="007D5130"/>
    <w:rsid w:val="007D5209"/>
    <w:rsid w:val="007D52D8"/>
    <w:rsid w:val="007D548C"/>
    <w:rsid w:val="007D5518"/>
    <w:rsid w:val="007D5568"/>
    <w:rsid w:val="007D5865"/>
    <w:rsid w:val="007D58C6"/>
    <w:rsid w:val="007D5B12"/>
    <w:rsid w:val="007D5EBC"/>
    <w:rsid w:val="007D6412"/>
    <w:rsid w:val="007D663A"/>
    <w:rsid w:val="007D6675"/>
    <w:rsid w:val="007D66C1"/>
    <w:rsid w:val="007D6D9C"/>
    <w:rsid w:val="007D6DBF"/>
    <w:rsid w:val="007D6EF8"/>
    <w:rsid w:val="007D70C3"/>
    <w:rsid w:val="007D7134"/>
    <w:rsid w:val="007D7B7B"/>
    <w:rsid w:val="007D7EC6"/>
    <w:rsid w:val="007E017B"/>
    <w:rsid w:val="007E01DD"/>
    <w:rsid w:val="007E0289"/>
    <w:rsid w:val="007E04A2"/>
    <w:rsid w:val="007E05F9"/>
    <w:rsid w:val="007E0773"/>
    <w:rsid w:val="007E07BA"/>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60"/>
    <w:rsid w:val="007E21C7"/>
    <w:rsid w:val="007E2236"/>
    <w:rsid w:val="007E22F4"/>
    <w:rsid w:val="007E2446"/>
    <w:rsid w:val="007E25CF"/>
    <w:rsid w:val="007E266F"/>
    <w:rsid w:val="007E27BA"/>
    <w:rsid w:val="007E2917"/>
    <w:rsid w:val="007E2947"/>
    <w:rsid w:val="007E2969"/>
    <w:rsid w:val="007E2A46"/>
    <w:rsid w:val="007E2B3B"/>
    <w:rsid w:val="007E2BE4"/>
    <w:rsid w:val="007E2BF9"/>
    <w:rsid w:val="007E2D97"/>
    <w:rsid w:val="007E305F"/>
    <w:rsid w:val="007E31DD"/>
    <w:rsid w:val="007E31E4"/>
    <w:rsid w:val="007E32FD"/>
    <w:rsid w:val="007E3492"/>
    <w:rsid w:val="007E36D2"/>
    <w:rsid w:val="007E38E2"/>
    <w:rsid w:val="007E39AC"/>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AE9"/>
    <w:rsid w:val="007E5BDD"/>
    <w:rsid w:val="007E5C40"/>
    <w:rsid w:val="007E5FFC"/>
    <w:rsid w:val="007E6024"/>
    <w:rsid w:val="007E65A1"/>
    <w:rsid w:val="007E6898"/>
    <w:rsid w:val="007E68A8"/>
    <w:rsid w:val="007E6B6D"/>
    <w:rsid w:val="007E6C64"/>
    <w:rsid w:val="007E6C80"/>
    <w:rsid w:val="007E6CD9"/>
    <w:rsid w:val="007E6D87"/>
    <w:rsid w:val="007E6E5D"/>
    <w:rsid w:val="007E6EC6"/>
    <w:rsid w:val="007E6EF5"/>
    <w:rsid w:val="007E6EFD"/>
    <w:rsid w:val="007E6FD9"/>
    <w:rsid w:val="007E7082"/>
    <w:rsid w:val="007E73AD"/>
    <w:rsid w:val="007E745A"/>
    <w:rsid w:val="007E75F6"/>
    <w:rsid w:val="007E7835"/>
    <w:rsid w:val="007E794B"/>
    <w:rsid w:val="007E79F3"/>
    <w:rsid w:val="007E7D10"/>
    <w:rsid w:val="007E7D9D"/>
    <w:rsid w:val="007E7F5D"/>
    <w:rsid w:val="007E7F5E"/>
    <w:rsid w:val="007F0100"/>
    <w:rsid w:val="007F0569"/>
    <w:rsid w:val="007F05CF"/>
    <w:rsid w:val="007F068B"/>
    <w:rsid w:val="007F089C"/>
    <w:rsid w:val="007F08EF"/>
    <w:rsid w:val="007F0C96"/>
    <w:rsid w:val="007F0D6F"/>
    <w:rsid w:val="007F0EA2"/>
    <w:rsid w:val="007F10BB"/>
    <w:rsid w:val="007F13E9"/>
    <w:rsid w:val="007F1610"/>
    <w:rsid w:val="007F1719"/>
    <w:rsid w:val="007F1A08"/>
    <w:rsid w:val="007F1AF6"/>
    <w:rsid w:val="007F1C9F"/>
    <w:rsid w:val="007F1D05"/>
    <w:rsid w:val="007F1D98"/>
    <w:rsid w:val="007F1EA2"/>
    <w:rsid w:val="007F2117"/>
    <w:rsid w:val="007F218E"/>
    <w:rsid w:val="007F243E"/>
    <w:rsid w:val="007F274D"/>
    <w:rsid w:val="007F2A94"/>
    <w:rsid w:val="007F2C2C"/>
    <w:rsid w:val="007F2C46"/>
    <w:rsid w:val="007F32E2"/>
    <w:rsid w:val="007F33D5"/>
    <w:rsid w:val="007F36BF"/>
    <w:rsid w:val="007F3714"/>
    <w:rsid w:val="007F3747"/>
    <w:rsid w:val="007F3CE8"/>
    <w:rsid w:val="007F3E55"/>
    <w:rsid w:val="007F3EED"/>
    <w:rsid w:val="007F470C"/>
    <w:rsid w:val="007F476D"/>
    <w:rsid w:val="007F498C"/>
    <w:rsid w:val="007F49F6"/>
    <w:rsid w:val="007F4B96"/>
    <w:rsid w:val="007F4C6B"/>
    <w:rsid w:val="007F4CED"/>
    <w:rsid w:val="007F4D37"/>
    <w:rsid w:val="007F4DE8"/>
    <w:rsid w:val="007F4F9B"/>
    <w:rsid w:val="007F51C9"/>
    <w:rsid w:val="007F5601"/>
    <w:rsid w:val="007F566A"/>
    <w:rsid w:val="007F56D9"/>
    <w:rsid w:val="007F56DA"/>
    <w:rsid w:val="007F5910"/>
    <w:rsid w:val="007F59ED"/>
    <w:rsid w:val="007F5E09"/>
    <w:rsid w:val="007F5E61"/>
    <w:rsid w:val="007F5EF0"/>
    <w:rsid w:val="007F60C9"/>
    <w:rsid w:val="007F61CE"/>
    <w:rsid w:val="007F62CE"/>
    <w:rsid w:val="007F649E"/>
    <w:rsid w:val="007F67D5"/>
    <w:rsid w:val="007F6947"/>
    <w:rsid w:val="007F6A6C"/>
    <w:rsid w:val="007F6ACC"/>
    <w:rsid w:val="007F6C91"/>
    <w:rsid w:val="007F6D11"/>
    <w:rsid w:val="007F6DD5"/>
    <w:rsid w:val="007F6E02"/>
    <w:rsid w:val="007F7087"/>
    <w:rsid w:val="007F7212"/>
    <w:rsid w:val="007F7397"/>
    <w:rsid w:val="007F743F"/>
    <w:rsid w:val="007F74BA"/>
    <w:rsid w:val="007F77D1"/>
    <w:rsid w:val="007F7865"/>
    <w:rsid w:val="007F7AD6"/>
    <w:rsid w:val="007F7FD6"/>
    <w:rsid w:val="00800175"/>
    <w:rsid w:val="0080038D"/>
    <w:rsid w:val="008004FC"/>
    <w:rsid w:val="0080056F"/>
    <w:rsid w:val="008005BC"/>
    <w:rsid w:val="00800631"/>
    <w:rsid w:val="008007AA"/>
    <w:rsid w:val="008007DF"/>
    <w:rsid w:val="00800AD4"/>
    <w:rsid w:val="00800C2A"/>
    <w:rsid w:val="00800D98"/>
    <w:rsid w:val="00800E22"/>
    <w:rsid w:val="00800F51"/>
    <w:rsid w:val="00800F5C"/>
    <w:rsid w:val="008011F0"/>
    <w:rsid w:val="0080120E"/>
    <w:rsid w:val="00801300"/>
    <w:rsid w:val="0080161F"/>
    <w:rsid w:val="0080164F"/>
    <w:rsid w:val="008016D1"/>
    <w:rsid w:val="008018EC"/>
    <w:rsid w:val="00801D83"/>
    <w:rsid w:val="00801E6B"/>
    <w:rsid w:val="00802088"/>
    <w:rsid w:val="0080234F"/>
    <w:rsid w:val="00802C77"/>
    <w:rsid w:val="00802CCF"/>
    <w:rsid w:val="00802F7D"/>
    <w:rsid w:val="008030D0"/>
    <w:rsid w:val="0080313B"/>
    <w:rsid w:val="00803425"/>
    <w:rsid w:val="00803510"/>
    <w:rsid w:val="00803641"/>
    <w:rsid w:val="008037B3"/>
    <w:rsid w:val="00803A91"/>
    <w:rsid w:val="00803D0A"/>
    <w:rsid w:val="00803D9D"/>
    <w:rsid w:val="00803DF8"/>
    <w:rsid w:val="00803F63"/>
    <w:rsid w:val="00803F76"/>
    <w:rsid w:val="00803FB7"/>
    <w:rsid w:val="00804261"/>
    <w:rsid w:val="0080444C"/>
    <w:rsid w:val="008046CF"/>
    <w:rsid w:val="008047F8"/>
    <w:rsid w:val="00804910"/>
    <w:rsid w:val="0080496A"/>
    <w:rsid w:val="008049CD"/>
    <w:rsid w:val="008049DA"/>
    <w:rsid w:val="00804B2D"/>
    <w:rsid w:val="00804B99"/>
    <w:rsid w:val="00804D1C"/>
    <w:rsid w:val="00804D25"/>
    <w:rsid w:val="00804FCD"/>
    <w:rsid w:val="00805006"/>
    <w:rsid w:val="008051B4"/>
    <w:rsid w:val="008051EA"/>
    <w:rsid w:val="008057AD"/>
    <w:rsid w:val="0080585E"/>
    <w:rsid w:val="00805988"/>
    <w:rsid w:val="00805A43"/>
    <w:rsid w:val="00805AE5"/>
    <w:rsid w:val="00805B0F"/>
    <w:rsid w:val="00805FD7"/>
    <w:rsid w:val="00805FF3"/>
    <w:rsid w:val="00806168"/>
    <w:rsid w:val="00806320"/>
    <w:rsid w:val="00806421"/>
    <w:rsid w:val="008066C8"/>
    <w:rsid w:val="00806FF5"/>
    <w:rsid w:val="008071D5"/>
    <w:rsid w:val="0080721E"/>
    <w:rsid w:val="0080724D"/>
    <w:rsid w:val="008074D5"/>
    <w:rsid w:val="008074F3"/>
    <w:rsid w:val="0080750D"/>
    <w:rsid w:val="00807719"/>
    <w:rsid w:val="008077E1"/>
    <w:rsid w:val="00807854"/>
    <w:rsid w:val="008078F6"/>
    <w:rsid w:val="0080795F"/>
    <w:rsid w:val="00807AEA"/>
    <w:rsid w:val="00807B13"/>
    <w:rsid w:val="00807BE5"/>
    <w:rsid w:val="00807E1E"/>
    <w:rsid w:val="00807E33"/>
    <w:rsid w:val="00807EA6"/>
    <w:rsid w:val="008100AC"/>
    <w:rsid w:val="00810140"/>
    <w:rsid w:val="00810171"/>
    <w:rsid w:val="0081017C"/>
    <w:rsid w:val="008101BD"/>
    <w:rsid w:val="008101CF"/>
    <w:rsid w:val="0081027A"/>
    <w:rsid w:val="008102B4"/>
    <w:rsid w:val="0081038C"/>
    <w:rsid w:val="00810542"/>
    <w:rsid w:val="008105B3"/>
    <w:rsid w:val="0081066A"/>
    <w:rsid w:val="0081082B"/>
    <w:rsid w:val="00810999"/>
    <w:rsid w:val="00810A9E"/>
    <w:rsid w:val="00810D9F"/>
    <w:rsid w:val="008110AA"/>
    <w:rsid w:val="00811361"/>
    <w:rsid w:val="00811386"/>
    <w:rsid w:val="00811685"/>
    <w:rsid w:val="00811736"/>
    <w:rsid w:val="008118A6"/>
    <w:rsid w:val="008118EA"/>
    <w:rsid w:val="00811B75"/>
    <w:rsid w:val="00811DB4"/>
    <w:rsid w:val="00811EE4"/>
    <w:rsid w:val="00811F64"/>
    <w:rsid w:val="00811FE1"/>
    <w:rsid w:val="0081230E"/>
    <w:rsid w:val="008126CC"/>
    <w:rsid w:val="00812ACC"/>
    <w:rsid w:val="00812BD6"/>
    <w:rsid w:val="00812DEE"/>
    <w:rsid w:val="00812EC9"/>
    <w:rsid w:val="0081321E"/>
    <w:rsid w:val="00813226"/>
    <w:rsid w:val="00813265"/>
    <w:rsid w:val="00813479"/>
    <w:rsid w:val="008136E8"/>
    <w:rsid w:val="008137BB"/>
    <w:rsid w:val="0081380D"/>
    <w:rsid w:val="0081387C"/>
    <w:rsid w:val="00813A26"/>
    <w:rsid w:val="00813D5C"/>
    <w:rsid w:val="00813DDD"/>
    <w:rsid w:val="00813E5B"/>
    <w:rsid w:val="00813EF4"/>
    <w:rsid w:val="00813F34"/>
    <w:rsid w:val="0081432C"/>
    <w:rsid w:val="0081462B"/>
    <w:rsid w:val="008147CE"/>
    <w:rsid w:val="0081482A"/>
    <w:rsid w:val="008148B8"/>
    <w:rsid w:val="00814CB6"/>
    <w:rsid w:val="00814DF8"/>
    <w:rsid w:val="00814F8A"/>
    <w:rsid w:val="00815110"/>
    <w:rsid w:val="008151E5"/>
    <w:rsid w:val="00815312"/>
    <w:rsid w:val="008154BD"/>
    <w:rsid w:val="008154DF"/>
    <w:rsid w:val="00815558"/>
    <w:rsid w:val="008155B7"/>
    <w:rsid w:val="0081565E"/>
    <w:rsid w:val="008157F2"/>
    <w:rsid w:val="00815A10"/>
    <w:rsid w:val="00815BE6"/>
    <w:rsid w:val="00815CA5"/>
    <w:rsid w:val="00815CD9"/>
    <w:rsid w:val="008160B9"/>
    <w:rsid w:val="00816185"/>
    <w:rsid w:val="008161D3"/>
    <w:rsid w:val="008162A3"/>
    <w:rsid w:val="008162BD"/>
    <w:rsid w:val="00816362"/>
    <w:rsid w:val="0081647B"/>
    <w:rsid w:val="00816609"/>
    <w:rsid w:val="00816654"/>
    <w:rsid w:val="00816D15"/>
    <w:rsid w:val="00816F5F"/>
    <w:rsid w:val="0081705C"/>
    <w:rsid w:val="00817122"/>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CBE"/>
    <w:rsid w:val="00820E1B"/>
    <w:rsid w:val="00820F6C"/>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1B"/>
    <w:rsid w:val="008228E5"/>
    <w:rsid w:val="008228F4"/>
    <w:rsid w:val="00822A8A"/>
    <w:rsid w:val="00822B84"/>
    <w:rsid w:val="0082328A"/>
    <w:rsid w:val="008232AD"/>
    <w:rsid w:val="008236E5"/>
    <w:rsid w:val="0082379E"/>
    <w:rsid w:val="008237BE"/>
    <w:rsid w:val="00823860"/>
    <w:rsid w:val="00823AC6"/>
    <w:rsid w:val="00823C83"/>
    <w:rsid w:val="00823CF0"/>
    <w:rsid w:val="00823E3B"/>
    <w:rsid w:val="00823F43"/>
    <w:rsid w:val="0082412D"/>
    <w:rsid w:val="00824329"/>
    <w:rsid w:val="0082456E"/>
    <w:rsid w:val="008245D2"/>
    <w:rsid w:val="008246F5"/>
    <w:rsid w:val="00824804"/>
    <w:rsid w:val="00824BB3"/>
    <w:rsid w:val="00824E21"/>
    <w:rsid w:val="00824FDA"/>
    <w:rsid w:val="0082528B"/>
    <w:rsid w:val="008252AC"/>
    <w:rsid w:val="0082541A"/>
    <w:rsid w:val="008254D8"/>
    <w:rsid w:val="00825696"/>
    <w:rsid w:val="0082580E"/>
    <w:rsid w:val="008258A4"/>
    <w:rsid w:val="00825C27"/>
    <w:rsid w:val="0082600C"/>
    <w:rsid w:val="0082619F"/>
    <w:rsid w:val="0082624E"/>
    <w:rsid w:val="00826269"/>
    <w:rsid w:val="008263B9"/>
    <w:rsid w:val="008266C0"/>
    <w:rsid w:val="008267E2"/>
    <w:rsid w:val="00826B4E"/>
    <w:rsid w:val="00826C09"/>
    <w:rsid w:val="00826EA5"/>
    <w:rsid w:val="00826F97"/>
    <w:rsid w:val="00827045"/>
    <w:rsid w:val="008270EA"/>
    <w:rsid w:val="008274B3"/>
    <w:rsid w:val="00827754"/>
    <w:rsid w:val="0082775B"/>
    <w:rsid w:val="0082792A"/>
    <w:rsid w:val="00827991"/>
    <w:rsid w:val="008279FB"/>
    <w:rsid w:val="00827BE9"/>
    <w:rsid w:val="00827D86"/>
    <w:rsid w:val="00827E70"/>
    <w:rsid w:val="00830060"/>
    <w:rsid w:val="0083034D"/>
    <w:rsid w:val="0083040E"/>
    <w:rsid w:val="0083051A"/>
    <w:rsid w:val="0083052C"/>
    <w:rsid w:val="0083055E"/>
    <w:rsid w:val="008305A6"/>
    <w:rsid w:val="008305BF"/>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766"/>
    <w:rsid w:val="008329D7"/>
    <w:rsid w:val="00832E4D"/>
    <w:rsid w:val="00833107"/>
    <w:rsid w:val="00833245"/>
    <w:rsid w:val="00833289"/>
    <w:rsid w:val="0083338D"/>
    <w:rsid w:val="008333AB"/>
    <w:rsid w:val="008334D2"/>
    <w:rsid w:val="008335BC"/>
    <w:rsid w:val="00833A71"/>
    <w:rsid w:val="00833AB0"/>
    <w:rsid w:val="00833CB6"/>
    <w:rsid w:val="00833F10"/>
    <w:rsid w:val="0083410C"/>
    <w:rsid w:val="00834389"/>
    <w:rsid w:val="00834599"/>
    <w:rsid w:val="00834918"/>
    <w:rsid w:val="008349AD"/>
    <w:rsid w:val="00834A14"/>
    <w:rsid w:val="00834A1A"/>
    <w:rsid w:val="00834BB1"/>
    <w:rsid w:val="00834ECE"/>
    <w:rsid w:val="00834F32"/>
    <w:rsid w:val="0083517D"/>
    <w:rsid w:val="008351AB"/>
    <w:rsid w:val="008353CF"/>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0C5"/>
    <w:rsid w:val="00837520"/>
    <w:rsid w:val="0083775C"/>
    <w:rsid w:val="0083781A"/>
    <w:rsid w:val="008378E3"/>
    <w:rsid w:val="008379CB"/>
    <w:rsid w:val="008379EC"/>
    <w:rsid w:val="00837C9F"/>
    <w:rsid w:val="00837D72"/>
    <w:rsid w:val="00840056"/>
    <w:rsid w:val="008401B0"/>
    <w:rsid w:val="008401DF"/>
    <w:rsid w:val="008401F5"/>
    <w:rsid w:val="00840382"/>
    <w:rsid w:val="0084040F"/>
    <w:rsid w:val="0084053B"/>
    <w:rsid w:val="0084061E"/>
    <w:rsid w:val="0084096F"/>
    <w:rsid w:val="00840A1A"/>
    <w:rsid w:val="00841117"/>
    <w:rsid w:val="008411DC"/>
    <w:rsid w:val="0084127F"/>
    <w:rsid w:val="008413A1"/>
    <w:rsid w:val="0084148C"/>
    <w:rsid w:val="008414EA"/>
    <w:rsid w:val="00841611"/>
    <w:rsid w:val="00841718"/>
    <w:rsid w:val="00841C56"/>
    <w:rsid w:val="00841D13"/>
    <w:rsid w:val="00841EA8"/>
    <w:rsid w:val="00841F8E"/>
    <w:rsid w:val="00841FCB"/>
    <w:rsid w:val="00842689"/>
    <w:rsid w:val="00842886"/>
    <w:rsid w:val="00842904"/>
    <w:rsid w:val="00842B0E"/>
    <w:rsid w:val="00842B37"/>
    <w:rsid w:val="00843007"/>
    <w:rsid w:val="008434AD"/>
    <w:rsid w:val="00843507"/>
    <w:rsid w:val="008436DC"/>
    <w:rsid w:val="0084391A"/>
    <w:rsid w:val="00843B97"/>
    <w:rsid w:val="00843BEF"/>
    <w:rsid w:val="00843E8C"/>
    <w:rsid w:val="0084402A"/>
    <w:rsid w:val="00844219"/>
    <w:rsid w:val="0084434D"/>
    <w:rsid w:val="008443C9"/>
    <w:rsid w:val="008443F5"/>
    <w:rsid w:val="0084450D"/>
    <w:rsid w:val="00844680"/>
    <w:rsid w:val="00844A9F"/>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39"/>
    <w:rsid w:val="008477D6"/>
    <w:rsid w:val="0084785F"/>
    <w:rsid w:val="00847C6E"/>
    <w:rsid w:val="00847CF9"/>
    <w:rsid w:val="00847E53"/>
    <w:rsid w:val="00847F86"/>
    <w:rsid w:val="00850051"/>
    <w:rsid w:val="00850230"/>
    <w:rsid w:val="00850852"/>
    <w:rsid w:val="00850881"/>
    <w:rsid w:val="00850D5B"/>
    <w:rsid w:val="00850FF3"/>
    <w:rsid w:val="008512B3"/>
    <w:rsid w:val="008514CA"/>
    <w:rsid w:val="00851842"/>
    <w:rsid w:val="0085191A"/>
    <w:rsid w:val="00851CBE"/>
    <w:rsid w:val="00851E77"/>
    <w:rsid w:val="0085204D"/>
    <w:rsid w:val="0085222F"/>
    <w:rsid w:val="00852381"/>
    <w:rsid w:val="008524B7"/>
    <w:rsid w:val="00852726"/>
    <w:rsid w:val="0085293B"/>
    <w:rsid w:val="0085299D"/>
    <w:rsid w:val="00852C02"/>
    <w:rsid w:val="00852DCE"/>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EAC"/>
    <w:rsid w:val="0085527F"/>
    <w:rsid w:val="008554AB"/>
    <w:rsid w:val="00855636"/>
    <w:rsid w:val="0085570C"/>
    <w:rsid w:val="00855767"/>
    <w:rsid w:val="00855B52"/>
    <w:rsid w:val="00855BA5"/>
    <w:rsid w:val="00855D85"/>
    <w:rsid w:val="008560C2"/>
    <w:rsid w:val="00856118"/>
    <w:rsid w:val="00856167"/>
    <w:rsid w:val="00856193"/>
    <w:rsid w:val="00856203"/>
    <w:rsid w:val="00856232"/>
    <w:rsid w:val="008562D5"/>
    <w:rsid w:val="00856374"/>
    <w:rsid w:val="00856433"/>
    <w:rsid w:val="0085655C"/>
    <w:rsid w:val="00856583"/>
    <w:rsid w:val="0085679A"/>
    <w:rsid w:val="008567C6"/>
    <w:rsid w:val="00856886"/>
    <w:rsid w:val="008569EF"/>
    <w:rsid w:val="00856A18"/>
    <w:rsid w:val="00856C85"/>
    <w:rsid w:val="00856E7E"/>
    <w:rsid w:val="008570C9"/>
    <w:rsid w:val="0085712A"/>
    <w:rsid w:val="00857272"/>
    <w:rsid w:val="0085749B"/>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1D57"/>
    <w:rsid w:val="0086203E"/>
    <w:rsid w:val="00862110"/>
    <w:rsid w:val="00862114"/>
    <w:rsid w:val="00862189"/>
    <w:rsid w:val="00862243"/>
    <w:rsid w:val="008622DD"/>
    <w:rsid w:val="0086276A"/>
    <w:rsid w:val="00862784"/>
    <w:rsid w:val="0086279E"/>
    <w:rsid w:val="00862947"/>
    <w:rsid w:val="00862B1D"/>
    <w:rsid w:val="00862B3C"/>
    <w:rsid w:val="00862C3D"/>
    <w:rsid w:val="00862C45"/>
    <w:rsid w:val="00862D7C"/>
    <w:rsid w:val="00862DC4"/>
    <w:rsid w:val="00862DD5"/>
    <w:rsid w:val="00862EEE"/>
    <w:rsid w:val="008630FC"/>
    <w:rsid w:val="00863764"/>
    <w:rsid w:val="008637A3"/>
    <w:rsid w:val="008637CB"/>
    <w:rsid w:val="0086399C"/>
    <w:rsid w:val="00863B07"/>
    <w:rsid w:val="00863B98"/>
    <w:rsid w:val="00863CD8"/>
    <w:rsid w:val="0086400E"/>
    <w:rsid w:val="008640E5"/>
    <w:rsid w:val="008641A6"/>
    <w:rsid w:val="00864456"/>
    <w:rsid w:val="008646AD"/>
    <w:rsid w:val="008646C0"/>
    <w:rsid w:val="008646F5"/>
    <w:rsid w:val="00864773"/>
    <w:rsid w:val="008647C6"/>
    <w:rsid w:val="00864874"/>
    <w:rsid w:val="00864A37"/>
    <w:rsid w:val="00864A50"/>
    <w:rsid w:val="00864B23"/>
    <w:rsid w:val="00864B8F"/>
    <w:rsid w:val="00864F35"/>
    <w:rsid w:val="0086505E"/>
    <w:rsid w:val="008650C9"/>
    <w:rsid w:val="00865140"/>
    <w:rsid w:val="00865345"/>
    <w:rsid w:val="0086562E"/>
    <w:rsid w:val="00865691"/>
    <w:rsid w:val="008658F7"/>
    <w:rsid w:val="00865D70"/>
    <w:rsid w:val="00865ED0"/>
    <w:rsid w:val="008661B4"/>
    <w:rsid w:val="00866253"/>
    <w:rsid w:val="008663D3"/>
    <w:rsid w:val="008663FA"/>
    <w:rsid w:val="00866689"/>
    <w:rsid w:val="0086695D"/>
    <w:rsid w:val="00866A26"/>
    <w:rsid w:val="00866AD6"/>
    <w:rsid w:val="00866BB3"/>
    <w:rsid w:val="00866CA0"/>
    <w:rsid w:val="00866CA4"/>
    <w:rsid w:val="00866D3A"/>
    <w:rsid w:val="00867141"/>
    <w:rsid w:val="0086728A"/>
    <w:rsid w:val="00867702"/>
    <w:rsid w:val="008677EF"/>
    <w:rsid w:val="00867B5F"/>
    <w:rsid w:val="00867C36"/>
    <w:rsid w:val="00867CE6"/>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0E98"/>
    <w:rsid w:val="00871012"/>
    <w:rsid w:val="00871102"/>
    <w:rsid w:val="00871134"/>
    <w:rsid w:val="00871251"/>
    <w:rsid w:val="008716A4"/>
    <w:rsid w:val="00871E51"/>
    <w:rsid w:val="0087227A"/>
    <w:rsid w:val="0087228F"/>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CB"/>
    <w:rsid w:val="00873F92"/>
    <w:rsid w:val="0087406D"/>
    <w:rsid w:val="008740C8"/>
    <w:rsid w:val="008740C9"/>
    <w:rsid w:val="008742B2"/>
    <w:rsid w:val="00874486"/>
    <w:rsid w:val="0087455E"/>
    <w:rsid w:val="0087466C"/>
    <w:rsid w:val="008746E1"/>
    <w:rsid w:val="008748B8"/>
    <w:rsid w:val="00874AF3"/>
    <w:rsid w:val="00874CC3"/>
    <w:rsid w:val="00874CF8"/>
    <w:rsid w:val="0087508F"/>
    <w:rsid w:val="0087527C"/>
    <w:rsid w:val="00875369"/>
    <w:rsid w:val="008754B1"/>
    <w:rsid w:val="008756B0"/>
    <w:rsid w:val="00875758"/>
    <w:rsid w:val="008758D3"/>
    <w:rsid w:val="00875BF8"/>
    <w:rsid w:val="00875D96"/>
    <w:rsid w:val="00875DC8"/>
    <w:rsid w:val="00875ECC"/>
    <w:rsid w:val="0087636C"/>
    <w:rsid w:val="008763A7"/>
    <w:rsid w:val="00876507"/>
    <w:rsid w:val="00876713"/>
    <w:rsid w:val="00876941"/>
    <w:rsid w:val="00876A40"/>
    <w:rsid w:val="00876A45"/>
    <w:rsid w:val="00876C0B"/>
    <w:rsid w:val="00876C55"/>
    <w:rsid w:val="00876F48"/>
    <w:rsid w:val="00876F67"/>
    <w:rsid w:val="00877132"/>
    <w:rsid w:val="008772BE"/>
    <w:rsid w:val="008772F1"/>
    <w:rsid w:val="00877337"/>
    <w:rsid w:val="00877443"/>
    <w:rsid w:val="00877569"/>
    <w:rsid w:val="008775B0"/>
    <w:rsid w:val="00877943"/>
    <w:rsid w:val="00877FA9"/>
    <w:rsid w:val="0088003B"/>
    <w:rsid w:val="00880053"/>
    <w:rsid w:val="0088024C"/>
    <w:rsid w:val="00880274"/>
    <w:rsid w:val="0088036B"/>
    <w:rsid w:val="00880392"/>
    <w:rsid w:val="008805E5"/>
    <w:rsid w:val="0088083D"/>
    <w:rsid w:val="0088092F"/>
    <w:rsid w:val="008809EE"/>
    <w:rsid w:val="008809F9"/>
    <w:rsid w:val="00880B7F"/>
    <w:rsid w:val="00880BEF"/>
    <w:rsid w:val="00880C81"/>
    <w:rsid w:val="00880CB0"/>
    <w:rsid w:val="00880DA9"/>
    <w:rsid w:val="0088102E"/>
    <w:rsid w:val="00881163"/>
    <w:rsid w:val="00881172"/>
    <w:rsid w:val="008811B9"/>
    <w:rsid w:val="008811DF"/>
    <w:rsid w:val="00881319"/>
    <w:rsid w:val="00881438"/>
    <w:rsid w:val="008819DE"/>
    <w:rsid w:val="00881EAF"/>
    <w:rsid w:val="00881EE6"/>
    <w:rsid w:val="00881F6A"/>
    <w:rsid w:val="00881F70"/>
    <w:rsid w:val="00882096"/>
    <w:rsid w:val="0088212E"/>
    <w:rsid w:val="00882184"/>
    <w:rsid w:val="0088222F"/>
    <w:rsid w:val="0088225F"/>
    <w:rsid w:val="008822EE"/>
    <w:rsid w:val="00882627"/>
    <w:rsid w:val="008826D3"/>
    <w:rsid w:val="008829A6"/>
    <w:rsid w:val="00882AFD"/>
    <w:rsid w:val="00882D15"/>
    <w:rsid w:val="0088302A"/>
    <w:rsid w:val="00883091"/>
    <w:rsid w:val="00883217"/>
    <w:rsid w:val="00883318"/>
    <w:rsid w:val="00883544"/>
    <w:rsid w:val="008839B5"/>
    <w:rsid w:val="00883FAA"/>
    <w:rsid w:val="008840E6"/>
    <w:rsid w:val="00884383"/>
    <w:rsid w:val="00884993"/>
    <w:rsid w:val="00884B44"/>
    <w:rsid w:val="00884D79"/>
    <w:rsid w:val="00884FF5"/>
    <w:rsid w:val="0088501B"/>
    <w:rsid w:val="0088503D"/>
    <w:rsid w:val="00885076"/>
    <w:rsid w:val="008850A1"/>
    <w:rsid w:val="0088517D"/>
    <w:rsid w:val="008851C6"/>
    <w:rsid w:val="00885552"/>
    <w:rsid w:val="008855B3"/>
    <w:rsid w:val="008857B3"/>
    <w:rsid w:val="008857D8"/>
    <w:rsid w:val="00885888"/>
    <w:rsid w:val="008858B5"/>
    <w:rsid w:val="00885A1F"/>
    <w:rsid w:val="00885E43"/>
    <w:rsid w:val="00885E7C"/>
    <w:rsid w:val="00885F6C"/>
    <w:rsid w:val="00886014"/>
    <w:rsid w:val="0088626E"/>
    <w:rsid w:val="00886393"/>
    <w:rsid w:val="008867D4"/>
    <w:rsid w:val="00886935"/>
    <w:rsid w:val="00886949"/>
    <w:rsid w:val="008869EF"/>
    <w:rsid w:val="00886B07"/>
    <w:rsid w:val="00886DF0"/>
    <w:rsid w:val="0088722E"/>
    <w:rsid w:val="008872A6"/>
    <w:rsid w:val="0088757B"/>
    <w:rsid w:val="008875CF"/>
    <w:rsid w:val="0088764A"/>
    <w:rsid w:val="00887699"/>
    <w:rsid w:val="00887858"/>
    <w:rsid w:val="00887872"/>
    <w:rsid w:val="00887A51"/>
    <w:rsid w:val="00887C99"/>
    <w:rsid w:val="00887CB3"/>
    <w:rsid w:val="00887E97"/>
    <w:rsid w:val="00887ED8"/>
    <w:rsid w:val="00887F92"/>
    <w:rsid w:val="008908A8"/>
    <w:rsid w:val="00890AC9"/>
    <w:rsid w:val="008910FE"/>
    <w:rsid w:val="008912FB"/>
    <w:rsid w:val="0089132B"/>
    <w:rsid w:val="008913DA"/>
    <w:rsid w:val="00891427"/>
    <w:rsid w:val="008916EA"/>
    <w:rsid w:val="00891C61"/>
    <w:rsid w:val="00891EF3"/>
    <w:rsid w:val="00892045"/>
    <w:rsid w:val="008921CB"/>
    <w:rsid w:val="00892335"/>
    <w:rsid w:val="0089237D"/>
    <w:rsid w:val="00892615"/>
    <w:rsid w:val="00892661"/>
    <w:rsid w:val="00892707"/>
    <w:rsid w:val="0089276E"/>
    <w:rsid w:val="0089285B"/>
    <w:rsid w:val="0089292F"/>
    <w:rsid w:val="00892E01"/>
    <w:rsid w:val="00892E94"/>
    <w:rsid w:val="00893429"/>
    <w:rsid w:val="00893741"/>
    <w:rsid w:val="00893835"/>
    <w:rsid w:val="00893877"/>
    <w:rsid w:val="00893A07"/>
    <w:rsid w:val="00893AD3"/>
    <w:rsid w:val="00894509"/>
    <w:rsid w:val="00894546"/>
    <w:rsid w:val="008946F5"/>
    <w:rsid w:val="00894887"/>
    <w:rsid w:val="0089496C"/>
    <w:rsid w:val="00894A58"/>
    <w:rsid w:val="00894E13"/>
    <w:rsid w:val="0089510F"/>
    <w:rsid w:val="0089528A"/>
    <w:rsid w:val="008952EA"/>
    <w:rsid w:val="00895897"/>
    <w:rsid w:val="008959B9"/>
    <w:rsid w:val="00895C20"/>
    <w:rsid w:val="00895CDC"/>
    <w:rsid w:val="00895D84"/>
    <w:rsid w:val="00895F50"/>
    <w:rsid w:val="00896113"/>
    <w:rsid w:val="0089623B"/>
    <w:rsid w:val="00896254"/>
    <w:rsid w:val="008963DB"/>
    <w:rsid w:val="0089654A"/>
    <w:rsid w:val="00896819"/>
    <w:rsid w:val="00896978"/>
    <w:rsid w:val="00896C67"/>
    <w:rsid w:val="00896DA1"/>
    <w:rsid w:val="00897094"/>
    <w:rsid w:val="00897108"/>
    <w:rsid w:val="008971A8"/>
    <w:rsid w:val="0089722C"/>
    <w:rsid w:val="008972FF"/>
    <w:rsid w:val="008974FA"/>
    <w:rsid w:val="00897556"/>
    <w:rsid w:val="0089793E"/>
    <w:rsid w:val="008979DE"/>
    <w:rsid w:val="00897A73"/>
    <w:rsid w:val="00897AA1"/>
    <w:rsid w:val="00897C45"/>
    <w:rsid w:val="00897CB1"/>
    <w:rsid w:val="00897CCF"/>
    <w:rsid w:val="00897CFE"/>
    <w:rsid w:val="00897E82"/>
    <w:rsid w:val="008A00B0"/>
    <w:rsid w:val="008A0335"/>
    <w:rsid w:val="008A0411"/>
    <w:rsid w:val="008A0473"/>
    <w:rsid w:val="008A04EB"/>
    <w:rsid w:val="008A0509"/>
    <w:rsid w:val="008A086D"/>
    <w:rsid w:val="008A0E69"/>
    <w:rsid w:val="008A100A"/>
    <w:rsid w:val="008A132A"/>
    <w:rsid w:val="008A1917"/>
    <w:rsid w:val="008A1944"/>
    <w:rsid w:val="008A1D22"/>
    <w:rsid w:val="008A1E1F"/>
    <w:rsid w:val="008A1E7C"/>
    <w:rsid w:val="008A1EAA"/>
    <w:rsid w:val="008A20E3"/>
    <w:rsid w:val="008A21AC"/>
    <w:rsid w:val="008A2601"/>
    <w:rsid w:val="008A28FE"/>
    <w:rsid w:val="008A2A5B"/>
    <w:rsid w:val="008A2A64"/>
    <w:rsid w:val="008A2C2E"/>
    <w:rsid w:val="008A2CC4"/>
    <w:rsid w:val="008A2D16"/>
    <w:rsid w:val="008A2D97"/>
    <w:rsid w:val="008A2DA6"/>
    <w:rsid w:val="008A2F8B"/>
    <w:rsid w:val="008A30F4"/>
    <w:rsid w:val="008A343D"/>
    <w:rsid w:val="008A3669"/>
    <w:rsid w:val="008A3FF0"/>
    <w:rsid w:val="008A4167"/>
    <w:rsid w:val="008A4187"/>
    <w:rsid w:val="008A41C1"/>
    <w:rsid w:val="008A4257"/>
    <w:rsid w:val="008A43EF"/>
    <w:rsid w:val="008A44F6"/>
    <w:rsid w:val="008A4517"/>
    <w:rsid w:val="008A481F"/>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410"/>
    <w:rsid w:val="008A653A"/>
    <w:rsid w:val="008A654B"/>
    <w:rsid w:val="008A6598"/>
    <w:rsid w:val="008A668F"/>
    <w:rsid w:val="008A66CA"/>
    <w:rsid w:val="008A675A"/>
    <w:rsid w:val="008A6B06"/>
    <w:rsid w:val="008A6C5B"/>
    <w:rsid w:val="008A6CC9"/>
    <w:rsid w:val="008A6E94"/>
    <w:rsid w:val="008A6EE9"/>
    <w:rsid w:val="008A6FFA"/>
    <w:rsid w:val="008A7078"/>
    <w:rsid w:val="008A713B"/>
    <w:rsid w:val="008A713D"/>
    <w:rsid w:val="008A7449"/>
    <w:rsid w:val="008A766A"/>
    <w:rsid w:val="008A7723"/>
    <w:rsid w:val="008A7822"/>
    <w:rsid w:val="008A7986"/>
    <w:rsid w:val="008A7B15"/>
    <w:rsid w:val="008A7B44"/>
    <w:rsid w:val="008A7D97"/>
    <w:rsid w:val="008B06C0"/>
    <w:rsid w:val="008B0787"/>
    <w:rsid w:val="008B0844"/>
    <w:rsid w:val="008B089E"/>
    <w:rsid w:val="008B08C3"/>
    <w:rsid w:val="008B098C"/>
    <w:rsid w:val="008B0A03"/>
    <w:rsid w:val="008B0CC4"/>
    <w:rsid w:val="008B0CC8"/>
    <w:rsid w:val="008B0D38"/>
    <w:rsid w:val="008B0E1C"/>
    <w:rsid w:val="008B0EA5"/>
    <w:rsid w:val="008B1030"/>
    <w:rsid w:val="008B136E"/>
    <w:rsid w:val="008B15DA"/>
    <w:rsid w:val="008B165B"/>
    <w:rsid w:val="008B1690"/>
    <w:rsid w:val="008B19D7"/>
    <w:rsid w:val="008B1A0E"/>
    <w:rsid w:val="008B1A89"/>
    <w:rsid w:val="008B1DDA"/>
    <w:rsid w:val="008B2107"/>
    <w:rsid w:val="008B2131"/>
    <w:rsid w:val="008B2178"/>
    <w:rsid w:val="008B21D7"/>
    <w:rsid w:val="008B248A"/>
    <w:rsid w:val="008B2767"/>
    <w:rsid w:val="008B2798"/>
    <w:rsid w:val="008B2A93"/>
    <w:rsid w:val="008B2B5A"/>
    <w:rsid w:val="008B2BA7"/>
    <w:rsid w:val="008B2D79"/>
    <w:rsid w:val="008B2E39"/>
    <w:rsid w:val="008B2FDD"/>
    <w:rsid w:val="008B310A"/>
    <w:rsid w:val="008B31B9"/>
    <w:rsid w:val="008B31D9"/>
    <w:rsid w:val="008B3475"/>
    <w:rsid w:val="008B354B"/>
    <w:rsid w:val="008B35A5"/>
    <w:rsid w:val="008B35DB"/>
    <w:rsid w:val="008B37CC"/>
    <w:rsid w:val="008B3ABB"/>
    <w:rsid w:val="008B3B51"/>
    <w:rsid w:val="008B3BB4"/>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1"/>
    <w:rsid w:val="008B65DB"/>
    <w:rsid w:val="008B67DE"/>
    <w:rsid w:val="008B6D8E"/>
    <w:rsid w:val="008B6EF0"/>
    <w:rsid w:val="008B6F2C"/>
    <w:rsid w:val="008B6F6C"/>
    <w:rsid w:val="008B70B1"/>
    <w:rsid w:val="008B719B"/>
    <w:rsid w:val="008B71AD"/>
    <w:rsid w:val="008B73A2"/>
    <w:rsid w:val="008B741C"/>
    <w:rsid w:val="008B7763"/>
    <w:rsid w:val="008B7B00"/>
    <w:rsid w:val="008B7B58"/>
    <w:rsid w:val="008B7DBE"/>
    <w:rsid w:val="008B7FA2"/>
    <w:rsid w:val="008B7FCC"/>
    <w:rsid w:val="008C00C8"/>
    <w:rsid w:val="008C02B9"/>
    <w:rsid w:val="008C05EE"/>
    <w:rsid w:val="008C0711"/>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851"/>
    <w:rsid w:val="008C1940"/>
    <w:rsid w:val="008C1E84"/>
    <w:rsid w:val="008C2100"/>
    <w:rsid w:val="008C217C"/>
    <w:rsid w:val="008C2233"/>
    <w:rsid w:val="008C241C"/>
    <w:rsid w:val="008C2907"/>
    <w:rsid w:val="008C2AB5"/>
    <w:rsid w:val="008C2C35"/>
    <w:rsid w:val="008C2DD2"/>
    <w:rsid w:val="008C2EFC"/>
    <w:rsid w:val="008C2FA4"/>
    <w:rsid w:val="008C2FF8"/>
    <w:rsid w:val="008C31E6"/>
    <w:rsid w:val="008C32DB"/>
    <w:rsid w:val="008C350F"/>
    <w:rsid w:val="008C3584"/>
    <w:rsid w:val="008C3639"/>
    <w:rsid w:val="008C3766"/>
    <w:rsid w:val="008C3855"/>
    <w:rsid w:val="008C3879"/>
    <w:rsid w:val="008C38C0"/>
    <w:rsid w:val="008C3B1B"/>
    <w:rsid w:val="008C4190"/>
    <w:rsid w:val="008C42CC"/>
    <w:rsid w:val="008C43D2"/>
    <w:rsid w:val="008C4426"/>
    <w:rsid w:val="008C4465"/>
    <w:rsid w:val="008C4584"/>
    <w:rsid w:val="008C467C"/>
    <w:rsid w:val="008C47A1"/>
    <w:rsid w:val="008C4A2B"/>
    <w:rsid w:val="008C4A6D"/>
    <w:rsid w:val="008C4AD3"/>
    <w:rsid w:val="008C4AFA"/>
    <w:rsid w:val="008C4B0D"/>
    <w:rsid w:val="008C4C0A"/>
    <w:rsid w:val="008C4CE1"/>
    <w:rsid w:val="008C5158"/>
    <w:rsid w:val="008C522E"/>
    <w:rsid w:val="008C53B7"/>
    <w:rsid w:val="008C5617"/>
    <w:rsid w:val="008C5777"/>
    <w:rsid w:val="008C57F6"/>
    <w:rsid w:val="008C586C"/>
    <w:rsid w:val="008C58E9"/>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DE9"/>
    <w:rsid w:val="008C7E37"/>
    <w:rsid w:val="008D0261"/>
    <w:rsid w:val="008D027B"/>
    <w:rsid w:val="008D02B1"/>
    <w:rsid w:val="008D0324"/>
    <w:rsid w:val="008D0426"/>
    <w:rsid w:val="008D05C3"/>
    <w:rsid w:val="008D05D6"/>
    <w:rsid w:val="008D06F6"/>
    <w:rsid w:val="008D075B"/>
    <w:rsid w:val="008D1247"/>
    <w:rsid w:val="008D12A7"/>
    <w:rsid w:val="008D13AA"/>
    <w:rsid w:val="008D15E0"/>
    <w:rsid w:val="008D1724"/>
    <w:rsid w:val="008D17C1"/>
    <w:rsid w:val="008D19B2"/>
    <w:rsid w:val="008D19E1"/>
    <w:rsid w:val="008D1A95"/>
    <w:rsid w:val="008D1C6C"/>
    <w:rsid w:val="008D20B1"/>
    <w:rsid w:val="008D2152"/>
    <w:rsid w:val="008D2342"/>
    <w:rsid w:val="008D25AE"/>
    <w:rsid w:val="008D2A05"/>
    <w:rsid w:val="008D2ABD"/>
    <w:rsid w:val="008D2B74"/>
    <w:rsid w:val="008D2B99"/>
    <w:rsid w:val="008D3423"/>
    <w:rsid w:val="008D3488"/>
    <w:rsid w:val="008D35CF"/>
    <w:rsid w:val="008D366A"/>
    <w:rsid w:val="008D370F"/>
    <w:rsid w:val="008D3764"/>
    <w:rsid w:val="008D37D8"/>
    <w:rsid w:val="008D3A13"/>
    <w:rsid w:val="008D3A4C"/>
    <w:rsid w:val="008D3B1F"/>
    <w:rsid w:val="008D3C5B"/>
    <w:rsid w:val="008D3C99"/>
    <w:rsid w:val="008D3D27"/>
    <w:rsid w:val="008D3EBF"/>
    <w:rsid w:val="008D3FD5"/>
    <w:rsid w:val="008D4139"/>
    <w:rsid w:val="008D4207"/>
    <w:rsid w:val="008D4374"/>
    <w:rsid w:val="008D44F0"/>
    <w:rsid w:val="008D4530"/>
    <w:rsid w:val="008D4963"/>
    <w:rsid w:val="008D4D8C"/>
    <w:rsid w:val="008D51A1"/>
    <w:rsid w:val="008D5387"/>
    <w:rsid w:val="008D56EC"/>
    <w:rsid w:val="008D5B52"/>
    <w:rsid w:val="008D5D33"/>
    <w:rsid w:val="008D6080"/>
    <w:rsid w:val="008D60ED"/>
    <w:rsid w:val="008D618D"/>
    <w:rsid w:val="008D62A0"/>
    <w:rsid w:val="008D62E7"/>
    <w:rsid w:val="008D64F6"/>
    <w:rsid w:val="008D65AC"/>
    <w:rsid w:val="008D6624"/>
    <w:rsid w:val="008D67E6"/>
    <w:rsid w:val="008D688C"/>
    <w:rsid w:val="008D68F0"/>
    <w:rsid w:val="008D6B1A"/>
    <w:rsid w:val="008D6C50"/>
    <w:rsid w:val="008D6C7F"/>
    <w:rsid w:val="008D6D06"/>
    <w:rsid w:val="008D6E5A"/>
    <w:rsid w:val="008D71FB"/>
    <w:rsid w:val="008D7450"/>
    <w:rsid w:val="008D747F"/>
    <w:rsid w:val="008D7795"/>
    <w:rsid w:val="008D7971"/>
    <w:rsid w:val="008D7ADE"/>
    <w:rsid w:val="008D7B02"/>
    <w:rsid w:val="008D7C57"/>
    <w:rsid w:val="008D7DAD"/>
    <w:rsid w:val="008D7E51"/>
    <w:rsid w:val="008E0182"/>
    <w:rsid w:val="008E04C5"/>
    <w:rsid w:val="008E04DD"/>
    <w:rsid w:val="008E0881"/>
    <w:rsid w:val="008E08C8"/>
    <w:rsid w:val="008E0B20"/>
    <w:rsid w:val="008E0BA8"/>
    <w:rsid w:val="008E0D54"/>
    <w:rsid w:val="008E1080"/>
    <w:rsid w:val="008E13C4"/>
    <w:rsid w:val="008E16C0"/>
    <w:rsid w:val="008E188E"/>
    <w:rsid w:val="008E1956"/>
    <w:rsid w:val="008E19D0"/>
    <w:rsid w:val="008E1A06"/>
    <w:rsid w:val="008E1B63"/>
    <w:rsid w:val="008E1C21"/>
    <w:rsid w:val="008E1C66"/>
    <w:rsid w:val="008E1CCF"/>
    <w:rsid w:val="008E1ED9"/>
    <w:rsid w:val="008E1F0C"/>
    <w:rsid w:val="008E23CF"/>
    <w:rsid w:val="008E281E"/>
    <w:rsid w:val="008E2AE7"/>
    <w:rsid w:val="008E2BAB"/>
    <w:rsid w:val="008E2E03"/>
    <w:rsid w:val="008E2E1D"/>
    <w:rsid w:val="008E3242"/>
    <w:rsid w:val="008E32F8"/>
    <w:rsid w:val="008E3412"/>
    <w:rsid w:val="008E38F0"/>
    <w:rsid w:val="008E3D61"/>
    <w:rsid w:val="008E3ECA"/>
    <w:rsid w:val="008E3F17"/>
    <w:rsid w:val="008E405F"/>
    <w:rsid w:val="008E406F"/>
    <w:rsid w:val="008E41A5"/>
    <w:rsid w:val="008E41ED"/>
    <w:rsid w:val="008E420C"/>
    <w:rsid w:val="008E4242"/>
    <w:rsid w:val="008E4288"/>
    <w:rsid w:val="008E42BE"/>
    <w:rsid w:val="008E44A0"/>
    <w:rsid w:val="008E46D0"/>
    <w:rsid w:val="008E476C"/>
    <w:rsid w:val="008E491E"/>
    <w:rsid w:val="008E4BB1"/>
    <w:rsid w:val="008E503B"/>
    <w:rsid w:val="008E536A"/>
    <w:rsid w:val="008E56C7"/>
    <w:rsid w:val="008E58DD"/>
    <w:rsid w:val="008E590F"/>
    <w:rsid w:val="008E5B7C"/>
    <w:rsid w:val="008E5BD7"/>
    <w:rsid w:val="008E5F62"/>
    <w:rsid w:val="008E5FAB"/>
    <w:rsid w:val="008E6030"/>
    <w:rsid w:val="008E6150"/>
    <w:rsid w:val="008E6202"/>
    <w:rsid w:val="008E643E"/>
    <w:rsid w:val="008E6726"/>
    <w:rsid w:val="008E6744"/>
    <w:rsid w:val="008E6A73"/>
    <w:rsid w:val="008E6B52"/>
    <w:rsid w:val="008E6C30"/>
    <w:rsid w:val="008E6D71"/>
    <w:rsid w:val="008E6DBA"/>
    <w:rsid w:val="008E6E58"/>
    <w:rsid w:val="008E6E68"/>
    <w:rsid w:val="008E6F5E"/>
    <w:rsid w:val="008E70BC"/>
    <w:rsid w:val="008E728C"/>
    <w:rsid w:val="008E7512"/>
    <w:rsid w:val="008E7679"/>
    <w:rsid w:val="008E77E5"/>
    <w:rsid w:val="008E7BE8"/>
    <w:rsid w:val="008E7E6F"/>
    <w:rsid w:val="008F0096"/>
    <w:rsid w:val="008F00C1"/>
    <w:rsid w:val="008F03A0"/>
    <w:rsid w:val="008F0485"/>
    <w:rsid w:val="008F07CF"/>
    <w:rsid w:val="008F0984"/>
    <w:rsid w:val="008F0A73"/>
    <w:rsid w:val="008F0D20"/>
    <w:rsid w:val="008F0DFD"/>
    <w:rsid w:val="008F1118"/>
    <w:rsid w:val="008F1173"/>
    <w:rsid w:val="008F1195"/>
    <w:rsid w:val="008F12A6"/>
    <w:rsid w:val="008F16B9"/>
    <w:rsid w:val="008F1A66"/>
    <w:rsid w:val="008F1ABF"/>
    <w:rsid w:val="008F1B22"/>
    <w:rsid w:val="008F2390"/>
    <w:rsid w:val="008F23DF"/>
    <w:rsid w:val="008F2554"/>
    <w:rsid w:val="008F2735"/>
    <w:rsid w:val="008F27F5"/>
    <w:rsid w:val="008F2A87"/>
    <w:rsid w:val="008F2C0C"/>
    <w:rsid w:val="008F2C53"/>
    <w:rsid w:val="008F2CC4"/>
    <w:rsid w:val="008F2D91"/>
    <w:rsid w:val="008F2F53"/>
    <w:rsid w:val="008F30B0"/>
    <w:rsid w:val="008F30B8"/>
    <w:rsid w:val="008F3569"/>
    <w:rsid w:val="008F3607"/>
    <w:rsid w:val="008F3C9A"/>
    <w:rsid w:val="008F3CF5"/>
    <w:rsid w:val="008F3D9F"/>
    <w:rsid w:val="008F4238"/>
    <w:rsid w:val="008F4305"/>
    <w:rsid w:val="008F4444"/>
    <w:rsid w:val="008F449C"/>
    <w:rsid w:val="008F4633"/>
    <w:rsid w:val="008F474A"/>
    <w:rsid w:val="008F4A6F"/>
    <w:rsid w:val="008F4B46"/>
    <w:rsid w:val="008F4DB5"/>
    <w:rsid w:val="008F4DD0"/>
    <w:rsid w:val="008F4EC2"/>
    <w:rsid w:val="008F5091"/>
    <w:rsid w:val="008F50FD"/>
    <w:rsid w:val="008F52E4"/>
    <w:rsid w:val="008F52E6"/>
    <w:rsid w:val="008F53DE"/>
    <w:rsid w:val="008F5B62"/>
    <w:rsid w:val="008F5BAC"/>
    <w:rsid w:val="008F5E96"/>
    <w:rsid w:val="008F6133"/>
    <w:rsid w:val="008F6181"/>
    <w:rsid w:val="008F61AF"/>
    <w:rsid w:val="008F61DB"/>
    <w:rsid w:val="008F6299"/>
    <w:rsid w:val="008F62EA"/>
    <w:rsid w:val="008F63D1"/>
    <w:rsid w:val="008F666F"/>
    <w:rsid w:val="008F6708"/>
    <w:rsid w:val="008F6888"/>
    <w:rsid w:val="008F6A96"/>
    <w:rsid w:val="008F6C0E"/>
    <w:rsid w:val="008F70BC"/>
    <w:rsid w:val="008F720D"/>
    <w:rsid w:val="008F73A6"/>
    <w:rsid w:val="008F78EE"/>
    <w:rsid w:val="008F7933"/>
    <w:rsid w:val="008F7A07"/>
    <w:rsid w:val="008F7D30"/>
    <w:rsid w:val="008F7E9F"/>
    <w:rsid w:val="00900037"/>
    <w:rsid w:val="00900094"/>
    <w:rsid w:val="00900210"/>
    <w:rsid w:val="0090026F"/>
    <w:rsid w:val="00900501"/>
    <w:rsid w:val="00900973"/>
    <w:rsid w:val="00900992"/>
    <w:rsid w:val="00900EA0"/>
    <w:rsid w:val="00900EA4"/>
    <w:rsid w:val="009012A2"/>
    <w:rsid w:val="00901449"/>
    <w:rsid w:val="009015BB"/>
    <w:rsid w:val="00901694"/>
    <w:rsid w:val="009017F3"/>
    <w:rsid w:val="0090186D"/>
    <w:rsid w:val="0090190C"/>
    <w:rsid w:val="0090190D"/>
    <w:rsid w:val="009019A8"/>
    <w:rsid w:val="00901BE7"/>
    <w:rsid w:val="00901CC0"/>
    <w:rsid w:val="00901D09"/>
    <w:rsid w:val="00901D28"/>
    <w:rsid w:val="009020FB"/>
    <w:rsid w:val="009023BD"/>
    <w:rsid w:val="009025B1"/>
    <w:rsid w:val="0090260A"/>
    <w:rsid w:val="009026A5"/>
    <w:rsid w:val="00902773"/>
    <w:rsid w:val="009029BD"/>
    <w:rsid w:val="00902E40"/>
    <w:rsid w:val="00902E6F"/>
    <w:rsid w:val="00903126"/>
    <w:rsid w:val="009031C6"/>
    <w:rsid w:val="009031D9"/>
    <w:rsid w:val="0090328C"/>
    <w:rsid w:val="00903415"/>
    <w:rsid w:val="00903496"/>
    <w:rsid w:val="009037C3"/>
    <w:rsid w:val="00903887"/>
    <w:rsid w:val="0090398D"/>
    <w:rsid w:val="00903A08"/>
    <w:rsid w:val="00903A7B"/>
    <w:rsid w:val="00903BB4"/>
    <w:rsid w:val="009040CC"/>
    <w:rsid w:val="0090411E"/>
    <w:rsid w:val="009042BF"/>
    <w:rsid w:val="009043BB"/>
    <w:rsid w:val="00904589"/>
    <w:rsid w:val="0090475A"/>
    <w:rsid w:val="0090496B"/>
    <w:rsid w:val="009049C2"/>
    <w:rsid w:val="00904C64"/>
    <w:rsid w:val="00904E38"/>
    <w:rsid w:val="009052ED"/>
    <w:rsid w:val="00905542"/>
    <w:rsid w:val="00905545"/>
    <w:rsid w:val="00905623"/>
    <w:rsid w:val="0090579C"/>
    <w:rsid w:val="009058A9"/>
    <w:rsid w:val="00905A8C"/>
    <w:rsid w:val="00905BB5"/>
    <w:rsid w:val="00905CE5"/>
    <w:rsid w:val="00905E21"/>
    <w:rsid w:val="00905E48"/>
    <w:rsid w:val="00905E49"/>
    <w:rsid w:val="00905F33"/>
    <w:rsid w:val="0090607D"/>
    <w:rsid w:val="00906094"/>
    <w:rsid w:val="009061B8"/>
    <w:rsid w:val="009061EA"/>
    <w:rsid w:val="00906293"/>
    <w:rsid w:val="009065A4"/>
    <w:rsid w:val="00906A15"/>
    <w:rsid w:val="00906B0A"/>
    <w:rsid w:val="00906D8C"/>
    <w:rsid w:val="00906DF5"/>
    <w:rsid w:val="00906F39"/>
    <w:rsid w:val="00907162"/>
    <w:rsid w:val="00907262"/>
    <w:rsid w:val="009073E1"/>
    <w:rsid w:val="009079CA"/>
    <w:rsid w:val="00907A1C"/>
    <w:rsid w:val="00907A20"/>
    <w:rsid w:val="009101F9"/>
    <w:rsid w:val="00910389"/>
    <w:rsid w:val="009103A3"/>
    <w:rsid w:val="009106E1"/>
    <w:rsid w:val="0091080F"/>
    <w:rsid w:val="00910967"/>
    <w:rsid w:val="00910B7B"/>
    <w:rsid w:val="009110A7"/>
    <w:rsid w:val="00911106"/>
    <w:rsid w:val="00911294"/>
    <w:rsid w:val="0091144D"/>
    <w:rsid w:val="00911628"/>
    <w:rsid w:val="0091170F"/>
    <w:rsid w:val="00911AC8"/>
    <w:rsid w:val="00911E3D"/>
    <w:rsid w:val="00911FD2"/>
    <w:rsid w:val="00912207"/>
    <w:rsid w:val="009122F0"/>
    <w:rsid w:val="00912484"/>
    <w:rsid w:val="00912557"/>
    <w:rsid w:val="00912650"/>
    <w:rsid w:val="00912652"/>
    <w:rsid w:val="0091267C"/>
    <w:rsid w:val="009128F5"/>
    <w:rsid w:val="00912D0D"/>
    <w:rsid w:val="00912D30"/>
    <w:rsid w:val="00912DAD"/>
    <w:rsid w:val="00912F39"/>
    <w:rsid w:val="009132EA"/>
    <w:rsid w:val="00913372"/>
    <w:rsid w:val="00913667"/>
    <w:rsid w:val="009136D0"/>
    <w:rsid w:val="00913968"/>
    <w:rsid w:val="009139A0"/>
    <w:rsid w:val="00913A10"/>
    <w:rsid w:val="00913BD7"/>
    <w:rsid w:val="00913C53"/>
    <w:rsid w:val="00913D5C"/>
    <w:rsid w:val="00913EE4"/>
    <w:rsid w:val="00914003"/>
    <w:rsid w:val="00914027"/>
    <w:rsid w:val="0091423B"/>
    <w:rsid w:val="0091434F"/>
    <w:rsid w:val="0091458E"/>
    <w:rsid w:val="0091466C"/>
    <w:rsid w:val="00914714"/>
    <w:rsid w:val="00914960"/>
    <w:rsid w:val="00914A09"/>
    <w:rsid w:val="00914A78"/>
    <w:rsid w:val="00914A7D"/>
    <w:rsid w:val="00914DE7"/>
    <w:rsid w:val="00914EEC"/>
    <w:rsid w:val="009150CB"/>
    <w:rsid w:val="00915219"/>
    <w:rsid w:val="00915230"/>
    <w:rsid w:val="009152FF"/>
    <w:rsid w:val="009154A1"/>
    <w:rsid w:val="009155E4"/>
    <w:rsid w:val="00915708"/>
    <w:rsid w:val="00915764"/>
    <w:rsid w:val="009158B7"/>
    <w:rsid w:val="009159B4"/>
    <w:rsid w:val="009159C4"/>
    <w:rsid w:val="009159C9"/>
    <w:rsid w:val="00915CD3"/>
    <w:rsid w:val="009161E1"/>
    <w:rsid w:val="009161EF"/>
    <w:rsid w:val="0091627F"/>
    <w:rsid w:val="00916486"/>
    <w:rsid w:val="00916552"/>
    <w:rsid w:val="009167B5"/>
    <w:rsid w:val="0091685B"/>
    <w:rsid w:val="009169F8"/>
    <w:rsid w:val="00916C6A"/>
    <w:rsid w:val="00916CAA"/>
    <w:rsid w:val="00916D3A"/>
    <w:rsid w:val="00916EA9"/>
    <w:rsid w:val="00917944"/>
    <w:rsid w:val="00917A0B"/>
    <w:rsid w:val="00917AB4"/>
    <w:rsid w:val="00917B2B"/>
    <w:rsid w:val="00917C40"/>
    <w:rsid w:val="00917DC8"/>
    <w:rsid w:val="0092011A"/>
    <w:rsid w:val="00920134"/>
    <w:rsid w:val="0092015D"/>
    <w:rsid w:val="00920343"/>
    <w:rsid w:val="00920495"/>
    <w:rsid w:val="00920A25"/>
    <w:rsid w:val="00920B35"/>
    <w:rsid w:val="00920BC4"/>
    <w:rsid w:val="00920BEF"/>
    <w:rsid w:val="00920C63"/>
    <w:rsid w:val="00920EB8"/>
    <w:rsid w:val="00920F71"/>
    <w:rsid w:val="00920FDA"/>
    <w:rsid w:val="00921148"/>
    <w:rsid w:val="0092128B"/>
    <w:rsid w:val="0092145E"/>
    <w:rsid w:val="00921813"/>
    <w:rsid w:val="0092190B"/>
    <w:rsid w:val="00921986"/>
    <w:rsid w:val="00921F28"/>
    <w:rsid w:val="009220A9"/>
    <w:rsid w:val="009222CC"/>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416"/>
    <w:rsid w:val="00923A2C"/>
    <w:rsid w:val="00923DBC"/>
    <w:rsid w:val="00923E62"/>
    <w:rsid w:val="00923FA2"/>
    <w:rsid w:val="00923FEE"/>
    <w:rsid w:val="0092443D"/>
    <w:rsid w:val="00924576"/>
    <w:rsid w:val="009245E8"/>
    <w:rsid w:val="00924763"/>
    <w:rsid w:val="009247FB"/>
    <w:rsid w:val="00924908"/>
    <w:rsid w:val="00924C11"/>
    <w:rsid w:val="00924CDD"/>
    <w:rsid w:val="00924EA8"/>
    <w:rsid w:val="00924EED"/>
    <w:rsid w:val="0092515B"/>
    <w:rsid w:val="0092539E"/>
    <w:rsid w:val="00925434"/>
    <w:rsid w:val="009255B1"/>
    <w:rsid w:val="0092591C"/>
    <w:rsid w:val="0092593C"/>
    <w:rsid w:val="00925C8B"/>
    <w:rsid w:val="00925D12"/>
    <w:rsid w:val="00925DD5"/>
    <w:rsid w:val="00925DF5"/>
    <w:rsid w:val="00925EDF"/>
    <w:rsid w:val="00925FA4"/>
    <w:rsid w:val="00926086"/>
    <w:rsid w:val="00926217"/>
    <w:rsid w:val="00926742"/>
    <w:rsid w:val="00926AB9"/>
    <w:rsid w:val="00926BB7"/>
    <w:rsid w:val="00927100"/>
    <w:rsid w:val="0092721A"/>
    <w:rsid w:val="00927258"/>
    <w:rsid w:val="0092788B"/>
    <w:rsid w:val="009278AC"/>
    <w:rsid w:val="00927909"/>
    <w:rsid w:val="00927954"/>
    <w:rsid w:val="00927999"/>
    <w:rsid w:val="00927A76"/>
    <w:rsid w:val="00927BA1"/>
    <w:rsid w:val="00927FBC"/>
    <w:rsid w:val="0093002C"/>
    <w:rsid w:val="009303DD"/>
    <w:rsid w:val="00930543"/>
    <w:rsid w:val="009309C5"/>
    <w:rsid w:val="00930BEB"/>
    <w:rsid w:val="00930CC5"/>
    <w:rsid w:val="00930E30"/>
    <w:rsid w:val="00930E65"/>
    <w:rsid w:val="00930ECA"/>
    <w:rsid w:val="00930F64"/>
    <w:rsid w:val="00931184"/>
    <w:rsid w:val="0093137B"/>
    <w:rsid w:val="009313E7"/>
    <w:rsid w:val="0093151F"/>
    <w:rsid w:val="009315C2"/>
    <w:rsid w:val="009315E4"/>
    <w:rsid w:val="009317F4"/>
    <w:rsid w:val="0093193A"/>
    <w:rsid w:val="00931D5B"/>
    <w:rsid w:val="00931F6C"/>
    <w:rsid w:val="00932016"/>
    <w:rsid w:val="00932339"/>
    <w:rsid w:val="00932363"/>
    <w:rsid w:val="009323C1"/>
    <w:rsid w:val="009323C9"/>
    <w:rsid w:val="009324E0"/>
    <w:rsid w:val="009324F5"/>
    <w:rsid w:val="00932629"/>
    <w:rsid w:val="009326D1"/>
    <w:rsid w:val="00932776"/>
    <w:rsid w:val="009328AE"/>
    <w:rsid w:val="009329BB"/>
    <w:rsid w:val="00932C25"/>
    <w:rsid w:val="00932D9C"/>
    <w:rsid w:val="00932DF5"/>
    <w:rsid w:val="00933098"/>
    <w:rsid w:val="0093317B"/>
    <w:rsid w:val="0093317F"/>
    <w:rsid w:val="0093332D"/>
    <w:rsid w:val="0093343F"/>
    <w:rsid w:val="00933599"/>
    <w:rsid w:val="00933667"/>
    <w:rsid w:val="009337D5"/>
    <w:rsid w:val="009338AE"/>
    <w:rsid w:val="0093393D"/>
    <w:rsid w:val="009339E2"/>
    <w:rsid w:val="00933AF8"/>
    <w:rsid w:val="00933CA6"/>
    <w:rsid w:val="00933D60"/>
    <w:rsid w:val="009341B6"/>
    <w:rsid w:val="0093420D"/>
    <w:rsid w:val="009346E9"/>
    <w:rsid w:val="00934DE3"/>
    <w:rsid w:val="00935039"/>
    <w:rsid w:val="00935163"/>
    <w:rsid w:val="0093534F"/>
    <w:rsid w:val="0093568F"/>
    <w:rsid w:val="009357E2"/>
    <w:rsid w:val="009359F8"/>
    <w:rsid w:val="00935A12"/>
    <w:rsid w:val="00935B63"/>
    <w:rsid w:val="009360BB"/>
    <w:rsid w:val="0093652C"/>
    <w:rsid w:val="00936648"/>
    <w:rsid w:val="0093693E"/>
    <w:rsid w:val="00936BB9"/>
    <w:rsid w:val="00936E81"/>
    <w:rsid w:val="009370FA"/>
    <w:rsid w:val="009371E1"/>
    <w:rsid w:val="00937267"/>
    <w:rsid w:val="00937335"/>
    <w:rsid w:val="0093737F"/>
    <w:rsid w:val="00937653"/>
    <w:rsid w:val="0093779D"/>
    <w:rsid w:val="009378A1"/>
    <w:rsid w:val="00937F38"/>
    <w:rsid w:val="0094027C"/>
    <w:rsid w:val="00940280"/>
    <w:rsid w:val="00940469"/>
    <w:rsid w:val="00940510"/>
    <w:rsid w:val="00940514"/>
    <w:rsid w:val="00940519"/>
    <w:rsid w:val="00940598"/>
    <w:rsid w:val="00940680"/>
    <w:rsid w:val="0094093A"/>
    <w:rsid w:val="0094094B"/>
    <w:rsid w:val="00940CE1"/>
    <w:rsid w:val="00940DA0"/>
    <w:rsid w:val="0094130B"/>
    <w:rsid w:val="0094130D"/>
    <w:rsid w:val="0094167C"/>
    <w:rsid w:val="009416EA"/>
    <w:rsid w:val="009418B3"/>
    <w:rsid w:val="00941D17"/>
    <w:rsid w:val="00941F17"/>
    <w:rsid w:val="0094200C"/>
    <w:rsid w:val="00942094"/>
    <w:rsid w:val="009421CA"/>
    <w:rsid w:val="0094220E"/>
    <w:rsid w:val="009424DB"/>
    <w:rsid w:val="009424F1"/>
    <w:rsid w:val="00942662"/>
    <w:rsid w:val="0094288B"/>
    <w:rsid w:val="00942985"/>
    <w:rsid w:val="00942B2C"/>
    <w:rsid w:val="00942E73"/>
    <w:rsid w:val="00942EF0"/>
    <w:rsid w:val="00942FFE"/>
    <w:rsid w:val="0094398A"/>
    <w:rsid w:val="00943A14"/>
    <w:rsid w:val="00943A22"/>
    <w:rsid w:val="00943D23"/>
    <w:rsid w:val="00943E1E"/>
    <w:rsid w:val="0094446E"/>
    <w:rsid w:val="0094457C"/>
    <w:rsid w:val="009445C6"/>
    <w:rsid w:val="009445D6"/>
    <w:rsid w:val="009447C2"/>
    <w:rsid w:val="00944AA1"/>
    <w:rsid w:val="00944FE2"/>
    <w:rsid w:val="00945002"/>
    <w:rsid w:val="0094510A"/>
    <w:rsid w:val="009452BC"/>
    <w:rsid w:val="0094558B"/>
    <w:rsid w:val="009456D7"/>
    <w:rsid w:val="00945B4D"/>
    <w:rsid w:val="00945C2D"/>
    <w:rsid w:val="00945CD6"/>
    <w:rsid w:val="00945E3A"/>
    <w:rsid w:val="00945E64"/>
    <w:rsid w:val="00945EA5"/>
    <w:rsid w:val="00945EAD"/>
    <w:rsid w:val="00945F0F"/>
    <w:rsid w:val="00945F79"/>
    <w:rsid w:val="0094607F"/>
    <w:rsid w:val="009463E9"/>
    <w:rsid w:val="009464C7"/>
    <w:rsid w:val="009464EC"/>
    <w:rsid w:val="009466F4"/>
    <w:rsid w:val="009469C7"/>
    <w:rsid w:val="00946A6D"/>
    <w:rsid w:val="00946AED"/>
    <w:rsid w:val="00946E2C"/>
    <w:rsid w:val="009470C3"/>
    <w:rsid w:val="0094728C"/>
    <w:rsid w:val="0094735A"/>
    <w:rsid w:val="0094743F"/>
    <w:rsid w:val="0094761A"/>
    <w:rsid w:val="00947A84"/>
    <w:rsid w:val="00947C9B"/>
    <w:rsid w:val="00947CB0"/>
    <w:rsid w:val="00947DA8"/>
    <w:rsid w:val="00950003"/>
    <w:rsid w:val="009500AA"/>
    <w:rsid w:val="009505AB"/>
    <w:rsid w:val="009507E2"/>
    <w:rsid w:val="0095082E"/>
    <w:rsid w:val="00950B13"/>
    <w:rsid w:val="00950CEB"/>
    <w:rsid w:val="00950E34"/>
    <w:rsid w:val="00950F62"/>
    <w:rsid w:val="0095106A"/>
    <w:rsid w:val="0095120F"/>
    <w:rsid w:val="00951376"/>
    <w:rsid w:val="00951490"/>
    <w:rsid w:val="009514D4"/>
    <w:rsid w:val="0095177D"/>
    <w:rsid w:val="00951B8F"/>
    <w:rsid w:val="00951C13"/>
    <w:rsid w:val="00951C57"/>
    <w:rsid w:val="00951C6A"/>
    <w:rsid w:val="00951C78"/>
    <w:rsid w:val="00951E1B"/>
    <w:rsid w:val="009520BD"/>
    <w:rsid w:val="009521B1"/>
    <w:rsid w:val="0095224D"/>
    <w:rsid w:val="00952711"/>
    <w:rsid w:val="0095291A"/>
    <w:rsid w:val="00952BA0"/>
    <w:rsid w:val="00952D94"/>
    <w:rsid w:val="00952E89"/>
    <w:rsid w:val="009531DD"/>
    <w:rsid w:val="0095326D"/>
    <w:rsid w:val="009532EC"/>
    <w:rsid w:val="009534BB"/>
    <w:rsid w:val="00953604"/>
    <w:rsid w:val="00953675"/>
    <w:rsid w:val="00953B34"/>
    <w:rsid w:val="00953B57"/>
    <w:rsid w:val="00953CCD"/>
    <w:rsid w:val="00953DDC"/>
    <w:rsid w:val="00953E05"/>
    <w:rsid w:val="00954009"/>
    <w:rsid w:val="00954021"/>
    <w:rsid w:val="0095404E"/>
    <w:rsid w:val="00954053"/>
    <w:rsid w:val="009542ED"/>
    <w:rsid w:val="0095437F"/>
    <w:rsid w:val="00954508"/>
    <w:rsid w:val="00954C67"/>
    <w:rsid w:val="00954CBE"/>
    <w:rsid w:val="00954CC9"/>
    <w:rsid w:val="00954D9C"/>
    <w:rsid w:val="00954DD6"/>
    <w:rsid w:val="00954EC8"/>
    <w:rsid w:val="00954FDD"/>
    <w:rsid w:val="0095503C"/>
    <w:rsid w:val="0095506C"/>
    <w:rsid w:val="00955343"/>
    <w:rsid w:val="009553D7"/>
    <w:rsid w:val="00955447"/>
    <w:rsid w:val="00955476"/>
    <w:rsid w:val="009554DD"/>
    <w:rsid w:val="0095571F"/>
    <w:rsid w:val="00955865"/>
    <w:rsid w:val="00955BC1"/>
    <w:rsid w:val="00955CFB"/>
    <w:rsid w:val="00956100"/>
    <w:rsid w:val="009561C2"/>
    <w:rsid w:val="00956279"/>
    <w:rsid w:val="00956A58"/>
    <w:rsid w:val="00956B13"/>
    <w:rsid w:val="00956BAD"/>
    <w:rsid w:val="00956C74"/>
    <w:rsid w:val="0095712E"/>
    <w:rsid w:val="00957263"/>
    <w:rsid w:val="00957384"/>
    <w:rsid w:val="00957415"/>
    <w:rsid w:val="00957516"/>
    <w:rsid w:val="00957647"/>
    <w:rsid w:val="00957837"/>
    <w:rsid w:val="00957A47"/>
    <w:rsid w:val="00957C48"/>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AD9"/>
    <w:rsid w:val="00962B95"/>
    <w:rsid w:val="00962E47"/>
    <w:rsid w:val="00962E88"/>
    <w:rsid w:val="00962EB2"/>
    <w:rsid w:val="00962EED"/>
    <w:rsid w:val="00962F88"/>
    <w:rsid w:val="00963053"/>
    <w:rsid w:val="0096314B"/>
    <w:rsid w:val="00963350"/>
    <w:rsid w:val="009635FB"/>
    <w:rsid w:val="009637A0"/>
    <w:rsid w:val="0096404D"/>
    <w:rsid w:val="009640AF"/>
    <w:rsid w:val="00964194"/>
    <w:rsid w:val="009641D3"/>
    <w:rsid w:val="0096466A"/>
    <w:rsid w:val="009646A9"/>
    <w:rsid w:val="009648E2"/>
    <w:rsid w:val="00964A63"/>
    <w:rsid w:val="00964B57"/>
    <w:rsid w:val="00964C44"/>
    <w:rsid w:val="00965022"/>
    <w:rsid w:val="009653B7"/>
    <w:rsid w:val="00965479"/>
    <w:rsid w:val="009654E9"/>
    <w:rsid w:val="009654F0"/>
    <w:rsid w:val="00965558"/>
    <w:rsid w:val="0096558A"/>
    <w:rsid w:val="009656C0"/>
    <w:rsid w:val="00965AB9"/>
    <w:rsid w:val="00965AE7"/>
    <w:rsid w:val="00965C16"/>
    <w:rsid w:val="00965C69"/>
    <w:rsid w:val="00965D2C"/>
    <w:rsid w:val="0096628C"/>
    <w:rsid w:val="00966C16"/>
    <w:rsid w:val="00966FF0"/>
    <w:rsid w:val="009674B0"/>
    <w:rsid w:val="009674CA"/>
    <w:rsid w:val="009674D8"/>
    <w:rsid w:val="009676FD"/>
    <w:rsid w:val="00967847"/>
    <w:rsid w:val="009679AF"/>
    <w:rsid w:val="00967B44"/>
    <w:rsid w:val="00967BBC"/>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1FC6"/>
    <w:rsid w:val="0097204A"/>
    <w:rsid w:val="0097219B"/>
    <w:rsid w:val="00972390"/>
    <w:rsid w:val="009725EA"/>
    <w:rsid w:val="009725EC"/>
    <w:rsid w:val="009726BF"/>
    <w:rsid w:val="0097271A"/>
    <w:rsid w:val="00972842"/>
    <w:rsid w:val="009729BF"/>
    <w:rsid w:val="00972B52"/>
    <w:rsid w:val="00972CFA"/>
    <w:rsid w:val="00972D8F"/>
    <w:rsid w:val="00972E9F"/>
    <w:rsid w:val="0097306E"/>
    <w:rsid w:val="00973166"/>
    <w:rsid w:val="009733CA"/>
    <w:rsid w:val="00973468"/>
    <w:rsid w:val="009736EE"/>
    <w:rsid w:val="00973782"/>
    <w:rsid w:val="00973AE4"/>
    <w:rsid w:val="00973EB3"/>
    <w:rsid w:val="00974043"/>
    <w:rsid w:val="009740DE"/>
    <w:rsid w:val="00974227"/>
    <w:rsid w:val="00974428"/>
    <w:rsid w:val="0097446A"/>
    <w:rsid w:val="00974750"/>
    <w:rsid w:val="00974A1B"/>
    <w:rsid w:val="00974CD0"/>
    <w:rsid w:val="00974E24"/>
    <w:rsid w:val="00974E48"/>
    <w:rsid w:val="00974E57"/>
    <w:rsid w:val="00975217"/>
    <w:rsid w:val="009754C1"/>
    <w:rsid w:val="009754D0"/>
    <w:rsid w:val="00975543"/>
    <w:rsid w:val="0097560C"/>
    <w:rsid w:val="009756FA"/>
    <w:rsid w:val="00975986"/>
    <w:rsid w:val="009759F0"/>
    <w:rsid w:val="00975A94"/>
    <w:rsid w:val="00975B2B"/>
    <w:rsid w:val="00975BA1"/>
    <w:rsid w:val="00975EC0"/>
    <w:rsid w:val="00976091"/>
    <w:rsid w:val="0097618F"/>
    <w:rsid w:val="0097635B"/>
    <w:rsid w:val="009763DB"/>
    <w:rsid w:val="009764C0"/>
    <w:rsid w:val="009764C4"/>
    <w:rsid w:val="00976594"/>
    <w:rsid w:val="009766EE"/>
    <w:rsid w:val="0097675F"/>
    <w:rsid w:val="00976991"/>
    <w:rsid w:val="00976E85"/>
    <w:rsid w:val="0097702A"/>
    <w:rsid w:val="00977094"/>
    <w:rsid w:val="00977401"/>
    <w:rsid w:val="009775AB"/>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A9A"/>
    <w:rsid w:val="00981ABB"/>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27"/>
    <w:rsid w:val="00984149"/>
    <w:rsid w:val="00984229"/>
    <w:rsid w:val="00984429"/>
    <w:rsid w:val="0098453B"/>
    <w:rsid w:val="009847ED"/>
    <w:rsid w:val="0098488B"/>
    <w:rsid w:val="0098495A"/>
    <w:rsid w:val="00984B69"/>
    <w:rsid w:val="00984BBB"/>
    <w:rsid w:val="00984C38"/>
    <w:rsid w:val="00984CB8"/>
    <w:rsid w:val="0098528E"/>
    <w:rsid w:val="009852C8"/>
    <w:rsid w:val="0098535A"/>
    <w:rsid w:val="00985478"/>
    <w:rsid w:val="009854FF"/>
    <w:rsid w:val="0098569F"/>
    <w:rsid w:val="0098578D"/>
    <w:rsid w:val="00985A1E"/>
    <w:rsid w:val="00985BC9"/>
    <w:rsid w:val="00985C19"/>
    <w:rsid w:val="00986092"/>
    <w:rsid w:val="0098613E"/>
    <w:rsid w:val="00986250"/>
    <w:rsid w:val="0098648F"/>
    <w:rsid w:val="00986650"/>
    <w:rsid w:val="009866FC"/>
    <w:rsid w:val="00986795"/>
    <w:rsid w:val="00986859"/>
    <w:rsid w:val="00986869"/>
    <w:rsid w:val="009869BF"/>
    <w:rsid w:val="00986B90"/>
    <w:rsid w:val="00986BCC"/>
    <w:rsid w:val="00986E3C"/>
    <w:rsid w:val="00986F73"/>
    <w:rsid w:val="009870F5"/>
    <w:rsid w:val="0098725B"/>
    <w:rsid w:val="009877D1"/>
    <w:rsid w:val="00987A9E"/>
    <w:rsid w:val="00987AB7"/>
    <w:rsid w:val="00987B9D"/>
    <w:rsid w:val="00987BD8"/>
    <w:rsid w:val="00987E69"/>
    <w:rsid w:val="00987F61"/>
    <w:rsid w:val="00990012"/>
    <w:rsid w:val="00990238"/>
    <w:rsid w:val="0099054E"/>
    <w:rsid w:val="009905A4"/>
    <w:rsid w:val="00990E9B"/>
    <w:rsid w:val="009913D5"/>
    <w:rsid w:val="00991559"/>
    <w:rsid w:val="00991606"/>
    <w:rsid w:val="0099174A"/>
    <w:rsid w:val="0099194C"/>
    <w:rsid w:val="00991CDB"/>
    <w:rsid w:val="00992111"/>
    <w:rsid w:val="0099230B"/>
    <w:rsid w:val="0099232A"/>
    <w:rsid w:val="00992601"/>
    <w:rsid w:val="00992628"/>
    <w:rsid w:val="00992B2F"/>
    <w:rsid w:val="00992B5F"/>
    <w:rsid w:val="00992C9E"/>
    <w:rsid w:val="00992DE1"/>
    <w:rsid w:val="00992F16"/>
    <w:rsid w:val="0099338C"/>
    <w:rsid w:val="009933CA"/>
    <w:rsid w:val="009933E1"/>
    <w:rsid w:val="0099360E"/>
    <w:rsid w:val="009936AA"/>
    <w:rsid w:val="0099392E"/>
    <w:rsid w:val="0099399C"/>
    <w:rsid w:val="00993A9C"/>
    <w:rsid w:val="00993B4C"/>
    <w:rsid w:val="00993D5C"/>
    <w:rsid w:val="00993DA4"/>
    <w:rsid w:val="00993DA6"/>
    <w:rsid w:val="00993EF2"/>
    <w:rsid w:val="00993F41"/>
    <w:rsid w:val="00994383"/>
    <w:rsid w:val="00994459"/>
    <w:rsid w:val="0099447B"/>
    <w:rsid w:val="009944F1"/>
    <w:rsid w:val="0099478F"/>
    <w:rsid w:val="00994941"/>
    <w:rsid w:val="00994A3C"/>
    <w:rsid w:val="00994A80"/>
    <w:rsid w:val="00994CF5"/>
    <w:rsid w:val="00994F8F"/>
    <w:rsid w:val="0099503E"/>
    <w:rsid w:val="00995105"/>
    <w:rsid w:val="009953B8"/>
    <w:rsid w:val="00995462"/>
    <w:rsid w:val="009954F7"/>
    <w:rsid w:val="0099563A"/>
    <w:rsid w:val="009956D0"/>
    <w:rsid w:val="0099579D"/>
    <w:rsid w:val="00995DAF"/>
    <w:rsid w:val="00995EBD"/>
    <w:rsid w:val="00995FFC"/>
    <w:rsid w:val="0099613C"/>
    <w:rsid w:val="009962B6"/>
    <w:rsid w:val="00996B1F"/>
    <w:rsid w:val="0099730D"/>
    <w:rsid w:val="0099743F"/>
    <w:rsid w:val="00997517"/>
    <w:rsid w:val="00997547"/>
    <w:rsid w:val="00997616"/>
    <w:rsid w:val="009976F5"/>
    <w:rsid w:val="00997B97"/>
    <w:rsid w:val="00997BD4"/>
    <w:rsid w:val="00997F0C"/>
    <w:rsid w:val="00997FA5"/>
    <w:rsid w:val="009A0145"/>
    <w:rsid w:val="009A0250"/>
    <w:rsid w:val="009A0468"/>
    <w:rsid w:val="009A04F9"/>
    <w:rsid w:val="009A05E8"/>
    <w:rsid w:val="009A08CB"/>
    <w:rsid w:val="009A0F35"/>
    <w:rsid w:val="009A1196"/>
    <w:rsid w:val="009A1221"/>
    <w:rsid w:val="009A138A"/>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05D"/>
    <w:rsid w:val="009A3080"/>
    <w:rsid w:val="009A319F"/>
    <w:rsid w:val="009A323B"/>
    <w:rsid w:val="009A32F9"/>
    <w:rsid w:val="009A332B"/>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2D"/>
    <w:rsid w:val="009A5846"/>
    <w:rsid w:val="009A5981"/>
    <w:rsid w:val="009A5D0C"/>
    <w:rsid w:val="009A5F26"/>
    <w:rsid w:val="009A63FD"/>
    <w:rsid w:val="009A647E"/>
    <w:rsid w:val="009A652F"/>
    <w:rsid w:val="009A6530"/>
    <w:rsid w:val="009A6570"/>
    <w:rsid w:val="009A67DB"/>
    <w:rsid w:val="009A6848"/>
    <w:rsid w:val="009A6AF9"/>
    <w:rsid w:val="009A6E22"/>
    <w:rsid w:val="009A6EB7"/>
    <w:rsid w:val="009A6FD9"/>
    <w:rsid w:val="009A78BE"/>
    <w:rsid w:val="009A7C28"/>
    <w:rsid w:val="009A7F21"/>
    <w:rsid w:val="009B1028"/>
    <w:rsid w:val="009B1256"/>
    <w:rsid w:val="009B1435"/>
    <w:rsid w:val="009B1779"/>
    <w:rsid w:val="009B1926"/>
    <w:rsid w:val="009B1BC2"/>
    <w:rsid w:val="009B1D11"/>
    <w:rsid w:val="009B1D12"/>
    <w:rsid w:val="009B1DB4"/>
    <w:rsid w:val="009B20FC"/>
    <w:rsid w:val="009B2143"/>
    <w:rsid w:val="009B21A6"/>
    <w:rsid w:val="009B2553"/>
    <w:rsid w:val="009B26C7"/>
    <w:rsid w:val="009B275F"/>
    <w:rsid w:val="009B28D9"/>
    <w:rsid w:val="009B29F7"/>
    <w:rsid w:val="009B2A04"/>
    <w:rsid w:val="009B2A9C"/>
    <w:rsid w:val="009B2B2A"/>
    <w:rsid w:val="009B2B44"/>
    <w:rsid w:val="009B2B8F"/>
    <w:rsid w:val="009B2BB1"/>
    <w:rsid w:val="009B2E94"/>
    <w:rsid w:val="009B2EF1"/>
    <w:rsid w:val="009B344F"/>
    <w:rsid w:val="009B360A"/>
    <w:rsid w:val="009B3626"/>
    <w:rsid w:val="009B36CF"/>
    <w:rsid w:val="009B382C"/>
    <w:rsid w:val="009B393A"/>
    <w:rsid w:val="009B3A4F"/>
    <w:rsid w:val="009B3AF7"/>
    <w:rsid w:val="009B4022"/>
    <w:rsid w:val="009B42D0"/>
    <w:rsid w:val="009B4576"/>
    <w:rsid w:val="009B4656"/>
    <w:rsid w:val="009B498E"/>
    <w:rsid w:val="009B4A28"/>
    <w:rsid w:val="009B4B9A"/>
    <w:rsid w:val="009B4D5B"/>
    <w:rsid w:val="009B4F9B"/>
    <w:rsid w:val="009B5257"/>
    <w:rsid w:val="009B55E5"/>
    <w:rsid w:val="009B56E9"/>
    <w:rsid w:val="009B5740"/>
    <w:rsid w:val="009B593D"/>
    <w:rsid w:val="009B5956"/>
    <w:rsid w:val="009B5B74"/>
    <w:rsid w:val="009B5CF6"/>
    <w:rsid w:val="009B5DE0"/>
    <w:rsid w:val="009B5E39"/>
    <w:rsid w:val="009B5E70"/>
    <w:rsid w:val="009B5F1E"/>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A6B"/>
    <w:rsid w:val="009B7EA6"/>
    <w:rsid w:val="009B7EEA"/>
    <w:rsid w:val="009B7F8D"/>
    <w:rsid w:val="009C006F"/>
    <w:rsid w:val="009C0223"/>
    <w:rsid w:val="009C02CC"/>
    <w:rsid w:val="009C0490"/>
    <w:rsid w:val="009C074A"/>
    <w:rsid w:val="009C0836"/>
    <w:rsid w:val="009C08B9"/>
    <w:rsid w:val="009C09B4"/>
    <w:rsid w:val="009C0A58"/>
    <w:rsid w:val="009C0B74"/>
    <w:rsid w:val="009C0C90"/>
    <w:rsid w:val="009C0CD9"/>
    <w:rsid w:val="009C0D26"/>
    <w:rsid w:val="009C1120"/>
    <w:rsid w:val="009C14AA"/>
    <w:rsid w:val="009C14B5"/>
    <w:rsid w:val="009C1599"/>
    <w:rsid w:val="009C19A2"/>
    <w:rsid w:val="009C1CEA"/>
    <w:rsid w:val="009C211A"/>
    <w:rsid w:val="009C21DB"/>
    <w:rsid w:val="009C24F9"/>
    <w:rsid w:val="009C2950"/>
    <w:rsid w:val="009C2977"/>
    <w:rsid w:val="009C2A6E"/>
    <w:rsid w:val="009C2B8B"/>
    <w:rsid w:val="009C2C0A"/>
    <w:rsid w:val="009C2FDB"/>
    <w:rsid w:val="009C302A"/>
    <w:rsid w:val="009C30CF"/>
    <w:rsid w:val="009C329D"/>
    <w:rsid w:val="009C3316"/>
    <w:rsid w:val="009C359F"/>
    <w:rsid w:val="009C36BA"/>
    <w:rsid w:val="009C3A3A"/>
    <w:rsid w:val="009C3D8B"/>
    <w:rsid w:val="009C401E"/>
    <w:rsid w:val="009C4170"/>
    <w:rsid w:val="009C4319"/>
    <w:rsid w:val="009C44E3"/>
    <w:rsid w:val="009C4519"/>
    <w:rsid w:val="009C490F"/>
    <w:rsid w:val="009C49B2"/>
    <w:rsid w:val="009C4A13"/>
    <w:rsid w:val="009C4A9F"/>
    <w:rsid w:val="009C4AF8"/>
    <w:rsid w:val="009C4B8A"/>
    <w:rsid w:val="009C4DDB"/>
    <w:rsid w:val="009C4F76"/>
    <w:rsid w:val="009C4FC9"/>
    <w:rsid w:val="009C5077"/>
    <w:rsid w:val="009C5078"/>
    <w:rsid w:val="009C5080"/>
    <w:rsid w:val="009C517E"/>
    <w:rsid w:val="009C51D9"/>
    <w:rsid w:val="009C52AD"/>
    <w:rsid w:val="009C52B6"/>
    <w:rsid w:val="009C5351"/>
    <w:rsid w:val="009C563D"/>
    <w:rsid w:val="009C5861"/>
    <w:rsid w:val="009C58BB"/>
    <w:rsid w:val="009C5AB9"/>
    <w:rsid w:val="009C5ACF"/>
    <w:rsid w:val="009C5ADE"/>
    <w:rsid w:val="009C5AFD"/>
    <w:rsid w:val="009C5B1A"/>
    <w:rsid w:val="009C5E93"/>
    <w:rsid w:val="009C5F64"/>
    <w:rsid w:val="009C607E"/>
    <w:rsid w:val="009C6113"/>
    <w:rsid w:val="009C639D"/>
    <w:rsid w:val="009C63D0"/>
    <w:rsid w:val="009C649A"/>
    <w:rsid w:val="009C6696"/>
    <w:rsid w:val="009C680F"/>
    <w:rsid w:val="009C6AF9"/>
    <w:rsid w:val="009C6B40"/>
    <w:rsid w:val="009C6D45"/>
    <w:rsid w:val="009C6D73"/>
    <w:rsid w:val="009C6E53"/>
    <w:rsid w:val="009C7246"/>
    <w:rsid w:val="009C75C9"/>
    <w:rsid w:val="009C7768"/>
    <w:rsid w:val="009C79D6"/>
    <w:rsid w:val="009C7A7B"/>
    <w:rsid w:val="009C7D03"/>
    <w:rsid w:val="009C7F6F"/>
    <w:rsid w:val="009D0098"/>
    <w:rsid w:val="009D01BE"/>
    <w:rsid w:val="009D03DE"/>
    <w:rsid w:val="009D0472"/>
    <w:rsid w:val="009D0578"/>
    <w:rsid w:val="009D06DF"/>
    <w:rsid w:val="009D073F"/>
    <w:rsid w:val="009D07B7"/>
    <w:rsid w:val="009D0B13"/>
    <w:rsid w:val="009D0B42"/>
    <w:rsid w:val="009D0DD7"/>
    <w:rsid w:val="009D0EA5"/>
    <w:rsid w:val="009D109D"/>
    <w:rsid w:val="009D155B"/>
    <w:rsid w:val="009D1582"/>
    <w:rsid w:val="009D1609"/>
    <w:rsid w:val="009D187E"/>
    <w:rsid w:val="009D1894"/>
    <w:rsid w:val="009D1AAB"/>
    <w:rsid w:val="009D1CCE"/>
    <w:rsid w:val="009D1D6A"/>
    <w:rsid w:val="009D1E35"/>
    <w:rsid w:val="009D1FC1"/>
    <w:rsid w:val="009D2166"/>
    <w:rsid w:val="009D246C"/>
    <w:rsid w:val="009D24E7"/>
    <w:rsid w:val="009D2973"/>
    <w:rsid w:val="009D2A3D"/>
    <w:rsid w:val="009D2C04"/>
    <w:rsid w:val="009D305F"/>
    <w:rsid w:val="009D3149"/>
    <w:rsid w:val="009D31EC"/>
    <w:rsid w:val="009D3335"/>
    <w:rsid w:val="009D3354"/>
    <w:rsid w:val="009D3963"/>
    <w:rsid w:val="009D3BE1"/>
    <w:rsid w:val="009D3D22"/>
    <w:rsid w:val="009D3E64"/>
    <w:rsid w:val="009D4017"/>
    <w:rsid w:val="009D4065"/>
    <w:rsid w:val="009D46D7"/>
    <w:rsid w:val="009D47FB"/>
    <w:rsid w:val="009D4986"/>
    <w:rsid w:val="009D4A07"/>
    <w:rsid w:val="009D4ABB"/>
    <w:rsid w:val="009D4B48"/>
    <w:rsid w:val="009D4B5F"/>
    <w:rsid w:val="009D4CE6"/>
    <w:rsid w:val="009D4E2F"/>
    <w:rsid w:val="009D52FD"/>
    <w:rsid w:val="009D5517"/>
    <w:rsid w:val="009D5531"/>
    <w:rsid w:val="009D5670"/>
    <w:rsid w:val="009D568A"/>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A39"/>
    <w:rsid w:val="009D7CE5"/>
    <w:rsid w:val="009D7DFC"/>
    <w:rsid w:val="009E0125"/>
    <w:rsid w:val="009E0128"/>
    <w:rsid w:val="009E0559"/>
    <w:rsid w:val="009E05B4"/>
    <w:rsid w:val="009E087C"/>
    <w:rsid w:val="009E097A"/>
    <w:rsid w:val="009E0A3D"/>
    <w:rsid w:val="009E0AA3"/>
    <w:rsid w:val="009E0B20"/>
    <w:rsid w:val="009E0C1D"/>
    <w:rsid w:val="009E0EF3"/>
    <w:rsid w:val="009E0F4D"/>
    <w:rsid w:val="009E1138"/>
    <w:rsid w:val="009E129F"/>
    <w:rsid w:val="009E135A"/>
    <w:rsid w:val="009E154A"/>
    <w:rsid w:val="009E179B"/>
    <w:rsid w:val="009E1825"/>
    <w:rsid w:val="009E191C"/>
    <w:rsid w:val="009E1BB9"/>
    <w:rsid w:val="009E1C35"/>
    <w:rsid w:val="009E1C39"/>
    <w:rsid w:val="009E1D38"/>
    <w:rsid w:val="009E1EDC"/>
    <w:rsid w:val="009E2155"/>
    <w:rsid w:val="009E2330"/>
    <w:rsid w:val="009E2352"/>
    <w:rsid w:val="009E24A4"/>
    <w:rsid w:val="009E2538"/>
    <w:rsid w:val="009E25BC"/>
    <w:rsid w:val="009E272B"/>
    <w:rsid w:val="009E2936"/>
    <w:rsid w:val="009E2B2C"/>
    <w:rsid w:val="009E2FA3"/>
    <w:rsid w:val="009E2FA5"/>
    <w:rsid w:val="009E303C"/>
    <w:rsid w:val="009E30AF"/>
    <w:rsid w:val="009E315E"/>
    <w:rsid w:val="009E329E"/>
    <w:rsid w:val="009E3331"/>
    <w:rsid w:val="009E34A7"/>
    <w:rsid w:val="009E34D9"/>
    <w:rsid w:val="009E3516"/>
    <w:rsid w:val="009E370D"/>
    <w:rsid w:val="009E3797"/>
    <w:rsid w:val="009E3E7B"/>
    <w:rsid w:val="009E3EFA"/>
    <w:rsid w:val="009E41A7"/>
    <w:rsid w:val="009E454F"/>
    <w:rsid w:val="009E45D1"/>
    <w:rsid w:val="009E4644"/>
    <w:rsid w:val="009E46F3"/>
    <w:rsid w:val="009E496F"/>
    <w:rsid w:val="009E4A93"/>
    <w:rsid w:val="009E4B16"/>
    <w:rsid w:val="009E4B62"/>
    <w:rsid w:val="009E4C69"/>
    <w:rsid w:val="009E4EA1"/>
    <w:rsid w:val="009E501D"/>
    <w:rsid w:val="009E51EC"/>
    <w:rsid w:val="009E5318"/>
    <w:rsid w:val="009E5461"/>
    <w:rsid w:val="009E573B"/>
    <w:rsid w:val="009E57A4"/>
    <w:rsid w:val="009E5955"/>
    <w:rsid w:val="009E5AF1"/>
    <w:rsid w:val="009E5EFB"/>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E7EE3"/>
    <w:rsid w:val="009F0042"/>
    <w:rsid w:val="009F039A"/>
    <w:rsid w:val="009F0534"/>
    <w:rsid w:val="009F0569"/>
    <w:rsid w:val="009F08F6"/>
    <w:rsid w:val="009F0A67"/>
    <w:rsid w:val="009F0B93"/>
    <w:rsid w:val="009F0D78"/>
    <w:rsid w:val="009F0F95"/>
    <w:rsid w:val="009F139B"/>
    <w:rsid w:val="009F146B"/>
    <w:rsid w:val="009F17E7"/>
    <w:rsid w:val="009F19F0"/>
    <w:rsid w:val="009F1C40"/>
    <w:rsid w:val="009F1E7D"/>
    <w:rsid w:val="009F1F61"/>
    <w:rsid w:val="009F2171"/>
    <w:rsid w:val="009F2615"/>
    <w:rsid w:val="009F26E9"/>
    <w:rsid w:val="009F29F3"/>
    <w:rsid w:val="009F2C02"/>
    <w:rsid w:val="009F2D4E"/>
    <w:rsid w:val="009F2EBB"/>
    <w:rsid w:val="009F3072"/>
    <w:rsid w:val="009F3758"/>
    <w:rsid w:val="009F38CD"/>
    <w:rsid w:val="009F3A39"/>
    <w:rsid w:val="009F3B89"/>
    <w:rsid w:val="009F3C63"/>
    <w:rsid w:val="009F3D8A"/>
    <w:rsid w:val="009F3F9B"/>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6F"/>
    <w:rsid w:val="009F56A2"/>
    <w:rsid w:val="009F5A59"/>
    <w:rsid w:val="009F5BEA"/>
    <w:rsid w:val="009F5C88"/>
    <w:rsid w:val="009F5DE8"/>
    <w:rsid w:val="009F5E53"/>
    <w:rsid w:val="009F5F37"/>
    <w:rsid w:val="009F612E"/>
    <w:rsid w:val="009F63D1"/>
    <w:rsid w:val="009F63F4"/>
    <w:rsid w:val="009F683C"/>
    <w:rsid w:val="009F6C17"/>
    <w:rsid w:val="009F6DA5"/>
    <w:rsid w:val="009F6DDB"/>
    <w:rsid w:val="009F702F"/>
    <w:rsid w:val="009F7047"/>
    <w:rsid w:val="009F7067"/>
    <w:rsid w:val="009F7204"/>
    <w:rsid w:val="009F759E"/>
    <w:rsid w:val="009F75B0"/>
    <w:rsid w:val="009F7782"/>
    <w:rsid w:val="009F77E0"/>
    <w:rsid w:val="009F7A40"/>
    <w:rsid w:val="009F7B1E"/>
    <w:rsid w:val="009F7C47"/>
    <w:rsid w:val="009F7F8A"/>
    <w:rsid w:val="009F7F90"/>
    <w:rsid w:val="009F7FB2"/>
    <w:rsid w:val="00A0013D"/>
    <w:rsid w:val="00A003BD"/>
    <w:rsid w:val="00A005B2"/>
    <w:rsid w:val="00A00798"/>
    <w:rsid w:val="00A007A5"/>
    <w:rsid w:val="00A0087A"/>
    <w:rsid w:val="00A0093F"/>
    <w:rsid w:val="00A009FE"/>
    <w:rsid w:val="00A00CE7"/>
    <w:rsid w:val="00A00D9F"/>
    <w:rsid w:val="00A00E5A"/>
    <w:rsid w:val="00A00FEB"/>
    <w:rsid w:val="00A0102F"/>
    <w:rsid w:val="00A01211"/>
    <w:rsid w:val="00A01407"/>
    <w:rsid w:val="00A01498"/>
    <w:rsid w:val="00A01626"/>
    <w:rsid w:val="00A0172D"/>
    <w:rsid w:val="00A018ED"/>
    <w:rsid w:val="00A01905"/>
    <w:rsid w:val="00A0193D"/>
    <w:rsid w:val="00A01A8E"/>
    <w:rsid w:val="00A01C15"/>
    <w:rsid w:val="00A01F1F"/>
    <w:rsid w:val="00A0205F"/>
    <w:rsid w:val="00A0237E"/>
    <w:rsid w:val="00A023D8"/>
    <w:rsid w:val="00A02429"/>
    <w:rsid w:val="00A0273B"/>
    <w:rsid w:val="00A02A6A"/>
    <w:rsid w:val="00A02AB0"/>
    <w:rsid w:val="00A02BF4"/>
    <w:rsid w:val="00A030CF"/>
    <w:rsid w:val="00A03176"/>
    <w:rsid w:val="00A032CE"/>
    <w:rsid w:val="00A032E1"/>
    <w:rsid w:val="00A03458"/>
    <w:rsid w:val="00A034D6"/>
    <w:rsid w:val="00A0360E"/>
    <w:rsid w:val="00A03650"/>
    <w:rsid w:val="00A03742"/>
    <w:rsid w:val="00A03CDB"/>
    <w:rsid w:val="00A03EA6"/>
    <w:rsid w:val="00A03F87"/>
    <w:rsid w:val="00A03FC8"/>
    <w:rsid w:val="00A040CB"/>
    <w:rsid w:val="00A046EB"/>
    <w:rsid w:val="00A0472B"/>
    <w:rsid w:val="00A0480A"/>
    <w:rsid w:val="00A049DF"/>
    <w:rsid w:val="00A04A00"/>
    <w:rsid w:val="00A04A0E"/>
    <w:rsid w:val="00A04AB4"/>
    <w:rsid w:val="00A04B6C"/>
    <w:rsid w:val="00A04F3F"/>
    <w:rsid w:val="00A05100"/>
    <w:rsid w:val="00A05140"/>
    <w:rsid w:val="00A05380"/>
    <w:rsid w:val="00A05B1A"/>
    <w:rsid w:val="00A05D26"/>
    <w:rsid w:val="00A05E5E"/>
    <w:rsid w:val="00A05EBC"/>
    <w:rsid w:val="00A06016"/>
    <w:rsid w:val="00A06054"/>
    <w:rsid w:val="00A06136"/>
    <w:rsid w:val="00A06239"/>
    <w:rsid w:val="00A062FA"/>
    <w:rsid w:val="00A063F4"/>
    <w:rsid w:val="00A064F1"/>
    <w:rsid w:val="00A065DC"/>
    <w:rsid w:val="00A065E3"/>
    <w:rsid w:val="00A06714"/>
    <w:rsid w:val="00A068E3"/>
    <w:rsid w:val="00A06914"/>
    <w:rsid w:val="00A06AA1"/>
    <w:rsid w:val="00A06AB6"/>
    <w:rsid w:val="00A06DDB"/>
    <w:rsid w:val="00A06E05"/>
    <w:rsid w:val="00A06F5E"/>
    <w:rsid w:val="00A071FE"/>
    <w:rsid w:val="00A0722E"/>
    <w:rsid w:val="00A073AF"/>
    <w:rsid w:val="00A07518"/>
    <w:rsid w:val="00A07682"/>
    <w:rsid w:val="00A07804"/>
    <w:rsid w:val="00A078B9"/>
    <w:rsid w:val="00A07AAD"/>
    <w:rsid w:val="00A07B48"/>
    <w:rsid w:val="00A07D57"/>
    <w:rsid w:val="00A07FA4"/>
    <w:rsid w:val="00A1005F"/>
    <w:rsid w:val="00A100AA"/>
    <w:rsid w:val="00A10115"/>
    <w:rsid w:val="00A1023D"/>
    <w:rsid w:val="00A102CC"/>
    <w:rsid w:val="00A10424"/>
    <w:rsid w:val="00A108F4"/>
    <w:rsid w:val="00A10A6F"/>
    <w:rsid w:val="00A10AF0"/>
    <w:rsid w:val="00A10B24"/>
    <w:rsid w:val="00A10BEB"/>
    <w:rsid w:val="00A10BF9"/>
    <w:rsid w:val="00A10DCC"/>
    <w:rsid w:val="00A10DEE"/>
    <w:rsid w:val="00A10F39"/>
    <w:rsid w:val="00A10FBF"/>
    <w:rsid w:val="00A110BE"/>
    <w:rsid w:val="00A111F5"/>
    <w:rsid w:val="00A11250"/>
    <w:rsid w:val="00A1127A"/>
    <w:rsid w:val="00A112DC"/>
    <w:rsid w:val="00A112FC"/>
    <w:rsid w:val="00A1189A"/>
    <w:rsid w:val="00A11984"/>
    <w:rsid w:val="00A11BAE"/>
    <w:rsid w:val="00A11CCC"/>
    <w:rsid w:val="00A11EDC"/>
    <w:rsid w:val="00A11F8A"/>
    <w:rsid w:val="00A12174"/>
    <w:rsid w:val="00A12191"/>
    <w:rsid w:val="00A12265"/>
    <w:rsid w:val="00A1227F"/>
    <w:rsid w:val="00A1245B"/>
    <w:rsid w:val="00A12484"/>
    <w:rsid w:val="00A1259C"/>
    <w:rsid w:val="00A1262A"/>
    <w:rsid w:val="00A12843"/>
    <w:rsid w:val="00A12870"/>
    <w:rsid w:val="00A128D7"/>
    <w:rsid w:val="00A129B2"/>
    <w:rsid w:val="00A129E8"/>
    <w:rsid w:val="00A12AAF"/>
    <w:rsid w:val="00A12E93"/>
    <w:rsid w:val="00A12E9B"/>
    <w:rsid w:val="00A12FE6"/>
    <w:rsid w:val="00A13015"/>
    <w:rsid w:val="00A1328D"/>
    <w:rsid w:val="00A13338"/>
    <w:rsid w:val="00A13BCA"/>
    <w:rsid w:val="00A13C31"/>
    <w:rsid w:val="00A13D05"/>
    <w:rsid w:val="00A13FF1"/>
    <w:rsid w:val="00A14177"/>
    <w:rsid w:val="00A141CC"/>
    <w:rsid w:val="00A14297"/>
    <w:rsid w:val="00A14455"/>
    <w:rsid w:val="00A145DE"/>
    <w:rsid w:val="00A14697"/>
    <w:rsid w:val="00A1469F"/>
    <w:rsid w:val="00A1471F"/>
    <w:rsid w:val="00A14880"/>
    <w:rsid w:val="00A1492E"/>
    <w:rsid w:val="00A149CD"/>
    <w:rsid w:val="00A14A4D"/>
    <w:rsid w:val="00A14AB2"/>
    <w:rsid w:val="00A14ACE"/>
    <w:rsid w:val="00A14B13"/>
    <w:rsid w:val="00A14BB2"/>
    <w:rsid w:val="00A14BB4"/>
    <w:rsid w:val="00A14C99"/>
    <w:rsid w:val="00A14D73"/>
    <w:rsid w:val="00A14DEE"/>
    <w:rsid w:val="00A150D6"/>
    <w:rsid w:val="00A15194"/>
    <w:rsid w:val="00A153D0"/>
    <w:rsid w:val="00A1553A"/>
    <w:rsid w:val="00A15577"/>
    <w:rsid w:val="00A1561E"/>
    <w:rsid w:val="00A1566D"/>
    <w:rsid w:val="00A15AFC"/>
    <w:rsid w:val="00A15CF1"/>
    <w:rsid w:val="00A15EF8"/>
    <w:rsid w:val="00A15FC1"/>
    <w:rsid w:val="00A16027"/>
    <w:rsid w:val="00A16326"/>
    <w:rsid w:val="00A168EF"/>
    <w:rsid w:val="00A16A11"/>
    <w:rsid w:val="00A16B5E"/>
    <w:rsid w:val="00A16D1B"/>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1DB"/>
    <w:rsid w:val="00A215CE"/>
    <w:rsid w:val="00A21710"/>
    <w:rsid w:val="00A218D0"/>
    <w:rsid w:val="00A219A3"/>
    <w:rsid w:val="00A21A80"/>
    <w:rsid w:val="00A21C87"/>
    <w:rsid w:val="00A21D7A"/>
    <w:rsid w:val="00A21EAF"/>
    <w:rsid w:val="00A21FE0"/>
    <w:rsid w:val="00A22006"/>
    <w:rsid w:val="00A221CC"/>
    <w:rsid w:val="00A223AE"/>
    <w:rsid w:val="00A225CE"/>
    <w:rsid w:val="00A225EC"/>
    <w:rsid w:val="00A22826"/>
    <w:rsid w:val="00A22AB8"/>
    <w:rsid w:val="00A234BB"/>
    <w:rsid w:val="00A23597"/>
    <w:rsid w:val="00A23629"/>
    <w:rsid w:val="00A23808"/>
    <w:rsid w:val="00A23D5E"/>
    <w:rsid w:val="00A23EA3"/>
    <w:rsid w:val="00A2416F"/>
    <w:rsid w:val="00A241AB"/>
    <w:rsid w:val="00A242D2"/>
    <w:rsid w:val="00A242DD"/>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33"/>
    <w:rsid w:val="00A253AB"/>
    <w:rsid w:val="00A25483"/>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3FF"/>
    <w:rsid w:val="00A27599"/>
    <w:rsid w:val="00A275BD"/>
    <w:rsid w:val="00A2766A"/>
    <w:rsid w:val="00A276EC"/>
    <w:rsid w:val="00A27797"/>
    <w:rsid w:val="00A279F0"/>
    <w:rsid w:val="00A27B86"/>
    <w:rsid w:val="00A3065C"/>
    <w:rsid w:val="00A306C4"/>
    <w:rsid w:val="00A307BE"/>
    <w:rsid w:val="00A3087D"/>
    <w:rsid w:val="00A308A0"/>
    <w:rsid w:val="00A3096E"/>
    <w:rsid w:val="00A30A4C"/>
    <w:rsid w:val="00A30B6E"/>
    <w:rsid w:val="00A30BA5"/>
    <w:rsid w:val="00A30FB2"/>
    <w:rsid w:val="00A3108A"/>
    <w:rsid w:val="00A310B5"/>
    <w:rsid w:val="00A31192"/>
    <w:rsid w:val="00A313E8"/>
    <w:rsid w:val="00A31495"/>
    <w:rsid w:val="00A31593"/>
    <w:rsid w:val="00A3184E"/>
    <w:rsid w:val="00A318A7"/>
    <w:rsid w:val="00A31A4B"/>
    <w:rsid w:val="00A31CA5"/>
    <w:rsid w:val="00A31EA3"/>
    <w:rsid w:val="00A31FBD"/>
    <w:rsid w:val="00A32357"/>
    <w:rsid w:val="00A3239A"/>
    <w:rsid w:val="00A3244A"/>
    <w:rsid w:val="00A325F5"/>
    <w:rsid w:val="00A32619"/>
    <w:rsid w:val="00A326B2"/>
    <w:rsid w:val="00A3274F"/>
    <w:rsid w:val="00A32916"/>
    <w:rsid w:val="00A32A37"/>
    <w:rsid w:val="00A32C80"/>
    <w:rsid w:val="00A32CB6"/>
    <w:rsid w:val="00A32CD4"/>
    <w:rsid w:val="00A32D72"/>
    <w:rsid w:val="00A333FE"/>
    <w:rsid w:val="00A3381B"/>
    <w:rsid w:val="00A33BB2"/>
    <w:rsid w:val="00A33C4A"/>
    <w:rsid w:val="00A33D0D"/>
    <w:rsid w:val="00A33D69"/>
    <w:rsid w:val="00A33DF1"/>
    <w:rsid w:val="00A340C0"/>
    <w:rsid w:val="00A34155"/>
    <w:rsid w:val="00A3416B"/>
    <w:rsid w:val="00A34371"/>
    <w:rsid w:val="00A34423"/>
    <w:rsid w:val="00A34538"/>
    <w:rsid w:val="00A345F2"/>
    <w:rsid w:val="00A34D6C"/>
    <w:rsid w:val="00A34D8C"/>
    <w:rsid w:val="00A34FA9"/>
    <w:rsid w:val="00A355D1"/>
    <w:rsid w:val="00A3570D"/>
    <w:rsid w:val="00A35B69"/>
    <w:rsid w:val="00A35D82"/>
    <w:rsid w:val="00A36064"/>
    <w:rsid w:val="00A360AD"/>
    <w:rsid w:val="00A3617E"/>
    <w:rsid w:val="00A361C0"/>
    <w:rsid w:val="00A36203"/>
    <w:rsid w:val="00A362C7"/>
    <w:rsid w:val="00A3649C"/>
    <w:rsid w:val="00A3650B"/>
    <w:rsid w:val="00A368F9"/>
    <w:rsid w:val="00A368FE"/>
    <w:rsid w:val="00A36AB9"/>
    <w:rsid w:val="00A36CBB"/>
    <w:rsid w:val="00A36CC0"/>
    <w:rsid w:val="00A36D41"/>
    <w:rsid w:val="00A36FA6"/>
    <w:rsid w:val="00A36FCF"/>
    <w:rsid w:val="00A371D5"/>
    <w:rsid w:val="00A37272"/>
    <w:rsid w:val="00A372C7"/>
    <w:rsid w:val="00A374A8"/>
    <w:rsid w:val="00A3760B"/>
    <w:rsid w:val="00A37785"/>
    <w:rsid w:val="00A37A25"/>
    <w:rsid w:val="00A37B20"/>
    <w:rsid w:val="00A37D8A"/>
    <w:rsid w:val="00A37EDA"/>
    <w:rsid w:val="00A37FCA"/>
    <w:rsid w:val="00A40036"/>
    <w:rsid w:val="00A401F4"/>
    <w:rsid w:val="00A40413"/>
    <w:rsid w:val="00A4041A"/>
    <w:rsid w:val="00A40423"/>
    <w:rsid w:val="00A40532"/>
    <w:rsid w:val="00A4074D"/>
    <w:rsid w:val="00A40AF6"/>
    <w:rsid w:val="00A40B8D"/>
    <w:rsid w:val="00A40C25"/>
    <w:rsid w:val="00A40DEA"/>
    <w:rsid w:val="00A41042"/>
    <w:rsid w:val="00A410A1"/>
    <w:rsid w:val="00A4110C"/>
    <w:rsid w:val="00A41395"/>
    <w:rsid w:val="00A4141B"/>
    <w:rsid w:val="00A41473"/>
    <w:rsid w:val="00A41820"/>
    <w:rsid w:val="00A41AD7"/>
    <w:rsid w:val="00A41B9D"/>
    <w:rsid w:val="00A41BCF"/>
    <w:rsid w:val="00A41BDC"/>
    <w:rsid w:val="00A41BFB"/>
    <w:rsid w:val="00A41D36"/>
    <w:rsid w:val="00A41E41"/>
    <w:rsid w:val="00A420AD"/>
    <w:rsid w:val="00A4215F"/>
    <w:rsid w:val="00A42446"/>
    <w:rsid w:val="00A425C8"/>
    <w:rsid w:val="00A427BC"/>
    <w:rsid w:val="00A42818"/>
    <w:rsid w:val="00A42988"/>
    <w:rsid w:val="00A429F9"/>
    <w:rsid w:val="00A42A5D"/>
    <w:rsid w:val="00A42C53"/>
    <w:rsid w:val="00A42E2F"/>
    <w:rsid w:val="00A42EA5"/>
    <w:rsid w:val="00A42F2B"/>
    <w:rsid w:val="00A430B9"/>
    <w:rsid w:val="00A430E1"/>
    <w:rsid w:val="00A4311B"/>
    <w:rsid w:val="00A434DE"/>
    <w:rsid w:val="00A434DF"/>
    <w:rsid w:val="00A434F5"/>
    <w:rsid w:val="00A43539"/>
    <w:rsid w:val="00A43940"/>
    <w:rsid w:val="00A439BC"/>
    <w:rsid w:val="00A43A8B"/>
    <w:rsid w:val="00A43F60"/>
    <w:rsid w:val="00A43F67"/>
    <w:rsid w:val="00A44004"/>
    <w:rsid w:val="00A44159"/>
    <w:rsid w:val="00A441FE"/>
    <w:rsid w:val="00A4427E"/>
    <w:rsid w:val="00A44AD7"/>
    <w:rsid w:val="00A44C18"/>
    <w:rsid w:val="00A44CEC"/>
    <w:rsid w:val="00A450D2"/>
    <w:rsid w:val="00A450F9"/>
    <w:rsid w:val="00A45248"/>
    <w:rsid w:val="00A45252"/>
    <w:rsid w:val="00A453E1"/>
    <w:rsid w:val="00A4562C"/>
    <w:rsid w:val="00A4588D"/>
    <w:rsid w:val="00A458CF"/>
    <w:rsid w:val="00A4637F"/>
    <w:rsid w:val="00A46526"/>
    <w:rsid w:val="00A4664F"/>
    <w:rsid w:val="00A46793"/>
    <w:rsid w:val="00A467AB"/>
    <w:rsid w:val="00A46962"/>
    <w:rsid w:val="00A46999"/>
    <w:rsid w:val="00A46AAD"/>
    <w:rsid w:val="00A46C7E"/>
    <w:rsid w:val="00A46CA4"/>
    <w:rsid w:val="00A46CED"/>
    <w:rsid w:val="00A46D13"/>
    <w:rsid w:val="00A46E70"/>
    <w:rsid w:val="00A46E8D"/>
    <w:rsid w:val="00A46F7B"/>
    <w:rsid w:val="00A47336"/>
    <w:rsid w:val="00A47367"/>
    <w:rsid w:val="00A47572"/>
    <w:rsid w:val="00A4765D"/>
    <w:rsid w:val="00A47738"/>
    <w:rsid w:val="00A47BE7"/>
    <w:rsid w:val="00A47CEF"/>
    <w:rsid w:val="00A47D0C"/>
    <w:rsid w:val="00A47D29"/>
    <w:rsid w:val="00A47F58"/>
    <w:rsid w:val="00A47FEE"/>
    <w:rsid w:val="00A5047D"/>
    <w:rsid w:val="00A504A2"/>
    <w:rsid w:val="00A504F5"/>
    <w:rsid w:val="00A50536"/>
    <w:rsid w:val="00A505FB"/>
    <w:rsid w:val="00A50651"/>
    <w:rsid w:val="00A50746"/>
    <w:rsid w:val="00A507F8"/>
    <w:rsid w:val="00A50B6B"/>
    <w:rsid w:val="00A50D89"/>
    <w:rsid w:val="00A50DB7"/>
    <w:rsid w:val="00A50E3C"/>
    <w:rsid w:val="00A50F2B"/>
    <w:rsid w:val="00A50FE7"/>
    <w:rsid w:val="00A51047"/>
    <w:rsid w:val="00A514E7"/>
    <w:rsid w:val="00A516E2"/>
    <w:rsid w:val="00A51AB7"/>
    <w:rsid w:val="00A51B82"/>
    <w:rsid w:val="00A51B84"/>
    <w:rsid w:val="00A51FDE"/>
    <w:rsid w:val="00A524D0"/>
    <w:rsid w:val="00A524DA"/>
    <w:rsid w:val="00A52518"/>
    <w:rsid w:val="00A526A0"/>
    <w:rsid w:val="00A52940"/>
    <w:rsid w:val="00A529BF"/>
    <w:rsid w:val="00A52AA6"/>
    <w:rsid w:val="00A52AD2"/>
    <w:rsid w:val="00A52D56"/>
    <w:rsid w:val="00A52DA8"/>
    <w:rsid w:val="00A53215"/>
    <w:rsid w:val="00A53343"/>
    <w:rsid w:val="00A53617"/>
    <w:rsid w:val="00A5365B"/>
    <w:rsid w:val="00A538C0"/>
    <w:rsid w:val="00A5395F"/>
    <w:rsid w:val="00A53B0A"/>
    <w:rsid w:val="00A53D23"/>
    <w:rsid w:val="00A53DF3"/>
    <w:rsid w:val="00A540B1"/>
    <w:rsid w:val="00A540B3"/>
    <w:rsid w:val="00A54133"/>
    <w:rsid w:val="00A541A7"/>
    <w:rsid w:val="00A54325"/>
    <w:rsid w:val="00A5432F"/>
    <w:rsid w:val="00A54446"/>
    <w:rsid w:val="00A544EE"/>
    <w:rsid w:val="00A5478B"/>
    <w:rsid w:val="00A549BE"/>
    <w:rsid w:val="00A54B71"/>
    <w:rsid w:val="00A5534C"/>
    <w:rsid w:val="00A554FA"/>
    <w:rsid w:val="00A5567B"/>
    <w:rsid w:val="00A5580C"/>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052"/>
    <w:rsid w:val="00A57560"/>
    <w:rsid w:val="00A575BB"/>
    <w:rsid w:val="00A5760A"/>
    <w:rsid w:val="00A57642"/>
    <w:rsid w:val="00A5769C"/>
    <w:rsid w:val="00A57BCE"/>
    <w:rsid w:val="00A57D22"/>
    <w:rsid w:val="00A57DCA"/>
    <w:rsid w:val="00A57EEE"/>
    <w:rsid w:val="00A601F6"/>
    <w:rsid w:val="00A602A4"/>
    <w:rsid w:val="00A602D9"/>
    <w:rsid w:val="00A602F4"/>
    <w:rsid w:val="00A60576"/>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5F"/>
    <w:rsid w:val="00A61F75"/>
    <w:rsid w:val="00A61FCB"/>
    <w:rsid w:val="00A62365"/>
    <w:rsid w:val="00A62535"/>
    <w:rsid w:val="00A62642"/>
    <w:rsid w:val="00A6265C"/>
    <w:rsid w:val="00A627E4"/>
    <w:rsid w:val="00A62ADE"/>
    <w:rsid w:val="00A62CCF"/>
    <w:rsid w:val="00A62E0C"/>
    <w:rsid w:val="00A62FE8"/>
    <w:rsid w:val="00A632AF"/>
    <w:rsid w:val="00A634FA"/>
    <w:rsid w:val="00A635CF"/>
    <w:rsid w:val="00A6390F"/>
    <w:rsid w:val="00A64038"/>
    <w:rsid w:val="00A640CB"/>
    <w:rsid w:val="00A64160"/>
    <w:rsid w:val="00A6437C"/>
    <w:rsid w:val="00A6440C"/>
    <w:rsid w:val="00A646AC"/>
    <w:rsid w:val="00A648EB"/>
    <w:rsid w:val="00A64B02"/>
    <w:rsid w:val="00A64CD6"/>
    <w:rsid w:val="00A64DD4"/>
    <w:rsid w:val="00A64DE5"/>
    <w:rsid w:val="00A64ECE"/>
    <w:rsid w:val="00A650FD"/>
    <w:rsid w:val="00A65279"/>
    <w:rsid w:val="00A652B3"/>
    <w:rsid w:val="00A65324"/>
    <w:rsid w:val="00A6553F"/>
    <w:rsid w:val="00A655AC"/>
    <w:rsid w:val="00A65691"/>
    <w:rsid w:val="00A656B3"/>
    <w:rsid w:val="00A6580E"/>
    <w:rsid w:val="00A65919"/>
    <w:rsid w:val="00A65B45"/>
    <w:rsid w:val="00A65B9C"/>
    <w:rsid w:val="00A65C1F"/>
    <w:rsid w:val="00A65F64"/>
    <w:rsid w:val="00A66056"/>
    <w:rsid w:val="00A66472"/>
    <w:rsid w:val="00A665F6"/>
    <w:rsid w:val="00A667A1"/>
    <w:rsid w:val="00A66AAA"/>
    <w:rsid w:val="00A66C7B"/>
    <w:rsid w:val="00A66E6B"/>
    <w:rsid w:val="00A672E8"/>
    <w:rsid w:val="00A675D9"/>
    <w:rsid w:val="00A67760"/>
    <w:rsid w:val="00A67AA0"/>
    <w:rsid w:val="00A67BC3"/>
    <w:rsid w:val="00A67C0E"/>
    <w:rsid w:val="00A67D6D"/>
    <w:rsid w:val="00A70243"/>
    <w:rsid w:val="00A70362"/>
    <w:rsid w:val="00A70420"/>
    <w:rsid w:val="00A7067D"/>
    <w:rsid w:val="00A706DE"/>
    <w:rsid w:val="00A7076A"/>
    <w:rsid w:val="00A7086B"/>
    <w:rsid w:val="00A70906"/>
    <w:rsid w:val="00A70937"/>
    <w:rsid w:val="00A70AC3"/>
    <w:rsid w:val="00A70B04"/>
    <w:rsid w:val="00A70CA3"/>
    <w:rsid w:val="00A70E16"/>
    <w:rsid w:val="00A711DC"/>
    <w:rsid w:val="00A71223"/>
    <w:rsid w:val="00A715CC"/>
    <w:rsid w:val="00A7170D"/>
    <w:rsid w:val="00A7187A"/>
    <w:rsid w:val="00A718E6"/>
    <w:rsid w:val="00A71911"/>
    <w:rsid w:val="00A71A19"/>
    <w:rsid w:val="00A72154"/>
    <w:rsid w:val="00A72357"/>
    <w:rsid w:val="00A72786"/>
    <w:rsid w:val="00A7278B"/>
    <w:rsid w:val="00A7289E"/>
    <w:rsid w:val="00A729E3"/>
    <w:rsid w:val="00A72A69"/>
    <w:rsid w:val="00A72B27"/>
    <w:rsid w:val="00A72C02"/>
    <w:rsid w:val="00A72DC7"/>
    <w:rsid w:val="00A72F10"/>
    <w:rsid w:val="00A7302A"/>
    <w:rsid w:val="00A7304C"/>
    <w:rsid w:val="00A73169"/>
    <w:rsid w:val="00A731FB"/>
    <w:rsid w:val="00A7321B"/>
    <w:rsid w:val="00A73401"/>
    <w:rsid w:val="00A7342F"/>
    <w:rsid w:val="00A73756"/>
    <w:rsid w:val="00A738FE"/>
    <w:rsid w:val="00A73B71"/>
    <w:rsid w:val="00A73CA0"/>
    <w:rsid w:val="00A73E65"/>
    <w:rsid w:val="00A73F11"/>
    <w:rsid w:val="00A7441C"/>
    <w:rsid w:val="00A74496"/>
    <w:rsid w:val="00A74560"/>
    <w:rsid w:val="00A745CA"/>
    <w:rsid w:val="00A74888"/>
    <w:rsid w:val="00A74B0F"/>
    <w:rsid w:val="00A74EA5"/>
    <w:rsid w:val="00A75024"/>
    <w:rsid w:val="00A75058"/>
    <w:rsid w:val="00A75186"/>
    <w:rsid w:val="00A752BB"/>
    <w:rsid w:val="00A75447"/>
    <w:rsid w:val="00A755A9"/>
    <w:rsid w:val="00A7569A"/>
    <w:rsid w:val="00A756C1"/>
    <w:rsid w:val="00A757D8"/>
    <w:rsid w:val="00A75CB2"/>
    <w:rsid w:val="00A75D0A"/>
    <w:rsid w:val="00A75F48"/>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17F"/>
    <w:rsid w:val="00A7734B"/>
    <w:rsid w:val="00A77893"/>
    <w:rsid w:val="00A77AF0"/>
    <w:rsid w:val="00A77B1C"/>
    <w:rsid w:val="00A77E09"/>
    <w:rsid w:val="00A80111"/>
    <w:rsid w:val="00A80315"/>
    <w:rsid w:val="00A80323"/>
    <w:rsid w:val="00A8056D"/>
    <w:rsid w:val="00A80588"/>
    <w:rsid w:val="00A805E5"/>
    <w:rsid w:val="00A80826"/>
    <w:rsid w:val="00A80B84"/>
    <w:rsid w:val="00A80BC5"/>
    <w:rsid w:val="00A80C82"/>
    <w:rsid w:val="00A80EE2"/>
    <w:rsid w:val="00A80F23"/>
    <w:rsid w:val="00A80F2A"/>
    <w:rsid w:val="00A80FCD"/>
    <w:rsid w:val="00A81079"/>
    <w:rsid w:val="00A812DF"/>
    <w:rsid w:val="00A813D6"/>
    <w:rsid w:val="00A816EB"/>
    <w:rsid w:val="00A81ABF"/>
    <w:rsid w:val="00A81D08"/>
    <w:rsid w:val="00A81D12"/>
    <w:rsid w:val="00A81FA4"/>
    <w:rsid w:val="00A82568"/>
    <w:rsid w:val="00A826C1"/>
    <w:rsid w:val="00A82BE3"/>
    <w:rsid w:val="00A82C4A"/>
    <w:rsid w:val="00A82C73"/>
    <w:rsid w:val="00A82DCC"/>
    <w:rsid w:val="00A82EB7"/>
    <w:rsid w:val="00A82ECC"/>
    <w:rsid w:val="00A82FB9"/>
    <w:rsid w:val="00A83239"/>
    <w:rsid w:val="00A83254"/>
    <w:rsid w:val="00A83661"/>
    <w:rsid w:val="00A836AD"/>
    <w:rsid w:val="00A838C7"/>
    <w:rsid w:val="00A838E2"/>
    <w:rsid w:val="00A8393F"/>
    <w:rsid w:val="00A83C16"/>
    <w:rsid w:val="00A83C7F"/>
    <w:rsid w:val="00A83F65"/>
    <w:rsid w:val="00A84321"/>
    <w:rsid w:val="00A843CD"/>
    <w:rsid w:val="00A844EA"/>
    <w:rsid w:val="00A8453A"/>
    <w:rsid w:val="00A84674"/>
    <w:rsid w:val="00A8484F"/>
    <w:rsid w:val="00A84998"/>
    <w:rsid w:val="00A84CE6"/>
    <w:rsid w:val="00A85028"/>
    <w:rsid w:val="00A85066"/>
    <w:rsid w:val="00A852B0"/>
    <w:rsid w:val="00A852BF"/>
    <w:rsid w:val="00A8582B"/>
    <w:rsid w:val="00A85B60"/>
    <w:rsid w:val="00A85C09"/>
    <w:rsid w:val="00A85CEE"/>
    <w:rsid w:val="00A85D6B"/>
    <w:rsid w:val="00A85D97"/>
    <w:rsid w:val="00A85E39"/>
    <w:rsid w:val="00A85F1C"/>
    <w:rsid w:val="00A85F30"/>
    <w:rsid w:val="00A86549"/>
    <w:rsid w:val="00A86589"/>
    <w:rsid w:val="00A8668C"/>
    <w:rsid w:val="00A8670D"/>
    <w:rsid w:val="00A86A34"/>
    <w:rsid w:val="00A86F1C"/>
    <w:rsid w:val="00A86FC6"/>
    <w:rsid w:val="00A87126"/>
    <w:rsid w:val="00A87293"/>
    <w:rsid w:val="00A87505"/>
    <w:rsid w:val="00A876CD"/>
    <w:rsid w:val="00A876DD"/>
    <w:rsid w:val="00A87773"/>
    <w:rsid w:val="00A90260"/>
    <w:rsid w:val="00A902C8"/>
    <w:rsid w:val="00A903B1"/>
    <w:rsid w:val="00A903C5"/>
    <w:rsid w:val="00A9094A"/>
    <w:rsid w:val="00A909E5"/>
    <w:rsid w:val="00A90C9D"/>
    <w:rsid w:val="00A91122"/>
    <w:rsid w:val="00A913C0"/>
    <w:rsid w:val="00A91676"/>
    <w:rsid w:val="00A918C4"/>
    <w:rsid w:val="00A9191E"/>
    <w:rsid w:val="00A91AC0"/>
    <w:rsid w:val="00A91BC0"/>
    <w:rsid w:val="00A91D06"/>
    <w:rsid w:val="00A91F12"/>
    <w:rsid w:val="00A91F24"/>
    <w:rsid w:val="00A91F5E"/>
    <w:rsid w:val="00A92048"/>
    <w:rsid w:val="00A920C7"/>
    <w:rsid w:val="00A92132"/>
    <w:rsid w:val="00A9227E"/>
    <w:rsid w:val="00A929F8"/>
    <w:rsid w:val="00A92CD9"/>
    <w:rsid w:val="00A92DB8"/>
    <w:rsid w:val="00A92F07"/>
    <w:rsid w:val="00A92F6F"/>
    <w:rsid w:val="00A9316B"/>
    <w:rsid w:val="00A932BB"/>
    <w:rsid w:val="00A932FA"/>
    <w:rsid w:val="00A93356"/>
    <w:rsid w:val="00A933A1"/>
    <w:rsid w:val="00A9393E"/>
    <w:rsid w:val="00A93C47"/>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3CD"/>
    <w:rsid w:val="00A95904"/>
    <w:rsid w:val="00A959C9"/>
    <w:rsid w:val="00A95A33"/>
    <w:rsid w:val="00A95BB1"/>
    <w:rsid w:val="00A95D1F"/>
    <w:rsid w:val="00A95E31"/>
    <w:rsid w:val="00A95F06"/>
    <w:rsid w:val="00A95F3B"/>
    <w:rsid w:val="00A95F3C"/>
    <w:rsid w:val="00A960B2"/>
    <w:rsid w:val="00A9626C"/>
    <w:rsid w:val="00A963C2"/>
    <w:rsid w:val="00A96468"/>
    <w:rsid w:val="00A96484"/>
    <w:rsid w:val="00A96515"/>
    <w:rsid w:val="00A966B4"/>
    <w:rsid w:val="00A96703"/>
    <w:rsid w:val="00A9675E"/>
    <w:rsid w:val="00A968B8"/>
    <w:rsid w:val="00A96B7E"/>
    <w:rsid w:val="00A96B9A"/>
    <w:rsid w:val="00A96CED"/>
    <w:rsid w:val="00A96D95"/>
    <w:rsid w:val="00A96E80"/>
    <w:rsid w:val="00A96FD8"/>
    <w:rsid w:val="00A9712F"/>
    <w:rsid w:val="00A971BF"/>
    <w:rsid w:val="00A9732B"/>
    <w:rsid w:val="00A973C8"/>
    <w:rsid w:val="00A973F5"/>
    <w:rsid w:val="00A975E3"/>
    <w:rsid w:val="00A97BA5"/>
    <w:rsid w:val="00A97E1F"/>
    <w:rsid w:val="00A97EE2"/>
    <w:rsid w:val="00AA0150"/>
    <w:rsid w:val="00AA01F9"/>
    <w:rsid w:val="00AA031E"/>
    <w:rsid w:val="00AA0641"/>
    <w:rsid w:val="00AA082F"/>
    <w:rsid w:val="00AA08C1"/>
    <w:rsid w:val="00AA0A4D"/>
    <w:rsid w:val="00AA0A58"/>
    <w:rsid w:val="00AA0B09"/>
    <w:rsid w:val="00AA0B14"/>
    <w:rsid w:val="00AA0C88"/>
    <w:rsid w:val="00AA0D00"/>
    <w:rsid w:val="00AA0E31"/>
    <w:rsid w:val="00AA110B"/>
    <w:rsid w:val="00AA115A"/>
    <w:rsid w:val="00AA1177"/>
    <w:rsid w:val="00AA117A"/>
    <w:rsid w:val="00AA13A7"/>
    <w:rsid w:val="00AA14C3"/>
    <w:rsid w:val="00AA176A"/>
    <w:rsid w:val="00AA17B6"/>
    <w:rsid w:val="00AA18A0"/>
    <w:rsid w:val="00AA1913"/>
    <w:rsid w:val="00AA1A18"/>
    <w:rsid w:val="00AA1CA2"/>
    <w:rsid w:val="00AA1E7E"/>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7C1"/>
    <w:rsid w:val="00AA39F1"/>
    <w:rsid w:val="00AA3C6E"/>
    <w:rsid w:val="00AA3DC3"/>
    <w:rsid w:val="00AA3F32"/>
    <w:rsid w:val="00AA409E"/>
    <w:rsid w:val="00AA40BA"/>
    <w:rsid w:val="00AA4130"/>
    <w:rsid w:val="00AA4186"/>
    <w:rsid w:val="00AA41E5"/>
    <w:rsid w:val="00AA43DD"/>
    <w:rsid w:val="00AA4417"/>
    <w:rsid w:val="00AA45EC"/>
    <w:rsid w:val="00AA4779"/>
    <w:rsid w:val="00AA484E"/>
    <w:rsid w:val="00AA4C41"/>
    <w:rsid w:val="00AA4E04"/>
    <w:rsid w:val="00AA4EAC"/>
    <w:rsid w:val="00AA502C"/>
    <w:rsid w:val="00AA5077"/>
    <w:rsid w:val="00AA50D0"/>
    <w:rsid w:val="00AA5138"/>
    <w:rsid w:val="00AA537F"/>
    <w:rsid w:val="00AA5591"/>
    <w:rsid w:val="00AA5678"/>
    <w:rsid w:val="00AA5794"/>
    <w:rsid w:val="00AA58AD"/>
    <w:rsid w:val="00AA5B54"/>
    <w:rsid w:val="00AA5D46"/>
    <w:rsid w:val="00AA5E6D"/>
    <w:rsid w:val="00AA5F2B"/>
    <w:rsid w:val="00AA606C"/>
    <w:rsid w:val="00AA6298"/>
    <w:rsid w:val="00AA62B3"/>
    <w:rsid w:val="00AA6331"/>
    <w:rsid w:val="00AA64DD"/>
    <w:rsid w:val="00AA67F7"/>
    <w:rsid w:val="00AA689D"/>
    <w:rsid w:val="00AA68CE"/>
    <w:rsid w:val="00AA69AA"/>
    <w:rsid w:val="00AA6AEA"/>
    <w:rsid w:val="00AA6BD9"/>
    <w:rsid w:val="00AA6C15"/>
    <w:rsid w:val="00AA6F2A"/>
    <w:rsid w:val="00AA6F94"/>
    <w:rsid w:val="00AA7078"/>
    <w:rsid w:val="00AA715E"/>
    <w:rsid w:val="00AA73E6"/>
    <w:rsid w:val="00AA756B"/>
    <w:rsid w:val="00AA7781"/>
    <w:rsid w:val="00AA77B2"/>
    <w:rsid w:val="00AA7D41"/>
    <w:rsid w:val="00AA7E19"/>
    <w:rsid w:val="00AA7EA8"/>
    <w:rsid w:val="00AA7EDF"/>
    <w:rsid w:val="00AA7F5F"/>
    <w:rsid w:val="00AA7FF2"/>
    <w:rsid w:val="00AB00CC"/>
    <w:rsid w:val="00AB0126"/>
    <w:rsid w:val="00AB0288"/>
    <w:rsid w:val="00AB0430"/>
    <w:rsid w:val="00AB08EC"/>
    <w:rsid w:val="00AB08F7"/>
    <w:rsid w:val="00AB0A7F"/>
    <w:rsid w:val="00AB0AE2"/>
    <w:rsid w:val="00AB0C49"/>
    <w:rsid w:val="00AB0DA8"/>
    <w:rsid w:val="00AB0FF1"/>
    <w:rsid w:val="00AB1156"/>
    <w:rsid w:val="00AB1469"/>
    <w:rsid w:val="00AB1A3B"/>
    <w:rsid w:val="00AB1C04"/>
    <w:rsid w:val="00AB1C24"/>
    <w:rsid w:val="00AB209C"/>
    <w:rsid w:val="00AB20B4"/>
    <w:rsid w:val="00AB22D5"/>
    <w:rsid w:val="00AB23C9"/>
    <w:rsid w:val="00AB24A2"/>
    <w:rsid w:val="00AB2662"/>
    <w:rsid w:val="00AB26F9"/>
    <w:rsid w:val="00AB28F9"/>
    <w:rsid w:val="00AB29E5"/>
    <w:rsid w:val="00AB2E0E"/>
    <w:rsid w:val="00AB2E41"/>
    <w:rsid w:val="00AB2E7C"/>
    <w:rsid w:val="00AB2F6E"/>
    <w:rsid w:val="00AB308B"/>
    <w:rsid w:val="00AB30E9"/>
    <w:rsid w:val="00AB3243"/>
    <w:rsid w:val="00AB33BF"/>
    <w:rsid w:val="00AB33F1"/>
    <w:rsid w:val="00AB3780"/>
    <w:rsid w:val="00AB3DD5"/>
    <w:rsid w:val="00AB3DE0"/>
    <w:rsid w:val="00AB3E97"/>
    <w:rsid w:val="00AB4188"/>
    <w:rsid w:val="00AB418B"/>
    <w:rsid w:val="00AB4445"/>
    <w:rsid w:val="00AB4634"/>
    <w:rsid w:val="00AB47C4"/>
    <w:rsid w:val="00AB4910"/>
    <w:rsid w:val="00AB4BCF"/>
    <w:rsid w:val="00AB4BEA"/>
    <w:rsid w:val="00AB4C3A"/>
    <w:rsid w:val="00AB4CEF"/>
    <w:rsid w:val="00AB4D90"/>
    <w:rsid w:val="00AB511D"/>
    <w:rsid w:val="00AB5475"/>
    <w:rsid w:val="00AB55E8"/>
    <w:rsid w:val="00AB56E1"/>
    <w:rsid w:val="00AB5881"/>
    <w:rsid w:val="00AB5A88"/>
    <w:rsid w:val="00AB5AB7"/>
    <w:rsid w:val="00AB5C4A"/>
    <w:rsid w:val="00AB5DC2"/>
    <w:rsid w:val="00AB5F1D"/>
    <w:rsid w:val="00AB5FE9"/>
    <w:rsid w:val="00AB6A2B"/>
    <w:rsid w:val="00AB6EB6"/>
    <w:rsid w:val="00AB7393"/>
    <w:rsid w:val="00AB74F8"/>
    <w:rsid w:val="00AB757B"/>
    <w:rsid w:val="00AB770A"/>
    <w:rsid w:val="00AB775A"/>
    <w:rsid w:val="00AB7791"/>
    <w:rsid w:val="00AB7866"/>
    <w:rsid w:val="00AB7A2F"/>
    <w:rsid w:val="00AB7B22"/>
    <w:rsid w:val="00AB7E1A"/>
    <w:rsid w:val="00AC008A"/>
    <w:rsid w:val="00AC019C"/>
    <w:rsid w:val="00AC0489"/>
    <w:rsid w:val="00AC0603"/>
    <w:rsid w:val="00AC0702"/>
    <w:rsid w:val="00AC070F"/>
    <w:rsid w:val="00AC07E7"/>
    <w:rsid w:val="00AC09A2"/>
    <w:rsid w:val="00AC0A51"/>
    <w:rsid w:val="00AC0A58"/>
    <w:rsid w:val="00AC0CBD"/>
    <w:rsid w:val="00AC1052"/>
    <w:rsid w:val="00AC118D"/>
    <w:rsid w:val="00AC12DA"/>
    <w:rsid w:val="00AC13B1"/>
    <w:rsid w:val="00AC146B"/>
    <w:rsid w:val="00AC17D8"/>
    <w:rsid w:val="00AC18AF"/>
    <w:rsid w:val="00AC19A1"/>
    <w:rsid w:val="00AC1BD5"/>
    <w:rsid w:val="00AC1C0F"/>
    <w:rsid w:val="00AC1DD7"/>
    <w:rsid w:val="00AC1DFA"/>
    <w:rsid w:val="00AC1ECA"/>
    <w:rsid w:val="00AC1FE1"/>
    <w:rsid w:val="00AC262E"/>
    <w:rsid w:val="00AC26C8"/>
    <w:rsid w:val="00AC2701"/>
    <w:rsid w:val="00AC2B5C"/>
    <w:rsid w:val="00AC2C7A"/>
    <w:rsid w:val="00AC2DBA"/>
    <w:rsid w:val="00AC2E58"/>
    <w:rsid w:val="00AC2FA3"/>
    <w:rsid w:val="00AC2FFC"/>
    <w:rsid w:val="00AC31A5"/>
    <w:rsid w:val="00AC31D6"/>
    <w:rsid w:val="00AC3213"/>
    <w:rsid w:val="00AC3317"/>
    <w:rsid w:val="00AC3480"/>
    <w:rsid w:val="00AC355D"/>
    <w:rsid w:val="00AC35A5"/>
    <w:rsid w:val="00AC363F"/>
    <w:rsid w:val="00AC37B0"/>
    <w:rsid w:val="00AC38C3"/>
    <w:rsid w:val="00AC3A3D"/>
    <w:rsid w:val="00AC3E84"/>
    <w:rsid w:val="00AC4432"/>
    <w:rsid w:val="00AC444F"/>
    <w:rsid w:val="00AC44CD"/>
    <w:rsid w:val="00AC4679"/>
    <w:rsid w:val="00AC47E9"/>
    <w:rsid w:val="00AC48DA"/>
    <w:rsid w:val="00AC4A92"/>
    <w:rsid w:val="00AC4C5A"/>
    <w:rsid w:val="00AC4CB9"/>
    <w:rsid w:val="00AC52B5"/>
    <w:rsid w:val="00AC53FC"/>
    <w:rsid w:val="00AC5449"/>
    <w:rsid w:val="00AC5467"/>
    <w:rsid w:val="00AC5494"/>
    <w:rsid w:val="00AC57E9"/>
    <w:rsid w:val="00AC57FA"/>
    <w:rsid w:val="00AC5A5D"/>
    <w:rsid w:val="00AC5D81"/>
    <w:rsid w:val="00AC5E51"/>
    <w:rsid w:val="00AC614B"/>
    <w:rsid w:val="00AC621A"/>
    <w:rsid w:val="00AC6349"/>
    <w:rsid w:val="00AC65E8"/>
    <w:rsid w:val="00AC6643"/>
    <w:rsid w:val="00AC669E"/>
    <w:rsid w:val="00AC66D5"/>
    <w:rsid w:val="00AC67D2"/>
    <w:rsid w:val="00AC6BFD"/>
    <w:rsid w:val="00AC6C31"/>
    <w:rsid w:val="00AC6DB5"/>
    <w:rsid w:val="00AC7151"/>
    <w:rsid w:val="00AC73F5"/>
    <w:rsid w:val="00AC7717"/>
    <w:rsid w:val="00AC7773"/>
    <w:rsid w:val="00AC791D"/>
    <w:rsid w:val="00AC7AB8"/>
    <w:rsid w:val="00AC7B51"/>
    <w:rsid w:val="00AC7BC2"/>
    <w:rsid w:val="00AC7C08"/>
    <w:rsid w:val="00AC7E6E"/>
    <w:rsid w:val="00AC7F6B"/>
    <w:rsid w:val="00AC7FB3"/>
    <w:rsid w:val="00AD009C"/>
    <w:rsid w:val="00AD02ED"/>
    <w:rsid w:val="00AD030A"/>
    <w:rsid w:val="00AD03A6"/>
    <w:rsid w:val="00AD0414"/>
    <w:rsid w:val="00AD08EE"/>
    <w:rsid w:val="00AD09EA"/>
    <w:rsid w:val="00AD0A30"/>
    <w:rsid w:val="00AD0B37"/>
    <w:rsid w:val="00AD0CDC"/>
    <w:rsid w:val="00AD0DCA"/>
    <w:rsid w:val="00AD0E18"/>
    <w:rsid w:val="00AD0EB1"/>
    <w:rsid w:val="00AD10B6"/>
    <w:rsid w:val="00AD10F5"/>
    <w:rsid w:val="00AD129B"/>
    <w:rsid w:val="00AD1438"/>
    <w:rsid w:val="00AD1587"/>
    <w:rsid w:val="00AD1588"/>
    <w:rsid w:val="00AD15C0"/>
    <w:rsid w:val="00AD17F1"/>
    <w:rsid w:val="00AD1A9F"/>
    <w:rsid w:val="00AD1AB0"/>
    <w:rsid w:val="00AD1CD5"/>
    <w:rsid w:val="00AD1CF3"/>
    <w:rsid w:val="00AD1E7F"/>
    <w:rsid w:val="00AD1F10"/>
    <w:rsid w:val="00AD1F65"/>
    <w:rsid w:val="00AD2012"/>
    <w:rsid w:val="00AD2267"/>
    <w:rsid w:val="00AD269C"/>
    <w:rsid w:val="00AD2714"/>
    <w:rsid w:val="00AD27CD"/>
    <w:rsid w:val="00AD289B"/>
    <w:rsid w:val="00AD2CBF"/>
    <w:rsid w:val="00AD303D"/>
    <w:rsid w:val="00AD3206"/>
    <w:rsid w:val="00AD3260"/>
    <w:rsid w:val="00AD330B"/>
    <w:rsid w:val="00AD390B"/>
    <w:rsid w:val="00AD3A43"/>
    <w:rsid w:val="00AD3A57"/>
    <w:rsid w:val="00AD3CC5"/>
    <w:rsid w:val="00AD3CF6"/>
    <w:rsid w:val="00AD3D2A"/>
    <w:rsid w:val="00AD4202"/>
    <w:rsid w:val="00AD475A"/>
    <w:rsid w:val="00AD4AEC"/>
    <w:rsid w:val="00AD4E9A"/>
    <w:rsid w:val="00AD5288"/>
    <w:rsid w:val="00AD52E4"/>
    <w:rsid w:val="00AD541C"/>
    <w:rsid w:val="00AD5745"/>
    <w:rsid w:val="00AD59FC"/>
    <w:rsid w:val="00AD5C9C"/>
    <w:rsid w:val="00AD5D62"/>
    <w:rsid w:val="00AD6056"/>
    <w:rsid w:val="00AD610F"/>
    <w:rsid w:val="00AD634E"/>
    <w:rsid w:val="00AD65D0"/>
    <w:rsid w:val="00AD66D7"/>
    <w:rsid w:val="00AD6793"/>
    <w:rsid w:val="00AD6799"/>
    <w:rsid w:val="00AD690C"/>
    <w:rsid w:val="00AD6F66"/>
    <w:rsid w:val="00AD6FB2"/>
    <w:rsid w:val="00AD6FF2"/>
    <w:rsid w:val="00AD71E6"/>
    <w:rsid w:val="00AD7374"/>
    <w:rsid w:val="00AD74D8"/>
    <w:rsid w:val="00AD75D1"/>
    <w:rsid w:val="00AD7AD4"/>
    <w:rsid w:val="00AD7BF5"/>
    <w:rsid w:val="00AD7F31"/>
    <w:rsid w:val="00AE001B"/>
    <w:rsid w:val="00AE08A4"/>
    <w:rsid w:val="00AE09E4"/>
    <w:rsid w:val="00AE0AB7"/>
    <w:rsid w:val="00AE0B97"/>
    <w:rsid w:val="00AE0C86"/>
    <w:rsid w:val="00AE0DB4"/>
    <w:rsid w:val="00AE0E8E"/>
    <w:rsid w:val="00AE14C6"/>
    <w:rsid w:val="00AE1595"/>
    <w:rsid w:val="00AE1654"/>
    <w:rsid w:val="00AE1804"/>
    <w:rsid w:val="00AE18DA"/>
    <w:rsid w:val="00AE1B85"/>
    <w:rsid w:val="00AE1CDE"/>
    <w:rsid w:val="00AE1E77"/>
    <w:rsid w:val="00AE1EEC"/>
    <w:rsid w:val="00AE1F86"/>
    <w:rsid w:val="00AE20C8"/>
    <w:rsid w:val="00AE2144"/>
    <w:rsid w:val="00AE220F"/>
    <w:rsid w:val="00AE24FE"/>
    <w:rsid w:val="00AE255E"/>
    <w:rsid w:val="00AE2A11"/>
    <w:rsid w:val="00AE2C22"/>
    <w:rsid w:val="00AE2CD3"/>
    <w:rsid w:val="00AE2D84"/>
    <w:rsid w:val="00AE2FA6"/>
    <w:rsid w:val="00AE3058"/>
    <w:rsid w:val="00AE316D"/>
    <w:rsid w:val="00AE31E4"/>
    <w:rsid w:val="00AE36E3"/>
    <w:rsid w:val="00AE381A"/>
    <w:rsid w:val="00AE397A"/>
    <w:rsid w:val="00AE3A44"/>
    <w:rsid w:val="00AE3B23"/>
    <w:rsid w:val="00AE3C37"/>
    <w:rsid w:val="00AE3D32"/>
    <w:rsid w:val="00AE3E59"/>
    <w:rsid w:val="00AE3EB2"/>
    <w:rsid w:val="00AE3F15"/>
    <w:rsid w:val="00AE3F21"/>
    <w:rsid w:val="00AE43B7"/>
    <w:rsid w:val="00AE477B"/>
    <w:rsid w:val="00AE4870"/>
    <w:rsid w:val="00AE4A0C"/>
    <w:rsid w:val="00AE4D7D"/>
    <w:rsid w:val="00AE4E7A"/>
    <w:rsid w:val="00AE4E92"/>
    <w:rsid w:val="00AE4F7B"/>
    <w:rsid w:val="00AE4FF2"/>
    <w:rsid w:val="00AE52D3"/>
    <w:rsid w:val="00AE541A"/>
    <w:rsid w:val="00AE549C"/>
    <w:rsid w:val="00AE54FC"/>
    <w:rsid w:val="00AE580C"/>
    <w:rsid w:val="00AE5C52"/>
    <w:rsid w:val="00AE5E63"/>
    <w:rsid w:val="00AE60BF"/>
    <w:rsid w:val="00AE618A"/>
    <w:rsid w:val="00AE6592"/>
    <w:rsid w:val="00AE65B3"/>
    <w:rsid w:val="00AE65CC"/>
    <w:rsid w:val="00AE661A"/>
    <w:rsid w:val="00AE6690"/>
    <w:rsid w:val="00AE6C43"/>
    <w:rsid w:val="00AE6CE4"/>
    <w:rsid w:val="00AE6D53"/>
    <w:rsid w:val="00AE6E04"/>
    <w:rsid w:val="00AE6E1E"/>
    <w:rsid w:val="00AE6F95"/>
    <w:rsid w:val="00AE7059"/>
    <w:rsid w:val="00AE7243"/>
    <w:rsid w:val="00AE77C6"/>
    <w:rsid w:val="00AE78BF"/>
    <w:rsid w:val="00AE7B90"/>
    <w:rsid w:val="00AE7BD5"/>
    <w:rsid w:val="00AE7D69"/>
    <w:rsid w:val="00AE7F03"/>
    <w:rsid w:val="00AE7FD6"/>
    <w:rsid w:val="00AF027A"/>
    <w:rsid w:val="00AF040D"/>
    <w:rsid w:val="00AF0511"/>
    <w:rsid w:val="00AF0525"/>
    <w:rsid w:val="00AF05A8"/>
    <w:rsid w:val="00AF0656"/>
    <w:rsid w:val="00AF076D"/>
    <w:rsid w:val="00AF0796"/>
    <w:rsid w:val="00AF0F7E"/>
    <w:rsid w:val="00AF0FD4"/>
    <w:rsid w:val="00AF1343"/>
    <w:rsid w:val="00AF18F1"/>
    <w:rsid w:val="00AF196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7E8"/>
    <w:rsid w:val="00AF3A15"/>
    <w:rsid w:val="00AF3A48"/>
    <w:rsid w:val="00AF3BFF"/>
    <w:rsid w:val="00AF3DA7"/>
    <w:rsid w:val="00AF3E12"/>
    <w:rsid w:val="00AF4055"/>
    <w:rsid w:val="00AF4062"/>
    <w:rsid w:val="00AF44BA"/>
    <w:rsid w:val="00AF46D8"/>
    <w:rsid w:val="00AF4764"/>
    <w:rsid w:val="00AF47A1"/>
    <w:rsid w:val="00AF493E"/>
    <w:rsid w:val="00AF4A76"/>
    <w:rsid w:val="00AF4C4D"/>
    <w:rsid w:val="00AF4C7C"/>
    <w:rsid w:val="00AF504E"/>
    <w:rsid w:val="00AF528A"/>
    <w:rsid w:val="00AF55C7"/>
    <w:rsid w:val="00AF5696"/>
    <w:rsid w:val="00AF59F8"/>
    <w:rsid w:val="00AF6213"/>
    <w:rsid w:val="00AF6899"/>
    <w:rsid w:val="00AF6BD9"/>
    <w:rsid w:val="00AF6E10"/>
    <w:rsid w:val="00AF6E56"/>
    <w:rsid w:val="00AF7082"/>
    <w:rsid w:val="00AF77AA"/>
    <w:rsid w:val="00AF79D6"/>
    <w:rsid w:val="00AF7AB8"/>
    <w:rsid w:val="00AF7C00"/>
    <w:rsid w:val="00AF7C07"/>
    <w:rsid w:val="00B00544"/>
    <w:rsid w:val="00B0071D"/>
    <w:rsid w:val="00B007E6"/>
    <w:rsid w:val="00B00F8C"/>
    <w:rsid w:val="00B01037"/>
    <w:rsid w:val="00B01099"/>
    <w:rsid w:val="00B01214"/>
    <w:rsid w:val="00B0141F"/>
    <w:rsid w:val="00B01429"/>
    <w:rsid w:val="00B0146D"/>
    <w:rsid w:val="00B0165E"/>
    <w:rsid w:val="00B017FD"/>
    <w:rsid w:val="00B01B37"/>
    <w:rsid w:val="00B01BE7"/>
    <w:rsid w:val="00B020EA"/>
    <w:rsid w:val="00B02155"/>
    <w:rsid w:val="00B02243"/>
    <w:rsid w:val="00B02C6E"/>
    <w:rsid w:val="00B02EEA"/>
    <w:rsid w:val="00B02F06"/>
    <w:rsid w:val="00B02F95"/>
    <w:rsid w:val="00B03668"/>
    <w:rsid w:val="00B03698"/>
    <w:rsid w:val="00B036D4"/>
    <w:rsid w:val="00B036F7"/>
    <w:rsid w:val="00B03744"/>
    <w:rsid w:val="00B03770"/>
    <w:rsid w:val="00B037B3"/>
    <w:rsid w:val="00B039E0"/>
    <w:rsid w:val="00B03ADC"/>
    <w:rsid w:val="00B03BD3"/>
    <w:rsid w:val="00B03BFC"/>
    <w:rsid w:val="00B03EA2"/>
    <w:rsid w:val="00B040BC"/>
    <w:rsid w:val="00B0422A"/>
    <w:rsid w:val="00B043EB"/>
    <w:rsid w:val="00B04449"/>
    <w:rsid w:val="00B04486"/>
    <w:rsid w:val="00B044E6"/>
    <w:rsid w:val="00B04535"/>
    <w:rsid w:val="00B04840"/>
    <w:rsid w:val="00B04BF0"/>
    <w:rsid w:val="00B04D15"/>
    <w:rsid w:val="00B04E7D"/>
    <w:rsid w:val="00B04E8C"/>
    <w:rsid w:val="00B05258"/>
    <w:rsid w:val="00B05404"/>
    <w:rsid w:val="00B054EC"/>
    <w:rsid w:val="00B0560C"/>
    <w:rsid w:val="00B0588C"/>
    <w:rsid w:val="00B05ADD"/>
    <w:rsid w:val="00B05B6E"/>
    <w:rsid w:val="00B05E4A"/>
    <w:rsid w:val="00B06397"/>
    <w:rsid w:val="00B06876"/>
    <w:rsid w:val="00B068BE"/>
    <w:rsid w:val="00B06A61"/>
    <w:rsid w:val="00B06C82"/>
    <w:rsid w:val="00B06D64"/>
    <w:rsid w:val="00B06DFC"/>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6D4"/>
    <w:rsid w:val="00B1087D"/>
    <w:rsid w:val="00B109A4"/>
    <w:rsid w:val="00B10A4A"/>
    <w:rsid w:val="00B10B93"/>
    <w:rsid w:val="00B10BE6"/>
    <w:rsid w:val="00B10D94"/>
    <w:rsid w:val="00B10EA9"/>
    <w:rsid w:val="00B10ED4"/>
    <w:rsid w:val="00B11068"/>
    <w:rsid w:val="00B11094"/>
    <w:rsid w:val="00B1110F"/>
    <w:rsid w:val="00B111EA"/>
    <w:rsid w:val="00B1142F"/>
    <w:rsid w:val="00B114C2"/>
    <w:rsid w:val="00B115E0"/>
    <w:rsid w:val="00B116E0"/>
    <w:rsid w:val="00B11746"/>
    <w:rsid w:val="00B118B4"/>
    <w:rsid w:val="00B118E3"/>
    <w:rsid w:val="00B11A82"/>
    <w:rsid w:val="00B11E0C"/>
    <w:rsid w:val="00B11F89"/>
    <w:rsid w:val="00B123C3"/>
    <w:rsid w:val="00B1240F"/>
    <w:rsid w:val="00B12452"/>
    <w:rsid w:val="00B12518"/>
    <w:rsid w:val="00B1252B"/>
    <w:rsid w:val="00B12622"/>
    <w:rsid w:val="00B12629"/>
    <w:rsid w:val="00B12745"/>
    <w:rsid w:val="00B129B2"/>
    <w:rsid w:val="00B12A1E"/>
    <w:rsid w:val="00B12A9D"/>
    <w:rsid w:val="00B12AAE"/>
    <w:rsid w:val="00B12ECA"/>
    <w:rsid w:val="00B12F2D"/>
    <w:rsid w:val="00B1305C"/>
    <w:rsid w:val="00B130C0"/>
    <w:rsid w:val="00B132F7"/>
    <w:rsid w:val="00B13352"/>
    <w:rsid w:val="00B134B7"/>
    <w:rsid w:val="00B1356B"/>
    <w:rsid w:val="00B136DD"/>
    <w:rsid w:val="00B1390F"/>
    <w:rsid w:val="00B13C31"/>
    <w:rsid w:val="00B142D3"/>
    <w:rsid w:val="00B1430E"/>
    <w:rsid w:val="00B143D3"/>
    <w:rsid w:val="00B1447C"/>
    <w:rsid w:val="00B145DB"/>
    <w:rsid w:val="00B149FC"/>
    <w:rsid w:val="00B14BDB"/>
    <w:rsid w:val="00B14D95"/>
    <w:rsid w:val="00B14FF9"/>
    <w:rsid w:val="00B15067"/>
    <w:rsid w:val="00B1509F"/>
    <w:rsid w:val="00B15492"/>
    <w:rsid w:val="00B156C7"/>
    <w:rsid w:val="00B157AB"/>
    <w:rsid w:val="00B15965"/>
    <w:rsid w:val="00B159AF"/>
    <w:rsid w:val="00B15BF5"/>
    <w:rsid w:val="00B15CF1"/>
    <w:rsid w:val="00B1614D"/>
    <w:rsid w:val="00B1629E"/>
    <w:rsid w:val="00B16353"/>
    <w:rsid w:val="00B16445"/>
    <w:rsid w:val="00B166A2"/>
    <w:rsid w:val="00B1684C"/>
    <w:rsid w:val="00B16945"/>
    <w:rsid w:val="00B1699F"/>
    <w:rsid w:val="00B169A9"/>
    <w:rsid w:val="00B16AC8"/>
    <w:rsid w:val="00B16AD2"/>
    <w:rsid w:val="00B16B47"/>
    <w:rsid w:val="00B16B7D"/>
    <w:rsid w:val="00B16B87"/>
    <w:rsid w:val="00B16BBD"/>
    <w:rsid w:val="00B16BD8"/>
    <w:rsid w:val="00B16E6B"/>
    <w:rsid w:val="00B16F41"/>
    <w:rsid w:val="00B1718B"/>
    <w:rsid w:val="00B173B1"/>
    <w:rsid w:val="00B17594"/>
    <w:rsid w:val="00B176CC"/>
    <w:rsid w:val="00B1780E"/>
    <w:rsid w:val="00B178E0"/>
    <w:rsid w:val="00B1795B"/>
    <w:rsid w:val="00B17AD7"/>
    <w:rsid w:val="00B17C09"/>
    <w:rsid w:val="00B17F9F"/>
    <w:rsid w:val="00B2008A"/>
    <w:rsid w:val="00B200FC"/>
    <w:rsid w:val="00B202DB"/>
    <w:rsid w:val="00B202FF"/>
    <w:rsid w:val="00B203EE"/>
    <w:rsid w:val="00B205BA"/>
    <w:rsid w:val="00B205ED"/>
    <w:rsid w:val="00B206D2"/>
    <w:rsid w:val="00B207A9"/>
    <w:rsid w:val="00B20BB6"/>
    <w:rsid w:val="00B20CF1"/>
    <w:rsid w:val="00B20EFA"/>
    <w:rsid w:val="00B20FC5"/>
    <w:rsid w:val="00B20FFC"/>
    <w:rsid w:val="00B2134A"/>
    <w:rsid w:val="00B21742"/>
    <w:rsid w:val="00B21A8F"/>
    <w:rsid w:val="00B21C57"/>
    <w:rsid w:val="00B21C8F"/>
    <w:rsid w:val="00B21D89"/>
    <w:rsid w:val="00B21DE7"/>
    <w:rsid w:val="00B21ECB"/>
    <w:rsid w:val="00B21F04"/>
    <w:rsid w:val="00B220F7"/>
    <w:rsid w:val="00B221B4"/>
    <w:rsid w:val="00B2275B"/>
    <w:rsid w:val="00B2285C"/>
    <w:rsid w:val="00B228FC"/>
    <w:rsid w:val="00B22926"/>
    <w:rsid w:val="00B22C21"/>
    <w:rsid w:val="00B22DE1"/>
    <w:rsid w:val="00B2301D"/>
    <w:rsid w:val="00B232B8"/>
    <w:rsid w:val="00B23469"/>
    <w:rsid w:val="00B23523"/>
    <w:rsid w:val="00B2397D"/>
    <w:rsid w:val="00B23A2D"/>
    <w:rsid w:val="00B23AD9"/>
    <w:rsid w:val="00B23C25"/>
    <w:rsid w:val="00B23CEA"/>
    <w:rsid w:val="00B23ECC"/>
    <w:rsid w:val="00B23F61"/>
    <w:rsid w:val="00B24052"/>
    <w:rsid w:val="00B2405F"/>
    <w:rsid w:val="00B241C7"/>
    <w:rsid w:val="00B24347"/>
    <w:rsid w:val="00B244A7"/>
    <w:rsid w:val="00B24617"/>
    <w:rsid w:val="00B2474E"/>
    <w:rsid w:val="00B2475E"/>
    <w:rsid w:val="00B2499A"/>
    <w:rsid w:val="00B24A0F"/>
    <w:rsid w:val="00B24EBA"/>
    <w:rsid w:val="00B25008"/>
    <w:rsid w:val="00B2506E"/>
    <w:rsid w:val="00B255D0"/>
    <w:rsid w:val="00B2577A"/>
    <w:rsid w:val="00B25842"/>
    <w:rsid w:val="00B25C0E"/>
    <w:rsid w:val="00B25D2C"/>
    <w:rsid w:val="00B25E5C"/>
    <w:rsid w:val="00B260CE"/>
    <w:rsid w:val="00B261EF"/>
    <w:rsid w:val="00B26263"/>
    <w:rsid w:val="00B26321"/>
    <w:rsid w:val="00B2638A"/>
    <w:rsid w:val="00B266FC"/>
    <w:rsid w:val="00B2674A"/>
    <w:rsid w:val="00B2683C"/>
    <w:rsid w:val="00B2690B"/>
    <w:rsid w:val="00B26CAD"/>
    <w:rsid w:val="00B26D72"/>
    <w:rsid w:val="00B26D79"/>
    <w:rsid w:val="00B27181"/>
    <w:rsid w:val="00B273AF"/>
    <w:rsid w:val="00B27675"/>
    <w:rsid w:val="00B27925"/>
    <w:rsid w:val="00B27AB6"/>
    <w:rsid w:val="00B27BB7"/>
    <w:rsid w:val="00B27D6D"/>
    <w:rsid w:val="00B27F8C"/>
    <w:rsid w:val="00B301F1"/>
    <w:rsid w:val="00B3044F"/>
    <w:rsid w:val="00B3048A"/>
    <w:rsid w:val="00B30579"/>
    <w:rsid w:val="00B3078B"/>
    <w:rsid w:val="00B307C5"/>
    <w:rsid w:val="00B30858"/>
    <w:rsid w:val="00B30A0F"/>
    <w:rsid w:val="00B30C9D"/>
    <w:rsid w:val="00B30E0C"/>
    <w:rsid w:val="00B30F5F"/>
    <w:rsid w:val="00B30FD7"/>
    <w:rsid w:val="00B31197"/>
    <w:rsid w:val="00B311FB"/>
    <w:rsid w:val="00B314D9"/>
    <w:rsid w:val="00B31590"/>
    <w:rsid w:val="00B315CE"/>
    <w:rsid w:val="00B31758"/>
    <w:rsid w:val="00B317C6"/>
    <w:rsid w:val="00B318EF"/>
    <w:rsid w:val="00B31956"/>
    <w:rsid w:val="00B31B42"/>
    <w:rsid w:val="00B31CB1"/>
    <w:rsid w:val="00B31E74"/>
    <w:rsid w:val="00B32201"/>
    <w:rsid w:val="00B324FD"/>
    <w:rsid w:val="00B32553"/>
    <w:rsid w:val="00B32A8B"/>
    <w:rsid w:val="00B32B26"/>
    <w:rsid w:val="00B32C8F"/>
    <w:rsid w:val="00B32DC9"/>
    <w:rsid w:val="00B32E9A"/>
    <w:rsid w:val="00B33046"/>
    <w:rsid w:val="00B331E6"/>
    <w:rsid w:val="00B33530"/>
    <w:rsid w:val="00B335C3"/>
    <w:rsid w:val="00B3376A"/>
    <w:rsid w:val="00B3382C"/>
    <w:rsid w:val="00B33B19"/>
    <w:rsid w:val="00B33E67"/>
    <w:rsid w:val="00B34082"/>
    <w:rsid w:val="00B3433D"/>
    <w:rsid w:val="00B34777"/>
    <w:rsid w:val="00B348D8"/>
    <w:rsid w:val="00B34F04"/>
    <w:rsid w:val="00B351D8"/>
    <w:rsid w:val="00B3563F"/>
    <w:rsid w:val="00B356C2"/>
    <w:rsid w:val="00B357DC"/>
    <w:rsid w:val="00B35926"/>
    <w:rsid w:val="00B35A44"/>
    <w:rsid w:val="00B35A62"/>
    <w:rsid w:val="00B35BDB"/>
    <w:rsid w:val="00B35D1D"/>
    <w:rsid w:val="00B35ECA"/>
    <w:rsid w:val="00B36006"/>
    <w:rsid w:val="00B361AF"/>
    <w:rsid w:val="00B36492"/>
    <w:rsid w:val="00B36790"/>
    <w:rsid w:val="00B36917"/>
    <w:rsid w:val="00B36931"/>
    <w:rsid w:val="00B36BA3"/>
    <w:rsid w:val="00B36CCB"/>
    <w:rsid w:val="00B37478"/>
    <w:rsid w:val="00B37869"/>
    <w:rsid w:val="00B37FF6"/>
    <w:rsid w:val="00B40113"/>
    <w:rsid w:val="00B4014E"/>
    <w:rsid w:val="00B4023F"/>
    <w:rsid w:val="00B40365"/>
    <w:rsid w:val="00B40468"/>
    <w:rsid w:val="00B4052A"/>
    <w:rsid w:val="00B405E7"/>
    <w:rsid w:val="00B406E7"/>
    <w:rsid w:val="00B40846"/>
    <w:rsid w:val="00B408D8"/>
    <w:rsid w:val="00B40A51"/>
    <w:rsid w:val="00B40B5A"/>
    <w:rsid w:val="00B40C25"/>
    <w:rsid w:val="00B40D07"/>
    <w:rsid w:val="00B40DC9"/>
    <w:rsid w:val="00B40EB5"/>
    <w:rsid w:val="00B40F5D"/>
    <w:rsid w:val="00B415C4"/>
    <w:rsid w:val="00B41608"/>
    <w:rsid w:val="00B4167B"/>
    <w:rsid w:val="00B416EA"/>
    <w:rsid w:val="00B4171C"/>
    <w:rsid w:val="00B417EC"/>
    <w:rsid w:val="00B418A1"/>
    <w:rsid w:val="00B4194D"/>
    <w:rsid w:val="00B41966"/>
    <w:rsid w:val="00B41D40"/>
    <w:rsid w:val="00B41E6B"/>
    <w:rsid w:val="00B41F13"/>
    <w:rsid w:val="00B42233"/>
    <w:rsid w:val="00B429EA"/>
    <w:rsid w:val="00B42A68"/>
    <w:rsid w:val="00B433B3"/>
    <w:rsid w:val="00B43892"/>
    <w:rsid w:val="00B43B32"/>
    <w:rsid w:val="00B43D6C"/>
    <w:rsid w:val="00B43DA5"/>
    <w:rsid w:val="00B43EDA"/>
    <w:rsid w:val="00B4403E"/>
    <w:rsid w:val="00B44205"/>
    <w:rsid w:val="00B44290"/>
    <w:rsid w:val="00B44666"/>
    <w:rsid w:val="00B446A1"/>
    <w:rsid w:val="00B446D1"/>
    <w:rsid w:val="00B44C79"/>
    <w:rsid w:val="00B44D5C"/>
    <w:rsid w:val="00B44EC8"/>
    <w:rsid w:val="00B450CA"/>
    <w:rsid w:val="00B4516C"/>
    <w:rsid w:val="00B4559E"/>
    <w:rsid w:val="00B4578E"/>
    <w:rsid w:val="00B4581D"/>
    <w:rsid w:val="00B45B70"/>
    <w:rsid w:val="00B45C5A"/>
    <w:rsid w:val="00B45C71"/>
    <w:rsid w:val="00B45E93"/>
    <w:rsid w:val="00B4658D"/>
    <w:rsid w:val="00B4682A"/>
    <w:rsid w:val="00B46A8A"/>
    <w:rsid w:val="00B46C57"/>
    <w:rsid w:val="00B46CAC"/>
    <w:rsid w:val="00B46D34"/>
    <w:rsid w:val="00B47413"/>
    <w:rsid w:val="00B4764F"/>
    <w:rsid w:val="00B476D7"/>
    <w:rsid w:val="00B477F4"/>
    <w:rsid w:val="00B47CB1"/>
    <w:rsid w:val="00B47D8D"/>
    <w:rsid w:val="00B5009C"/>
    <w:rsid w:val="00B50123"/>
    <w:rsid w:val="00B50132"/>
    <w:rsid w:val="00B50139"/>
    <w:rsid w:val="00B50191"/>
    <w:rsid w:val="00B502AB"/>
    <w:rsid w:val="00B5034E"/>
    <w:rsid w:val="00B504D5"/>
    <w:rsid w:val="00B504F3"/>
    <w:rsid w:val="00B50A04"/>
    <w:rsid w:val="00B50A8B"/>
    <w:rsid w:val="00B50F14"/>
    <w:rsid w:val="00B510E8"/>
    <w:rsid w:val="00B51188"/>
    <w:rsid w:val="00B5120B"/>
    <w:rsid w:val="00B51495"/>
    <w:rsid w:val="00B516C0"/>
    <w:rsid w:val="00B516C5"/>
    <w:rsid w:val="00B5175D"/>
    <w:rsid w:val="00B5192A"/>
    <w:rsid w:val="00B519D0"/>
    <w:rsid w:val="00B5212C"/>
    <w:rsid w:val="00B521C2"/>
    <w:rsid w:val="00B52232"/>
    <w:rsid w:val="00B5224E"/>
    <w:rsid w:val="00B522B9"/>
    <w:rsid w:val="00B522EE"/>
    <w:rsid w:val="00B528B4"/>
    <w:rsid w:val="00B5290F"/>
    <w:rsid w:val="00B52AF5"/>
    <w:rsid w:val="00B52C36"/>
    <w:rsid w:val="00B52D91"/>
    <w:rsid w:val="00B52F71"/>
    <w:rsid w:val="00B53396"/>
    <w:rsid w:val="00B53881"/>
    <w:rsid w:val="00B5399B"/>
    <w:rsid w:val="00B53B44"/>
    <w:rsid w:val="00B53F62"/>
    <w:rsid w:val="00B53FB2"/>
    <w:rsid w:val="00B54042"/>
    <w:rsid w:val="00B540F0"/>
    <w:rsid w:val="00B542A2"/>
    <w:rsid w:val="00B54358"/>
    <w:rsid w:val="00B545C7"/>
    <w:rsid w:val="00B5474C"/>
    <w:rsid w:val="00B54807"/>
    <w:rsid w:val="00B548B9"/>
    <w:rsid w:val="00B54A9E"/>
    <w:rsid w:val="00B54ACA"/>
    <w:rsid w:val="00B54B1E"/>
    <w:rsid w:val="00B54CD4"/>
    <w:rsid w:val="00B54D84"/>
    <w:rsid w:val="00B54E27"/>
    <w:rsid w:val="00B55054"/>
    <w:rsid w:val="00B5515A"/>
    <w:rsid w:val="00B55237"/>
    <w:rsid w:val="00B55490"/>
    <w:rsid w:val="00B555E3"/>
    <w:rsid w:val="00B558AD"/>
    <w:rsid w:val="00B559EF"/>
    <w:rsid w:val="00B55AC5"/>
    <w:rsid w:val="00B56207"/>
    <w:rsid w:val="00B5629D"/>
    <w:rsid w:val="00B565EA"/>
    <w:rsid w:val="00B56BDF"/>
    <w:rsid w:val="00B56D2A"/>
    <w:rsid w:val="00B56E48"/>
    <w:rsid w:val="00B56EF7"/>
    <w:rsid w:val="00B575F9"/>
    <w:rsid w:val="00B576C8"/>
    <w:rsid w:val="00B579BC"/>
    <w:rsid w:val="00B579BF"/>
    <w:rsid w:val="00B57FB8"/>
    <w:rsid w:val="00B60168"/>
    <w:rsid w:val="00B6018C"/>
    <w:rsid w:val="00B606B9"/>
    <w:rsid w:val="00B60812"/>
    <w:rsid w:val="00B60875"/>
    <w:rsid w:val="00B60A62"/>
    <w:rsid w:val="00B60BD4"/>
    <w:rsid w:val="00B60CB5"/>
    <w:rsid w:val="00B60CF7"/>
    <w:rsid w:val="00B60E22"/>
    <w:rsid w:val="00B60FB1"/>
    <w:rsid w:val="00B6102D"/>
    <w:rsid w:val="00B61326"/>
    <w:rsid w:val="00B61356"/>
    <w:rsid w:val="00B61391"/>
    <w:rsid w:val="00B614F0"/>
    <w:rsid w:val="00B61514"/>
    <w:rsid w:val="00B6157F"/>
    <w:rsid w:val="00B615DB"/>
    <w:rsid w:val="00B61A10"/>
    <w:rsid w:val="00B61ECB"/>
    <w:rsid w:val="00B61FA6"/>
    <w:rsid w:val="00B61FC2"/>
    <w:rsid w:val="00B62156"/>
    <w:rsid w:val="00B6223B"/>
    <w:rsid w:val="00B62314"/>
    <w:rsid w:val="00B626C4"/>
    <w:rsid w:val="00B6280E"/>
    <w:rsid w:val="00B629DF"/>
    <w:rsid w:val="00B63050"/>
    <w:rsid w:val="00B63270"/>
    <w:rsid w:val="00B635A7"/>
    <w:rsid w:val="00B6396E"/>
    <w:rsid w:val="00B63ADD"/>
    <w:rsid w:val="00B63BF7"/>
    <w:rsid w:val="00B63CC1"/>
    <w:rsid w:val="00B63D3D"/>
    <w:rsid w:val="00B6414A"/>
    <w:rsid w:val="00B64217"/>
    <w:rsid w:val="00B64452"/>
    <w:rsid w:val="00B6458D"/>
    <w:rsid w:val="00B64653"/>
    <w:rsid w:val="00B64AE4"/>
    <w:rsid w:val="00B64DFF"/>
    <w:rsid w:val="00B64E40"/>
    <w:rsid w:val="00B6513B"/>
    <w:rsid w:val="00B65228"/>
    <w:rsid w:val="00B6555D"/>
    <w:rsid w:val="00B655A8"/>
    <w:rsid w:val="00B656B0"/>
    <w:rsid w:val="00B65B08"/>
    <w:rsid w:val="00B65B34"/>
    <w:rsid w:val="00B65BBE"/>
    <w:rsid w:val="00B65CC6"/>
    <w:rsid w:val="00B65D14"/>
    <w:rsid w:val="00B65EF9"/>
    <w:rsid w:val="00B65FA0"/>
    <w:rsid w:val="00B66161"/>
    <w:rsid w:val="00B6626F"/>
    <w:rsid w:val="00B66344"/>
    <w:rsid w:val="00B66467"/>
    <w:rsid w:val="00B66788"/>
    <w:rsid w:val="00B668AF"/>
    <w:rsid w:val="00B669C3"/>
    <w:rsid w:val="00B66BD7"/>
    <w:rsid w:val="00B66CB0"/>
    <w:rsid w:val="00B66EE5"/>
    <w:rsid w:val="00B66FD9"/>
    <w:rsid w:val="00B66FE6"/>
    <w:rsid w:val="00B671BE"/>
    <w:rsid w:val="00B672B0"/>
    <w:rsid w:val="00B672D5"/>
    <w:rsid w:val="00B678EA"/>
    <w:rsid w:val="00B67A26"/>
    <w:rsid w:val="00B67BA3"/>
    <w:rsid w:val="00B67DAE"/>
    <w:rsid w:val="00B67E8C"/>
    <w:rsid w:val="00B67F43"/>
    <w:rsid w:val="00B67FF5"/>
    <w:rsid w:val="00B70248"/>
    <w:rsid w:val="00B70256"/>
    <w:rsid w:val="00B7035F"/>
    <w:rsid w:val="00B703B3"/>
    <w:rsid w:val="00B70429"/>
    <w:rsid w:val="00B7045E"/>
    <w:rsid w:val="00B70539"/>
    <w:rsid w:val="00B70800"/>
    <w:rsid w:val="00B70AF9"/>
    <w:rsid w:val="00B70B41"/>
    <w:rsid w:val="00B70DEE"/>
    <w:rsid w:val="00B70E47"/>
    <w:rsid w:val="00B70E48"/>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7EE"/>
    <w:rsid w:val="00B729BB"/>
    <w:rsid w:val="00B72A26"/>
    <w:rsid w:val="00B72A37"/>
    <w:rsid w:val="00B72B47"/>
    <w:rsid w:val="00B72C23"/>
    <w:rsid w:val="00B72D81"/>
    <w:rsid w:val="00B72FBC"/>
    <w:rsid w:val="00B730EC"/>
    <w:rsid w:val="00B73113"/>
    <w:rsid w:val="00B731EA"/>
    <w:rsid w:val="00B73275"/>
    <w:rsid w:val="00B73322"/>
    <w:rsid w:val="00B73328"/>
    <w:rsid w:val="00B7355F"/>
    <w:rsid w:val="00B7369A"/>
    <w:rsid w:val="00B736B3"/>
    <w:rsid w:val="00B7370E"/>
    <w:rsid w:val="00B738ED"/>
    <w:rsid w:val="00B739E1"/>
    <w:rsid w:val="00B73A79"/>
    <w:rsid w:val="00B73A95"/>
    <w:rsid w:val="00B73AAF"/>
    <w:rsid w:val="00B73BB5"/>
    <w:rsid w:val="00B73E47"/>
    <w:rsid w:val="00B73FDF"/>
    <w:rsid w:val="00B740D4"/>
    <w:rsid w:val="00B740E7"/>
    <w:rsid w:val="00B7438B"/>
    <w:rsid w:val="00B7458B"/>
    <w:rsid w:val="00B74951"/>
    <w:rsid w:val="00B74B5D"/>
    <w:rsid w:val="00B7504C"/>
    <w:rsid w:val="00B752B5"/>
    <w:rsid w:val="00B75395"/>
    <w:rsid w:val="00B753E8"/>
    <w:rsid w:val="00B75482"/>
    <w:rsid w:val="00B75781"/>
    <w:rsid w:val="00B757DF"/>
    <w:rsid w:val="00B75826"/>
    <w:rsid w:val="00B75908"/>
    <w:rsid w:val="00B75B36"/>
    <w:rsid w:val="00B75CD8"/>
    <w:rsid w:val="00B75D16"/>
    <w:rsid w:val="00B7609D"/>
    <w:rsid w:val="00B76489"/>
    <w:rsid w:val="00B76634"/>
    <w:rsid w:val="00B766F4"/>
    <w:rsid w:val="00B76745"/>
    <w:rsid w:val="00B76797"/>
    <w:rsid w:val="00B768CB"/>
    <w:rsid w:val="00B76924"/>
    <w:rsid w:val="00B769A1"/>
    <w:rsid w:val="00B769AC"/>
    <w:rsid w:val="00B769CF"/>
    <w:rsid w:val="00B76CCF"/>
    <w:rsid w:val="00B77071"/>
    <w:rsid w:val="00B772BA"/>
    <w:rsid w:val="00B77465"/>
    <w:rsid w:val="00B77482"/>
    <w:rsid w:val="00B774ED"/>
    <w:rsid w:val="00B77504"/>
    <w:rsid w:val="00B77540"/>
    <w:rsid w:val="00B77727"/>
    <w:rsid w:val="00B77744"/>
    <w:rsid w:val="00B77BBD"/>
    <w:rsid w:val="00B77EEB"/>
    <w:rsid w:val="00B80121"/>
    <w:rsid w:val="00B80167"/>
    <w:rsid w:val="00B80924"/>
    <w:rsid w:val="00B80F0C"/>
    <w:rsid w:val="00B80F96"/>
    <w:rsid w:val="00B8112E"/>
    <w:rsid w:val="00B813BB"/>
    <w:rsid w:val="00B8155A"/>
    <w:rsid w:val="00B81857"/>
    <w:rsid w:val="00B818D3"/>
    <w:rsid w:val="00B8199C"/>
    <w:rsid w:val="00B81A61"/>
    <w:rsid w:val="00B81B05"/>
    <w:rsid w:val="00B81CEE"/>
    <w:rsid w:val="00B81F08"/>
    <w:rsid w:val="00B81FB9"/>
    <w:rsid w:val="00B81FBC"/>
    <w:rsid w:val="00B8235E"/>
    <w:rsid w:val="00B825B3"/>
    <w:rsid w:val="00B82AE6"/>
    <w:rsid w:val="00B82B06"/>
    <w:rsid w:val="00B82C40"/>
    <w:rsid w:val="00B82E16"/>
    <w:rsid w:val="00B82F34"/>
    <w:rsid w:val="00B830C8"/>
    <w:rsid w:val="00B8314A"/>
    <w:rsid w:val="00B83190"/>
    <w:rsid w:val="00B833DF"/>
    <w:rsid w:val="00B83421"/>
    <w:rsid w:val="00B83478"/>
    <w:rsid w:val="00B83CD2"/>
    <w:rsid w:val="00B8400F"/>
    <w:rsid w:val="00B843F9"/>
    <w:rsid w:val="00B84481"/>
    <w:rsid w:val="00B8453F"/>
    <w:rsid w:val="00B846F8"/>
    <w:rsid w:val="00B849F3"/>
    <w:rsid w:val="00B84F4F"/>
    <w:rsid w:val="00B85205"/>
    <w:rsid w:val="00B853F7"/>
    <w:rsid w:val="00B8541D"/>
    <w:rsid w:val="00B85757"/>
    <w:rsid w:val="00B85773"/>
    <w:rsid w:val="00B85A1B"/>
    <w:rsid w:val="00B85C16"/>
    <w:rsid w:val="00B85F01"/>
    <w:rsid w:val="00B86208"/>
    <w:rsid w:val="00B869BF"/>
    <w:rsid w:val="00B86A5B"/>
    <w:rsid w:val="00B86C48"/>
    <w:rsid w:val="00B86D91"/>
    <w:rsid w:val="00B86E35"/>
    <w:rsid w:val="00B86EE2"/>
    <w:rsid w:val="00B870D5"/>
    <w:rsid w:val="00B8753A"/>
    <w:rsid w:val="00B8755A"/>
    <w:rsid w:val="00B876BB"/>
    <w:rsid w:val="00B878C1"/>
    <w:rsid w:val="00B87981"/>
    <w:rsid w:val="00B87B6F"/>
    <w:rsid w:val="00B87C89"/>
    <w:rsid w:val="00B87CE8"/>
    <w:rsid w:val="00B87E9C"/>
    <w:rsid w:val="00B87F6D"/>
    <w:rsid w:val="00B90041"/>
    <w:rsid w:val="00B900DF"/>
    <w:rsid w:val="00B904CE"/>
    <w:rsid w:val="00B904D8"/>
    <w:rsid w:val="00B907CB"/>
    <w:rsid w:val="00B90E2C"/>
    <w:rsid w:val="00B90F3A"/>
    <w:rsid w:val="00B90FD6"/>
    <w:rsid w:val="00B90FF9"/>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0CE"/>
    <w:rsid w:val="00B9227F"/>
    <w:rsid w:val="00B9238A"/>
    <w:rsid w:val="00B924E0"/>
    <w:rsid w:val="00B926E0"/>
    <w:rsid w:val="00B928F1"/>
    <w:rsid w:val="00B92A0A"/>
    <w:rsid w:val="00B92B90"/>
    <w:rsid w:val="00B92D00"/>
    <w:rsid w:val="00B92F78"/>
    <w:rsid w:val="00B93017"/>
    <w:rsid w:val="00B930DC"/>
    <w:rsid w:val="00B93141"/>
    <w:rsid w:val="00B9327A"/>
    <w:rsid w:val="00B93493"/>
    <w:rsid w:val="00B9380B"/>
    <w:rsid w:val="00B93AD9"/>
    <w:rsid w:val="00B93B7A"/>
    <w:rsid w:val="00B93F0C"/>
    <w:rsid w:val="00B93F76"/>
    <w:rsid w:val="00B9405C"/>
    <w:rsid w:val="00B940D8"/>
    <w:rsid w:val="00B94161"/>
    <w:rsid w:val="00B942D3"/>
    <w:rsid w:val="00B94543"/>
    <w:rsid w:val="00B946B2"/>
    <w:rsid w:val="00B948CE"/>
    <w:rsid w:val="00B94ABB"/>
    <w:rsid w:val="00B94DA3"/>
    <w:rsid w:val="00B9529C"/>
    <w:rsid w:val="00B9532A"/>
    <w:rsid w:val="00B9549C"/>
    <w:rsid w:val="00B955EF"/>
    <w:rsid w:val="00B95698"/>
    <w:rsid w:val="00B957A9"/>
    <w:rsid w:val="00B958FE"/>
    <w:rsid w:val="00B95AAE"/>
    <w:rsid w:val="00B95C4F"/>
    <w:rsid w:val="00B95D69"/>
    <w:rsid w:val="00B95E1F"/>
    <w:rsid w:val="00B95E33"/>
    <w:rsid w:val="00B961C8"/>
    <w:rsid w:val="00B96866"/>
    <w:rsid w:val="00B96887"/>
    <w:rsid w:val="00B96C4C"/>
    <w:rsid w:val="00B96D0B"/>
    <w:rsid w:val="00B96E06"/>
    <w:rsid w:val="00B9709A"/>
    <w:rsid w:val="00B9722A"/>
    <w:rsid w:val="00B973C7"/>
    <w:rsid w:val="00B97436"/>
    <w:rsid w:val="00B97516"/>
    <w:rsid w:val="00B9753A"/>
    <w:rsid w:val="00B97651"/>
    <w:rsid w:val="00B97786"/>
    <w:rsid w:val="00B978AC"/>
    <w:rsid w:val="00B97BA3"/>
    <w:rsid w:val="00B97DB5"/>
    <w:rsid w:val="00BA0247"/>
    <w:rsid w:val="00BA03C4"/>
    <w:rsid w:val="00BA0564"/>
    <w:rsid w:val="00BA0800"/>
    <w:rsid w:val="00BA09E0"/>
    <w:rsid w:val="00BA0B9C"/>
    <w:rsid w:val="00BA0CA4"/>
    <w:rsid w:val="00BA0D6A"/>
    <w:rsid w:val="00BA0DB4"/>
    <w:rsid w:val="00BA0E30"/>
    <w:rsid w:val="00BA1071"/>
    <w:rsid w:val="00BA126E"/>
    <w:rsid w:val="00BA1281"/>
    <w:rsid w:val="00BA1342"/>
    <w:rsid w:val="00BA193E"/>
    <w:rsid w:val="00BA193F"/>
    <w:rsid w:val="00BA1975"/>
    <w:rsid w:val="00BA1B8B"/>
    <w:rsid w:val="00BA1F67"/>
    <w:rsid w:val="00BA1FB4"/>
    <w:rsid w:val="00BA2001"/>
    <w:rsid w:val="00BA209C"/>
    <w:rsid w:val="00BA24CE"/>
    <w:rsid w:val="00BA2712"/>
    <w:rsid w:val="00BA2775"/>
    <w:rsid w:val="00BA292C"/>
    <w:rsid w:val="00BA293E"/>
    <w:rsid w:val="00BA298F"/>
    <w:rsid w:val="00BA2AE2"/>
    <w:rsid w:val="00BA2C0C"/>
    <w:rsid w:val="00BA2C1E"/>
    <w:rsid w:val="00BA2C3C"/>
    <w:rsid w:val="00BA2C5E"/>
    <w:rsid w:val="00BA2EB3"/>
    <w:rsid w:val="00BA2F24"/>
    <w:rsid w:val="00BA2FA3"/>
    <w:rsid w:val="00BA3287"/>
    <w:rsid w:val="00BA32E9"/>
    <w:rsid w:val="00BA361D"/>
    <w:rsid w:val="00BA36DB"/>
    <w:rsid w:val="00BA36E7"/>
    <w:rsid w:val="00BA38B5"/>
    <w:rsid w:val="00BA3A75"/>
    <w:rsid w:val="00BA3BFA"/>
    <w:rsid w:val="00BA3C35"/>
    <w:rsid w:val="00BA3D28"/>
    <w:rsid w:val="00BA4354"/>
    <w:rsid w:val="00BA4B9F"/>
    <w:rsid w:val="00BA5036"/>
    <w:rsid w:val="00BA50A0"/>
    <w:rsid w:val="00BA518C"/>
    <w:rsid w:val="00BA5646"/>
    <w:rsid w:val="00BA5672"/>
    <w:rsid w:val="00BA5869"/>
    <w:rsid w:val="00BA58C6"/>
    <w:rsid w:val="00BA598B"/>
    <w:rsid w:val="00BA5E57"/>
    <w:rsid w:val="00BA6182"/>
    <w:rsid w:val="00BA6190"/>
    <w:rsid w:val="00BA6325"/>
    <w:rsid w:val="00BA634B"/>
    <w:rsid w:val="00BA658E"/>
    <w:rsid w:val="00BA6611"/>
    <w:rsid w:val="00BA6A4E"/>
    <w:rsid w:val="00BA6AF1"/>
    <w:rsid w:val="00BA6C5F"/>
    <w:rsid w:val="00BA6DD8"/>
    <w:rsid w:val="00BA7015"/>
    <w:rsid w:val="00BA71BB"/>
    <w:rsid w:val="00BA736F"/>
    <w:rsid w:val="00BA76B2"/>
    <w:rsid w:val="00BA78FD"/>
    <w:rsid w:val="00BA7903"/>
    <w:rsid w:val="00BA7A51"/>
    <w:rsid w:val="00BA7B72"/>
    <w:rsid w:val="00BA7CA8"/>
    <w:rsid w:val="00BA7F37"/>
    <w:rsid w:val="00BA7FA7"/>
    <w:rsid w:val="00BB0013"/>
    <w:rsid w:val="00BB03B7"/>
    <w:rsid w:val="00BB0582"/>
    <w:rsid w:val="00BB061A"/>
    <w:rsid w:val="00BB06AE"/>
    <w:rsid w:val="00BB0B26"/>
    <w:rsid w:val="00BB0B7D"/>
    <w:rsid w:val="00BB0EA9"/>
    <w:rsid w:val="00BB0F00"/>
    <w:rsid w:val="00BB0F94"/>
    <w:rsid w:val="00BB0FE3"/>
    <w:rsid w:val="00BB1082"/>
    <w:rsid w:val="00BB129A"/>
    <w:rsid w:val="00BB12BC"/>
    <w:rsid w:val="00BB1589"/>
    <w:rsid w:val="00BB1614"/>
    <w:rsid w:val="00BB179E"/>
    <w:rsid w:val="00BB1840"/>
    <w:rsid w:val="00BB1D36"/>
    <w:rsid w:val="00BB1E26"/>
    <w:rsid w:val="00BB1F3A"/>
    <w:rsid w:val="00BB20D8"/>
    <w:rsid w:val="00BB22FA"/>
    <w:rsid w:val="00BB249C"/>
    <w:rsid w:val="00BB2673"/>
    <w:rsid w:val="00BB290A"/>
    <w:rsid w:val="00BB2ADF"/>
    <w:rsid w:val="00BB2C48"/>
    <w:rsid w:val="00BB2FCB"/>
    <w:rsid w:val="00BB3250"/>
    <w:rsid w:val="00BB3277"/>
    <w:rsid w:val="00BB34B7"/>
    <w:rsid w:val="00BB353E"/>
    <w:rsid w:val="00BB36B3"/>
    <w:rsid w:val="00BB36D8"/>
    <w:rsid w:val="00BB3BA3"/>
    <w:rsid w:val="00BB3CED"/>
    <w:rsid w:val="00BB3DD2"/>
    <w:rsid w:val="00BB3DDA"/>
    <w:rsid w:val="00BB3EA7"/>
    <w:rsid w:val="00BB3F1B"/>
    <w:rsid w:val="00BB440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A1A"/>
    <w:rsid w:val="00BC0CA9"/>
    <w:rsid w:val="00BC0CF2"/>
    <w:rsid w:val="00BC0E88"/>
    <w:rsid w:val="00BC0EF9"/>
    <w:rsid w:val="00BC11EB"/>
    <w:rsid w:val="00BC138C"/>
    <w:rsid w:val="00BC1779"/>
    <w:rsid w:val="00BC1A4D"/>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891"/>
    <w:rsid w:val="00BC2C26"/>
    <w:rsid w:val="00BC2C5D"/>
    <w:rsid w:val="00BC2CB2"/>
    <w:rsid w:val="00BC318A"/>
    <w:rsid w:val="00BC31C4"/>
    <w:rsid w:val="00BC330F"/>
    <w:rsid w:val="00BC36C6"/>
    <w:rsid w:val="00BC377A"/>
    <w:rsid w:val="00BC3C00"/>
    <w:rsid w:val="00BC3C3B"/>
    <w:rsid w:val="00BC3D82"/>
    <w:rsid w:val="00BC3DFB"/>
    <w:rsid w:val="00BC3F2B"/>
    <w:rsid w:val="00BC40E8"/>
    <w:rsid w:val="00BC414C"/>
    <w:rsid w:val="00BC4242"/>
    <w:rsid w:val="00BC42F7"/>
    <w:rsid w:val="00BC4378"/>
    <w:rsid w:val="00BC4434"/>
    <w:rsid w:val="00BC446F"/>
    <w:rsid w:val="00BC4A2C"/>
    <w:rsid w:val="00BC50F9"/>
    <w:rsid w:val="00BC532C"/>
    <w:rsid w:val="00BC5381"/>
    <w:rsid w:val="00BC5714"/>
    <w:rsid w:val="00BC57EF"/>
    <w:rsid w:val="00BC581F"/>
    <w:rsid w:val="00BC58DC"/>
    <w:rsid w:val="00BC58F2"/>
    <w:rsid w:val="00BC5960"/>
    <w:rsid w:val="00BC5B37"/>
    <w:rsid w:val="00BC60F7"/>
    <w:rsid w:val="00BC6305"/>
    <w:rsid w:val="00BC6319"/>
    <w:rsid w:val="00BC63F5"/>
    <w:rsid w:val="00BC65B7"/>
    <w:rsid w:val="00BC6B13"/>
    <w:rsid w:val="00BC6C6B"/>
    <w:rsid w:val="00BC6CAA"/>
    <w:rsid w:val="00BC788C"/>
    <w:rsid w:val="00BC790A"/>
    <w:rsid w:val="00BC7ADC"/>
    <w:rsid w:val="00BC7B8F"/>
    <w:rsid w:val="00BC7E03"/>
    <w:rsid w:val="00BC7E85"/>
    <w:rsid w:val="00BC7FB8"/>
    <w:rsid w:val="00BD0046"/>
    <w:rsid w:val="00BD03F1"/>
    <w:rsid w:val="00BD0521"/>
    <w:rsid w:val="00BD07D3"/>
    <w:rsid w:val="00BD0AB2"/>
    <w:rsid w:val="00BD0B0E"/>
    <w:rsid w:val="00BD0B66"/>
    <w:rsid w:val="00BD0FBA"/>
    <w:rsid w:val="00BD1423"/>
    <w:rsid w:val="00BD15FD"/>
    <w:rsid w:val="00BD1607"/>
    <w:rsid w:val="00BD1640"/>
    <w:rsid w:val="00BD16F4"/>
    <w:rsid w:val="00BD1712"/>
    <w:rsid w:val="00BD1718"/>
    <w:rsid w:val="00BD1D1D"/>
    <w:rsid w:val="00BD1D6F"/>
    <w:rsid w:val="00BD1DEF"/>
    <w:rsid w:val="00BD1EFC"/>
    <w:rsid w:val="00BD222A"/>
    <w:rsid w:val="00BD22F2"/>
    <w:rsid w:val="00BD2400"/>
    <w:rsid w:val="00BD243D"/>
    <w:rsid w:val="00BD24D7"/>
    <w:rsid w:val="00BD2606"/>
    <w:rsid w:val="00BD27B1"/>
    <w:rsid w:val="00BD29AA"/>
    <w:rsid w:val="00BD2AE5"/>
    <w:rsid w:val="00BD317F"/>
    <w:rsid w:val="00BD31D9"/>
    <w:rsid w:val="00BD3774"/>
    <w:rsid w:val="00BD380A"/>
    <w:rsid w:val="00BD395E"/>
    <w:rsid w:val="00BD3BB2"/>
    <w:rsid w:val="00BD3C3E"/>
    <w:rsid w:val="00BD3F9E"/>
    <w:rsid w:val="00BD41A6"/>
    <w:rsid w:val="00BD423C"/>
    <w:rsid w:val="00BD427C"/>
    <w:rsid w:val="00BD447E"/>
    <w:rsid w:val="00BD47A4"/>
    <w:rsid w:val="00BD4830"/>
    <w:rsid w:val="00BD4884"/>
    <w:rsid w:val="00BD4960"/>
    <w:rsid w:val="00BD4C19"/>
    <w:rsid w:val="00BD4D1F"/>
    <w:rsid w:val="00BD4E8C"/>
    <w:rsid w:val="00BD5002"/>
    <w:rsid w:val="00BD5152"/>
    <w:rsid w:val="00BD568A"/>
    <w:rsid w:val="00BD5718"/>
    <w:rsid w:val="00BD5837"/>
    <w:rsid w:val="00BD5860"/>
    <w:rsid w:val="00BD58E2"/>
    <w:rsid w:val="00BD5A95"/>
    <w:rsid w:val="00BD5B5D"/>
    <w:rsid w:val="00BD5C09"/>
    <w:rsid w:val="00BD5C10"/>
    <w:rsid w:val="00BD5CF2"/>
    <w:rsid w:val="00BD5FB7"/>
    <w:rsid w:val="00BD6288"/>
    <w:rsid w:val="00BD66A7"/>
    <w:rsid w:val="00BD6B31"/>
    <w:rsid w:val="00BD6B67"/>
    <w:rsid w:val="00BD6D3A"/>
    <w:rsid w:val="00BD6E33"/>
    <w:rsid w:val="00BD6E8F"/>
    <w:rsid w:val="00BD713E"/>
    <w:rsid w:val="00BD73C8"/>
    <w:rsid w:val="00BD796A"/>
    <w:rsid w:val="00BD7A00"/>
    <w:rsid w:val="00BD7AF3"/>
    <w:rsid w:val="00BD7B1E"/>
    <w:rsid w:val="00BD7E29"/>
    <w:rsid w:val="00BD7E94"/>
    <w:rsid w:val="00BD7F1D"/>
    <w:rsid w:val="00BD7FBD"/>
    <w:rsid w:val="00BE0367"/>
    <w:rsid w:val="00BE04AD"/>
    <w:rsid w:val="00BE07F4"/>
    <w:rsid w:val="00BE0CAA"/>
    <w:rsid w:val="00BE0FAA"/>
    <w:rsid w:val="00BE11C5"/>
    <w:rsid w:val="00BE11F5"/>
    <w:rsid w:val="00BE192F"/>
    <w:rsid w:val="00BE1B5E"/>
    <w:rsid w:val="00BE1FB7"/>
    <w:rsid w:val="00BE28EE"/>
    <w:rsid w:val="00BE2D0B"/>
    <w:rsid w:val="00BE2FC3"/>
    <w:rsid w:val="00BE35CF"/>
    <w:rsid w:val="00BE3653"/>
    <w:rsid w:val="00BE3687"/>
    <w:rsid w:val="00BE380A"/>
    <w:rsid w:val="00BE38AB"/>
    <w:rsid w:val="00BE396A"/>
    <w:rsid w:val="00BE3B89"/>
    <w:rsid w:val="00BE3CDA"/>
    <w:rsid w:val="00BE3DFE"/>
    <w:rsid w:val="00BE3E06"/>
    <w:rsid w:val="00BE3E59"/>
    <w:rsid w:val="00BE3E6D"/>
    <w:rsid w:val="00BE3EE4"/>
    <w:rsid w:val="00BE44AA"/>
    <w:rsid w:val="00BE44B3"/>
    <w:rsid w:val="00BE44FF"/>
    <w:rsid w:val="00BE4505"/>
    <w:rsid w:val="00BE4558"/>
    <w:rsid w:val="00BE45B6"/>
    <w:rsid w:val="00BE473F"/>
    <w:rsid w:val="00BE4A78"/>
    <w:rsid w:val="00BE4B79"/>
    <w:rsid w:val="00BE4B82"/>
    <w:rsid w:val="00BE4DF2"/>
    <w:rsid w:val="00BE501B"/>
    <w:rsid w:val="00BE5037"/>
    <w:rsid w:val="00BE50D2"/>
    <w:rsid w:val="00BE531E"/>
    <w:rsid w:val="00BE549F"/>
    <w:rsid w:val="00BE54A3"/>
    <w:rsid w:val="00BE552D"/>
    <w:rsid w:val="00BE5591"/>
    <w:rsid w:val="00BE5719"/>
    <w:rsid w:val="00BE596B"/>
    <w:rsid w:val="00BE5AAB"/>
    <w:rsid w:val="00BE5AC7"/>
    <w:rsid w:val="00BE5C47"/>
    <w:rsid w:val="00BE5D9C"/>
    <w:rsid w:val="00BE5F7D"/>
    <w:rsid w:val="00BE5F7F"/>
    <w:rsid w:val="00BE6037"/>
    <w:rsid w:val="00BE627C"/>
    <w:rsid w:val="00BE643C"/>
    <w:rsid w:val="00BE6474"/>
    <w:rsid w:val="00BE6693"/>
    <w:rsid w:val="00BE6852"/>
    <w:rsid w:val="00BE68BE"/>
    <w:rsid w:val="00BE6BD3"/>
    <w:rsid w:val="00BE6BE8"/>
    <w:rsid w:val="00BE6C3A"/>
    <w:rsid w:val="00BE6C68"/>
    <w:rsid w:val="00BE6E22"/>
    <w:rsid w:val="00BE6E62"/>
    <w:rsid w:val="00BE7187"/>
    <w:rsid w:val="00BE71B8"/>
    <w:rsid w:val="00BE72AF"/>
    <w:rsid w:val="00BE7327"/>
    <w:rsid w:val="00BE7405"/>
    <w:rsid w:val="00BE75FC"/>
    <w:rsid w:val="00BE79EE"/>
    <w:rsid w:val="00BE7B32"/>
    <w:rsid w:val="00BE7D0F"/>
    <w:rsid w:val="00BE7DAF"/>
    <w:rsid w:val="00BE7E1E"/>
    <w:rsid w:val="00BE7EC7"/>
    <w:rsid w:val="00BE7F68"/>
    <w:rsid w:val="00BF0333"/>
    <w:rsid w:val="00BF053B"/>
    <w:rsid w:val="00BF0816"/>
    <w:rsid w:val="00BF08AE"/>
    <w:rsid w:val="00BF08C6"/>
    <w:rsid w:val="00BF099E"/>
    <w:rsid w:val="00BF0E0C"/>
    <w:rsid w:val="00BF0E63"/>
    <w:rsid w:val="00BF0FB5"/>
    <w:rsid w:val="00BF1109"/>
    <w:rsid w:val="00BF11F8"/>
    <w:rsid w:val="00BF12EA"/>
    <w:rsid w:val="00BF1350"/>
    <w:rsid w:val="00BF1392"/>
    <w:rsid w:val="00BF1564"/>
    <w:rsid w:val="00BF1622"/>
    <w:rsid w:val="00BF1639"/>
    <w:rsid w:val="00BF163F"/>
    <w:rsid w:val="00BF18B5"/>
    <w:rsid w:val="00BF18ED"/>
    <w:rsid w:val="00BF1926"/>
    <w:rsid w:val="00BF19BD"/>
    <w:rsid w:val="00BF1A50"/>
    <w:rsid w:val="00BF1D28"/>
    <w:rsid w:val="00BF2067"/>
    <w:rsid w:val="00BF212A"/>
    <w:rsid w:val="00BF2132"/>
    <w:rsid w:val="00BF23F0"/>
    <w:rsid w:val="00BF2648"/>
    <w:rsid w:val="00BF28BD"/>
    <w:rsid w:val="00BF28C5"/>
    <w:rsid w:val="00BF2946"/>
    <w:rsid w:val="00BF294D"/>
    <w:rsid w:val="00BF2ADB"/>
    <w:rsid w:val="00BF2E8D"/>
    <w:rsid w:val="00BF304F"/>
    <w:rsid w:val="00BF3226"/>
    <w:rsid w:val="00BF3250"/>
    <w:rsid w:val="00BF34A3"/>
    <w:rsid w:val="00BF36AA"/>
    <w:rsid w:val="00BF390E"/>
    <w:rsid w:val="00BF3C4E"/>
    <w:rsid w:val="00BF3D5C"/>
    <w:rsid w:val="00BF3EB8"/>
    <w:rsid w:val="00BF3FFE"/>
    <w:rsid w:val="00BF4436"/>
    <w:rsid w:val="00BF4659"/>
    <w:rsid w:val="00BF4702"/>
    <w:rsid w:val="00BF471A"/>
    <w:rsid w:val="00BF477A"/>
    <w:rsid w:val="00BF48D6"/>
    <w:rsid w:val="00BF48F4"/>
    <w:rsid w:val="00BF49C3"/>
    <w:rsid w:val="00BF4B55"/>
    <w:rsid w:val="00BF4BEF"/>
    <w:rsid w:val="00BF4E87"/>
    <w:rsid w:val="00BF5567"/>
    <w:rsid w:val="00BF560D"/>
    <w:rsid w:val="00BF57CD"/>
    <w:rsid w:val="00BF57D0"/>
    <w:rsid w:val="00BF57EF"/>
    <w:rsid w:val="00BF582C"/>
    <w:rsid w:val="00BF596F"/>
    <w:rsid w:val="00BF599E"/>
    <w:rsid w:val="00BF5A33"/>
    <w:rsid w:val="00BF5A37"/>
    <w:rsid w:val="00BF5A97"/>
    <w:rsid w:val="00BF5E55"/>
    <w:rsid w:val="00BF61C1"/>
    <w:rsid w:val="00BF61F1"/>
    <w:rsid w:val="00BF632F"/>
    <w:rsid w:val="00BF64E9"/>
    <w:rsid w:val="00BF65D7"/>
    <w:rsid w:val="00BF6665"/>
    <w:rsid w:val="00BF6974"/>
    <w:rsid w:val="00BF6A8D"/>
    <w:rsid w:val="00BF6BC0"/>
    <w:rsid w:val="00BF6C07"/>
    <w:rsid w:val="00BF6ECB"/>
    <w:rsid w:val="00BF73B5"/>
    <w:rsid w:val="00BF75D3"/>
    <w:rsid w:val="00BF7649"/>
    <w:rsid w:val="00BF79D0"/>
    <w:rsid w:val="00BF7CB6"/>
    <w:rsid w:val="00BF7D82"/>
    <w:rsid w:val="00BF7DAE"/>
    <w:rsid w:val="00BF7FFA"/>
    <w:rsid w:val="00C0031A"/>
    <w:rsid w:val="00C008B0"/>
    <w:rsid w:val="00C00AB7"/>
    <w:rsid w:val="00C00C3C"/>
    <w:rsid w:val="00C00E70"/>
    <w:rsid w:val="00C00F9F"/>
    <w:rsid w:val="00C00FCF"/>
    <w:rsid w:val="00C012EB"/>
    <w:rsid w:val="00C01380"/>
    <w:rsid w:val="00C013A0"/>
    <w:rsid w:val="00C0141A"/>
    <w:rsid w:val="00C0148A"/>
    <w:rsid w:val="00C015BF"/>
    <w:rsid w:val="00C01687"/>
    <w:rsid w:val="00C017A9"/>
    <w:rsid w:val="00C01980"/>
    <w:rsid w:val="00C01A73"/>
    <w:rsid w:val="00C01B78"/>
    <w:rsid w:val="00C01E5D"/>
    <w:rsid w:val="00C01EC0"/>
    <w:rsid w:val="00C02177"/>
    <w:rsid w:val="00C02509"/>
    <w:rsid w:val="00C02800"/>
    <w:rsid w:val="00C029A0"/>
    <w:rsid w:val="00C02A43"/>
    <w:rsid w:val="00C02C01"/>
    <w:rsid w:val="00C02DC0"/>
    <w:rsid w:val="00C02E65"/>
    <w:rsid w:val="00C03081"/>
    <w:rsid w:val="00C0315D"/>
    <w:rsid w:val="00C03278"/>
    <w:rsid w:val="00C032DC"/>
    <w:rsid w:val="00C0345D"/>
    <w:rsid w:val="00C03647"/>
    <w:rsid w:val="00C036AB"/>
    <w:rsid w:val="00C03797"/>
    <w:rsid w:val="00C03843"/>
    <w:rsid w:val="00C03848"/>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A7B"/>
    <w:rsid w:val="00C05D35"/>
    <w:rsid w:val="00C05E33"/>
    <w:rsid w:val="00C05F1B"/>
    <w:rsid w:val="00C060C3"/>
    <w:rsid w:val="00C06323"/>
    <w:rsid w:val="00C065CC"/>
    <w:rsid w:val="00C067F5"/>
    <w:rsid w:val="00C06A66"/>
    <w:rsid w:val="00C06D77"/>
    <w:rsid w:val="00C06E52"/>
    <w:rsid w:val="00C06F76"/>
    <w:rsid w:val="00C06FD2"/>
    <w:rsid w:val="00C07269"/>
    <w:rsid w:val="00C073D1"/>
    <w:rsid w:val="00C0742D"/>
    <w:rsid w:val="00C075A7"/>
    <w:rsid w:val="00C07A46"/>
    <w:rsid w:val="00C07D6A"/>
    <w:rsid w:val="00C07F6F"/>
    <w:rsid w:val="00C10183"/>
    <w:rsid w:val="00C101B7"/>
    <w:rsid w:val="00C103E8"/>
    <w:rsid w:val="00C10591"/>
    <w:rsid w:val="00C1079F"/>
    <w:rsid w:val="00C1093D"/>
    <w:rsid w:val="00C10BB3"/>
    <w:rsid w:val="00C112B8"/>
    <w:rsid w:val="00C112ED"/>
    <w:rsid w:val="00C11305"/>
    <w:rsid w:val="00C1192F"/>
    <w:rsid w:val="00C119A5"/>
    <w:rsid w:val="00C11B1D"/>
    <w:rsid w:val="00C11C18"/>
    <w:rsid w:val="00C120AD"/>
    <w:rsid w:val="00C12223"/>
    <w:rsid w:val="00C12282"/>
    <w:rsid w:val="00C126F1"/>
    <w:rsid w:val="00C1287C"/>
    <w:rsid w:val="00C12E6F"/>
    <w:rsid w:val="00C12EC0"/>
    <w:rsid w:val="00C1305F"/>
    <w:rsid w:val="00C13517"/>
    <w:rsid w:val="00C13958"/>
    <w:rsid w:val="00C13F8A"/>
    <w:rsid w:val="00C141F4"/>
    <w:rsid w:val="00C14298"/>
    <w:rsid w:val="00C14593"/>
    <w:rsid w:val="00C14ACD"/>
    <w:rsid w:val="00C14C85"/>
    <w:rsid w:val="00C14D00"/>
    <w:rsid w:val="00C14DFE"/>
    <w:rsid w:val="00C14FC9"/>
    <w:rsid w:val="00C150F2"/>
    <w:rsid w:val="00C1555A"/>
    <w:rsid w:val="00C15841"/>
    <w:rsid w:val="00C15AAF"/>
    <w:rsid w:val="00C15ADA"/>
    <w:rsid w:val="00C15AF0"/>
    <w:rsid w:val="00C15B84"/>
    <w:rsid w:val="00C15BF7"/>
    <w:rsid w:val="00C15C71"/>
    <w:rsid w:val="00C15CD2"/>
    <w:rsid w:val="00C15D60"/>
    <w:rsid w:val="00C15ECB"/>
    <w:rsid w:val="00C15EEB"/>
    <w:rsid w:val="00C1624F"/>
    <w:rsid w:val="00C163AD"/>
    <w:rsid w:val="00C167D5"/>
    <w:rsid w:val="00C167E0"/>
    <w:rsid w:val="00C16933"/>
    <w:rsid w:val="00C16D1C"/>
    <w:rsid w:val="00C16D26"/>
    <w:rsid w:val="00C16E56"/>
    <w:rsid w:val="00C16EDC"/>
    <w:rsid w:val="00C16F20"/>
    <w:rsid w:val="00C16FB4"/>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50F"/>
    <w:rsid w:val="00C20623"/>
    <w:rsid w:val="00C2072D"/>
    <w:rsid w:val="00C20743"/>
    <w:rsid w:val="00C207D6"/>
    <w:rsid w:val="00C20A81"/>
    <w:rsid w:val="00C20A85"/>
    <w:rsid w:val="00C20D57"/>
    <w:rsid w:val="00C20DF5"/>
    <w:rsid w:val="00C20E95"/>
    <w:rsid w:val="00C20FCA"/>
    <w:rsid w:val="00C212CB"/>
    <w:rsid w:val="00C21555"/>
    <w:rsid w:val="00C2165D"/>
    <w:rsid w:val="00C218E8"/>
    <w:rsid w:val="00C219DD"/>
    <w:rsid w:val="00C21C4A"/>
    <w:rsid w:val="00C22389"/>
    <w:rsid w:val="00C225AE"/>
    <w:rsid w:val="00C225BB"/>
    <w:rsid w:val="00C22830"/>
    <w:rsid w:val="00C22B48"/>
    <w:rsid w:val="00C22B49"/>
    <w:rsid w:val="00C22B75"/>
    <w:rsid w:val="00C22B7E"/>
    <w:rsid w:val="00C22C8E"/>
    <w:rsid w:val="00C22D29"/>
    <w:rsid w:val="00C22ECF"/>
    <w:rsid w:val="00C22F96"/>
    <w:rsid w:val="00C230CE"/>
    <w:rsid w:val="00C232B8"/>
    <w:rsid w:val="00C23471"/>
    <w:rsid w:val="00C23658"/>
    <w:rsid w:val="00C2372B"/>
    <w:rsid w:val="00C2382C"/>
    <w:rsid w:val="00C238C8"/>
    <w:rsid w:val="00C2398C"/>
    <w:rsid w:val="00C23A48"/>
    <w:rsid w:val="00C23ACD"/>
    <w:rsid w:val="00C23D17"/>
    <w:rsid w:val="00C23D4B"/>
    <w:rsid w:val="00C23DC5"/>
    <w:rsid w:val="00C23E70"/>
    <w:rsid w:val="00C23EFB"/>
    <w:rsid w:val="00C23F14"/>
    <w:rsid w:val="00C241DF"/>
    <w:rsid w:val="00C242FC"/>
    <w:rsid w:val="00C24BF9"/>
    <w:rsid w:val="00C24C6E"/>
    <w:rsid w:val="00C24CC3"/>
    <w:rsid w:val="00C2508F"/>
    <w:rsid w:val="00C250C5"/>
    <w:rsid w:val="00C25193"/>
    <w:rsid w:val="00C254F7"/>
    <w:rsid w:val="00C25500"/>
    <w:rsid w:val="00C255E7"/>
    <w:rsid w:val="00C25781"/>
    <w:rsid w:val="00C258C6"/>
    <w:rsid w:val="00C25C22"/>
    <w:rsid w:val="00C25C49"/>
    <w:rsid w:val="00C2618D"/>
    <w:rsid w:val="00C2644D"/>
    <w:rsid w:val="00C264C5"/>
    <w:rsid w:val="00C265BD"/>
    <w:rsid w:val="00C2682B"/>
    <w:rsid w:val="00C26837"/>
    <w:rsid w:val="00C26846"/>
    <w:rsid w:val="00C26B61"/>
    <w:rsid w:val="00C26F80"/>
    <w:rsid w:val="00C27071"/>
    <w:rsid w:val="00C27310"/>
    <w:rsid w:val="00C27379"/>
    <w:rsid w:val="00C27409"/>
    <w:rsid w:val="00C2749C"/>
    <w:rsid w:val="00C274EB"/>
    <w:rsid w:val="00C276DA"/>
    <w:rsid w:val="00C2784F"/>
    <w:rsid w:val="00C279EC"/>
    <w:rsid w:val="00C27A3A"/>
    <w:rsid w:val="00C27A77"/>
    <w:rsid w:val="00C27AB0"/>
    <w:rsid w:val="00C27B07"/>
    <w:rsid w:val="00C27B08"/>
    <w:rsid w:val="00C27CBE"/>
    <w:rsid w:val="00C27E78"/>
    <w:rsid w:val="00C30143"/>
    <w:rsid w:val="00C30791"/>
    <w:rsid w:val="00C30BBE"/>
    <w:rsid w:val="00C30CCF"/>
    <w:rsid w:val="00C30DBC"/>
    <w:rsid w:val="00C30E9C"/>
    <w:rsid w:val="00C311ED"/>
    <w:rsid w:val="00C31236"/>
    <w:rsid w:val="00C313D5"/>
    <w:rsid w:val="00C314B4"/>
    <w:rsid w:val="00C3153E"/>
    <w:rsid w:val="00C315BE"/>
    <w:rsid w:val="00C315C1"/>
    <w:rsid w:val="00C3161A"/>
    <w:rsid w:val="00C3173F"/>
    <w:rsid w:val="00C31778"/>
    <w:rsid w:val="00C31875"/>
    <w:rsid w:val="00C31BDC"/>
    <w:rsid w:val="00C31F42"/>
    <w:rsid w:val="00C31FEB"/>
    <w:rsid w:val="00C320D1"/>
    <w:rsid w:val="00C321AC"/>
    <w:rsid w:val="00C32214"/>
    <w:rsid w:val="00C3231D"/>
    <w:rsid w:val="00C3253A"/>
    <w:rsid w:val="00C327C3"/>
    <w:rsid w:val="00C32801"/>
    <w:rsid w:val="00C32B80"/>
    <w:rsid w:val="00C32C08"/>
    <w:rsid w:val="00C32F7E"/>
    <w:rsid w:val="00C32FB8"/>
    <w:rsid w:val="00C33067"/>
    <w:rsid w:val="00C3312C"/>
    <w:rsid w:val="00C33174"/>
    <w:rsid w:val="00C33211"/>
    <w:rsid w:val="00C33230"/>
    <w:rsid w:val="00C33251"/>
    <w:rsid w:val="00C33428"/>
    <w:rsid w:val="00C335F0"/>
    <w:rsid w:val="00C3364D"/>
    <w:rsid w:val="00C3377A"/>
    <w:rsid w:val="00C33B2C"/>
    <w:rsid w:val="00C33C9D"/>
    <w:rsid w:val="00C33CAB"/>
    <w:rsid w:val="00C33D1D"/>
    <w:rsid w:val="00C33DD8"/>
    <w:rsid w:val="00C33F40"/>
    <w:rsid w:val="00C340FC"/>
    <w:rsid w:val="00C343B0"/>
    <w:rsid w:val="00C344F6"/>
    <w:rsid w:val="00C344FB"/>
    <w:rsid w:val="00C345C0"/>
    <w:rsid w:val="00C346DE"/>
    <w:rsid w:val="00C34899"/>
    <w:rsid w:val="00C349D6"/>
    <w:rsid w:val="00C34DE4"/>
    <w:rsid w:val="00C34E6C"/>
    <w:rsid w:val="00C35023"/>
    <w:rsid w:val="00C35088"/>
    <w:rsid w:val="00C35112"/>
    <w:rsid w:val="00C35290"/>
    <w:rsid w:val="00C35391"/>
    <w:rsid w:val="00C3544C"/>
    <w:rsid w:val="00C35686"/>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6E2C"/>
    <w:rsid w:val="00C370C3"/>
    <w:rsid w:val="00C3723F"/>
    <w:rsid w:val="00C37617"/>
    <w:rsid w:val="00C376DF"/>
    <w:rsid w:val="00C37791"/>
    <w:rsid w:val="00C379A2"/>
    <w:rsid w:val="00C37A1E"/>
    <w:rsid w:val="00C37ACE"/>
    <w:rsid w:val="00C37AE6"/>
    <w:rsid w:val="00C37C95"/>
    <w:rsid w:val="00C37CB8"/>
    <w:rsid w:val="00C37FA9"/>
    <w:rsid w:val="00C4000E"/>
    <w:rsid w:val="00C40176"/>
    <w:rsid w:val="00C401D4"/>
    <w:rsid w:val="00C40226"/>
    <w:rsid w:val="00C40621"/>
    <w:rsid w:val="00C4062E"/>
    <w:rsid w:val="00C4082A"/>
    <w:rsid w:val="00C4088A"/>
    <w:rsid w:val="00C40BC2"/>
    <w:rsid w:val="00C40DAF"/>
    <w:rsid w:val="00C40DE8"/>
    <w:rsid w:val="00C4147B"/>
    <w:rsid w:val="00C4156C"/>
    <w:rsid w:val="00C4166C"/>
    <w:rsid w:val="00C41B17"/>
    <w:rsid w:val="00C41DCA"/>
    <w:rsid w:val="00C41FA3"/>
    <w:rsid w:val="00C41FBF"/>
    <w:rsid w:val="00C4203E"/>
    <w:rsid w:val="00C4211F"/>
    <w:rsid w:val="00C42467"/>
    <w:rsid w:val="00C42540"/>
    <w:rsid w:val="00C42686"/>
    <w:rsid w:val="00C426E5"/>
    <w:rsid w:val="00C42745"/>
    <w:rsid w:val="00C42774"/>
    <w:rsid w:val="00C42791"/>
    <w:rsid w:val="00C42A80"/>
    <w:rsid w:val="00C42B9C"/>
    <w:rsid w:val="00C42BF1"/>
    <w:rsid w:val="00C42C19"/>
    <w:rsid w:val="00C42E02"/>
    <w:rsid w:val="00C42FA9"/>
    <w:rsid w:val="00C4320D"/>
    <w:rsid w:val="00C4329E"/>
    <w:rsid w:val="00C432DD"/>
    <w:rsid w:val="00C4394A"/>
    <w:rsid w:val="00C43987"/>
    <w:rsid w:val="00C43C6F"/>
    <w:rsid w:val="00C43C99"/>
    <w:rsid w:val="00C43C9D"/>
    <w:rsid w:val="00C43D38"/>
    <w:rsid w:val="00C43E81"/>
    <w:rsid w:val="00C43F7F"/>
    <w:rsid w:val="00C44358"/>
    <w:rsid w:val="00C446C5"/>
    <w:rsid w:val="00C44841"/>
    <w:rsid w:val="00C448D2"/>
    <w:rsid w:val="00C44911"/>
    <w:rsid w:val="00C44A80"/>
    <w:rsid w:val="00C44C8F"/>
    <w:rsid w:val="00C44D36"/>
    <w:rsid w:val="00C45146"/>
    <w:rsid w:val="00C452A4"/>
    <w:rsid w:val="00C456B7"/>
    <w:rsid w:val="00C457DB"/>
    <w:rsid w:val="00C457EB"/>
    <w:rsid w:val="00C45840"/>
    <w:rsid w:val="00C45959"/>
    <w:rsid w:val="00C45AA8"/>
    <w:rsid w:val="00C45D9C"/>
    <w:rsid w:val="00C45F66"/>
    <w:rsid w:val="00C460C3"/>
    <w:rsid w:val="00C46123"/>
    <w:rsid w:val="00C46191"/>
    <w:rsid w:val="00C46283"/>
    <w:rsid w:val="00C4636A"/>
    <w:rsid w:val="00C46528"/>
    <w:rsid w:val="00C46556"/>
    <w:rsid w:val="00C465AF"/>
    <w:rsid w:val="00C468E5"/>
    <w:rsid w:val="00C46BC1"/>
    <w:rsid w:val="00C46FAC"/>
    <w:rsid w:val="00C47002"/>
    <w:rsid w:val="00C47149"/>
    <w:rsid w:val="00C47303"/>
    <w:rsid w:val="00C47362"/>
    <w:rsid w:val="00C473DE"/>
    <w:rsid w:val="00C473F2"/>
    <w:rsid w:val="00C474FD"/>
    <w:rsid w:val="00C47586"/>
    <w:rsid w:val="00C4793F"/>
    <w:rsid w:val="00C479D9"/>
    <w:rsid w:val="00C47DE5"/>
    <w:rsid w:val="00C502BD"/>
    <w:rsid w:val="00C50305"/>
    <w:rsid w:val="00C506FD"/>
    <w:rsid w:val="00C50754"/>
    <w:rsid w:val="00C5084F"/>
    <w:rsid w:val="00C50918"/>
    <w:rsid w:val="00C509DC"/>
    <w:rsid w:val="00C50C22"/>
    <w:rsid w:val="00C50D7A"/>
    <w:rsid w:val="00C50F49"/>
    <w:rsid w:val="00C50FCF"/>
    <w:rsid w:val="00C51073"/>
    <w:rsid w:val="00C51087"/>
    <w:rsid w:val="00C51096"/>
    <w:rsid w:val="00C511D3"/>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519"/>
    <w:rsid w:val="00C525B1"/>
    <w:rsid w:val="00C527A8"/>
    <w:rsid w:val="00C527AD"/>
    <w:rsid w:val="00C52B7B"/>
    <w:rsid w:val="00C52B88"/>
    <w:rsid w:val="00C52BD0"/>
    <w:rsid w:val="00C52E21"/>
    <w:rsid w:val="00C52E6C"/>
    <w:rsid w:val="00C52F60"/>
    <w:rsid w:val="00C52F77"/>
    <w:rsid w:val="00C530FA"/>
    <w:rsid w:val="00C53429"/>
    <w:rsid w:val="00C53592"/>
    <w:rsid w:val="00C536A4"/>
    <w:rsid w:val="00C5376B"/>
    <w:rsid w:val="00C538F2"/>
    <w:rsid w:val="00C53F74"/>
    <w:rsid w:val="00C54067"/>
    <w:rsid w:val="00C5416B"/>
    <w:rsid w:val="00C5437C"/>
    <w:rsid w:val="00C54416"/>
    <w:rsid w:val="00C5462F"/>
    <w:rsid w:val="00C5478E"/>
    <w:rsid w:val="00C547E9"/>
    <w:rsid w:val="00C54900"/>
    <w:rsid w:val="00C54966"/>
    <w:rsid w:val="00C54DDF"/>
    <w:rsid w:val="00C5502E"/>
    <w:rsid w:val="00C5507C"/>
    <w:rsid w:val="00C551F8"/>
    <w:rsid w:val="00C5571A"/>
    <w:rsid w:val="00C55876"/>
    <w:rsid w:val="00C55A38"/>
    <w:rsid w:val="00C55B63"/>
    <w:rsid w:val="00C55BDD"/>
    <w:rsid w:val="00C55CED"/>
    <w:rsid w:val="00C55F12"/>
    <w:rsid w:val="00C55F36"/>
    <w:rsid w:val="00C56179"/>
    <w:rsid w:val="00C56218"/>
    <w:rsid w:val="00C5654A"/>
    <w:rsid w:val="00C565F0"/>
    <w:rsid w:val="00C56656"/>
    <w:rsid w:val="00C566CE"/>
    <w:rsid w:val="00C566FA"/>
    <w:rsid w:val="00C5691B"/>
    <w:rsid w:val="00C56921"/>
    <w:rsid w:val="00C56AF1"/>
    <w:rsid w:val="00C56D04"/>
    <w:rsid w:val="00C56E16"/>
    <w:rsid w:val="00C56EC4"/>
    <w:rsid w:val="00C56EFF"/>
    <w:rsid w:val="00C57490"/>
    <w:rsid w:val="00C57570"/>
    <w:rsid w:val="00C57801"/>
    <w:rsid w:val="00C57A4E"/>
    <w:rsid w:val="00C57B11"/>
    <w:rsid w:val="00C57B32"/>
    <w:rsid w:val="00C57C3B"/>
    <w:rsid w:val="00C57D21"/>
    <w:rsid w:val="00C57D81"/>
    <w:rsid w:val="00C57E43"/>
    <w:rsid w:val="00C57F20"/>
    <w:rsid w:val="00C6020C"/>
    <w:rsid w:val="00C60371"/>
    <w:rsid w:val="00C603A9"/>
    <w:rsid w:val="00C6044D"/>
    <w:rsid w:val="00C604EF"/>
    <w:rsid w:val="00C6052F"/>
    <w:rsid w:val="00C60691"/>
    <w:rsid w:val="00C607AF"/>
    <w:rsid w:val="00C608B0"/>
    <w:rsid w:val="00C610DF"/>
    <w:rsid w:val="00C61167"/>
    <w:rsid w:val="00C61202"/>
    <w:rsid w:val="00C61285"/>
    <w:rsid w:val="00C61456"/>
    <w:rsid w:val="00C6145D"/>
    <w:rsid w:val="00C61778"/>
    <w:rsid w:val="00C6196E"/>
    <w:rsid w:val="00C6203B"/>
    <w:rsid w:val="00C62091"/>
    <w:rsid w:val="00C62298"/>
    <w:rsid w:val="00C622A7"/>
    <w:rsid w:val="00C62412"/>
    <w:rsid w:val="00C6249D"/>
    <w:rsid w:val="00C624D5"/>
    <w:rsid w:val="00C6253B"/>
    <w:rsid w:val="00C62743"/>
    <w:rsid w:val="00C629BA"/>
    <w:rsid w:val="00C62A0E"/>
    <w:rsid w:val="00C62B59"/>
    <w:rsid w:val="00C62C14"/>
    <w:rsid w:val="00C62EDD"/>
    <w:rsid w:val="00C62F79"/>
    <w:rsid w:val="00C63180"/>
    <w:rsid w:val="00C63217"/>
    <w:rsid w:val="00C632CD"/>
    <w:rsid w:val="00C63379"/>
    <w:rsid w:val="00C63530"/>
    <w:rsid w:val="00C63598"/>
    <w:rsid w:val="00C63671"/>
    <w:rsid w:val="00C636C8"/>
    <w:rsid w:val="00C63753"/>
    <w:rsid w:val="00C63B14"/>
    <w:rsid w:val="00C63BD2"/>
    <w:rsid w:val="00C64220"/>
    <w:rsid w:val="00C64276"/>
    <w:rsid w:val="00C642C9"/>
    <w:rsid w:val="00C64320"/>
    <w:rsid w:val="00C6442A"/>
    <w:rsid w:val="00C644F1"/>
    <w:rsid w:val="00C64552"/>
    <w:rsid w:val="00C64787"/>
    <w:rsid w:val="00C6486F"/>
    <w:rsid w:val="00C64BCD"/>
    <w:rsid w:val="00C64CB6"/>
    <w:rsid w:val="00C64D01"/>
    <w:rsid w:val="00C64D33"/>
    <w:rsid w:val="00C64E2A"/>
    <w:rsid w:val="00C651AB"/>
    <w:rsid w:val="00C65372"/>
    <w:rsid w:val="00C6538C"/>
    <w:rsid w:val="00C65442"/>
    <w:rsid w:val="00C654EE"/>
    <w:rsid w:val="00C655B4"/>
    <w:rsid w:val="00C656A6"/>
    <w:rsid w:val="00C65A29"/>
    <w:rsid w:val="00C65B32"/>
    <w:rsid w:val="00C65B7E"/>
    <w:rsid w:val="00C65F97"/>
    <w:rsid w:val="00C66386"/>
    <w:rsid w:val="00C66923"/>
    <w:rsid w:val="00C669C1"/>
    <w:rsid w:val="00C66DC6"/>
    <w:rsid w:val="00C66E9F"/>
    <w:rsid w:val="00C66FEE"/>
    <w:rsid w:val="00C670F3"/>
    <w:rsid w:val="00C6738E"/>
    <w:rsid w:val="00C673E7"/>
    <w:rsid w:val="00C67400"/>
    <w:rsid w:val="00C676E5"/>
    <w:rsid w:val="00C67816"/>
    <w:rsid w:val="00C678D4"/>
    <w:rsid w:val="00C6790C"/>
    <w:rsid w:val="00C67914"/>
    <w:rsid w:val="00C67E53"/>
    <w:rsid w:val="00C67EBE"/>
    <w:rsid w:val="00C700EC"/>
    <w:rsid w:val="00C70280"/>
    <w:rsid w:val="00C703CE"/>
    <w:rsid w:val="00C704EA"/>
    <w:rsid w:val="00C7052B"/>
    <w:rsid w:val="00C706AD"/>
    <w:rsid w:val="00C70710"/>
    <w:rsid w:val="00C70974"/>
    <w:rsid w:val="00C70A2D"/>
    <w:rsid w:val="00C70AAF"/>
    <w:rsid w:val="00C70C90"/>
    <w:rsid w:val="00C71020"/>
    <w:rsid w:val="00C71039"/>
    <w:rsid w:val="00C71085"/>
    <w:rsid w:val="00C71090"/>
    <w:rsid w:val="00C71138"/>
    <w:rsid w:val="00C71240"/>
    <w:rsid w:val="00C71254"/>
    <w:rsid w:val="00C7128D"/>
    <w:rsid w:val="00C71364"/>
    <w:rsid w:val="00C713B3"/>
    <w:rsid w:val="00C71432"/>
    <w:rsid w:val="00C716C3"/>
    <w:rsid w:val="00C71926"/>
    <w:rsid w:val="00C71944"/>
    <w:rsid w:val="00C7198C"/>
    <w:rsid w:val="00C71C6B"/>
    <w:rsid w:val="00C71CEB"/>
    <w:rsid w:val="00C71DB1"/>
    <w:rsid w:val="00C72035"/>
    <w:rsid w:val="00C721D5"/>
    <w:rsid w:val="00C72225"/>
    <w:rsid w:val="00C7225E"/>
    <w:rsid w:val="00C726A8"/>
    <w:rsid w:val="00C726E5"/>
    <w:rsid w:val="00C726F7"/>
    <w:rsid w:val="00C72831"/>
    <w:rsid w:val="00C728BA"/>
    <w:rsid w:val="00C729D9"/>
    <w:rsid w:val="00C72A0C"/>
    <w:rsid w:val="00C72A1C"/>
    <w:rsid w:val="00C72D51"/>
    <w:rsid w:val="00C72D55"/>
    <w:rsid w:val="00C72E32"/>
    <w:rsid w:val="00C72E60"/>
    <w:rsid w:val="00C73445"/>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48A"/>
    <w:rsid w:val="00C755B0"/>
    <w:rsid w:val="00C7574F"/>
    <w:rsid w:val="00C758E4"/>
    <w:rsid w:val="00C75B2D"/>
    <w:rsid w:val="00C75E8D"/>
    <w:rsid w:val="00C75F25"/>
    <w:rsid w:val="00C765EA"/>
    <w:rsid w:val="00C766DB"/>
    <w:rsid w:val="00C76B37"/>
    <w:rsid w:val="00C76D62"/>
    <w:rsid w:val="00C76D70"/>
    <w:rsid w:val="00C77173"/>
    <w:rsid w:val="00C774D0"/>
    <w:rsid w:val="00C7774D"/>
    <w:rsid w:val="00C77A31"/>
    <w:rsid w:val="00C77C99"/>
    <w:rsid w:val="00C77F2E"/>
    <w:rsid w:val="00C80006"/>
    <w:rsid w:val="00C800E0"/>
    <w:rsid w:val="00C80153"/>
    <w:rsid w:val="00C802F8"/>
    <w:rsid w:val="00C8050B"/>
    <w:rsid w:val="00C80970"/>
    <w:rsid w:val="00C80C4C"/>
    <w:rsid w:val="00C80EA5"/>
    <w:rsid w:val="00C81050"/>
    <w:rsid w:val="00C8108E"/>
    <w:rsid w:val="00C810DA"/>
    <w:rsid w:val="00C811F6"/>
    <w:rsid w:val="00C812C1"/>
    <w:rsid w:val="00C814FA"/>
    <w:rsid w:val="00C8155D"/>
    <w:rsid w:val="00C81790"/>
    <w:rsid w:val="00C818DC"/>
    <w:rsid w:val="00C81AFA"/>
    <w:rsid w:val="00C81B35"/>
    <w:rsid w:val="00C81DF1"/>
    <w:rsid w:val="00C81DF4"/>
    <w:rsid w:val="00C81F3B"/>
    <w:rsid w:val="00C81FCD"/>
    <w:rsid w:val="00C82012"/>
    <w:rsid w:val="00C82028"/>
    <w:rsid w:val="00C8226E"/>
    <w:rsid w:val="00C822A5"/>
    <w:rsid w:val="00C82364"/>
    <w:rsid w:val="00C82951"/>
    <w:rsid w:val="00C82A18"/>
    <w:rsid w:val="00C82A46"/>
    <w:rsid w:val="00C82CCC"/>
    <w:rsid w:val="00C82EBA"/>
    <w:rsid w:val="00C82EC7"/>
    <w:rsid w:val="00C82FC6"/>
    <w:rsid w:val="00C832E4"/>
    <w:rsid w:val="00C8349E"/>
    <w:rsid w:val="00C8349F"/>
    <w:rsid w:val="00C83640"/>
    <w:rsid w:val="00C83753"/>
    <w:rsid w:val="00C83903"/>
    <w:rsid w:val="00C83AF9"/>
    <w:rsid w:val="00C83EB2"/>
    <w:rsid w:val="00C83F40"/>
    <w:rsid w:val="00C840E7"/>
    <w:rsid w:val="00C84126"/>
    <w:rsid w:val="00C8458A"/>
    <w:rsid w:val="00C84698"/>
    <w:rsid w:val="00C84B27"/>
    <w:rsid w:val="00C84C59"/>
    <w:rsid w:val="00C84CEF"/>
    <w:rsid w:val="00C84E0D"/>
    <w:rsid w:val="00C85246"/>
    <w:rsid w:val="00C852CA"/>
    <w:rsid w:val="00C85381"/>
    <w:rsid w:val="00C853DF"/>
    <w:rsid w:val="00C85534"/>
    <w:rsid w:val="00C8561F"/>
    <w:rsid w:val="00C857B0"/>
    <w:rsid w:val="00C8596E"/>
    <w:rsid w:val="00C85A36"/>
    <w:rsid w:val="00C85F8B"/>
    <w:rsid w:val="00C86018"/>
    <w:rsid w:val="00C8608B"/>
    <w:rsid w:val="00C860D5"/>
    <w:rsid w:val="00C86459"/>
    <w:rsid w:val="00C8645C"/>
    <w:rsid w:val="00C86675"/>
    <w:rsid w:val="00C870EA"/>
    <w:rsid w:val="00C872F0"/>
    <w:rsid w:val="00C87394"/>
    <w:rsid w:val="00C87419"/>
    <w:rsid w:val="00C874BD"/>
    <w:rsid w:val="00C87580"/>
    <w:rsid w:val="00C87697"/>
    <w:rsid w:val="00C8778F"/>
    <w:rsid w:val="00C8785C"/>
    <w:rsid w:val="00C878EE"/>
    <w:rsid w:val="00C87C42"/>
    <w:rsid w:val="00C87C99"/>
    <w:rsid w:val="00C87E8A"/>
    <w:rsid w:val="00C900BF"/>
    <w:rsid w:val="00C9015B"/>
    <w:rsid w:val="00C901F4"/>
    <w:rsid w:val="00C9021C"/>
    <w:rsid w:val="00C902F1"/>
    <w:rsid w:val="00C90328"/>
    <w:rsid w:val="00C90338"/>
    <w:rsid w:val="00C908CB"/>
    <w:rsid w:val="00C90D6B"/>
    <w:rsid w:val="00C90E22"/>
    <w:rsid w:val="00C90E6C"/>
    <w:rsid w:val="00C9114A"/>
    <w:rsid w:val="00C913CB"/>
    <w:rsid w:val="00C914F6"/>
    <w:rsid w:val="00C915F8"/>
    <w:rsid w:val="00C91869"/>
    <w:rsid w:val="00C91990"/>
    <w:rsid w:val="00C9199C"/>
    <w:rsid w:val="00C922AF"/>
    <w:rsid w:val="00C9245D"/>
    <w:rsid w:val="00C9261E"/>
    <w:rsid w:val="00C92655"/>
    <w:rsid w:val="00C92729"/>
    <w:rsid w:val="00C927D1"/>
    <w:rsid w:val="00C928CA"/>
    <w:rsid w:val="00C92D4E"/>
    <w:rsid w:val="00C92E65"/>
    <w:rsid w:val="00C9324E"/>
    <w:rsid w:val="00C93413"/>
    <w:rsid w:val="00C93586"/>
    <w:rsid w:val="00C938B8"/>
    <w:rsid w:val="00C93B63"/>
    <w:rsid w:val="00C93E80"/>
    <w:rsid w:val="00C94040"/>
    <w:rsid w:val="00C9422A"/>
    <w:rsid w:val="00C942E7"/>
    <w:rsid w:val="00C943BD"/>
    <w:rsid w:val="00C943E8"/>
    <w:rsid w:val="00C943F4"/>
    <w:rsid w:val="00C947F6"/>
    <w:rsid w:val="00C94816"/>
    <w:rsid w:val="00C94859"/>
    <w:rsid w:val="00C94876"/>
    <w:rsid w:val="00C94BCA"/>
    <w:rsid w:val="00C94C12"/>
    <w:rsid w:val="00C94D11"/>
    <w:rsid w:val="00C94D22"/>
    <w:rsid w:val="00C94E8B"/>
    <w:rsid w:val="00C94EA9"/>
    <w:rsid w:val="00C95030"/>
    <w:rsid w:val="00C950F5"/>
    <w:rsid w:val="00C952E8"/>
    <w:rsid w:val="00C95797"/>
    <w:rsid w:val="00C9588A"/>
    <w:rsid w:val="00C95944"/>
    <w:rsid w:val="00C95C6C"/>
    <w:rsid w:val="00C95CA4"/>
    <w:rsid w:val="00C95D0C"/>
    <w:rsid w:val="00C95DC8"/>
    <w:rsid w:val="00C95E01"/>
    <w:rsid w:val="00C95E55"/>
    <w:rsid w:val="00C95E83"/>
    <w:rsid w:val="00C95E8A"/>
    <w:rsid w:val="00C96327"/>
    <w:rsid w:val="00C96344"/>
    <w:rsid w:val="00C965C9"/>
    <w:rsid w:val="00C9696D"/>
    <w:rsid w:val="00C96A66"/>
    <w:rsid w:val="00C96B34"/>
    <w:rsid w:val="00C96BAD"/>
    <w:rsid w:val="00C96E5E"/>
    <w:rsid w:val="00C9737B"/>
    <w:rsid w:val="00C974CA"/>
    <w:rsid w:val="00C97640"/>
    <w:rsid w:val="00C978BF"/>
    <w:rsid w:val="00C979C5"/>
    <w:rsid w:val="00C97BE0"/>
    <w:rsid w:val="00C97DD8"/>
    <w:rsid w:val="00C97EB4"/>
    <w:rsid w:val="00CA0258"/>
    <w:rsid w:val="00CA0450"/>
    <w:rsid w:val="00CA0644"/>
    <w:rsid w:val="00CA0654"/>
    <w:rsid w:val="00CA0B6F"/>
    <w:rsid w:val="00CA0BF9"/>
    <w:rsid w:val="00CA0D3A"/>
    <w:rsid w:val="00CA0D82"/>
    <w:rsid w:val="00CA0F8F"/>
    <w:rsid w:val="00CA0F9E"/>
    <w:rsid w:val="00CA101A"/>
    <w:rsid w:val="00CA1093"/>
    <w:rsid w:val="00CA1167"/>
    <w:rsid w:val="00CA11A0"/>
    <w:rsid w:val="00CA12D0"/>
    <w:rsid w:val="00CA146F"/>
    <w:rsid w:val="00CA16CB"/>
    <w:rsid w:val="00CA16F0"/>
    <w:rsid w:val="00CA1770"/>
    <w:rsid w:val="00CA1807"/>
    <w:rsid w:val="00CA18A7"/>
    <w:rsid w:val="00CA1B19"/>
    <w:rsid w:val="00CA1C15"/>
    <w:rsid w:val="00CA2028"/>
    <w:rsid w:val="00CA2034"/>
    <w:rsid w:val="00CA230A"/>
    <w:rsid w:val="00CA25C6"/>
    <w:rsid w:val="00CA2638"/>
    <w:rsid w:val="00CA27CC"/>
    <w:rsid w:val="00CA283F"/>
    <w:rsid w:val="00CA28EB"/>
    <w:rsid w:val="00CA2E37"/>
    <w:rsid w:val="00CA2F07"/>
    <w:rsid w:val="00CA2F96"/>
    <w:rsid w:val="00CA3362"/>
    <w:rsid w:val="00CA357A"/>
    <w:rsid w:val="00CA35D6"/>
    <w:rsid w:val="00CA3A03"/>
    <w:rsid w:val="00CA3A3B"/>
    <w:rsid w:val="00CA3F5C"/>
    <w:rsid w:val="00CA4852"/>
    <w:rsid w:val="00CA4ADE"/>
    <w:rsid w:val="00CA4CC4"/>
    <w:rsid w:val="00CA4D07"/>
    <w:rsid w:val="00CA4DC6"/>
    <w:rsid w:val="00CA4F52"/>
    <w:rsid w:val="00CA4F61"/>
    <w:rsid w:val="00CA4F77"/>
    <w:rsid w:val="00CA5233"/>
    <w:rsid w:val="00CA53EA"/>
    <w:rsid w:val="00CA5604"/>
    <w:rsid w:val="00CA5825"/>
    <w:rsid w:val="00CA5C4E"/>
    <w:rsid w:val="00CA5DB8"/>
    <w:rsid w:val="00CA5FA4"/>
    <w:rsid w:val="00CA603B"/>
    <w:rsid w:val="00CA635C"/>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C48"/>
    <w:rsid w:val="00CA7C6A"/>
    <w:rsid w:val="00CA7D8F"/>
    <w:rsid w:val="00CA7E1A"/>
    <w:rsid w:val="00CA7F72"/>
    <w:rsid w:val="00CB0483"/>
    <w:rsid w:val="00CB0625"/>
    <w:rsid w:val="00CB0632"/>
    <w:rsid w:val="00CB0655"/>
    <w:rsid w:val="00CB0681"/>
    <w:rsid w:val="00CB0763"/>
    <w:rsid w:val="00CB0A53"/>
    <w:rsid w:val="00CB0AE2"/>
    <w:rsid w:val="00CB0BD0"/>
    <w:rsid w:val="00CB1032"/>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12B"/>
    <w:rsid w:val="00CB2877"/>
    <w:rsid w:val="00CB28ED"/>
    <w:rsid w:val="00CB2B38"/>
    <w:rsid w:val="00CB2D63"/>
    <w:rsid w:val="00CB30B1"/>
    <w:rsid w:val="00CB30F4"/>
    <w:rsid w:val="00CB31F2"/>
    <w:rsid w:val="00CB3356"/>
    <w:rsid w:val="00CB33A7"/>
    <w:rsid w:val="00CB344A"/>
    <w:rsid w:val="00CB3510"/>
    <w:rsid w:val="00CB3543"/>
    <w:rsid w:val="00CB3557"/>
    <w:rsid w:val="00CB3760"/>
    <w:rsid w:val="00CB376B"/>
    <w:rsid w:val="00CB3D3A"/>
    <w:rsid w:val="00CB3FB1"/>
    <w:rsid w:val="00CB40B2"/>
    <w:rsid w:val="00CB4251"/>
    <w:rsid w:val="00CB43AA"/>
    <w:rsid w:val="00CB481A"/>
    <w:rsid w:val="00CB4928"/>
    <w:rsid w:val="00CB4A0F"/>
    <w:rsid w:val="00CB4A6F"/>
    <w:rsid w:val="00CB4DCA"/>
    <w:rsid w:val="00CB5177"/>
    <w:rsid w:val="00CB53F1"/>
    <w:rsid w:val="00CB5586"/>
    <w:rsid w:val="00CB55CE"/>
    <w:rsid w:val="00CB56C6"/>
    <w:rsid w:val="00CB58DB"/>
    <w:rsid w:val="00CB5B52"/>
    <w:rsid w:val="00CB5C1F"/>
    <w:rsid w:val="00CB5CDC"/>
    <w:rsid w:val="00CB67FC"/>
    <w:rsid w:val="00CB6B5B"/>
    <w:rsid w:val="00CB6B96"/>
    <w:rsid w:val="00CB6C38"/>
    <w:rsid w:val="00CB6CA6"/>
    <w:rsid w:val="00CB70F4"/>
    <w:rsid w:val="00CB7115"/>
    <w:rsid w:val="00CB7211"/>
    <w:rsid w:val="00CB724C"/>
    <w:rsid w:val="00CB742A"/>
    <w:rsid w:val="00CB7482"/>
    <w:rsid w:val="00CB7A8C"/>
    <w:rsid w:val="00CB7EE5"/>
    <w:rsid w:val="00CB7FB6"/>
    <w:rsid w:val="00CC00B1"/>
    <w:rsid w:val="00CC0178"/>
    <w:rsid w:val="00CC0350"/>
    <w:rsid w:val="00CC07DA"/>
    <w:rsid w:val="00CC086C"/>
    <w:rsid w:val="00CC0B83"/>
    <w:rsid w:val="00CC0DB5"/>
    <w:rsid w:val="00CC0E54"/>
    <w:rsid w:val="00CC100C"/>
    <w:rsid w:val="00CC10E8"/>
    <w:rsid w:val="00CC1128"/>
    <w:rsid w:val="00CC123D"/>
    <w:rsid w:val="00CC12B5"/>
    <w:rsid w:val="00CC1364"/>
    <w:rsid w:val="00CC1430"/>
    <w:rsid w:val="00CC1493"/>
    <w:rsid w:val="00CC14B5"/>
    <w:rsid w:val="00CC15A5"/>
    <w:rsid w:val="00CC15B3"/>
    <w:rsid w:val="00CC15D1"/>
    <w:rsid w:val="00CC1BE1"/>
    <w:rsid w:val="00CC1F56"/>
    <w:rsid w:val="00CC1F93"/>
    <w:rsid w:val="00CC23DC"/>
    <w:rsid w:val="00CC244D"/>
    <w:rsid w:val="00CC24DF"/>
    <w:rsid w:val="00CC254C"/>
    <w:rsid w:val="00CC2724"/>
    <w:rsid w:val="00CC27F8"/>
    <w:rsid w:val="00CC2970"/>
    <w:rsid w:val="00CC2B00"/>
    <w:rsid w:val="00CC2C03"/>
    <w:rsid w:val="00CC2C25"/>
    <w:rsid w:val="00CC2C8F"/>
    <w:rsid w:val="00CC2F6A"/>
    <w:rsid w:val="00CC3208"/>
    <w:rsid w:val="00CC347B"/>
    <w:rsid w:val="00CC363C"/>
    <w:rsid w:val="00CC3845"/>
    <w:rsid w:val="00CC387E"/>
    <w:rsid w:val="00CC3C15"/>
    <w:rsid w:val="00CC3EFE"/>
    <w:rsid w:val="00CC3F94"/>
    <w:rsid w:val="00CC4029"/>
    <w:rsid w:val="00CC41F3"/>
    <w:rsid w:val="00CC424A"/>
    <w:rsid w:val="00CC45F4"/>
    <w:rsid w:val="00CC47A9"/>
    <w:rsid w:val="00CC47FF"/>
    <w:rsid w:val="00CC493A"/>
    <w:rsid w:val="00CC4BEE"/>
    <w:rsid w:val="00CC4DF0"/>
    <w:rsid w:val="00CC4E60"/>
    <w:rsid w:val="00CC5254"/>
    <w:rsid w:val="00CC54D1"/>
    <w:rsid w:val="00CC5894"/>
    <w:rsid w:val="00CC5969"/>
    <w:rsid w:val="00CC5B0C"/>
    <w:rsid w:val="00CC5C17"/>
    <w:rsid w:val="00CC5DB8"/>
    <w:rsid w:val="00CC5DC8"/>
    <w:rsid w:val="00CC5FB6"/>
    <w:rsid w:val="00CC5FE8"/>
    <w:rsid w:val="00CC64AE"/>
    <w:rsid w:val="00CC688C"/>
    <w:rsid w:val="00CC68A9"/>
    <w:rsid w:val="00CC69CF"/>
    <w:rsid w:val="00CC6B3E"/>
    <w:rsid w:val="00CC6B7A"/>
    <w:rsid w:val="00CC6DBE"/>
    <w:rsid w:val="00CC6E50"/>
    <w:rsid w:val="00CC6F5F"/>
    <w:rsid w:val="00CC6F69"/>
    <w:rsid w:val="00CC70BB"/>
    <w:rsid w:val="00CC70D7"/>
    <w:rsid w:val="00CC713B"/>
    <w:rsid w:val="00CC72DD"/>
    <w:rsid w:val="00CC7341"/>
    <w:rsid w:val="00CC76B2"/>
    <w:rsid w:val="00CC776B"/>
    <w:rsid w:val="00CC78C7"/>
    <w:rsid w:val="00CC78CD"/>
    <w:rsid w:val="00CC793E"/>
    <w:rsid w:val="00CC7C26"/>
    <w:rsid w:val="00CC7F48"/>
    <w:rsid w:val="00CC7F5E"/>
    <w:rsid w:val="00CD004E"/>
    <w:rsid w:val="00CD00AA"/>
    <w:rsid w:val="00CD0412"/>
    <w:rsid w:val="00CD04E5"/>
    <w:rsid w:val="00CD04EE"/>
    <w:rsid w:val="00CD072F"/>
    <w:rsid w:val="00CD085A"/>
    <w:rsid w:val="00CD0912"/>
    <w:rsid w:val="00CD0A5A"/>
    <w:rsid w:val="00CD0B20"/>
    <w:rsid w:val="00CD0B8F"/>
    <w:rsid w:val="00CD0C1E"/>
    <w:rsid w:val="00CD0EC7"/>
    <w:rsid w:val="00CD0EF3"/>
    <w:rsid w:val="00CD0EF6"/>
    <w:rsid w:val="00CD0F28"/>
    <w:rsid w:val="00CD13F3"/>
    <w:rsid w:val="00CD1428"/>
    <w:rsid w:val="00CD145E"/>
    <w:rsid w:val="00CD14E3"/>
    <w:rsid w:val="00CD1531"/>
    <w:rsid w:val="00CD15E4"/>
    <w:rsid w:val="00CD15EB"/>
    <w:rsid w:val="00CD17E0"/>
    <w:rsid w:val="00CD18A0"/>
    <w:rsid w:val="00CD1BCF"/>
    <w:rsid w:val="00CD1BD9"/>
    <w:rsid w:val="00CD1E00"/>
    <w:rsid w:val="00CD1FA9"/>
    <w:rsid w:val="00CD22AA"/>
    <w:rsid w:val="00CD2393"/>
    <w:rsid w:val="00CD2942"/>
    <w:rsid w:val="00CD29CB"/>
    <w:rsid w:val="00CD2B19"/>
    <w:rsid w:val="00CD2BD8"/>
    <w:rsid w:val="00CD2E78"/>
    <w:rsid w:val="00CD313B"/>
    <w:rsid w:val="00CD31CA"/>
    <w:rsid w:val="00CD3313"/>
    <w:rsid w:val="00CD3452"/>
    <w:rsid w:val="00CD3642"/>
    <w:rsid w:val="00CD36E2"/>
    <w:rsid w:val="00CD3717"/>
    <w:rsid w:val="00CD399A"/>
    <w:rsid w:val="00CD3B77"/>
    <w:rsid w:val="00CD3FDC"/>
    <w:rsid w:val="00CD40C0"/>
    <w:rsid w:val="00CD4258"/>
    <w:rsid w:val="00CD43AE"/>
    <w:rsid w:val="00CD44BB"/>
    <w:rsid w:val="00CD4582"/>
    <w:rsid w:val="00CD4DBB"/>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4F4"/>
    <w:rsid w:val="00CD6527"/>
    <w:rsid w:val="00CD66ED"/>
    <w:rsid w:val="00CD6838"/>
    <w:rsid w:val="00CD6866"/>
    <w:rsid w:val="00CD691F"/>
    <w:rsid w:val="00CD69A2"/>
    <w:rsid w:val="00CD6B94"/>
    <w:rsid w:val="00CD6EB4"/>
    <w:rsid w:val="00CD6F3A"/>
    <w:rsid w:val="00CD7014"/>
    <w:rsid w:val="00CD7075"/>
    <w:rsid w:val="00CD728F"/>
    <w:rsid w:val="00CD73E4"/>
    <w:rsid w:val="00CD75FB"/>
    <w:rsid w:val="00CD772A"/>
    <w:rsid w:val="00CD77D4"/>
    <w:rsid w:val="00CD78D4"/>
    <w:rsid w:val="00CD797C"/>
    <w:rsid w:val="00CD7996"/>
    <w:rsid w:val="00CD79D0"/>
    <w:rsid w:val="00CD7A0A"/>
    <w:rsid w:val="00CD7B59"/>
    <w:rsid w:val="00CD7C07"/>
    <w:rsid w:val="00CD7DCE"/>
    <w:rsid w:val="00CD7DE5"/>
    <w:rsid w:val="00CD7E36"/>
    <w:rsid w:val="00CD7EBE"/>
    <w:rsid w:val="00CE012E"/>
    <w:rsid w:val="00CE01F0"/>
    <w:rsid w:val="00CE0327"/>
    <w:rsid w:val="00CE0820"/>
    <w:rsid w:val="00CE0950"/>
    <w:rsid w:val="00CE09F7"/>
    <w:rsid w:val="00CE0C0E"/>
    <w:rsid w:val="00CE0CEB"/>
    <w:rsid w:val="00CE0D3C"/>
    <w:rsid w:val="00CE0E57"/>
    <w:rsid w:val="00CE0F58"/>
    <w:rsid w:val="00CE115E"/>
    <w:rsid w:val="00CE1294"/>
    <w:rsid w:val="00CE179E"/>
    <w:rsid w:val="00CE19A3"/>
    <w:rsid w:val="00CE1A9C"/>
    <w:rsid w:val="00CE1BC2"/>
    <w:rsid w:val="00CE1ECF"/>
    <w:rsid w:val="00CE226A"/>
    <w:rsid w:val="00CE2293"/>
    <w:rsid w:val="00CE2479"/>
    <w:rsid w:val="00CE2502"/>
    <w:rsid w:val="00CE264B"/>
    <w:rsid w:val="00CE2694"/>
    <w:rsid w:val="00CE27A4"/>
    <w:rsid w:val="00CE295C"/>
    <w:rsid w:val="00CE2A75"/>
    <w:rsid w:val="00CE2B7B"/>
    <w:rsid w:val="00CE2CB5"/>
    <w:rsid w:val="00CE2D22"/>
    <w:rsid w:val="00CE2D65"/>
    <w:rsid w:val="00CE2E9D"/>
    <w:rsid w:val="00CE32A0"/>
    <w:rsid w:val="00CE3311"/>
    <w:rsid w:val="00CE34E9"/>
    <w:rsid w:val="00CE377C"/>
    <w:rsid w:val="00CE37DB"/>
    <w:rsid w:val="00CE37E4"/>
    <w:rsid w:val="00CE3934"/>
    <w:rsid w:val="00CE40E7"/>
    <w:rsid w:val="00CE42AA"/>
    <w:rsid w:val="00CE43E7"/>
    <w:rsid w:val="00CE4695"/>
    <w:rsid w:val="00CE46A8"/>
    <w:rsid w:val="00CE4861"/>
    <w:rsid w:val="00CE496F"/>
    <w:rsid w:val="00CE49AD"/>
    <w:rsid w:val="00CE49E6"/>
    <w:rsid w:val="00CE4FF8"/>
    <w:rsid w:val="00CE51CC"/>
    <w:rsid w:val="00CE51D1"/>
    <w:rsid w:val="00CE5245"/>
    <w:rsid w:val="00CE525A"/>
    <w:rsid w:val="00CE5343"/>
    <w:rsid w:val="00CE57DE"/>
    <w:rsid w:val="00CE5828"/>
    <w:rsid w:val="00CE5A2E"/>
    <w:rsid w:val="00CE5B11"/>
    <w:rsid w:val="00CE5C01"/>
    <w:rsid w:val="00CE5C84"/>
    <w:rsid w:val="00CE5CB8"/>
    <w:rsid w:val="00CE6003"/>
    <w:rsid w:val="00CE6519"/>
    <w:rsid w:val="00CE6600"/>
    <w:rsid w:val="00CE682D"/>
    <w:rsid w:val="00CE6B35"/>
    <w:rsid w:val="00CE6C7B"/>
    <w:rsid w:val="00CE6DCD"/>
    <w:rsid w:val="00CE6E33"/>
    <w:rsid w:val="00CE6EFB"/>
    <w:rsid w:val="00CE6F8C"/>
    <w:rsid w:val="00CE7264"/>
    <w:rsid w:val="00CE7265"/>
    <w:rsid w:val="00CE72C1"/>
    <w:rsid w:val="00CE7442"/>
    <w:rsid w:val="00CE7481"/>
    <w:rsid w:val="00CE7616"/>
    <w:rsid w:val="00CE76F2"/>
    <w:rsid w:val="00CE7718"/>
    <w:rsid w:val="00CE77EC"/>
    <w:rsid w:val="00CE798D"/>
    <w:rsid w:val="00CE79E8"/>
    <w:rsid w:val="00CE7AD7"/>
    <w:rsid w:val="00CE7C24"/>
    <w:rsid w:val="00CE7CB6"/>
    <w:rsid w:val="00CF0093"/>
    <w:rsid w:val="00CF00ED"/>
    <w:rsid w:val="00CF0208"/>
    <w:rsid w:val="00CF0271"/>
    <w:rsid w:val="00CF0384"/>
    <w:rsid w:val="00CF03AF"/>
    <w:rsid w:val="00CF03E4"/>
    <w:rsid w:val="00CF09C7"/>
    <w:rsid w:val="00CF0A8B"/>
    <w:rsid w:val="00CF0C44"/>
    <w:rsid w:val="00CF0F50"/>
    <w:rsid w:val="00CF107B"/>
    <w:rsid w:val="00CF1084"/>
    <w:rsid w:val="00CF1184"/>
    <w:rsid w:val="00CF11F5"/>
    <w:rsid w:val="00CF12D1"/>
    <w:rsid w:val="00CF134A"/>
    <w:rsid w:val="00CF150D"/>
    <w:rsid w:val="00CF15AF"/>
    <w:rsid w:val="00CF1795"/>
    <w:rsid w:val="00CF17CD"/>
    <w:rsid w:val="00CF182A"/>
    <w:rsid w:val="00CF1835"/>
    <w:rsid w:val="00CF1B74"/>
    <w:rsid w:val="00CF1C07"/>
    <w:rsid w:val="00CF1D2E"/>
    <w:rsid w:val="00CF1D62"/>
    <w:rsid w:val="00CF1E06"/>
    <w:rsid w:val="00CF1FE7"/>
    <w:rsid w:val="00CF2180"/>
    <w:rsid w:val="00CF2440"/>
    <w:rsid w:val="00CF24C4"/>
    <w:rsid w:val="00CF266F"/>
    <w:rsid w:val="00CF2897"/>
    <w:rsid w:val="00CF2904"/>
    <w:rsid w:val="00CF296A"/>
    <w:rsid w:val="00CF2C33"/>
    <w:rsid w:val="00CF2C6A"/>
    <w:rsid w:val="00CF2C6B"/>
    <w:rsid w:val="00CF3138"/>
    <w:rsid w:val="00CF325F"/>
    <w:rsid w:val="00CF3343"/>
    <w:rsid w:val="00CF34A0"/>
    <w:rsid w:val="00CF351D"/>
    <w:rsid w:val="00CF3529"/>
    <w:rsid w:val="00CF3596"/>
    <w:rsid w:val="00CF385E"/>
    <w:rsid w:val="00CF3920"/>
    <w:rsid w:val="00CF397E"/>
    <w:rsid w:val="00CF398F"/>
    <w:rsid w:val="00CF3AF9"/>
    <w:rsid w:val="00CF3B53"/>
    <w:rsid w:val="00CF3C13"/>
    <w:rsid w:val="00CF3CF1"/>
    <w:rsid w:val="00CF3F4C"/>
    <w:rsid w:val="00CF44DC"/>
    <w:rsid w:val="00CF46D0"/>
    <w:rsid w:val="00CF477E"/>
    <w:rsid w:val="00CF4A79"/>
    <w:rsid w:val="00CF4B6C"/>
    <w:rsid w:val="00CF4BFB"/>
    <w:rsid w:val="00CF4C42"/>
    <w:rsid w:val="00CF4C9B"/>
    <w:rsid w:val="00CF509D"/>
    <w:rsid w:val="00CF50A1"/>
    <w:rsid w:val="00CF576B"/>
    <w:rsid w:val="00CF58F0"/>
    <w:rsid w:val="00CF5A15"/>
    <w:rsid w:val="00CF5A21"/>
    <w:rsid w:val="00CF5B19"/>
    <w:rsid w:val="00CF5BD0"/>
    <w:rsid w:val="00CF5E1B"/>
    <w:rsid w:val="00CF5F9B"/>
    <w:rsid w:val="00CF5FC8"/>
    <w:rsid w:val="00CF622F"/>
    <w:rsid w:val="00CF6489"/>
    <w:rsid w:val="00CF653E"/>
    <w:rsid w:val="00CF655A"/>
    <w:rsid w:val="00CF66FA"/>
    <w:rsid w:val="00CF67F8"/>
    <w:rsid w:val="00CF69E0"/>
    <w:rsid w:val="00CF6A34"/>
    <w:rsid w:val="00CF6B24"/>
    <w:rsid w:val="00CF6E51"/>
    <w:rsid w:val="00CF768B"/>
    <w:rsid w:val="00CF7740"/>
    <w:rsid w:val="00CF79B0"/>
    <w:rsid w:val="00CF7D62"/>
    <w:rsid w:val="00CF7E14"/>
    <w:rsid w:val="00CF7E45"/>
    <w:rsid w:val="00CF7E8B"/>
    <w:rsid w:val="00CF7F7A"/>
    <w:rsid w:val="00D00450"/>
    <w:rsid w:val="00D00877"/>
    <w:rsid w:val="00D008BA"/>
    <w:rsid w:val="00D0093F"/>
    <w:rsid w:val="00D009EF"/>
    <w:rsid w:val="00D014F4"/>
    <w:rsid w:val="00D015A3"/>
    <w:rsid w:val="00D01686"/>
    <w:rsid w:val="00D017C0"/>
    <w:rsid w:val="00D01D84"/>
    <w:rsid w:val="00D01DAE"/>
    <w:rsid w:val="00D0218E"/>
    <w:rsid w:val="00D02237"/>
    <w:rsid w:val="00D0225A"/>
    <w:rsid w:val="00D022E5"/>
    <w:rsid w:val="00D027FD"/>
    <w:rsid w:val="00D02900"/>
    <w:rsid w:val="00D02938"/>
    <w:rsid w:val="00D02A5C"/>
    <w:rsid w:val="00D02B21"/>
    <w:rsid w:val="00D02B4D"/>
    <w:rsid w:val="00D02C3E"/>
    <w:rsid w:val="00D02D6A"/>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D5B"/>
    <w:rsid w:val="00D04ED6"/>
    <w:rsid w:val="00D04FA2"/>
    <w:rsid w:val="00D05073"/>
    <w:rsid w:val="00D05326"/>
    <w:rsid w:val="00D053E7"/>
    <w:rsid w:val="00D053EA"/>
    <w:rsid w:val="00D05772"/>
    <w:rsid w:val="00D05E0E"/>
    <w:rsid w:val="00D05E46"/>
    <w:rsid w:val="00D05F31"/>
    <w:rsid w:val="00D0609A"/>
    <w:rsid w:val="00D0624F"/>
    <w:rsid w:val="00D06298"/>
    <w:rsid w:val="00D062D6"/>
    <w:rsid w:val="00D0632D"/>
    <w:rsid w:val="00D06666"/>
    <w:rsid w:val="00D06818"/>
    <w:rsid w:val="00D069AD"/>
    <w:rsid w:val="00D069DE"/>
    <w:rsid w:val="00D06A1C"/>
    <w:rsid w:val="00D06DBD"/>
    <w:rsid w:val="00D07098"/>
    <w:rsid w:val="00D070FC"/>
    <w:rsid w:val="00D07172"/>
    <w:rsid w:val="00D07220"/>
    <w:rsid w:val="00D073DB"/>
    <w:rsid w:val="00D075F3"/>
    <w:rsid w:val="00D077D8"/>
    <w:rsid w:val="00D07919"/>
    <w:rsid w:val="00D07947"/>
    <w:rsid w:val="00D07E1D"/>
    <w:rsid w:val="00D100E8"/>
    <w:rsid w:val="00D1071F"/>
    <w:rsid w:val="00D109B8"/>
    <w:rsid w:val="00D10A42"/>
    <w:rsid w:val="00D10C0F"/>
    <w:rsid w:val="00D10F17"/>
    <w:rsid w:val="00D11036"/>
    <w:rsid w:val="00D11108"/>
    <w:rsid w:val="00D1118C"/>
    <w:rsid w:val="00D115DF"/>
    <w:rsid w:val="00D117A9"/>
    <w:rsid w:val="00D118BB"/>
    <w:rsid w:val="00D119D6"/>
    <w:rsid w:val="00D11BE4"/>
    <w:rsid w:val="00D11CB6"/>
    <w:rsid w:val="00D11FF3"/>
    <w:rsid w:val="00D12193"/>
    <w:rsid w:val="00D12499"/>
    <w:rsid w:val="00D1271C"/>
    <w:rsid w:val="00D12A66"/>
    <w:rsid w:val="00D12BFC"/>
    <w:rsid w:val="00D12C6F"/>
    <w:rsid w:val="00D12D32"/>
    <w:rsid w:val="00D12F4E"/>
    <w:rsid w:val="00D13110"/>
    <w:rsid w:val="00D13307"/>
    <w:rsid w:val="00D13BC1"/>
    <w:rsid w:val="00D13CA6"/>
    <w:rsid w:val="00D13D3F"/>
    <w:rsid w:val="00D13DDF"/>
    <w:rsid w:val="00D13DE9"/>
    <w:rsid w:val="00D1407D"/>
    <w:rsid w:val="00D14179"/>
    <w:rsid w:val="00D141D9"/>
    <w:rsid w:val="00D144AA"/>
    <w:rsid w:val="00D14885"/>
    <w:rsid w:val="00D148EA"/>
    <w:rsid w:val="00D1495C"/>
    <w:rsid w:val="00D14988"/>
    <w:rsid w:val="00D14AC2"/>
    <w:rsid w:val="00D14FD9"/>
    <w:rsid w:val="00D15486"/>
    <w:rsid w:val="00D155E8"/>
    <w:rsid w:val="00D15668"/>
    <w:rsid w:val="00D15733"/>
    <w:rsid w:val="00D1574B"/>
    <w:rsid w:val="00D157E2"/>
    <w:rsid w:val="00D1591A"/>
    <w:rsid w:val="00D15A5E"/>
    <w:rsid w:val="00D15B5A"/>
    <w:rsid w:val="00D15DF3"/>
    <w:rsid w:val="00D15E1F"/>
    <w:rsid w:val="00D1608C"/>
    <w:rsid w:val="00D16264"/>
    <w:rsid w:val="00D1657C"/>
    <w:rsid w:val="00D16700"/>
    <w:rsid w:val="00D16743"/>
    <w:rsid w:val="00D16AD9"/>
    <w:rsid w:val="00D16B97"/>
    <w:rsid w:val="00D16BA6"/>
    <w:rsid w:val="00D16F36"/>
    <w:rsid w:val="00D172F8"/>
    <w:rsid w:val="00D175F5"/>
    <w:rsid w:val="00D177E9"/>
    <w:rsid w:val="00D17C11"/>
    <w:rsid w:val="00D17DCC"/>
    <w:rsid w:val="00D17FAF"/>
    <w:rsid w:val="00D2029D"/>
    <w:rsid w:val="00D2030D"/>
    <w:rsid w:val="00D20573"/>
    <w:rsid w:val="00D20690"/>
    <w:rsid w:val="00D20BB6"/>
    <w:rsid w:val="00D20D53"/>
    <w:rsid w:val="00D20FB5"/>
    <w:rsid w:val="00D21155"/>
    <w:rsid w:val="00D2120A"/>
    <w:rsid w:val="00D212F4"/>
    <w:rsid w:val="00D21452"/>
    <w:rsid w:val="00D21536"/>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6BA"/>
    <w:rsid w:val="00D22916"/>
    <w:rsid w:val="00D22976"/>
    <w:rsid w:val="00D22A50"/>
    <w:rsid w:val="00D22B03"/>
    <w:rsid w:val="00D22C24"/>
    <w:rsid w:val="00D22C38"/>
    <w:rsid w:val="00D22E75"/>
    <w:rsid w:val="00D231DC"/>
    <w:rsid w:val="00D23799"/>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36"/>
    <w:rsid w:val="00D2667C"/>
    <w:rsid w:val="00D266F4"/>
    <w:rsid w:val="00D26842"/>
    <w:rsid w:val="00D2713F"/>
    <w:rsid w:val="00D27181"/>
    <w:rsid w:val="00D271D9"/>
    <w:rsid w:val="00D27221"/>
    <w:rsid w:val="00D2728C"/>
    <w:rsid w:val="00D27596"/>
    <w:rsid w:val="00D27620"/>
    <w:rsid w:val="00D2779D"/>
    <w:rsid w:val="00D278DC"/>
    <w:rsid w:val="00D27F0E"/>
    <w:rsid w:val="00D300B4"/>
    <w:rsid w:val="00D3028D"/>
    <w:rsid w:val="00D305F6"/>
    <w:rsid w:val="00D30730"/>
    <w:rsid w:val="00D30ACF"/>
    <w:rsid w:val="00D30C42"/>
    <w:rsid w:val="00D30ECE"/>
    <w:rsid w:val="00D30EEA"/>
    <w:rsid w:val="00D30F9E"/>
    <w:rsid w:val="00D30FA6"/>
    <w:rsid w:val="00D3106F"/>
    <w:rsid w:val="00D3122E"/>
    <w:rsid w:val="00D31356"/>
    <w:rsid w:val="00D313D7"/>
    <w:rsid w:val="00D31449"/>
    <w:rsid w:val="00D316DE"/>
    <w:rsid w:val="00D3186F"/>
    <w:rsid w:val="00D3196A"/>
    <w:rsid w:val="00D32004"/>
    <w:rsid w:val="00D32026"/>
    <w:rsid w:val="00D32161"/>
    <w:rsid w:val="00D32402"/>
    <w:rsid w:val="00D32411"/>
    <w:rsid w:val="00D32453"/>
    <w:rsid w:val="00D327AF"/>
    <w:rsid w:val="00D3292A"/>
    <w:rsid w:val="00D3298E"/>
    <w:rsid w:val="00D329C4"/>
    <w:rsid w:val="00D32A28"/>
    <w:rsid w:val="00D32B45"/>
    <w:rsid w:val="00D32C8B"/>
    <w:rsid w:val="00D32FEF"/>
    <w:rsid w:val="00D3304A"/>
    <w:rsid w:val="00D33239"/>
    <w:rsid w:val="00D33B41"/>
    <w:rsid w:val="00D33C8F"/>
    <w:rsid w:val="00D33CB5"/>
    <w:rsid w:val="00D33CC9"/>
    <w:rsid w:val="00D33F3B"/>
    <w:rsid w:val="00D34108"/>
    <w:rsid w:val="00D341C5"/>
    <w:rsid w:val="00D34251"/>
    <w:rsid w:val="00D34771"/>
    <w:rsid w:val="00D347CA"/>
    <w:rsid w:val="00D34991"/>
    <w:rsid w:val="00D34A50"/>
    <w:rsid w:val="00D34AF4"/>
    <w:rsid w:val="00D34E7F"/>
    <w:rsid w:val="00D34F4F"/>
    <w:rsid w:val="00D35380"/>
    <w:rsid w:val="00D35446"/>
    <w:rsid w:val="00D356CC"/>
    <w:rsid w:val="00D358AB"/>
    <w:rsid w:val="00D358E0"/>
    <w:rsid w:val="00D3598C"/>
    <w:rsid w:val="00D35B9B"/>
    <w:rsid w:val="00D35C36"/>
    <w:rsid w:val="00D35F44"/>
    <w:rsid w:val="00D363E5"/>
    <w:rsid w:val="00D364BD"/>
    <w:rsid w:val="00D368C5"/>
    <w:rsid w:val="00D368EA"/>
    <w:rsid w:val="00D368F7"/>
    <w:rsid w:val="00D369F6"/>
    <w:rsid w:val="00D36A7E"/>
    <w:rsid w:val="00D36A8C"/>
    <w:rsid w:val="00D36E35"/>
    <w:rsid w:val="00D37208"/>
    <w:rsid w:val="00D372B6"/>
    <w:rsid w:val="00D372D4"/>
    <w:rsid w:val="00D3735A"/>
    <w:rsid w:val="00D37680"/>
    <w:rsid w:val="00D378D7"/>
    <w:rsid w:val="00D37C3E"/>
    <w:rsid w:val="00D37FCF"/>
    <w:rsid w:val="00D401A6"/>
    <w:rsid w:val="00D40470"/>
    <w:rsid w:val="00D40971"/>
    <w:rsid w:val="00D409D2"/>
    <w:rsid w:val="00D409DD"/>
    <w:rsid w:val="00D40F2A"/>
    <w:rsid w:val="00D4102C"/>
    <w:rsid w:val="00D410B5"/>
    <w:rsid w:val="00D410DB"/>
    <w:rsid w:val="00D4147E"/>
    <w:rsid w:val="00D41618"/>
    <w:rsid w:val="00D4179F"/>
    <w:rsid w:val="00D4189A"/>
    <w:rsid w:val="00D4199E"/>
    <w:rsid w:val="00D41B1B"/>
    <w:rsid w:val="00D41C19"/>
    <w:rsid w:val="00D41CA1"/>
    <w:rsid w:val="00D423B2"/>
    <w:rsid w:val="00D424FB"/>
    <w:rsid w:val="00D4277E"/>
    <w:rsid w:val="00D4286E"/>
    <w:rsid w:val="00D42965"/>
    <w:rsid w:val="00D42990"/>
    <w:rsid w:val="00D42B24"/>
    <w:rsid w:val="00D42B30"/>
    <w:rsid w:val="00D42EA0"/>
    <w:rsid w:val="00D42F4E"/>
    <w:rsid w:val="00D4333F"/>
    <w:rsid w:val="00D43696"/>
    <w:rsid w:val="00D43764"/>
    <w:rsid w:val="00D437EC"/>
    <w:rsid w:val="00D43846"/>
    <w:rsid w:val="00D43B6C"/>
    <w:rsid w:val="00D43C37"/>
    <w:rsid w:val="00D4407B"/>
    <w:rsid w:val="00D4409D"/>
    <w:rsid w:val="00D4435F"/>
    <w:rsid w:val="00D443CB"/>
    <w:rsid w:val="00D446D7"/>
    <w:rsid w:val="00D44AF6"/>
    <w:rsid w:val="00D44BBE"/>
    <w:rsid w:val="00D44C67"/>
    <w:rsid w:val="00D44D63"/>
    <w:rsid w:val="00D44D6A"/>
    <w:rsid w:val="00D44DFE"/>
    <w:rsid w:val="00D44F15"/>
    <w:rsid w:val="00D44F1C"/>
    <w:rsid w:val="00D45039"/>
    <w:rsid w:val="00D45371"/>
    <w:rsid w:val="00D45389"/>
    <w:rsid w:val="00D45440"/>
    <w:rsid w:val="00D45605"/>
    <w:rsid w:val="00D4569F"/>
    <w:rsid w:val="00D457BE"/>
    <w:rsid w:val="00D458CB"/>
    <w:rsid w:val="00D458F5"/>
    <w:rsid w:val="00D459B0"/>
    <w:rsid w:val="00D45A40"/>
    <w:rsid w:val="00D45B29"/>
    <w:rsid w:val="00D45DD1"/>
    <w:rsid w:val="00D45F42"/>
    <w:rsid w:val="00D46170"/>
    <w:rsid w:val="00D462F5"/>
    <w:rsid w:val="00D46415"/>
    <w:rsid w:val="00D4676F"/>
    <w:rsid w:val="00D46850"/>
    <w:rsid w:val="00D469E4"/>
    <w:rsid w:val="00D469EB"/>
    <w:rsid w:val="00D46AEA"/>
    <w:rsid w:val="00D46B89"/>
    <w:rsid w:val="00D46ECF"/>
    <w:rsid w:val="00D470BB"/>
    <w:rsid w:val="00D47285"/>
    <w:rsid w:val="00D473EA"/>
    <w:rsid w:val="00D4756C"/>
    <w:rsid w:val="00D4764C"/>
    <w:rsid w:val="00D476B6"/>
    <w:rsid w:val="00D4782B"/>
    <w:rsid w:val="00D478BC"/>
    <w:rsid w:val="00D47ADF"/>
    <w:rsid w:val="00D47F5E"/>
    <w:rsid w:val="00D500C5"/>
    <w:rsid w:val="00D5019D"/>
    <w:rsid w:val="00D50368"/>
    <w:rsid w:val="00D505A5"/>
    <w:rsid w:val="00D505F2"/>
    <w:rsid w:val="00D506E0"/>
    <w:rsid w:val="00D50914"/>
    <w:rsid w:val="00D50925"/>
    <w:rsid w:val="00D50998"/>
    <w:rsid w:val="00D50AEE"/>
    <w:rsid w:val="00D50DCB"/>
    <w:rsid w:val="00D511C9"/>
    <w:rsid w:val="00D512DA"/>
    <w:rsid w:val="00D514C4"/>
    <w:rsid w:val="00D51567"/>
    <w:rsid w:val="00D517A9"/>
    <w:rsid w:val="00D5186C"/>
    <w:rsid w:val="00D5189B"/>
    <w:rsid w:val="00D51A77"/>
    <w:rsid w:val="00D51AFF"/>
    <w:rsid w:val="00D51B2C"/>
    <w:rsid w:val="00D51CB9"/>
    <w:rsid w:val="00D51DFA"/>
    <w:rsid w:val="00D51E4A"/>
    <w:rsid w:val="00D52145"/>
    <w:rsid w:val="00D523B5"/>
    <w:rsid w:val="00D523D8"/>
    <w:rsid w:val="00D52589"/>
    <w:rsid w:val="00D525C9"/>
    <w:rsid w:val="00D528BE"/>
    <w:rsid w:val="00D528F1"/>
    <w:rsid w:val="00D52B1F"/>
    <w:rsid w:val="00D52BA6"/>
    <w:rsid w:val="00D52BD8"/>
    <w:rsid w:val="00D52D4C"/>
    <w:rsid w:val="00D52D92"/>
    <w:rsid w:val="00D52F2C"/>
    <w:rsid w:val="00D52FA7"/>
    <w:rsid w:val="00D52FE3"/>
    <w:rsid w:val="00D53041"/>
    <w:rsid w:val="00D5305E"/>
    <w:rsid w:val="00D53206"/>
    <w:rsid w:val="00D5331C"/>
    <w:rsid w:val="00D53391"/>
    <w:rsid w:val="00D5345D"/>
    <w:rsid w:val="00D5357D"/>
    <w:rsid w:val="00D535B4"/>
    <w:rsid w:val="00D53637"/>
    <w:rsid w:val="00D53BEF"/>
    <w:rsid w:val="00D53CB5"/>
    <w:rsid w:val="00D53F4C"/>
    <w:rsid w:val="00D5401B"/>
    <w:rsid w:val="00D5404F"/>
    <w:rsid w:val="00D540A3"/>
    <w:rsid w:val="00D54429"/>
    <w:rsid w:val="00D54432"/>
    <w:rsid w:val="00D5443D"/>
    <w:rsid w:val="00D544BC"/>
    <w:rsid w:val="00D54650"/>
    <w:rsid w:val="00D546CC"/>
    <w:rsid w:val="00D54879"/>
    <w:rsid w:val="00D54A0C"/>
    <w:rsid w:val="00D54B5A"/>
    <w:rsid w:val="00D54CBB"/>
    <w:rsid w:val="00D54DBF"/>
    <w:rsid w:val="00D54F0A"/>
    <w:rsid w:val="00D5500E"/>
    <w:rsid w:val="00D550B1"/>
    <w:rsid w:val="00D552BE"/>
    <w:rsid w:val="00D554DB"/>
    <w:rsid w:val="00D554EB"/>
    <w:rsid w:val="00D554F4"/>
    <w:rsid w:val="00D5554F"/>
    <w:rsid w:val="00D55553"/>
    <w:rsid w:val="00D556D1"/>
    <w:rsid w:val="00D55869"/>
    <w:rsid w:val="00D55BB2"/>
    <w:rsid w:val="00D55EE9"/>
    <w:rsid w:val="00D55F6E"/>
    <w:rsid w:val="00D55FD2"/>
    <w:rsid w:val="00D563C8"/>
    <w:rsid w:val="00D564D4"/>
    <w:rsid w:val="00D56766"/>
    <w:rsid w:val="00D56A1B"/>
    <w:rsid w:val="00D56CEB"/>
    <w:rsid w:val="00D56DEA"/>
    <w:rsid w:val="00D56E08"/>
    <w:rsid w:val="00D56E5A"/>
    <w:rsid w:val="00D57002"/>
    <w:rsid w:val="00D570F8"/>
    <w:rsid w:val="00D57262"/>
    <w:rsid w:val="00D5739D"/>
    <w:rsid w:val="00D5765C"/>
    <w:rsid w:val="00D57745"/>
    <w:rsid w:val="00D577C9"/>
    <w:rsid w:val="00D5788D"/>
    <w:rsid w:val="00D5795F"/>
    <w:rsid w:val="00D57A1D"/>
    <w:rsid w:val="00D57E13"/>
    <w:rsid w:val="00D600F7"/>
    <w:rsid w:val="00D6016A"/>
    <w:rsid w:val="00D601C0"/>
    <w:rsid w:val="00D60273"/>
    <w:rsid w:val="00D60461"/>
    <w:rsid w:val="00D605A2"/>
    <w:rsid w:val="00D60814"/>
    <w:rsid w:val="00D60977"/>
    <w:rsid w:val="00D60A2E"/>
    <w:rsid w:val="00D60C59"/>
    <w:rsid w:val="00D60D02"/>
    <w:rsid w:val="00D60D5E"/>
    <w:rsid w:val="00D60E95"/>
    <w:rsid w:val="00D610C6"/>
    <w:rsid w:val="00D610E3"/>
    <w:rsid w:val="00D611C5"/>
    <w:rsid w:val="00D61256"/>
    <w:rsid w:val="00D61275"/>
    <w:rsid w:val="00D6136E"/>
    <w:rsid w:val="00D613BA"/>
    <w:rsid w:val="00D615DF"/>
    <w:rsid w:val="00D61631"/>
    <w:rsid w:val="00D61790"/>
    <w:rsid w:val="00D617E8"/>
    <w:rsid w:val="00D61980"/>
    <w:rsid w:val="00D61AFD"/>
    <w:rsid w:val="00D61BBC"/>
    <w:rsid w:val="00D61EBB"/>
    <w:rsid w:val="00D61ED3"/>
    <w:rsid w:val="00D622FB"/>
    <w:rsid w:val="00D6234B"/>
    <w:rsid w:val="00D623F2"/>
    <w:rsid w:val="00D624A2"/>
    <w:rsid w:val="00D625F2"/>
    <w:rsid w:val="00D62718"/>
    <w:rsid w:val="00D62AFA"/>
    <w:rsid w:val="00D62B80"/>
    <w:rsid w:val="00D62FA9"/>
    <w:rsid w:val="00D63035"/>
    <w:rsid w:val="00D631FE"/>
    <w:rsid w:val="00D63206"/>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3C"/>
    <w:rsid w:val="00D647E0"/>
    <w:rsid w:val="00D64A11"/>
    <w:rsid w:val="00D64DEA"/>
    <w:rsid w:val="00D64E5A"/>
    <w:rsid w:val="00D64F13"/>
    <w:rsid w:val="00D65215"/>
    <w:rsid w:val="00D65322"/>
    <w:rsid w:val="00D6549A"/>
    <w:rsid w:val="00D655BB"/>
    <w:rsid w:val="00D6580C"/>
    <w:rsid w:val="00D65941"/>
    <w:rsid w:val="00D6600E"/>
    <w:rsid w:val="00D660D4"/>
    <w:rsid w:val="00D66185"/>
    <w:rsid w:val="00D6647F"/>
    <w:rsid w:val="00D665E8"/>
    <w:rsid w:val="00D66675"/>
    <w:rsid w:val="00D66B4D"/>
    <w:rsid w:val="00D66D2D"/>
    <w:rsid w:val="00D670A4"/>
    <w:rsid w:val="00D671A3"/>
    <w:rsid w:val="00D67264"/>
    <w:rsid w:val="00D6742F"/>
    <w:rsid w:val="00D6757C"/>
    <w:rsid w:val="00D67AE2"/>
    <w:rsid w:val="00D67C2C"/>
    <w:rsid w:val="00D67C95"/>
    <w:rsid w:val="00D67D63"/>
    <w:rsid w:val="00D67E70"/>
    <w:rsid w:val="00D67F3C"/>
    <w:rsid w:val="00D67F3D"/>
    <w:rsid w:val="00D67FA8"/>
    <w:rsid w:val="00D702F0"/>
    <w:rsid w:val="00D703A2"/>
    <w:rsid w:val="00D703B5"/>
    <w:rsid w:val="00D70721"/>
    <w:rsid w:val="00D707C3"/>
    <w:rsid w:val="00D708E8"/>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2F84"/>
    <w:rsid w:val="00D730A5"/>
    <w:rsid w:val="00D73406"/>
    <w:rsid w:val="00D734C3"/>
    <w:rsid w:val="00D73603"/>
    <w:rsid w:val="00D73B00"/>
    <w:rsid w:val="00D73D33"/>
    <w:rsid w:val="00D73EE7"/>
    <w:rsid w:val="00D73F35"/>
    <w:rsid w:val="00D740F2"/>
    <w:rsid w:val="00D741E3"/>
    <w:rsid w:val="00D741EB"/>
    <w:rsid w:val="00D74542"/>
    <w:rsid w:val="00D74642"/>
    <w:rsid w:val="00D748F8"/>
    <w:rsid w:val="00D74D57"/>
    <w:rsid w:val="00D74F18"/>
    <w:rsid w:val="00D74F50"/>
    <w:rsid w:val="00D75006"/>
    <w:rsid w:val="00D75045"/>
    <w:rsid w:val="00D7515B"/>
    <w:rsid w:val="00D75258"/>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5C"/>
    <w:rsid w:val="00D77298"/>
    <w:rsid w:val="00D77450"/>
    <w:rsid w:val="00D775C2"/>
    <w:rsid w:val="00D77675"/>
    <w:rsid w:val="00D776AB"/>
    <w:rsid w:val="00D77954"/>
    <w:rsid w:val="00D77B4C"/>
    <w:rsid w:val="00D77C33"/>
    <w:rsid w:val="00D77C79"/>
    <w:rsid w:val="00D77E38"/>
    <w:rsid w:val="00D80043"/>
    <w:rsid w:val="00D80082"/>
    <w:rsid w:val="00D800EC"/>
    <w:rsid w:val="00D802EF"/>
    <w:rsid w:val="00D803B6"/>
    <w:rsid w:val="00D80424"/>
    <w:rsid w:val="00D805D6"/>
    <w:rsid w:val="00D8088C"/>
    <w:rsid w:val="00D808C5"/>
    <w:rsid w:val="00D809C3"/>
    <w:rsid w:val="00D80B4C"/>
    <w:rsid w:val="00D80B84"/>
    <w:rsid w:val="00D80BDB"/>
    <w:rsid w:val="00D80EFB"/>
    <w:rsid w:val="00D81168"/>
    <w:rsid w:val="00D811A8"/>
    <w:rsid w:val="00D81211"/>
    <w:rsid w:val="00D81475"/>
    <w:rsid w:val="00D817FA"/>
    <w:rsid w:val="00D81ED8"/>
    <w:rsid w:val="00D82463"/>
    <w:rsid w:val="00D8259D"/>
    <w:rsid w:val="00D8261D"/>
    <w:rsid w:val="00D82AFC"/>
    <w:rsid w:val="00D82BEC"/>
    <w:rsid w:val="00D82C22"/>
    <w:rsid w:val="00D82D44"/>
    <w:rsid w:val="00D82F12"/>
    <w:rsid w:val="00D82F28"/>
    <w:rsid w:val="00D8334A"/>
    <w:rsid w:val="00D834D5"/>
    <w:rsid w:val="00D8362A"/>
    <w:rsid w:val="00D83659"/>
    <w:rsid w:val="00D8377F"/>
    <w:rsid w:val="00D8389E"/>
    <w:rsid w:val="00D83901"/>
    <w:rsid w:val="00D83AC3"/>
    <w:rsid w:val="00D83BBF"/>
    <w:rsid w:val="00D83D2C"/>
    <w:rsid w:val="00D83E3E"/>
    <w:rsid w:val="00D83F81"/>
    <w:rsid w:val="00D840DE"/>
    <w:rsid w:val="00D841BA"/>
    <w:rsid w:val="00D842D9"/>
    <w:rsid w:val="00D844DD"/>
    <w:rsid w:val="00D84558"/>
    <w:rsid w:val="00D845E4"/>
    <w:rsid w:val="00D848EA"/>
    <w:rsid w:val="00D84916"/>
    <w:rsid w:val="00D8497C"/>
    <w:rsid w:val="00D8497D"/>
    <w:rsid w:val="00D84EBC"/>
    <w:rsid w:val="00D85018"/>
    <w:rsid w:val="00D85243"/>
    <w:rsid w:val="00D8553F"/>
    <w:rsid w:val="00D85930"/>
    <w:rsid w:val="00D85A77"/>
    <w:rsid w:val="00D85AC2"/>
    <w:rsid w:val="00D85DDC"/>
    <w:rsid w:val="00D85F24"/>
    <w:rsid w:val="00D85F59"/>
    <w:rsid w:val="00D860CF"/>
    <w:rsid w:val="00D86134"/>
    <w:rsid w:val="00D8626A"/>
    <w:rsid w:val="00D863C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B74"/>
    <w:rsid w:val="00D87CA8"/>
    <w:rsid w:val="00D87CD2"/>
    <w:rsid w:val="00D9020E"/>
    <w:rsid w:val="00D902A6"/>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E1"/>
    <w:rsid w:val="00D920FA"/>
    <w:rsid w:val="00D92470"/>
    <w:rsid w:val="00D92758"/>
    <w:rsid w:val="00D9279D"/>
    <w:rsid w:val="00D92828"/>
    <w:rsid w:val="00D928A7"/>
    <w:rsid w:val="00D92C61"/>
    <w:rsid w:val="00D92EB8"/>
    <w:rsid w:val="00D931EC"/>
    <w:rsid w:val="00D935F0"/>
    <w:rsid w:val="00D93856"/>
    <w:rsid w:val="00D939DA"/>
    <w:rsid w:val="00D9407F"/>
    <w:rsid w:val="00D943C2"/>
    <w:rsid w:val="00D9444A"/>
    <w:rsid w:val="00D9469D"/>
    <w:rsid w:val="00D94F7A"/>
    <w:rsid w:val="00D95370"/>
    <w:rsid w:val="00D959A1"/>
    <w:rsid w:val="00D95C9A"/>
    <w:rsid w:val="00D95D26"/>
    <w:rsid w:val="00D95DAC"/>
    <w:rsid w:val="00D95EB3"/>
    <w:rsid w:val="00D95F0D"/>
    <w:rsid w:val="00D95FB7"/>
    <w:rsid w:val="00D961F0"/>
    <w:rsid w:val="00D96447"/>
    <w:rsid w:val="00D9653E"/>
    <w:rsid w:val="00D967F3"/>
    <w:rsid w:val="00D96E95"/>
    <w:rsid w:val="00D96FE1"/>
    <w:rsid w:val="00D9700C"/>
    <w:rsid w:val="00D9702D"/>
    <w:rsid w:val="00D9714C"/>
    <w:rsid w:val="00D97350"/>
    <w:rsid w:val="00D97763"/>
    <w:rsid w:val="00D977DE"/>
    <w:rsid w:val="00D97AD5"/>
    <w:rsid w:val="00D97C54"/>
    <w:rsid w:val="00D97F58"/>
    <w:rsid w:val="00DA0440"/>
    <w:rsid w:val="00DA091C"/>
    <w:rsid w:val="00DA0C83"/>
    <w:rsid w:val="00DA1190"/>
    <w:rsid w:val="00DA11C8"/>
    <w:rsid w:val="00DA11EF"/>
    <w:rsid w:val="00DA12AF"/>
    <w:rsid w:val="00DA1305"/>
    <w:rsid w:val="00DA132A"/>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DC4"/>
    <w:rsid w:val="00DA2E4A"/>
    <w:rsid w:val="00DA2E54"/>
    <w:rsid w:val="00DA2F14"/>
    <w:rsid w:val="00DA2FB6"/>
    <w:rsid w:val="00DA31BD"/>
    <w:rsid w:val="00DA31C0"/>
    <w:rsid w:val="00DA3428"/>
    <w:rsid w:val="00DA34EC"/>
    <w:rsid w:val="00DA351B"/>
    <w:rsid w:val="00DA367F"/>
    <w:rsid w:val="00DA3770"/>
    <w:rsid w:val="00DA377E"/>
    <w:rsid w:val="00DA38BF"/>
    <w:rsid w:val="00DA38EC"/>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161"/>
    <w:rsid w:val="00DA517F"/>
    <w:rsid w:val="00DA553C"/>
    <w:rsid w:val="00DA563B"/>
    <w:rsid w:val="00DA56D7"/>
    <w:rsid w:val="00DA57D4"/>
    <w:rsid w:val="00DA57D8"/>
    <w:rsid w:val="00DA5CD9"/>
    <w:rsid w:val="00DA5E35"/>
    <w:rsid w:val="00DA5E39"/>
    <w:rsid w:val="00DA5EE2"/>
    <w:rsid w:val="00DA6085"/>
    <w:rsid w:val="00DA61B0"/>
    <w:rsid w:val="00DA6226"/>
    <w:rsid w:val="00DA6365"/>
    <w:rsid w:val="00DA68A5"/>
    <w:rsid w:val="00DA6BA2"/>
    <w:rsid w:val="00DA6BE0"/>
    <w:rsid w:val="00DA6DC5"/>
    <w:rsid w:val="00DA70CA"/>
    <w:rsid w:val="00DA7138"/>
    <w:rsid w:val="00DA71B1"/>
    <w:rsid w:val="00DA74AB"/>
    <w:rsid w:val="00DA74BC"/>
    <w:rsid w:val="00DA7728"/>
    <w:rsid w:val="00DA77BA"/>
    <w:rsid w:val="00DA7899"/>
    <w:rsid w:val="00DA78A3"/>
    <w:rsid w:val="00DA793B"/>
    <w:rsid w:val="00DA7996"/>
    <w:rsid w:val="00DA7FF2"/>
    <w:rsid w:val="00DB0139"/>
    <w:rsid w:val="00DB0205"/>
    <w:rsid w:val="00DB02B5"/>
    <w:rsid w:val="00DB03B3"/>
    <w:rsid w:val="00DB04A8"/>
    <w:rsid w:val="00DB07BF"/>
    <w:rsid w:val="00DB08ED"/>
    <w:rsid w:val="00DB0A4C"/>
    <w:rsid w:val="00DB0AEE"/>
    <w:rsid w:val="00DB0E9B"/>
    <w:rsid w:val="00DB1306"/>
    <w:rsid w:val="00DB15B2"/>
    <w:rsid w:val="00DB160D"/>
    <w:rsid w:val="00DB1714"/>
    <w:rsid w:val="00DB1A3D"/>
    <w:rsid w:val="00DB1BB8"/>
    <w:rsid w:val="00DB1D56"/>
    <w:rsid w:val="00DB1DBC"/>
    <w:rsid w:val="00DB1F64"/>
    <w:rsid w:val="00DB21BF"/>
    <w:rsid w:val="00DB225B"/>
    <w:rsid w:val="00DB2533"/>
    <w:rsid w:val="00DB253E"/>
    <w:rsid w:val="00DB25D0"/>
    <w:rsid w:val="00DB25E7"/>
    <w:rsid w:val="00DB26AF"/>
    <w:rsid w:val="00DB26C1"/>
    <w:rsid w:val="00DB2710"/>
    <w:rsid w:val="00DB27C5"/>
    <w:rsid w:val="00DB28D8"/>
    <w:rsid w:val="00DB299A"/>
    <w:rsid w:val="00DB2B54"/>
    <w:rsid w:val="00DB2BA5"/>
    <w:rsid w:val="00DB2BE0"/>
    <w:rsid w:val="00DB2C5B"/>
    <w:rsid w:val="00DB2CB1"/>
    <w:rsid w:val="00DB2CC6"/>
    <w:rsid w:val="00DB2D15"/>
    <w:rsid w:val="00DB31F1"/>
    <w:rsid w:val="00DB338B"/>
    <w:rsid w:val="00DB33CA"/>
    <w:rsid w:val="00DB3707"/>
    <w:rsid w:val="00DB3724"/>
    <w:rsid w:val="00DB3770"/>
    <w:rsid w:val="00DB381F"/>
    <w:rsid w:val="00DB3881"/>
    <w:rsid w:val="00DB39D3"/>
    <w:rsid w:val="00DB3AD9"/>
    <w:rsid w:val="00DB3EDE"/>
    <w:rsid w:val="00DB409E"/>
    <w:rsid w:val="00DB41A3"/>
    <w:rsid w:val="00DB43B1"/>
    <w:rsid w:val="00DB43E4"/>
    <w:rsid w:val="00DB43EB"/>
    <w:rsid w:val="00DB4BA2"/>
    <w:rsid w:val="00DB4CC4"/>
    <w:rsid w:val="00DB4E8E"/>
    <w:rsid w:val="00DB5104"/>
    <w:rsid w:val="00DB513A"/>
    <w:rsid w:val="00DB51E2"/>
    <w:rsid w:val="00DB51EA"/>
    <w:rsid w:val="00DB5469"/>
    <w:rsid w:val="00DB5574"/>
    <w:rsid w:val="00DB56CA"/>
    <w:rsid w:val="00DB58FC"/>
    <w:rsid w:val="00DB591A"/>
    <w:rsid w:val="00DB5B35"/>
    <w:rsid w:val="00DB607C"/>
    <w:rsid w:val="00DB60B5"/>
    <w:rsid w:val="00DB6108"/>
    <w:rsid w:val="00DB625B"/>
    <w:rsid w:val="00DB6422"/>
    <w:rsid w:val="00DB6480"/>
    <w:rsid w:val="00DB64E1"/>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485"/>
    <w:rsid w:val="00DC1905"/>
    <w:rsid w:val="00DC19FD"/>
    <w:rsid w:val="00DC1B5A"/>
    <w:rsid w:val="00DC1CDD"/>
    <w:rsid w:val="00DC1D50"/>
    <w:rsid w:val="00DC215E"/>
    <w:rsid w:val="00DC2278"/>
    <w:rsid w:val="00DC29B5"/>
    <w:rsid w:val="00DC2BCA"/>
    <w:rsid w:val="00DC2CB7"/>
    <w:rsid w:val="00DC2DBF"/>
    <w:rsid w:val="00DC302B"/>
    <w:rsid w:val="00DC303C"/>
    <w:rsid w:val="00DC327B"/>
    <w:rsid w:val="00DC3376"/>
    <w:rsid w:val="00DC3417"/>
    <w:rsid w:val="00DC3AA6"/>
    <w:rsid w:val="00DC3B1A"/>
    <w:rsid w:val="00DC3CA6"/>
    <w:rsid w:val="00DC3D59"/>
    <w:rsid w:val="00DC3E72"/>
    <w:rsid w:val="00DC3EE4"/>
    <w:rsid w:val="00DC4184"/>
    <w:rsid w:val="00DC4224"/>
    <w:rsid w:val="00DC440D"/>
    <w:rsid w:val="00DC4739"/>
    <w:rsid w:val="00DC4854"/>
    <w:rsid w:val="00DC4904"/>
    <w:rsid w:val="00DC4A35"/>
    <w:rsid w:val="00DC4A39"/>
    <w:rsid w:val="00DC4AFD"/>
    <w:rsid w:val="00DC4D6D"/>
    <w:rsid w:val="00DC5145"/>
    <w:rsid w:val="00DC53C9"/>
    <w:rsid w:val="00DC5438"/>
    <w:rsid w:val="00DC54F2"/>
    <w:rsid w:val="00DC55EB"/>
    <w:rsid w:val="00DC5792"/>
    <w:rsid w:val="00DC5861"/>
    <w:rsid w:val="00DC586D"/>
    <w:rsid w:val="00DC597D"/>
    <w:rsid w:val="00DC5D96"/>
    <w:rsid w:val="00DC5E74"/>
    <w:rsid w:val="00DC5FE6"/>
    <w:rsid w:val="00DC633D"/>
    <w:rsid w:val="00DC6356"/>
    <w:rsid w:val="00DC6388"/>
    <w:rsid w:val="00DC638E"/>
    <w:rsid w:val="00DC6838"/>
    <w:rsid w:val="00DC69B0"/>
    <w:rsid w:val="00DC6ADC"/>
    <w:rsid w:val="00DC6C80"/>
    <w:rsid w:val="00DC6D14"/>
    <w:rsid w:val="00DC6E54"/>
    <w:rsid w:val="00DC7463"/>
    <w:rsid w:val="00DC74FC"/>
    <w:rsid w:val="00DC766E"/>
    <w:rsid w:val="00DC76C6"/>
    <w:rsid w:val="00DC77ED"/>
    <w:rsid w:val="00DC788D"/>
    <w:rsid w:val="00DC78AA"/>
    <w:rsid w:val="00DC7B37"/>
    <w:rsid w:val="00DC7C55"/>
    <w:rsid w:val="00DC7C5D"/>
    <w:rsid w:val="00DC7EE5"/>
    <w:rsid w:val="00DC7F51"/>
    <w:rsid w:val="00DD0112"/>
    <w:rsid w:val="00DD0289"/>
    <w:rsid w:val="00DD0364"/>
    <w:rsid w:val="00DD042F"/>
    <w:rsid w:val="00DD04A9"/>
    <w:rsid w:val="00DD0635"/>
    <w:rsid w:val="00DD09DD"/>
    <w:rsid w:val="00DD0CA5"/>
    <w:rsid w:val="00DD0D5B"/>
    <w:rsid w:val="00DD0EDD"/>
    <w:rsid w:val="00DD1021"/>
    <w:rsid w:val="00DD1116"/>
    <w:rsid w:val="00DD147F"/>
    <w:rsid w:val="00DD1498"/>
    <w:rsid w:val="00DD15BB"/>
    <w:rsid w:val="00DD15D6"/>
    <w:rsid w:val="00DD15D9"/>
    <w:rsid w:val="00DD18CF"/>
    <w:rsid w:val="00DD19AC"/>
    <w:rsid w:val="00DD1AC9"/>
    <w:rsid w:val="00DD1B0A"/>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765"/>
    <w:rsid w:val="00DD29F0"/>
    <w:rsid w:val="00DD2DD2"/>
    <w:rsid w:val="00DD2E67"/>
    <w:rsid w:val="00DD2FCE"/>
    <w:rsid w:val="00DD2FD3"/>
    <w:rsid w:val="00DD329F"/>
    <w:rsid w:val="00DD33D4"/>
    <w:rsid w:val="00DD3479"/>
    <w:rsid w:val="00DD35A0"/>
    <w:rsid w:val="00DD36DF"/>
    <w:rsid w:val="00DD384D"/>
    <w:rsid w:val="00DD38BD"/>
    <w:rsid w:val="00DD3DFF"/>
    <w:rsid w:val="00DD3E4B"/>
    <w:rsid w:val="00DD3F6C"/>
    <w:rsid w:val="00DD41EB"/>
    <w:rsid w:val="00DD4276"/>
    <w:rsid w:val="00DD432B"/>
    <w:rsid w:val="00DD44B5"/>
    <w:rsid w:val="00DD4839"/>
    <w:rsid w:val="00DD4984"/>
    <w:rsid w:val="00DD498F"/>
    <w:rsid w:val="00DD4AAB"/>
    <w:rsid w:val="00DD4AE7"/>
    <w:rsid w:val="00DD5008"/>
    <w:rsid w:val="00DD509D"/>
    <w:rsid w:val="00DD544A"/>
    <w:rsid w:val="00DD5741"/>
    <w:rsid w:val="00DD5964"/>
    <w:rsid w:val="00DD6079"/>
    <w:rsid w:val="00DD6328"/>
    <w:rsid w:val="00DD659F"/>
    <w:rsid w:val="00DD65AC"/>
    <w:rsid w:val="00DD682A"/>
    <w:rsid w:val="00DD691E"/>
    <w:rsid w:val="00DD6A99"/>
    <w:rsid w:val="00DD6B54"/>
    <w:rsid w:val="00DD6C3E"/>
    <w:rsid w:val="00DD7035"/>
    <w:rsid w:val="00DD70C2"/>
    <w:rsid w:val="00DD7467"/>
    <w:rsid w:val="00DD74D9"/>
    <w:rsid w:val="00DD7548"/>
    <w:rsid w:val="00DD75FA"/>
    <w:rsid w:val="00DD76E1"/>
    <w:rsid w:val="00DD7980"/>
    <w:rsid w:val="00DD79AB"/>
    <w:rsid w:val="00DD7C6D"/>
    <w:rsid w:val="00DD7E2B"/>
    <w:rsid w:val="00DD7E91"/>
    <w:rsid w:val="00DE007B"/>
    <w:rsid w:val="00DE04E3"/>
    <w:rsid w:val="00DE07BB"/>
    <w:rsid w:val="00DE0818"/>
    <w:rsid w:val="00DE0966"/>
    <w:rsid w:val="00DE0A4C"/>
    <w:rsid w:val="00DE0A6B"/>
    <w:rsid w:val="00DE0BB5"/>
    <w:rsid w:val="00DE0E94"/>
    <w:rsid w:val="00DE11DC"/>
    <w:rsid w:val="00DE1596"/>
    <w:rsid w:val="00DE1B3C"/>
    <w:rsid w:val="00DE1B45"/>
    <w:rsid w:val="00DE1C83"/>
    <w:rsid w:val="00DE1F0D"/>
    <w:rsid w:val="00DE21F3"/>
    <w:rsid w:val="00DE25B1"/>
    <w:rsid w:val="00DE25DF"/>
    <w:rsid w:val="00DE2602"/>
    <w:rsid w:val="00DE26CD"/>
    <w:rsid w:val="00DE2785"/>
    <w:rsid w:val="00DE286A"/>
    <w:rsid w:val="00DE2A5F"/>
    <w:rsid w:val="00DE2A83"/>
    <w:rsid w:val="00DE2CFE"/>
    <w:rsid w:val="00DE304A"/>
    <w:rsid w:val="00DE3A23"/>
    <w:rsid w:val="00DE3B86"/>
    <w:rsid w:val="00DE3BC0"/>
    <w:rsid w:val="00DE3BDE"/>
    <w:rsid w:val="00DE3D33"/>
    <w:rsid w:val="00DE4014"/>
    <w:rsid w:val="00DE405E"/>
    <w:rsid w:val="00DE417E"/>
    <w:rsid w:val="00DE41A8"/>
    <w:rsid w:val="00DE4297"/>
    <w:rsid w:val="00DE46CF"/>
    <w:rsid w:val="00DE4754"/>
    <w:rsid w:val="00DE4859"/>
    <w:rsid w:val="00DE4882"/>
    <w:rsid w:val="00DE4892"/>
    <w:rsid w:val="00DE494C"/>
    <w:rsid w:val="00DE4C08"/>
    <w:rsid w:val="00DE4C1E"/>
    <w:rsid w:val="00DE5021"/>
    <w:rsid w:val="00DE50B3"/>
    <w:rsid w:val="00DE50B8"/>
    <w:rsid w:val="00DE5241"/>
    <w:rsid w:val="00DE5273"/>
    <w:rsid w:val="00DE52A0"/>
    <w:rsid w:val="00DE5335"/>
    <w:rsid w:val="00DE5513"/>
    <w:rsid w:val="00DE582E"/>
    <w:rsid w:val="00DE59C6"/>
    <w:rsid w:val="00DE5A45"/>
    <w:rsid w:val="00DE5C8B"/>
    <w:rsid w:val="00DE5CD3"/>
    <w:rsid w:val="00DE5FBA"/>
    <w:rsid w:val="00DE62D8"/>
    <w:rsid w:val="00DE667D"/>
    <w:rsid w:val="00DE66D7"/>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08"/>
    <w:rsid w:val="00DF07E9"/>
    <w:rsid w:val="00DF09DA"/>
    <w:rsid w:val="00DF0F21"/>
    <w:rsid w:val="00DF103B"/>
    <w:rsid w:val="00DF1270"/>
    <w:rsid w:val="00DF12DB"/>
    <w:rsid w:val="00DF16D2"/>
    <w:rsid w:val="00DF1DC4"/>
    <w:rsid w:val="00DF2017"/>
    <w:rsid w:val="00DF2485"/>
    <w:rsid w:val="00DF24E2"/>
    <w:rsid w:val="00DF252C"/>
    <w:rsid w:val="00DF278D"/>
    <w:rsid w:val="00DF280E"/>
    <w:rsid w:val="00DF28AB"/>
    <w:rsid w:val="00DF28B1"/>
    <w:rsid w:val="00DF299E"/>
    <w:rsid w:val="00DF2C04"/>
    <w:rsid w:val="00DF2C0C"/>
    <w:rsid w:val="00DF2D0A"/>
    <w:rsid w:val="00DF2EFC"/>
    <w:rsid w:val="00DF2FAA"/>
    <w:rsid w:val="00DF2FD5"/>
    <w:rsid w:val="00DF305E"/>
    <w:rsid w:val="00DF3235"/>
    <w:rsid w:val="00DF331B"/>
    <w:rsid w:val="00DF343C"/>
    <w:rsid w:val="00DF3444"/>
    <w:rsid w:val="00DF36CE"/>
    <w:rsid w:val="00DF3943"/>
    <w:rsid w:val="00DF3945"/>
    <w:rsid w:val="00DF3B4E"/>
    <w:rsid w:val="00DF3C8D"/>
    <w:rsid w:val="00DF3CAF"/>
    <w:rsid w:val="00DF3D56"/>
    <w:rsid w:val="00DF3D9B"/>
    <w:rsid w:val="00DF3EC5"/>
    <w:rsid w:val="00DF3F54"/>
    <w:rsid w:val="00DF43E2"/>
    <w:rsid w:val="00DF4436"/>
    <w:rsid w:val="00DF44BB"/>
    <w:rsid w:val="00DF4500"/>
    <w:rsid w:val="00DF46B0"/>
    <w:rsid w:val="00DF46B1"/>
    <w:rsid w:val="00DF4A35"/>
    <w:rsid w:val="00DF4A6A"/>
    <w:rsid w:val="00DF501B"/>
    <w:rsid w:val="00DF5134"/>
    <w:rsid w:val="00DF538F"/>
    <w:rsid w:val="00DF56C5"/>
    <w:rsid w:val="00DF57AB"/>
    <w:rsid w:val="00DF5A78"/>
    <w:rsid w:val="00DF5A82"/>
    <w:rsid w:val="00DF5B67"/>
    <w:rsid w:val="00DF5B70"/>
    <w:rsid w:val="00DF5B7F"/>
    <w:rsid w:val="00DF5BF5"/>
    <w:rsid w:val="00DF5BFB"/>
    <w:rsid w:val="00DF5C27"/>
    <w:rsid w:val="00DF6023"/>
    <w:rsid w:val="00DF69BE"/>
    <w:rsid w:val="00DF6CCC"/>
    <w:rsid w:val="00DF6CDE"/>
    <w:rsid w:val="00DF6DA7"/>
    <w:rsid w:val="00DF6DE0"/>
    <w:rsid w:val="00DF6F0B"/>
    <w:rsid w:val="00DF6F36"/>
    <w:rsid w:val="00DF730C"/>
    <w:rsid w:val="00DF73F9"/>
    <w:rsid w:val="00DF741D"/>
    <w:rsid w:val="00DF76DC"/>
    <w:rsid w:val="00DF7A33"/>
    <w:rsid w:val="00DF7B9E"/>
    <w:rsid w:val="00DF7BDE"/>
    <w:rsid w:val="00DF7C88"/>
    <w:rsid w:val="00DF7CE4"/>
    <w:rsid w:val="00DF7E11"/>
    <w:rsid w:val="00E00037"/>
    <w:rsid w:val="00E000CB"/>
    <w:rsid w:val="00E000DF"/>
    <w:rsid w:val="00E002A3"/>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A82"/>
    <w:rsid w:val="00E02A85"/>
    <w:rsid w:val="00E02C23"/>
    <w:rsid w:val="00E0303B"/>
    <w:rsid w:val="00E034CA"/>
    <w:rsid w:val="00E03613"/>
    <w:rsid w:val="00E0366B"/>
    <w:rsid w:val="00E036FC"/>
    <w:rsid w:val="00E03A7C"/>
    <w:rsid w:val="00E03B38"/>
    <w:rsid w:val="00E03CB0"/>
    <w:rsid w:val="00E03EFB"/>
    <w:rsid w:val="00E03F3E"/>
    <w:rsid w:val="00E03FDC"/>
    <w:rsid w:val="00E040B0"/>
    <w:rsid w:val="00E04125"/>
    <w:rsid w:val="00E043E3"/>
    <w:rsid w:val="00E04911"/>
    <w:rsid w:val="00E04AC1"/>
    <w:rsid w:val="00E04E39"/>
    <w:rsid w:val="00E04E4D"/>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AFE"/>
    <w:rsid w:val="00E07BF7"/>
    <w:rsid w:val="00E100D1"/>
    <w:rsid w:val="00E103E5"/>
    <w:rsid w:val="00E1041B"/>
    <w:rsid w:val="00E104AD"/>
    <w:rsid w:val="00E10506"/>
    <w:rsid w:val="00E10522"/>
    <w:rsid w:val="00E1098F"/>
    <w:rsid w:val="00E10F88"/>
    <w:rsid w:val="00E11A94"/>
    <w:rsid w:val="00E11D56"/>
    <w:rsid w:val="00E11DBE"/>
    <w:rsid w:val="00E11F88"/>
    <w:rsid w:val="00E12397"/>
    <w:rsid w:val="00E124B1"/>
    <w:rsid w:val="00E1250F"/>
    <w:rsid w:val="00E12517"/>
    <w:rsid w:val="00E12538"/>
    <w:rsid w:val="00E12569"/>
    <w:rsid w:val="00E126B0"/>
    <w:rsid w:val="00E1270E"/>
    <w:rsid w:val="00E1271C"/>
    <w:rsid w:val="00E12A02"/>
    <w:rsid w:val="00E12DA6"/>
    <w:rsid w:val="00E12DBD"/>
    <w:rsid w:val="00E12F80"/>
    <w:rsid w:val="00E13118"/>
    <w:rsid w:val="00E1315B"/>
    <w:rsid w:val="00E13485"/>
    <w:rsid w:val="00E134D6"/>
    <w:rsid w:val="00E13581"/>
    <w:rsid w:val="00E13C3D"/>
    <w:rsid w:val="00E13D9D"/>
    <w:rsid w:val="00E14037"/>
    <w:rsid w:val="00E1424F"/>
    <w:rsid w:val="00E144A2"/>
    <w:rsid w:val="00E145F1"/>
    <w:rsid w:val="00E1489F"/>
    <w:rsid w:val="00E14A42"/>
    <w:rsid w:val="00E14EB9"/>
    <w:rsid w:val="00E1520B"/>
    <w:rsid w:val="00E15343"/>
    <w:rsid w:val="00E1546D"/>
    <w:rsid w:val="00E15491"/>
    <w:rsid w:val="00E15510"/>
    <w:rsid w:val="00E158E2"/>
    <w:rsid w:val="00E15AF0"/>
    <w:rsid w:val="00E15DFB"/>
    <w:rsid w:val="00E15F80"/>
    <w:rsid w:val="00E15F9B"/>
    <w:rsid w:val="00E164B8"/>
    <w:rsid w:val="00E16529"/>
    <w:rsid w:val="00E16AD6"/>
    <w:rsid w:val="00E16CDC"/>
    <w:rsid w:val="00E170A3"/>
    <w:rsid w:val="00E1715C"/>
    <w:rsid w:val="00E1731D"/>
    <w:rsid w:val="00E175F7"/>
    <w:rsid w:val="00E1776D"/>
    <w:rsid w:val="00E17969"/>
    <w:rsid w:val="00E179B4"/>
    <w:rsid w:val="00E17C51"/>
    <w:rsid w:val="00E17F64"/>
    <w:rsid w:val="00E2007F"/>
    <w:rsid w:val="00E200E4"/>
    <w:rsid w:val="00E20112"/>
    <w:rsid w:val="00E2040B"/>
    <w:rsid w:val="00E2075A"/>
    <w:rsid w:val="00E20775"/>
    <w:rsid w:val="00E20A48"/>
    <w:rsid w:val="00E20C7B"/>
    <w:rsid w:val="00E20EFF"/>
    <w:rsid w:val="00E20F25"/>
    <w:rsid w:val="00E2114D"/>
    <w:rsid w:val="00E211E5"/>
    <w:rsid w:val="00E212CA"/>
    <w:rsid w:val="00E21630"/>
    <w:rsid w:val="00E21670"/>
    <w:rsid w:val="00E216A7"/>
    <w:rsid w:val="00E21A09"/>
    <w:rsid w:val="00E21A92"/>
    <w:rsid w:val="00E21BAE"/>
    <w:rsid w:val="00E21D42"/>
    <w:rsid w:val="00E220E0"/>
    <w:rsid w:val="00E2247D"/>
    <w:rsid w:val="00E22579"/>
    <w:rsid w:val="00E22629"/>
    <w:rsid w:val="00E22783"/>
    <w:rsid w:val="00E227A6"/>
    <w:rsid w:val="00E227BA"/>
    <w:rsid w:val="00E2282E"/>
    <w:rsid w:val="00E2283A"/>
    <w:rsid w:val="00E2283D"/>
    <w:rsid w:val="00E2284B"/>
    <w:rsid w:val="00E2291A"/>
    <w:rsid w:val="00E22A7F"/>
    <w:rsid w:val="00E22C5B"/>
    <w:rsid w:val="00E22F0B"/>
    <w:rsid w:val="00E22F4E"/>
    <w:rsid w:val="00E232D5"/>
    <w:rsid w:val="00E235D1"/>
    <w:rsid w:val="00E2375D"/>
    <w:rsid w:val="00E2378D"/>
    <w:rsid w:val="00E23840"/>
    <w:rsid w:val="00E2399B"/>
    <w:rsid w:val="00E23A5B"/>
    <w:rsid w:val="00E23D9D"/>
    <w:rsid w:val="00E240AF"/>
    <w:rsid w:val="00E241B4"/>
    <w:rsid w:val="00E241B6"/>
    <w:rsid w:val="00E241BA"/>
    <w:rsid w:val="00E24206"/>
    <w:rsid w:val="00E2436F"/>
    <w:rsid w:val="00E245AE"/>
    <w:rsid w:val="00E247E2"/>
    <w:rsid w:val="00E2484E"/>
    <w:rsid w:val="00E24AAD"/>
    <w:rsid w:val="00E24E53"/>
    <w:rsid w:val="00E24E69"/>
    <w:rsid w:val="00E250E2"/>
    <w:rsid w:val="00E25138"/>
    <w:rsid w:val="00E2521B"/>
    <w:rsid w:val="00E255CF"/>
    <w:rsid w:val="00E2563B"/>
    <w:rsid w:val="00E2583E"/>
    <w:rsid w:val="00E258C1"/>
    <w:rsid w:val="00E25A09"/>
    <w:rsid w:val="00E25F5E"/>
    <w:rsid w:val="00E25F7C"/>
    <w:rsid w:val="00E26025"/>
    <w:rsid w:val="00E26269"/>
    <w:rsid w:val="00E262E7"/>
    <w:rsid w:val="00E263AE"/>
    <w:rsid w:val="00E2657A"/>
    <w:rsid w:val="00E26594"/>
    <w:rsid w:val="00E265AA"/>
    <w:rsid w:val="00E265B7"/>
    <w:rsid w:val="00E265F7"/>
    <w:rsid w:val="00E268B8"/>
    <w:rsid w:val="00E26A89"/>
    <w:rsid w:val="00E26D11"/>
    <w:rsid w:val="00E26DAC"/>
    <w:rsid w:val="00E26F46"/>
    <w:rsid w:val="00E27369"/>
    <w:rsid w:val="00E27426"/>
    <w:rsid w:val="00E27498"/>
    <w:rsid w:val="00E274B8"/>
    <w:rsid w:val="00E2750A"/>
    <w:rsid w:val="00E275C5"/>
    <w:rsid w:val="00E27875"/>
    <w:rsid w:val="00E27911"/>
    <w:rsid w:val="00E27CFE"/>
    <w:rsid w:val="00E300D1"/>
    <w:rsid w:val="00E301E8"/>
    <w:rsid w:val="00E30237"/>
    <w:rsid w:val="00E303F6"/>
    <w:rsid w:val="00E305AB"/>
    <w:rsid w:val="00E307F7"/>
    <w:rsid w:val="00E30A19"/>
    <w:rsid w:val="00E30A5F"/>
    <w:rsid w:val="00E30AA7"/>
    <w:rsid w:val="00E30C13"/>
    <w:rsid w:val="00E30C31"/>
    <w:rsid w:val="00E30CE2"/>
    <w:rsid w:val="00E30DE5"/>
    <w:rsid w:val="00E3101C"/>
    <w:rsid w:val="00E31083"/>
    <w:rsid w:val="00E3129D"/>
    <w:rsid w:val="00E3130C"/>
    <w:rsid w:val="00E31329"/>
    <w:rsid w:val="00E313A8"/>
    <w:rsid w:val="00E313C2"/>
    <w:rsid w:val="00E31525"/>
    <w:rsid w:val="00E31AC8"/>
    <w:rsid w:val="00E31BC3"/>
    <w:rsid w:val="00E31BD5"/>
    <w:rsid w:val="00E31C9B"/>
    <w:rsid w:val="00E31D9D"/>
    <w:rsid w:val="00E31DE6"/>
    <w:rsid w:val="00E31DFC"/>
    <w:rsid w:val="00E32142"/>
    <w:rsid w:val="00E32203"/>
    <w:rsid w:val="00E323DD"/>
    <w:rsid w:val="00E3285C"/>
    <w:rsid w:val="00E328F0"/>
    <w:rsid w:val="00E32A4C"/>
    <w:rsid w:val="00E32DC2"/>
    <w:rsid w:val="00E330DF"/>
    <w:rsid w:val="00E33449"/>
    <w:rsid w:val="00E339AD"/>
    <w:rsid w:val="00E33A8C"/>
    <w:rsid w:val="00E33E63"/>
    <w:rsid w:val="00E34093"/>
    <w:rsid w:val="00E3413F"/>
    <w:rsid w:val="00E341AF"/>
    <w:rsid w:val="00E341E0"/>
    <w:rsid w:val="00E341E5"/>
    <w:rsid w:val="00E34282"/>
    <w:rsid w:val="00E3437C"/>
    <w:rsid w:val="00E343C8"/>
    <w:rsid w:val="00E344CD"/>
    <w:rsid w:val="00E34522"/>
    <w:rsid w:val="00E345C0"/>
    <w:rsid w:val="00E34F20"/>
    <w:rsid w:val="00E350C8"/>
    <w:rsid w:val="00E35299"/>
    <w:rsid w:val="00E3557A"/>
    <w:rsid w:val="00E35675"/>
    <w:rsid w:val="00E358C5"/>
    <w:rsid w:val="00E35AFC"/>
    <w:rsid w:val="00E35B3C"/>
    <w:rsid w:val="00E35B49"/>
    <w:rsid w:val="00E36035"/>
    <w:rsid w:val="00E360D3"/>
    <w:rsid w:val="00E3623B"/>
    <w:rsid w:val="00E3625E"/>
    <w:rsid w:val="00E362C2"/>
    <w:rsid w:val="00E3638A"/>
    <w:rsid w:val="00E3648B"/>
    <w:rsid w:val="00E364B4"/>
    <w:rsid w:val="00E36526"/>
    <w:rsid w:val="00E3652A"/>
    <w:rsid w:val="00E36927"/>
    <w:rsid w:val="00E36AA7"/>
    <w:rsid w:val="00E36D8A"/>
    <w:rsid w:val="00E36E44"/>
    <w:rsid w:val="00E36FA2"/>
    <w:rsid w:val="00E36FB8"/>
    <w:rsid w:val="00E37024"/>
    <w:rsid w:val="00E370AE"/>
    <w:rsid w:val="00E3715F"/>
    <w:rsid w:val="00E378D3"/>
    <w:rsid w:val="00E37C7C"/>
    <w:rsid w:val="00E37E96"/>
    <w:rsid w:val="00E40177"/>
    <w:rsid w:val="00E4019E"/>
    <w:rsid w:val="00E403AF"/>
    <w:rsid w:val="00E405C3"/>
    <w:rsid w:val="00E406C8"/>
    <w:rsid w:val="00E40A01"/>
    <w:rsid w:val="00E40B50"/>
    <w:rsid w:val="00E40DDB"/>
    <w:rsid w:val="00E40E69"/>
    <w:rsid w:val="00E40E6A"/>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2FC2"/>
    <w:rsid w:val="00E42FCA"/>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4EBF"/>
    <w:rsid w:val="00E451BA"/>
    <w:rsid w:val="00E451E6"/>
    <w:rsid w:val="00E45245"/>
    <w:rsid w:val="00E454D7"/>
    <w:rsid w:val="00E456A9"/>
    <w:rsid w:val="00E45B05"/>
    <w:rsid w:val="00E45BF8"/>
    <w:rsid w:val="00E45D18"/>
    <w:rsid w:val="00E45D8D"/>
    <w:rsid w:val="00E45F3E"/>
    <w:rsid w:val="00E46145"/>
    <w:rsid w:val="00E463D0"/>
    <w:rsid w:val="00E4641F"/>
    <w:rsid w:val="00E46470"/>
    <w:rsid w:val="00E467B1"/>
    <w:rsid w:val="00E468AD"/>
    <w:rsid w:val="00E46AAE"/>
    <w:rsid w:val="00E46E65"/>
    <w:rsid w:val="00E46F27"/>
    <w:rsid w:val="00E47328"/>
    <w:rsid w:val="00E47759"/>
    <w:rsid w:val="00E47B97"/>
    <w:rsid w:val="00E47C15"/>
    <w:rsid w:val="00E47D1B"/>
    <w:rsid w:val="00E47F37"/>
    <w:rsid w:val="00E5001E"/>
    <w:rsid w:val="00E501FA"/>
    <w:rsid w:val="00E5044E"/>
    <w:rsid w:val="00E5052F"/>
    <w:rsid w:val="00E50626"/>
    <w:rsid w:val="00E506C6"/>
    <w:rsid w:val="00E507C5"/>
    <w:rsid w:val="00E51086"/>
    <w:rsid w:val="00E513D7"/>
    <w:rsid w:val="00E51456"/>
    <w:rsid w:val="00E518FE"/>
    <w:rsid w:val="00E51984"/>
    <w:rsid w:val="00E51E62"/>
    <w:rsid w:val="00E51E8E"/>
    <w:rsid w:val="00E52031"/>
    <w:rsid w:val="00E520F8"/>
    <w:rsid w:val="00E52293"/>
    <w:rsid w:val="00E52316"/>
    <w:rsid w:val="00E52408"/>
    <w:rsid w:val="00E527A5"/>
    <w:rsid w:val="00E52A73"/>
    <w:rsid w:val="00E52AB7"/>
    <w:rsid w:val="00E52CCA"/>
    <w:rsid w:val="00E53235"/>
    <w:rsid w:val="00E532BE"/>
    <w:rsid w:val="00E53438"/>
    <w:rsid w:val="00E53446"/>
    <w:rsid w:val="00E53455"/>
    <w:rsid w:val="00E535BC"/>
    <w:rsid w:val="00E535F3"/>
    <w:rsid w:val="00E5363F"/>
    <w:rsid w:val="00E536C1"/>
    <w:rsid w:val="00E53743"/>
    <w:rsid w:val="00E53831"/>
    <w:rsid w:val="00E538DA"/>
    <w:rsid w:val="00E53A08"/>
    <w:rsid w:val="00E53A0B"/>
    <w:rsid w:val="00E53A4F"/>
    <w:rsid w:val="00E53BE0"/>
    <w:rsid w:val="00E53CA4"/>
    <w:rsid w:val="00E53D2A"/>
    <w:rsid w:val="00E53E68"/>
    <w:rsid w:val="00E53EFE"/>
    <w:rsid w:val="00E544EA"/>
    <w:rsid w:val="00E545C7"/>
    <w:rsid w:val="00E5468A"/>
    <w:rsid w:val="00E54752"/>
    <w:rsid w:val="00E548E0"/>
    <w:rsid w:val="00E54A72"/>
    <w:rsid w:val="00E54A91"/>
    <w:rsid w:val="00E54AB2"/>
    <w:rsid w:val="00E54C67"/>
    <w:rsid w:val="00E54DE6"/>
    <w:rsid w:val="00E54FCC"/>
    <w:rsid w:val="00E55020"/>
    <w:rsid w:val="00E5513F"/>
    <w:rsid w:val="00E5555C"/>
    <w:rsid w:val="00E55736"/>
    <w:rsid w:val="00E55945"/>
    <w:rsid w:val="00E5597C"/>
    <w:rsid w:val="00E55D69"/>
    <w:rsid w:val="00E55DA4"/>
    <w:rsid w:val="00E565D4"/>
    <w:rsid w:val="00E565E3"/>
    <w:rsid w:val="00E566C4"/>
    <w:rsid w:val="00E56863"/>
    <w:rsid w:val="00E56A45"/>
    <w:rsid w:val="00E56B03"/>
    <w:rsid w:val="00E56C39"/>
    <w:rsid w:val="00E56D06"/>
    <w:rsid w:val="00E56DA4"/>
    <w:rsid w:val="00E56FC7"/>
    <w:rsid w:val="00E5725B"/>
    <w:rsid w:val="00E572C3"/>
    <w:rsid w:val="00E574CB"/>
    <w:rsid w:val="00E574CD"/>
    <w:rsid w:val="00E575AB"/>
    <w:rsid w:val="00E5764C"/>
    <w:rsid w:val="00E57888"/>
    <w:rsid w:val="00E578C5"/>
    <w:rsid w:val="00E57EFB"/>
    <w:rsid w:val="00E60035"/>
    <w:rsid w:val="00E6051E"/>
    <w:rsid w:val="00E609B1"/>
    <w:rsid w:val="00E60E32"/>
    <w:rsid w:val="00E60E9E"/>
    <w:rsid w:val="00E60FF7"/>
    <w:rsid w:val="00E61067"/>
    <w:rsid w:val="00E6132B"/>
    <w:rsid w:val="00E61435"/>
    <w:rsid w:val="00E6149A"/>
    <w:rsid w:val="00E6179E"/>
    <w:rsid w:val="00E618B9"/>
    <w:rsid w:val="00E618E7"/>
    <w:rsid w:val="00E619B7"/>
    <w:rsid w:val="00E61DAD"/>
    <w:rsid w:val="00E61DEE"/>
    <w:rsid w:val="00E61E57"/>
    <w:rsid w:val="00E61F1A"/>
    <w:rsid w:val="00E61F85"/>
    <w:rsid w:val="00E624D6"/>
    <w:rsid w:val="00E625E5"/>
    <w:rsid w:val="00E62C39"/>
    <w:rsid w:val="00E62C99"/>
    <w:rsid w:val="00E62E89"/>
    <w:rsid w:val="00E62EDE"/>
    <w:rsid w:val="00E62F5D"/>
    <w:rsid w:val="00E633B2"/>
    <w:rsid w:val="00E637E3"/>
    <w:rsid w:val="00E638E0"/>
    <w:rsid w:val="00E63E04"/>
    <w:rsid w:val="00E63F2A"/>
    <w:rsid w:val="00E63FC4"/>
    <w:rsid w:val="00E64098"/>
    <w:rsid w:val="00E641D7"/>
    <w:rsid w:val="00E6422C"/>
    <w:rsid w:val="00E64994"/>
    <w:rsid w:val="00E64A36"/>
    <w:rsid w:val="00E64B8E"/>
    <w:rsid w:val="00E64C00"/>
    <w:rsid w:val="00E64DAE"/>
    <w:rsid w:val="00E64F39"/>
    <w:rsid w:val="00E650C7"/>
    <w:rsid w:val="00E65180"/>
    <w:rsid w:val="00E6519A"/>
    <w:rsid w:val="00E6534D"/>
    <w:rsid w:val="00E654DA"/>
    <w:rsid w:val="00E65614"/>
    <w:rsid w:val="00E65876"/>
    <w:rsid w:val="00E65899"/>
    <w:rsid w:val="00E65966"/>
    <w:rsid w:val="00E659E0"/>
    <w:rsid w:val="00E65A90"/>
    <w:rsid w:val="00E65A99"/>
    <w:rsid w:val="00E65AEC"/>
    <w:rsid w:val="00E65B61"/>
    <w:rsid w:val="00E65BBE"/>
    <w:rsid w:val="00E65D4A"/>
    <w:rsid w:val="00E65E47"/>
    <w:rsid w:val="00E65E54"/>
    <w:rsid w:val="00E65E57"/>
    <w:rsid w:val="00E65ED2"/>
    <w:rsid w:val="00E65EF6"/>
    <w:rsid w:val="00E65F52"/>
    <w:rsid w:val="00E6602E"/>
    <w:rsid w:val="00E66056"/>
    <w:rsid w:val="00E66082"/>
    <w:rsid w:val="00E66333"/>
    <w:rsid w:val="00E663F5"/>
    <w:rsid w:val="00E666B4"/>
    <w:rsid w:val="00E666F9"/>
    <w:rsid w:val="00E668E0"/>
    <w:rsid w:val="00E6690B"/>
    <w:rsid w:val="00E669CD"/>
    <w:rsid w:val="00E66A2E"/>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C67"/>
    <w:rsid w:val="00E67E92"/>
    <w:rsid w:val="00E67F5C"/>
    <w:rsid w:val="00E70320"/>
    <w:rsid w:val="00E70615"/>
    <w:rsid w:val="00E70887"/>
    <w:rsid w:val="00E70A3D"/>
    <w:rsid w:val="00E70E44"/>
    <w:rsid w:val="00E70EE0"/>
    <w:rsid w:val="00E70F07"/>
    <w:rsid w:val="00E710D0"/>
    <w:rsid w:val="00E711B7"/>
    <w:rsid w:val="00E71366"/>
    <w:rsid w:val="00E716F2"/>
    <w:rsid w:val="00E71871"/>
    <w:rsid w:val="00E719EA"/>
    <w:rsid w:val="00E71A0B"/>
    <w:rsid w:val="00E71CD7"/>
    <w:rsid w:val="00E71DB5"/>
    <w:rsid w:val="00E720CE"/>
    <w:rsid w:val="00E72373"/>
    <w:rsid w:val="00E724BF"/>
    <w:rsid w:val="00E72859"/>
    <w:rsid w:val="00E7286C"/>
    <w:rsid w:val="00E72A93"/>
    <w:rsid w:val="00E72FD5"/>
    <w:rsid w:val="00E731AE"/>
    <w:rsid w:val="00E7320B"/>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B40"/>
    <w:rsid w:val="00E74D2C"/>
    <w:rsid w:val="00E74E3B"/>
    <w:rsid w:val="00E74F41"/>
    <w:rsid w:val="00E7510C"/>
    <w:rsid w:val="00E7535B"/>
    <w:rsid w:val="00E7545A"/>
    <w:rsid w:val="00E7564D"/>
    <w:rsid w:val="00E75A03"/>
    <w:rsid w:val="00E75ABB"/>
    <w:rsid w:val="00E75AE8"/>
    <w:rsid w:val="00E75DC6"/>
    <w:rsid w:val="00E7600C"/>
    <w:rsid w:val="00E7603E"/>
    <w:rsid w:val="00E760DC"/>
    <w:rsid w:val="00E761F4"/>
    <w:rsid w:val="00E76345"/>
    <w:rsid w:val="00E764C0"/>
    <w:rsid w:val="00E766E2"/>
    <w:rsid w:val="00E76B39"/>
    <w:rsid w:val="00E76CCE"/>
    <w:rsid w:val="00E76D54"/>
    <w:rsid w:val="00E77123"/>
    <w:rsid w:val="00E77130"/>
    <w:rsid w:val="00E772A9"/>
    <w:rsid w:val="00E77332"/>
    <w:rsid w:val="00E773E7"/>
    <w:rsid w:val="00E774B9"/>
    <w:rsid w:val="00E776B7"/>
    <w:rsid w:val="00E77802"/>
    <w:rsid w:val="00E778DB"/>
    <w:rsid w:val="00E7790B"/>
    <w:rsid w:val="00E77B26"/>
    <w:rsid w:val="00E77CA4"/>
    <w:rsid w:val="00E80359"/>
    <w:rsid w:val="00E80389"/>
    <w:rsid w:val="00E8059F"/>
    <w:rsid w:val="00E80807"/>
    <w:rsid w:val="00E80819"/>
    <w:rsid w:val="00E80D3C"/>
    <w:rsid w:val="00E80D40"/>
    <w:rsid w:val="00E80DAC"/>
    <w:rsid w:val="00E80EC6"/>
    <w:rsid w:val="00E80F06"/>
    <w:rsid w:val="00E80FD5"/>
    <w:rsid w:val="00E810E5"/>
    <w:rsid w:val="00E811BC"/>
    <w:rsid w:val="00E815D9"/>
    <w:rsid w:val="00E81678"/>
    <w:rsid w:val="00E8168E"/>
    <w:rsid w:val="00E81826"/>
    <w:rsid w:val="00E818AC"/>
    <w:rsid w:val="00E818C4"/>
    <w:rsid w:val="00E818FF"/>
    <w:rsid w:val="00E81C28"/>
    <w:rsid w:val="00E8209B"/>
    <w:rsid w:val="00E82213"/>
    <w:rsid w:val="00E8239C"/>
    <w:rsid w:val="00E82495"/>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2B"/>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4FE4"/>
    <w:rsid w:val="00E851DB"/>
    <w:rsid w:val="00E8525C"/>
    <w:rsid w:val="00E852A6"/>
    <w:rsid w:val="00E8533B"/>
    <w:rsid w:val="00E85442"/>
    <w:rsid w:val="00E854FC"/>
    <w:rsid w:val="00E85747"/>
    <w:rsid w:val="00E857ED"/>
    <w:rsid w:val="00E86173"/>
    <w:rsid w:val="00E863FF"/>
    <w:rsid w:val="00E86606"/>
    <w:rsid w:val="00E866EA"/>
    <w:rsid w:val="00E86752"/>
    <w:rsid w:val="00E86948"/>
    <w:rsid w:val="00E869D8"/>
    <w:rsid w:val="00E86A4A"/>
    <w:rsid w:val="00E86AE7"/>
    <w:rsid w:val="00E86B3D"/>
    <w:rsid w:val="00E87165"/>
    <w:rsid w:val="00E875D5"/>
    <w:rsid w:val="00E8767D"/>
    <w:rsid w:val="00E8768E"/>
    <w:rsid w:val="00E877AB"/>
    <w:rsid w:val="00E877BA"/>
    <w:rsid w:val="00E8795D"/>
    <w:rsid w:val="00E87AAD"/>
    <w:rsid w:val="00E87C17"/>
    <w:rsid w:val="00E9034B"/>
    <w:rsid w:val="00E90407"/>
    <w:rsid w:val="00E90463"/>
    <w:rsid w:val="00E90575"/>
    <w:rsid w:val="00E905C9"/>
    <w:rsid w:val="00E909D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C2F"/>
    <w:rsid w:val="00E92D03"/>
    <w:rsid w:val="00E92D5F"/>
    <w:rsid w:val="00E92D6F"/>
    <w:rsid w:val="00E92E29"/>
    <w:rsid w:val="00E92EC8"/>
    <w:rsid w:val="00E93287"/>
    <w:rsid w:val="00E9328B"/>
    <w:rsid w:val="00E9351C"/>
    <w:rsid w:val="00E93756"/>
    <w:rsid w:val="00E938CD"/>
    <w:rsid w:val="00E938F2"/>
    <w:rsid w:val="00E93983"/>
    <w:rsid w:val="00E93C81"/>
    <w:rsid w:val="00E93DA8"/>
    <w:rsid w:val="00E940B4"/>
    <w:rsid w:val="00E943E7"/>
    <w:rsid w:val="00E9449A"/>
    <w:rsid w:val="00E944A3"/>
    <w:rsid w:val="00E94523"/>
    <w:rsid w:val="00E9457F"/>
    <w:rsid w:val="00E94614"/>
    <w:rsid w:val="00E9465A"/>
    <w:rsid w:val="00E9468A"/>
    <w:rsid w:val="00E94A7F"/>
    <w:rsid w:val="00E94A9B"/>
    <w:rsid w:val="00E94CD4"/>
    <w:rsid w:val="00E94EC0"/>
    <w:rsid w:val="00E94F28"/>
    <w:rsid w:val="00E94F3F"/>
    <w:rsid w:val="00E94F8E"/>
    <w:rsid w:val="00E95073"/>
    <w:rsid w:val="00E9558F"/>
    <w:rsid w:val="00E955FD"/>
    <w:rsid w:val="00E9573B"/>
    <w:rsid w:val="00E95F84"/>
    <w:rsid w:val="00E96669"/>
    <w:rsid w:val="00E967F7"/>
    <w:rsid w:val="00E96CC9"/>
    <w:rsid w:val="00E96D74"/>
    <w:rsid w:val="00E96D83"/>
    <w:rsid w:val="00E9715B"/>
    <w:rsid w:val="00E97170"/>
    <w:rsid w:val="00E971F5"/>
    <w:rsid w:val="00E97245"/>
    <w:rsid w:val="00E9725A"/>
    <w:rsid w:val="00E974C2"/>
    <w:rsid w:val="00E97542"/>
    <w:rsid w:val="00E975EC"/>
    <w:rsid w:val="00E9770B"/>
    <w:rsid w:val="00E97741"/>
    <w:rsid w:val="00E97A29"/>
    <w:rsid w:val="00E97ACF"/>
    <w:rsid w:val="00E97CAC"/>
    <w:rsid w:val="00E97D46"/>
    <w:rsid w:val="00E97DDB"/>
    <w:rsid w:val="00E97EEE"/>
    <w:rsid w:val="00E97F7A"/>
    <w:rsid w:val="00E97FFA"/>
    <w:rsid w:val="00E97FFC"/>
    <w:rsid w:val="00EA00AE"/>
    <w:rsid w:val="00EA0435"/>
    <w:rsid w:val="00EA0695"/>
    <w:rsid w:val="00EA0802"/>
    <w:rsid w:val="00EA0B10"/>
    <w:rsid w:val="00EA1028"/>
    <w:rsid w:val="00EA13B2"/>
    <w:rsid w:val="00EA1463"/>
    <w:rsid w:val="00EA169C"/>
    <w:rsid w:val="00EA1753"/>
    <w:rsid w:val="00EA17D7"/>
    <w:rsid w:val="00EA1831"/>
    <w:rsid w:val="00EA196B"/>
    <w:rsid w:val="00EA1C64"/>
    <w:rsid w:val="00EA2031"/>
    <w:rsid w:val="00EA2611"/>
    <w:rsid w:val="00EA2738"/>
    <w:rsid w:val="00EA275A"/>
    <w:rsid w:val="00EA28EA"/>
    <w:rsid w:val="00EA2C33"/>
    <w:rsid w:val="00EA3008"/>
    <w:rsid w:val="00EA326B"/>
    <w:rsid w:val="00EA3386"/>
    <w:rsid w:val="00EA33D8"/>
    <w:rsid w:val="00EA35CD"/>
    <w:rsid w:val="00EA388F"/>
    <w:rsid w:val="00EA3A87"/>
    <w:rsid w:val="00EA3BAA"/>
    <w:rsid w:val="00EA3C83"/>
    <w:rsid w:val="00EA3D3C"/>
    <w:rsid w:val="00EA3D7D"/>
    <w:rsid w:val="00EA3E5C"/>
    <w:rsid w:val="00EA4011"/>
    <w:rsid w:val="00EA4031"/>
    <w:rsid w:val="00EA4462"/>
    <w:rsid w:val="00EA4552"/>
    <w:rsid w:val="00EA46DE"/>
    <w:rsid w:val="00EA4A96"/>
    <w:rsid w:val="00EA4BA4"/>
    <w:rsid w:val="00EA4BEC"/>
    <w:rsid w:val="00EA4C57"/>
    <w:rsid w:val="00EA4CE5"/>
    <w:rsid w:val="00EA503D"/>
    <w:rsid w:val="00EA508E"/>
    <w:rsid w:val="00EA50E3"/>
    <w:rsid w:val="00EA52EE"/>
    <w:rsid w:val="00EA530B"/>
    <w:rsid w:val="00EA54D9"/>
    <w:rsid w:val="00EA56FC"/>
    <w:rsid w:val="00EA5816"/>
    <w:rsid w:val="00EA59B7"/>
    <w:rsid w:val="00EA5A9C"/>
    <w:rsid w:val="00EA5BDD"/>
    <w:rsid w:val="00EA5BEC"/>
    <w:rsid w:val="00EA5C01"/>
    <w:rsid w:val="00EA5DF7"/>
    <w:rsid w:val="00EA5E7C"/>
    <w:rsid w:val="00EA5EB0"/>
    <w:rsid w:val="00EA6072"/>
    <w:rsid w:val="00EA62D3"/>
    <w:rsid w:val="00EA6701"/>
    <w:rsid w:val="00EA67B3"/>
    <w:rsid w:val="00EA6A73"/>
    <w:rsid w:val="00EA6D30"/>
    <w:rsid w:val="00EA6E03"/>
    <w:rsid w:val="00EA6F75"/>
    <w:rsid w:val="00EA6FB5"/>
    <w:rsid w:val="00EA6FC6"/>
    <w:rsid w:val="00EA712D"/>
    <w:rsid w:val="00EA720C"/>
    <w:rsid w:val="00EA732B"/>
    <w:rsid w:val="00EA7361"/>
    <w:rsid w:val="00EA74E7"/>
    <w:rsid w:val="00EA75FE"/>
    <w:rsid w:val="00EA76D5"/>
    <w:rsid w:val="00EA780F"/>
    <w:rsid w:val="00EA7A50"/>
    <w:rsid w:val="00EA7B2A"/>
    <w:rsid w:val="00EA7CB6"/>
    <w:rsid w:val="00EA7DD5"/>
    <w:rsid w:val="00EA7FBE"/>
    <w:rsid w:val="00EB0140"/>
    <w:rsid w:val="00EB0348"/>
    <w:rsid w:val="00EB04FA"/>
    <w:rsid w:val="00EB0526"/>
    <w:rsid w:val="00EB078E"/>
    <w:rsid w:val="00EB0A53"/>
    <w:rsid w:val="00EB0AA9"/>
    <w:rsid w:val="00EB0C59"/>
    <w:rsid w:val="00EB0D94"/>
    <w:rsid w:val="00EB0DAA"/>
    <w:rsid w:val="00EB0F6E"/>
    <w:rsid w:val="00EB0FDC"/>
    <w:rsid w:val="00EB1044"/>
    <w:rsid w:val="00EB10F4"/>
    <w:rsid w:val="00EB1146"/>
    <w:rsid w:val="00EB1328"/>
    <w:rsid w:val="00EB16B6"/>
    <w:rsid w:val="00EB1701"/>
    <w:rsid w:val="00EB1CCA"/>
    <w:rsid w:val="00EB1E53"/>
    <w:rsid w:val="00EB1F9E"/>
    <w:rsid w:val="00EB2078"/>
    <w:rsid w:val="00EB21BE"/>
    <w:rsid w:val="00EB22CA"/>
    <w:rsid w:val="00EB2464"/>
    <w:rsid w:val="00EB2777"/>
    <w:rsid w:val="00EB280A"/>
    <w:rsid w:val="00EB2F7E"/>
    <w:rsid w:val="00EB302E"/>
    <w:rsid w:val="00EB30E3"/>
    <w:rsid w:val="00EB311F"/>
    <w:rsid w:val="00EB326E"/>
    <w:rsid w:val="00EB392C"/>
    <w:rsid w:val="00EB3A4D"/>
    <w:rsid w:val="00EB3DA8"/>
    <w:rsid w:val="00EB3DC7"/>
    <w:rsid w:val="00EB3FB7"/>
    <w:rsid w:val="00EB401D"/>
    <w:rsid w:val="00EB417A"/>
    <w:rsid w:val="00EB418D"/>
    <w:rsid w:val="00EB43A8"/>
    <w:rsid w:val="00EB44FE"/>
    <w:rsid w:val="00EB4678"/>
    <w:rsid w:val="00EB4882"/>
    <w:rsid w:val="00EB4998"/>
    <w:rsid w:val="00EB4B90"/>
    <w:rsid w:val="00EB4C30"/>
    <w:rsid w:val="00EB4F10"/>
    <w:rsid w:val="00EB502A"/>
    <w:rsid w:val="00EB518A"/>
    <w:rsid w:val="00EB5259"/>
    <w:rsid w:val="00EB5288"/>
    <w:rsid w:val="00EB528C"/>
    <w:rsid w:val="00EB52B2"/>
    <w:rsid w:val="00EB53D9"/>
    <w:rsid w:val="00EB54B8"/>
    <w:rsid w:val="00EB54BF"/>
    <w:rsid w:val="00EB54E6"/>
    <w:rsid w:val="00EB5560"/>
    <w:rsid w:val="00EB561A"/>
    <w:rsid w:val="00EB5A3F"/>
    <w:rsid w:val="00EB6046"/>
    <w:rsid w:val="00EB6126"/>
    <w:rsid w:val="00EB6449"/>
    <w:rsid w:val="00EB6850"/>
    <w:rsid w:val="00EB6946"/>
    <w:rsid w:val="00EB6CCF"/>
    <w:rsid w:val="00EB6CFE"/>
    <w:rsid w:val="00EB6EB6"/>
    <w:rsid w:val="00EB70AD"/>
    <w:rsid w:val="00EB710C"/>
    <w:rsid w:val="00EB7127"/>
    <w:rsid w:val="00EB738E"/>
    <w:rsid w:val="00EB73D5"/>
    <w:rsid w:val="00EB76FD"/>
    <w:rsid w:val="00EB799A"/>
    <w:rsid w:val="00EB7A03"/>
    <w:rsid w:val="00EB7B89"/>
    <w:rsid w:val="00EB7C84"/>
    <w:rsid w:val="00EB7CB4"/>
    <w:rsid w:val="00EB7CEF"/>
    <w:rsid w:val="00EB7E97"/>
    <w:rsid w:val="00EB7ECD"/>
    <w:rsid w:val="00EC0237"/>
    <w:rsid w:val="00EC04D1"/>
    <w:rsid w:val="00EC0599"/>
    <w:rsid w:val="00EC059B"/>
    <w:rsid w:val="00EC09B3"/>
    <w:rsid w:val="00EC0BE6"/>
    <w:rsid w:val="00EC0CEB"/>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C36"/>
    <w:rsid w:val="00EC1C7D"/>
    <w:rsid w:val="00EC1CCB"/>
    <w:rsid w:val="00EC1FD8"/>
    <w:rsid w:val="00EC20C1"/>
    <w:rsid w:val="00EC20EE"/>
    <w:rsid w:val="00EC22CB"/>
    <w:rsid w:val="00EC23A7"/>
    <w:rsid w:val="00EC23B3"/>
    <w:rsid w:val="00EC23B9"/>
    <w:rsid w:val="00EC2A32"/>
    <w:rsid w:val="00EC2B27"/>
    <w:rsid w:val="00EC2B31"/>
    <w:rsid w:val="00EC2D95"/>
    <w:rsid w:val="00EC2EA4"/>
    <w:rsid w:val="00EC30EB"/>
    <w:rsid w:val="00EC310F"/>
    <w:rsid w:val="00EC3333"/>
    <w:rsid w:val="00EC33B8"/>
    <w:rsid w:val="00EC343B"/>
    <w:rsid w:val="00EC368C"/>
    <w:rsid w:val="00EC3709"/>
    <w:rsid w:val="00EC385C"/>
    <w:rsid w:val="00EC39AD"/>
    <w:rsid w:val="00EC3C3E"/>
    <w:rsid w:val="00EC3C9B"/>
    <w:rsid w:val="00EC3E31"/>
    <w:rsid w:val="00EC3F74"/>
    <w:rsid w:val="00EC3F8F"/>
    <w:rsid w:val="00EC41D2"/>
    <w:rsid w:val="00EC432E"/>
    <w:rsid w:val="00EC4421"/>
    <w:rsid w:val="00EC464B"/>
    <w:rsid w:val="00EC46BC"/>
    <w:rsid w:val="00EC473D"/>
    <w:rsid w:val="00EC48D8"/>
    <w:rsid w:val="00EC4AA6"/>
    <w:rsid w:val="00EC4B07"/>
    <w:rsid w:val="00EC4B9A"/>
    <w:rsid w:val="00EC4D56"/>
    <w:rsid w:val="00EC4DCE"/>
    <w:rsid w:val="00EC4ED7"/>
    <w:rsid w:val="00EC51C8"/>
    <w:rsid w:val="00EC52D5"/>
    <w:rsid w:val="00EC5416"/>
    <w:rsid w:val="00EC5502"/>
    <w:rsid w:val="00EC55B8"/>
    <w:rsid w:val="00EC5605"/>
    <w:rsid w:val="00EC56A6"/>
    <w:rsid w:val="00EC5E05"/>
    <w:rsid w:val="00EC5EA3"/>
    <w:rsid w:val="00EC671E"/>
    <w:rsid w:val="00EC6AB5"/>
    <w:rsid w:val="00EC6C6E"/>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7DE"/>
    <w:rsid w:val="00ED197E"/>
    <w:rsid w:val="00ED1982"/>
    <w:rsid w:val="00ED19B1"/>
    <w:rsid w:val="00ED1AD1"/>
    <w:rsid w:val="00ED1B2B"/>
    <w:rsid w:val="00ED1DD5"/>
    <w:rsid w:val="00ED2172"/>
    <w:rsid w:val="00ED2445"/>
    <w:rsid w:val="00ED24AD"/>
    <w:rsid w:val="00ED2505"/>
    <w:rsid w:val="00ED260B"/>
    <w:rsid w:val="00ED2646"/>
    <w:rsid w:val="00ED26A1"/>
    <w:rsid w:val="00ED28D3"/>
    <w:rsid w:val="00ED2965"/>
    <w:rsid w:val="00ED297E"/>
    <w:rsid w:val="00ED2A82"/>
    <w:rsid w:val="00ED2B05"/>
    <w:rsid w:val="00ED2C16"/>
    <w:rsid w:val="00ED2D81"/>
    <w:rsid w:val="00ED2EAC"/>
    <w:rsid w:val="00ED306B"/>
    <w:rsid w:val="00ED35D7"/>
    <w:rsid w:val="00ED35DB"/>
    <w:rsid w:val="00ED3729"/>
    <w:rsid w:val="00ED3BD4"/>
    <w:rsid w:val="00ED4044"/>
    <w:rsid w:val="00ED412E"/>
    <w:rsid w:val="00ED4568"/>
    <w:rsid w:val="00ED4588"/>
    <w:rsid w:val="00ED4A3C"/>
    <w:rsid w:val="00ED4D69"/>
    <w:rsid w:val="00ED4E78"/>
    <w:rsid w:val="00ED4EB6"/>
    <w:rsid w:val="00ED4F2E"/>
    <w:rsid w:val="00ED508C"/>
    <w:rsid w:val="00ED50E2"/>
    <w:rsid w:val="00ED5242"/>
    <w:rsid w:val="00ED55CD"/>
    <w:rsid w:val="00ED5621"/>
    <w:rsid w:val="00ED5AAF"/>
    <w:rsid w:val="00ED5AE3"/>
    <w:rsid w:val="00ED5AEC"/>
    <w:rsid w:val="00ED5D13"/>
    <w:rsid w:val="00ED5D25"/>
    <w:rsid w:val="00ED5E36"/>
    <w:rsid w:val="00ED63AC"/>
    <w:rsid w:val="00ED648B"/>
    <w:rsid w:val="00ED6586"/>
    <w:rsid w:val="00ED660B"/>
    <w:rsid w:val="00ED67B6"/>
    <w:rsid w:val="00ED6A77"/>
    <w:rsid w:val="00ED6B37"/>
    <w:rsid w:val="00ED6C08"/>
    <w:rsid w:val="00ED6C58"/>
    <w:rsid w:val="00ED6DAC"/>
    <w:rsid w:val="00ED6E24"/>
    <w:rsid w:val="00ED6E42"/>
    <w:rsid w:val="00ED6E83"/>
    <w:rsid w:val="00ED6F9C"/>
    <w:rsid w:val="00ED77CB"/>
    <w:rsid w:val="00ED78AB"/>
    <w:rsid w:val="00ED7A5A"/>
    <w:rsid w:val="00ED7B0B"/>
    <w:rsid w:val="00ED7D36"/>
    <w:rsid w:val="00ED7DB8"/>
    <w:rsid w:val="00ED7EDA"/>
    <w:rsid w:val="00EE00E9"/>
    <w:rsid w:val="00EE02C1"/>
    <w:rsid w:val="00EE0437"/>
    <w:rsid w:val="00EE047C"/>
    <w:rsid w:val="00EE05EA"/>
    <w:rsid w:val="00EE070F"/>
    <w:rsid w:val="00EE072F"/>
    <w:rsid w:val="00EE0984"/>
    <w:rsid w:val="00EE09CF"/>
    <w:rsid w:val="00EE09FA"/>
    <w:rsid w:val="00EE0DBC"/>
    <w:rsid w:val="00EE0F4B"/>
    <w:rsid w:val="00EE10C9"/>
    <w:rsid w:val="00EE124E"/>
    <w:rsid w:val="00EE1346"/>
    <w:rsid w:val="00EE1352"/>
    <w:rsid w:val="00EE1476"/>
    <w:rsid w:val="00EE1670"/>
    <w:rsid w:val="00EE170D"/>
    <w:rsid w:val="00EE17FC"/>
    <w:rsid w:val="00EE1962"/>
    <w:rsid w:val="00EE1972"/>
    <w:rsid w:val="00EE19D9"/>
    <w:rsid w:val="00EE19E2"/>
    <w:rsid w:val="00EE1A4F"/>
    <w:rsid w:val="00EE1C35"/>
    <w:rsid w:val="00EE1CE3"/>
    <w:rsid w:val="00EE1D9D"/>
    <w:rsid w:val="00EE1F0D"/>
    <w:rsid w:val="00EE2186"/>
    <w:rsid w:val="00EE23B9"/>
    <w:rsid w:val="00EE267B"/>
    <w:rsid w:val="00EE273A"/>
    <w:rsid w:val="00EE27B3"/>
    <w:rsid w:val="00EE2A33"/>
    <w:rsid w:val="00EE2E22"/>
    <w:rsid w:val="00EE33BD"/>
    <w:rsid w:val="00EE3454"/>
    <w:rsid w:val="00EE3682"/>
    <w:rsid w:val="00EE37C3"/>
    <w:rsid w:val="00EE3BD8"/>
    <w:rsid w:val="00EE3EE6"/>
    <w:rsid w:val="00EE418B"/>
    <w:rsid w:val="00EE4545"/>
    <w:rsid w:val="00EE46FF"/>
    <w:rsid w:val="00EE4BD9"/>
    <w:rsid w:val="00EE4CF0"/>
    <w:rsid w:val="00EE4E18"/>
    <w:rsid w:val="00EE4F69"/>
    <w:rsid w:val="00EE5133"/>
    <w:rsid w:val="00EE522E"/>
    <w:rsid w:val="00EE533E"/>
    <w:rsid w:val="00EE5538"/>
    <w:rsid w:val="00EE56DA"/>
    <w:rsid w:val="00EE5878"/>
    <w:rsid w:val="00EE589D"/>
    <w:rsid w:val="00EE5C80"/>
    <w:rsid w:val="00EE6017"/>
    <w:rsid w:val="00EE667C"/>
    <w:rsid w:val="00EE67A3"/>
    <w:rsid w:val="00EE688A"/>
    <w:rsid w:val="00EE6A73"/>
    <w:rsid w:val="00EE6AED"/>
    <w:rsid w:val="00EE6BDB"/>
    <w:rsid w:val="00EE6C44"/>
    <w:rsid w:val="00EE6D2C"/>
    <w:rsid w:val="00EE6D54"/>
    <w:rsid w:val="00EE6E70"/>
    <w:rsid w:val="00EE7187"/>
    <w:rsid w:val="00EE739F"/>
    <w:rsid w:val="00EE743A"/>
    <w:rsid w:val="00EE7484"/>
    <w:rsid w:val="00EE7493"/>
    <w:rsid w:val="00EE7A6A"/>
    <w:rsid w:val="00EE7BC3"/>
    <w:rsid w:val="00EE7CC7"/>
    <w:rsid w:val="00EE7D25"/>
    <w:rsid w:val="00EE7F05"/>
    <w:rsid w:val="00EF0001"/>
    <w:rsid w:val="00EF041C"/>
    <w:rsid w:val="00EF044B"/>
    <w:rsid w:val="00EF046C"/>
    <w:rsid w:val="00EF0570"/>
    <w:rsid w:val="00EF0699"/>
    <w:rsid w:val="00EF07F0"/>
    <w:rsid w:val="00EF08E8"/>
    <w:rsid w:val="00EF08F7"/>
    <w:rsid w:val="00EF09C3"/>
    <w:rsid w:val="00EF0A23"/>
    <w:rsid w:val="00EF0A33"/>
    <w:rsid w:val="00EF0AB6"/>
    <w:rsid w:val="00EF0B3B"/>
    <w:rsid w:val="00EF0BC4"/>
    <w:rsid w:val="00EF0C07"/>
    <w:rsid w:val="00EF0D0C"/>
    <w:rsid w:val="00EF0FA4"/>
    <w:rsid w:val="00EF105F"/>
    <w:rsid w:val="00EF1063"/>
    <w:rsid w:val="00EF106E"/>
    <w:rsid w:val="00EF1242"/>
    <w:rsid w:val="00EF1273"/>
    <w:rsid w:val="00EF12A8"/>
    <w:rsid w:val="00EF15F5"/>
    <w:rsid w:val="00EF194F"/>
    <w:rsid w:val="00EF19F8"/>
    <w:rsid w:val="00EF1AF9"/>
    <w:rsid w:val="00EF1B0E"/>
    <w:rsid w:val="00EF1BEE"/>
    <w:rsid w:val="00EF1D6B"/>
    <w:rsid w:val="00EF1FA1"/>
    <w:rsid w:val="00EF20F0"/>
    <w:rsid w:val="00EF21C8"/>
    <w:rsid w:val="00EF2366"/>
    <w:rsid w:val="00EF24BE"/>
    <w:rsid w:val="00EF268C"/>
    <w:rsid w:val="00EF2971"/>
    <w:rsid w:val="00EF2A4C"/>
    <w:rsid w:val="00EF2A59"/>
    <w:rsid w:val="00EF2B37"/>
    <w:rsid w:val="00EF2B41"/>
    <w:rsid w:val="00EF2D65"/>
    <w:rsid w:val="00EF3071"/>
    <w:rsid w:val="00EF30E9"/>
    <w:rsid w:val="00EF31B8"/>
    <w:rsid w:val="00EF324C"/>
    <w:rsid w:val="00EF3263"/>
    <w:rsid w:val="00EF33E3"/>
    <w:rsid w:val="00EF357E"/>
    <w:rsid w:val="00EF3646"/>
    <w:rsid w:val="00EF3664"/>
    <w:rsid w:val="00EF3684"/>
    <w:rsid w:val="00EF36AB"/>
    <w:rsid w:val="00EF36F2"/>
    <w:rsid w:val="00EF379B"/>
    <w:rsid w:val="00EF37DC"/>
    <w:rsid w:val="00EF3856"/>
    <w:rsid w:val="00EF3B8A"/>
    <w:rsid w:val="00EF3D5B"/>
    <w:rsid w:val="00EF415B"/>
    <w:rsid w:val="00EF437F"/>
    <w:rsid w:val="00EF443B"/>
    <w:rsid w:val="00EF45D6"/>
    <w:rsid w:val="00EF4D8C"/>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3DD"/>
    <w:rsid w:val="00EF650B"/>
    <w:rsid w:val="00EF6793"/>
    <w:rsid w:val="00EF680A"/>
    <w:rsid w:val="00EF6845"/>
    <w:rsid w:val="00EF6AE4"/>
    <w:rsid w:val="00EF6B19"/>
    <w:rsid w:val="00EF6D0B"/>
    <w:rsid w:val="00EF6D25"/>
    <w:rsid w:val="00EF6DF3"/>
    <w:rsid w:val="00EF6E06"/>
    <w:rsid w:val="00EF71B9"/>
    <w:rsid w:val="00EF72B8"/>
    <w:rsid w:val="00EF74E2"/>
    <w:rsid w:val="00EF752F"/>
    <w:rsid w:val="00EF7816"/>
    <w:rsid w:val="00EF7A9B"/>
    <w:rsid w:val="00EF7CC5"/>
    <w:rsid w:val="00F00118"/>
    <w:rsid w:val="00F00235"/>
    <w:rsid w:val="00F003D1"/>
    <w:rsid w:val="00F00743"/>
    <w:rsid w:val="00F00BF9"/>
    <w:rsid w:val="00F00F73"/>
    <w:rsid w:val="00F01279"/>
    <w:rsid w:val="00F01287"/>
    <w:rsid w:val="00F01336"/>
    <w:rsid w:val="00F015EE"/>
    <w:rsid w:val="00F01636"/>
    <w:rsid w:val="00F016D2"/>
    <w:rsid w:val="00F01735"/>
    <w:rsid w:val="00F017C7"/>
    <w:rsid w:val="00F018C1"/>
    <w:rsid w:val="00F01914"/>
    <w:rsid w:val="00F01F89"/>
    <w:rsid w:val="00F02083"/>
    <w:rsid w:val="00F02167"/>
    <w:rsid w:val="00F021EC"/>
    <w:rsid w:val="00F0227A"/>
    <w:rsid w:val="00F024A2"/>
    <w:rsid w:val="00F0256C"/>
    <w:rsid w:val="00F02644"/>
    <w:rsid w:val="00F02724"/>
    <w:rsid w:val="00F0272C"/>
    <w:rsid w:val="00F0294F"/>
    <w:rsid w:val="00F029B0"/>
    <w:rsid w:val="00F02A0D"/>
    <w:rsid w:val="00F02AD5"/>
    <w:rsid w:val="00F02AF6"/>
    <w:rsid w:val="00F02B98"/>
    <w:rsid w:val="00F02E8F"/>
    <w:rsid w:val="00F03252"/>
    <w:rsid w:val="00F0326B"/>
    <w:rsid w:val="00F0349F"/>
    <w:rsid w:val="00F034B6"/>
    <w:rsid w:val="00F0353E"/>
    <w:rsid w:val="00F0354E"/>
    <w:rsid w:val="00F035FD"/>
    <w:rsid w:val="00F037F1"/>
    <w:rsid w:val="00F03B07"/>
    <w:rsid w:val="00F0402C"/>
    <w:rsid w:val="00F04202"/>
    <w:rsid w:val="00F04707"/>
    <w:rsid w:val="00F0479C"/>
    <w:rsid w:val="00F049A2"/>
    <w:rsid w:val="00F04BC8"/>
    <w:rsid w:val="00F04DB4"/>
    <w:rsid w:val="00F04DD0"/>
    <w:rsid w:val="00F04DF1"/>
    <w:rsid w:val="00F04F2B"/>
    <w:rsid w:val="00F04F91"/>
    <w:rsid w:val="00F052C0"/>
    <w:rsid w:val="00F055AB"/>
    <w:rsid w:val="00F055E2"/>
    <w:rsid w:val="00F058BE"/>
    <w:rsid w:val="00F05949"/>
    <w:rsid w:val="00F05BA4"/>
    <w:rsid w:val="00F05CC2"/>
    <w:rsid w:val="00F061C5"/>
    <w:rsid w:val="00F062D1"/>
    <w:rsid w:val="00F0633D"/>
    <w:rsid w:val="00F06495"/>
    <w:rsid w:val="00F06749"/>
    <w:rsid w:val="00F068AB"/>
    <w:rsid w:val="00F06ACA"/>
    <w:rsid w:val="00F06AE3"/>
    <w:rsid w:val="00F06C8C"/>
    <w:rsid w:val="00F06CDD"/>
    <w:rsid w:val="00F06E05"/>
    <w:rsid w:val="00F06EBB"/>
    <w:rsid w:val="00F06F4B"/>
    <w:rsid w:val="00F06F96"/>
    <w:rsid w:val="00F070BF"/>
    <w:rsid w:val="00F070E4"/>
    <w:rsid w:val="00F07120"/>
    <w:rsid w:val="00F07255"/>
    <w:rsid w:val="00F07303"/>
    <w:rsid w:val="00F0747C"/>
    <w:rsid w:val="00F074FA"/>
    <w:rsid w:val="00F07834"/>
    <w:rsid w:val="00F07884"/>
    <w:rsid w:val="00F07AF8"/>
    <w:rsid w:val="00F07E79"/>
    <w:rsid w:val="00F07FC2"/>
    <w:rsid w:val="00F1009D"/>
    <w:rsid w:val="00F1037E"/>
    <w:rsid w:val="00F106B3"/>
    <w:rsid w:val="00F10787"/>
    <w:rsid w:val="00F10BEA"/>
    <w:rsid w:val="00F10C22"/>
    <w:rsid w:val="00F10DE3"/>
    <w:rsid w:val="00F10F69"/>
    <w:rsid w:val="00F10FC0"/>
    <w:rsid w:val="00F111A4"/>
    <w:rsid w:val="00F11315"/>
    <w:rsid w:val="00F1132E"/>
    <w:rsid w:val="00F11BF4"/>
    <w:rsid w:val="00F11E1C"/>
    <w:rsid w:val="00F120C2"/>
    <w:rsid w:val="00F12377"/>
    <w:rsid w:val="00F123D2"/>
    <w:rsid w:val="00F1252A"/>
    <w:rsid w:val="00F12626"/>
    <w:rsid w:val="00F12673"/>
    <w:rsid w:val="00F126F6"/>
    <w:rsid w:val="00F127B3"/>
    <w:rsid w:val="00F12A63"/>
    <w:rsid w:val="00F12B0F"/>
    <w:rsid w:val="00F12C72"/>
    <w:rsid w:val="00F12DAA"/>
    <w:rsid w:val="00F12FA3"/>
    <w:rsid w:val="00F13270"/>
    <w:rsid w:val="00F13956"/>
    <w:rsid w:val="00F13ED5"/>
    <w:rsid w:val="00F13FF1"/>
    <w:rsid w:val="00F1425C"/>
    <w:rsid w:val="00F1446D"/>
    <w:rsid w:val="00F14539"/>
    <w:rsid w:val="00F1459C"/>
    <w:rsid w:val="00F146BA"/>
    <w:rsid w:val="00F147CC"/>
    <w:rsid w:val="00F148B0"/>
    <w:rsid w:val="00F14F89"/>
    <w:rsid w:val="00F15056"/>
    <w:rsid w:val="00F152BA"/>
    <w:rsid w:val="00F1537E"/>
    <w:rsid w:val="00F1592C"/>
    <w:rsid w:val="00F15959"/>
    <w:rsid w:val="00F15A7E"/>
    <w:rsid w:val="00F15A83"/>
    <w:rsid w:val="00F15B73"/>
    <w:rsid w:val="00F15BD4"/>
    <w:rsid w:val="00F15C75"/>
    <w:rsid w:val="00F15E38"/>
    <w:rsid w:val="00F15E40"/>
    <w:rsid w:val="00F15FF0"/>
    <w:rsid w:val="00F16000"/>
    <w:rsid w:val="00F161CE"/>
    <w:rsid w:val="00F16794"/>
    <w:rsid w:val="00F1690F"/>
    <w:rsid w:val="00F169B5"/>
    <w:rsid w:val="00F169FB"/>
    <w:rsid w:val="00F16C2F"/>
    <w:rsid w:val="00F16DC2"/>
    <w:rsid w:val="00F16E73"/>
    <w:rsid w:val="00F16E90"/>
    <w:rsid w:val="00F16F10"/>
    <w:rsid w:val="00F171E7"/>
    <w:rsid w:val="00F17248"/>
    <w:rsid w:val="00F172D6"/>
    <w:rsid w:val="00F17415"/>
    <w:rsid w:val="00F175B6"/>
    <w:rsid w:val="00F175F1"/>
    <w:rsid w:val="00F17610"/>
    <w:rsid w:val="00F17724"/>
    <w:rsid w:val="00F17A1A"/>
    <w:rsid w:val="00F17A76"/>
    <w:rsid w:val="00F17B00"/>
    <w:rsid w:val="00F17B2E"/>
    <w:rsid w:val="00F17CE1"/>
    <w:rsid w:val="00F17E09"/>
    <w:rsid w:val="00F20239"/>
    <w:rsid w:val="00F20348"/>
    <w:rsid w:val="00F20425"/>
    <w:rsid w:val="00F2061F"/>
    <w:rsid w:val="00F20709"/>
    <w:rsid w:val="00F209D7"/>
    <w:rsid w:val="00F20A16"/>
    <w:rsid w:val="00F20A3E"/>
    <w:rsid w:val="00F20AD8"/>
    <w:rsid w:val="00F20C37"/>
    <w:rsid w:val="00F20E4F"/>
    <w:rsid w:val="00F20FF7"/>
    <w:rsid w:val="00F21308"/>
    <w:rsid w:val="00F215F1"/>
    <w:rsid w:val="00F21775"/>
    <w:rsid w:val="00F2193B"/>
    <w:rsid w:val="00F21A0C"/>
    <w:rsid w:val="00F21A62"/>
    <w:rsid w:val="00F21AC4"/>
    <w:rsid w:val="00F21B62"/>
    <w:rsid w:val="00F21B71"/>
    <w:rsid w:val="00F21CD6"/>
    <w:rsid w:val="00F223E4"/>
    <w:rsid w:val="00F2298F"/>
    <w:rsid w:val="00F22A3A"/>
    <w:rsid w:val="00F22B87"/>
    <w:rsid w:val="00F22CD0"/>
    <w:rsid w:val="00F22E2D"/>
    <w:rsid w:val="00F22E35"/>
    <w:rsid w:val="00F22E47"/>
    <w:rsid w:val="00F22F1A"/>
    <w:rsid w:val="00F22F9B"/>
    <w:rsid w:val="00F22FD6"/>
    <w:rsid w:val="00F2309E"/>
    <w:rsid w:val="00F2316E"/>
    <w:rsid w:val="00F231A8"/>
    <w:rsid w:val="00F231BA"/>
    <w:rsid w:val="00F232EC"/>
    <w:rsid w:val="00F233AF"/>
    <w:rsid w:val="00F23661"/>
    <w:rsid w:val="00F236C9"/>
    <w:rsid w:val="00F23B51"/>
    <w:rsid w:val="00F23BC3"/>
    <w:rsid w:val="00F23CE1"/>
    <w:rsid w:val="00F23D5A"/>
    <w:rsid w:val="00F24059"/>
    <w:rsid w:val="00F241B4"/>
    <w:rsid w:val="00F2432D"/>
    <w:rsid w:val="00F24446"/>
    <w:rsid w:val="00F2459A"/>
    <w:rsid w:val="00F24690"/>
    <w:rsid w:val="00F24767"/>
    <w:rsid w:val="00F2488D"/>
    <w:rsid w:val="00F248B7"/>
    <w:rsid w:val="00F24AF9"/>
    <w:rsid w:val="00F24B08"/>
    <w:rsid w:val="00F24BE7"/>
    <w:rsid w:val="00F24DEE"/>
    <w:rsid w:val="00F24DF6"/>
    <w:rsid w:val="00F24E20"/>
    <w:rsid w:val="00F24F79"/>
    <w:rsid w:val="00F2503B"/>
    <w:rsid w:val="00F25525"/>
    <w:rsid w:val="00F255E3"/>
    <w:rsid w:val="00F257B3"/>
    <w:rsid w:val="00F25CAD"/>
    <w:rsid w:val="00F26034"/>
    <w:rsid w:val="00F260B0"/>
    <w:rsid w:val="00F2610E"/>
    <w:rsid w:val="00F2619D"/>
    <w:rsid w:val="00F26314"/>
    <w:rsid w:val="00F26475"/>
    <w:rsid w:val="00F26962"/>
    <w:rsid w:val="00F26BC0"/>
    <w:rsid w:val="00F26E67"/>
    <w:rsid w:val="00F26FE3"/>
    <w:rsid w:val="00F27033"/>
    <w:rsid w:val="00F27225"/>
    <w:rsid w:val="00F27353"/>
    <w:rsid w:val="00F274EE"/>
    <w:rsid w:val="00F275B6"/>
    <w:rsid w:val="00F278A7"/>
    <w:rsid w:val="00F27B64"/>
    <w:rsid w:val="00F27BF1"/>
    <w:rsid w:val="00F27E2B"/>
    <w:rsid w:val="00F27F5C"/>
    <w:rsid w:val="00F303F0"/>
    <w:rsid w:val="00F305AB"/>
    <w:rsid w:val="00F305F2"/>
    <w:rsid w:val="00F306BC"/>
    <w:rsid w:val="00F30856"/>
    <w:rsid w:val="00F308B4"/>
    <w:rsid w:val="00F3093F"/>
    <w:rsid w:val="00F30966"/>
    <w:rsid w:val="00F309A5"/>
    <w:rsid w:val="00F30B54"/>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2C6E"/>
    <w:rsid w:val="00F330A2"/>
    <w:rsid w:val="00F330AF"/>
    <w:rsid w:val="00F332BF"/>
    <w:rsid w:val="00F3330A"/>
    <w:rsid w:val="00F33352"/>
    <w:rsid w:val="00F3359A"/>
    <w:rsid w:val="00F339CF"/>
    <w:rsid w:val="00F33CAF"/>
    <w:rsid w:val="00F33D38"/>
    <w:rsid w:val="00F33D61"/>
    <w:rsid w:val="00F33E5D"/>
    <w:rsid w:val="00F33FF1"/>
    <w:rsid w:val="00F34002"/>
    <w:rsid w:val="00F3407B"/>
    <w:rsid w:val="00F34627"/>
    <w:rsid w:val="00F346C2"/>
    <w:rsid w:val="00F34802"/>
    <w:rsid w:val="00F34924"/>
    <w:rsid w:val="00F349FA"/>
    <w:rsid w:val="00F34BE9"/>
    <w:rsid w:val="00F34C42"/>
    <w:rsid w:val="00F34D77"/>
    <w:rsid w:val="00F34E49"/>
    <w:rsid w:val="00F34EF0"/>
    <w:rsid w:val="00F35002"/>
    <w:rsid w:val="00F3508B"/>
    <w:rsid w:val="00F35789"/>
    <w:rsid w:val="00F3589E"/>
    <w:rsid w:val="00F358EE"/>
    <w:rsid w:val="00F365C2"/>
    <w:rsid w:val="00F36671"/>
    <w:rsid w:val="00F36BD9"/>
    <w:rsid w:val="00F36D9D"/>
    <w:rsid w:val="00F36E46"/>
    <w:rsid w:val="00F372E7"/>
    <w:rsid w:val="00F374F0"/>
    <w:rsid w:val="00F375D2"/>
    <w:rsid w:val="00F37604"/>
    <w:rsid w:val="00F377C3"/>
    <w:rsid w:val="00F37A46"/>
    <w:rsid w:val="00F37B73"/>
    <w:rsid w:val="00F37B76"/>
    <w:rsid w:val="00F37BA1"/>
    <w:rsid w:val="00F40075"/>
    <w:rsid w:val="00F40431"/>
    <w:rsid w:val="00F404CD"/>
    <w:rsid w:val="00F40552"/>
    <w:rsid w:val="00F4059C"/>
    <w:rsid w:val="00F406CA"/>
    <w:rsid w:val="00F408D8"/>
    <w:rsid w:val="00F409FE"/>
    <w:rsid w:val="00F40A77"/>
    <w:rsid w:val="00F40CD9"/>
    <w:rsid w:val="00F40DB9"/>
    <w:rsid w:val="00F40FC1"/>
    <w:rsid w:val="00F417B3"/>
    <w:rsid w:val="00F417FA"/>
    <w:rsid w:val="00F41A83"/>
    <w:rsid w:val="00F41AEC"/>
    <w:rsid w:val="00F41CFA"/>
    <w:rsid w:val="00F41EA0"/>
    <w:rsid w:val="00F4209B"/>
    <w:rsid w:val="00F420EA"/>
    <w:rsid w:val="00F423A7"/>
    <w:rsid w:val="00F423BE"/>
    <w:rsid w:val="00F42413"/>
    <w:rsid w:val="00F4243F"/>
    <w:rsid w:val="00F42792"/>
    <w:rsid w:val="00F42890"/>
    <w:rsid w:val="00F4295A"/>
    <w:rsid w:val="00F429CE"/>
    <w:rsid w:val="00F42C53"/>
    <w:rsid w:val="00F42CE9"/>
    <w:rsid w:val="00F43793"/>
    <w:rsid w:val="00F43828"/>
    <w:rsid w:val="00F43B1B"/>
    <w:rsid w:val="00F43BC3"/>
    <w:rsid w:val="00F43DA7"/>
    <w:rsid w:val="00F43DDD"/>
    <w:rsid w:val="00F43ED5"/>
    <w:rsid w:val="00F43FD8"/>
    <w:rsid w:val="00F44150"/>
    <w:rsid w:val="00F44424"/>
    <w:rsid w:val="00F44585"/>
    <w:rsid w:val="00F4458C"/>
    <w:rsid w:val="00F44609"/>
    <w:rsid w:val="00F44B20"/>
    <w:rsid w:val="00F45128"/>
    <w:rsid w:val="00F45353"/>
    <w:rsid w:val="00F45359"/>
    <w:rsid w:val="00F45711"/>
    <w:rsid w:val="00F457BC"/>
    <w:rsid w:val="00F458F2"/>
    <w:rsid w:val="00F45A02"/>
    <w:rsid w:val="00F45AA8"/>
    <w:rsid w:val="00F45B7B"/>
    <w:rsid w:val="00F45BD7"/>
    <w:rsid w:val="00F45D13"/>
    <w:rsid w:val="00F45D4D"/>
    <w:rsid w:val="00F46272"/>
    <w:rsid w:val="00F464BA"/>
    <w:rsid w:val="00F4666D"/>
    <w:rsid w:val="00F467E2"/>
    <w:rsid w:val="00F4695B"/>
    <w:rsid w:val="00F46BC0"/>
    <w:rsid w:val="00F46BD6"/>
    <w:rsid w:val="00F46D4D"/>
    <w:rsid w:val="00F46D9D"/>
    <w:rsid w:val="00F46E9B"/>
    <w:rsid w:val="00F46F56"/>
    <w:rsid w:val="00F4719E"/>
    <w:rsid w:val="00F471B2"/>
    <w:rsid w:val="00F471BA"/>
    <w:rsid w:val="00F47473"/>
    <w:rsid w:val="00F47A25"/>
    <w:rsid w:val="00F47A98"/>
    <w:rsid w:val="00F47B1C"/>
    <w:rsid w:val="00F47BC7"/>
    <w:rsid w:val="00F47D1B"/>
    <w:rsid w:val="00F47D5C"/>
    <w:rsid w:val="00F47E1F"/>
    <w:rsid w:val="00F500CF"/>
    <w:rsid w:val="00F500EC"/>
    <w:rsid w:val="00F50157"/>
    <w:rsid w:val="00F501E6"/>
    <w:rsid w:val="00F50244"/>
    <w:rsid w:val="00F505AB"/>
    <w:rsid w:val="00F50652"/>
    <w:rsid w:val="00F50859"/>
    <w:rsid w:val="00F5092E"/>
    <w:rsid w:val="00F50F80"/>
    <w:rsid w:val="00F5103D"/>
    <w:rsid w:val="00F51041"/>
    <w:rsid w:val="00F51059"/>
    <w:rsid w:val="00F51089"/>
    <w:rsid w:val="00F512E5"/>
    <w:rsid w:val="00F5131D"/>
    <w:rsid w:val="00F514A9"/>
    <w:rsid w:val="00F51601"/>
    <w:rsid w:val="00F51B28"/>
    <w:rsid w:val="00F51BD7"/>
    <w:rsid w:val="00F51C12"/>
    <w:rsid w:val="00F51C8B"/>
    <w:rsid w:val="00F51D5D"/>
    <w:rsid w:val="00F52166"/>
    <w:rsid w:val="00F52609"/>
    <w:rsid w:val="00F526E1"/>
    <w:rsid w:val="00F52B07"/>
    <w:rsid w:val="00F52C2B"/>
    <w:rsid w:val="00F52E7C"/>
    <w:rsid w:val="00F53049"/>
    <w:rsid w:val="00F53485"/>
    <w:rsid w:val="00F5387C"/>
    <w:rsid w:val="00F538BC"/>
    <w:rsid w:val="00F53B08"/>
    <w:rsid w:val="00F53DAC"/>
    <w:rsid w:val="00F53DD5"/>
    <w:rsid w:val="00F53DFA"/>
    <w:rsid w:val="00F5403C"/>
    <w:rsid w:val="00F54163"/>
    <w:rsid w:val="00F54480"/>
    <w:rsid w:val="00F5460F"/>
    <w:rsid w:val="00F54653"/>
    <w:rsid w:val="00F546BA"/>
    <w:rsid w:val="00F548CC"/>
    <w:rsid w:val="00F54911"/>
    <w:rsid w:val="00F549C6"/>
    <w:rsid w:val="00F54F8C"/>
    <w:rsid w:val="00F55367"/>
    <w:rsid w:val="00F5587F"/>
    <w:rsid w:val="00F558AC"/>
    <w:rsid w:val="00F558EF"/>
    <w:rsid w:val="00F55A06"/>
    <w:rsid w:val="00F55A68"/>
    <w:rsid w:val="00F55CF8"/>
    <w:rsid w:val="00F55F12"/>
    <w:rsid w:val="00F55FCE"/>
    <w:rsid w:val="00F5608A"/>
    <w:rsid w:val="00F5623D"/>
    <w:rsid w:val="00F56655"/>
    <w:rsid w:val="00F5684E"/>
    <w:rsid w:val="00F56B94"/>
    <w:rsid w:val="00F56BE1"/>
    <w:rsid w:val="00F56D35"/>
    <w:rsid w:val="00F56F3A"/>
    <w:rsid w:val="00F56F9D"/>
    <w:rsid w:val="00F57077"/>
    <w:rsid w:val="00F575A7"/>
    <w:rsid w:val="00F57686"/>
    <w:rsid w:val="00F5768A"/>
    <w:rsid w:val="00F576A4"/>
    <w:rsid w:val="00F576FB"/>
    <w:rsid w:val="00F5792F"/>
    <w:rsid w:val="00F57D02"/>
    <w:rsid w:val="00F57D89"/>
    <w:rsid w:val="00F57DD4"/>
    <w:rsid w:val="00F57E89"/>
    <w:rsid w:val="00F57EF6"/>
    <w:rsid w:val="00F57F9D"/>
    <w:rsid w:val="00F57FFE"/>
    <w:rsid w:val="00F60044"/>
    <w:rsid w:val="00F6017A"/>
    <w:rsid w:val="00F601BA"/>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366"/>
    <w:rsid w:val="00F6153A"/>
    <w:rsid w:val="00F619EF"/>
    <w:rsid w:val="00F61B60"/>
    <w:rsid w:val="00F61DB6"/>
    <w:rsid w:val="00F61FDF"/>
    <w:rsid w:val="00F620C1"/>
    <w:rsid w:val="00F621EF"/>
    <w:rsid w:val="00F622FF"/>
    <w:rsid w:val="00F62345"/>
    <w:rsid w:val="00F6248F"/>
    <w:rsid w:val="00F62B71"/>
    <w:rsid w:val="00F62BDE"/>
    <w:rsid w:val="00F62BF4"/>
    <w:rsid w:val="00F62CA8"/>
    <w:rsid w:val="00F62CCC"/>
    <w:rsid w:val="00F62D50"/>
    <w:rsid w:val="00F62D6A"/>
    <w:rsid w:val="00F62E8F"/>
    <w:rsid w:val="00F63192"/>
    <w:rsid w:val="00F6354A"/>
    <w:rsid w:val="00F636A4"/>
    <w:rsid w:val="00F636D4"/>
    <w:rsid w:val="00F63737"/>
    <w:rsid w:val="00F63B8B"/>
    <w:rsid w:val="00F63FFD"/>
    <w:rsid w:val="00F641E3"/>
    <w:rsid w:val="00F642E0"/>
    <w:rsid w:val="00F64491"/>
    <w:rsid w:val="00F64529"/>
    <w:rsid w:val="00F64699"/>
    <w:rsid w:val="00F64714"/>
    <w:rsid w:val="00F647EA"/>
    <w:rsid w:val="00F64B95"/>
    <w:rsid w:val="00F64B9A"/>
    <w:rsid w:val="00F64C82"/>
    <w:rsid w:val="00F64D02"/>
    <w:rsid w:val="00F64D32"/>
    <w:rsid w:val="00F64EAC"/>
    <w:rsid w:val="00F64F4A"/>
    <w:rsid w:val="00F6548E"/>
    <w:rsid w:val="00F657FF"/>
    <w:rsid w:val="00F65A9F"/>
    <w:rsid w:val="00F65AD9"/>
    <w:rsid w:val="00F65B2D"/>
    <w:rsid w:val="00F65CE6"/>
    <w:rsid w:val="00F65FFD"/>
    <w:rsid w:val="00F6615A"/>
    <w:rsid w:val="00F661AA"/>
    <w:rsid w:val="00F662A4"/>
    <w:rsid w:val="00F66445"/>
    <w:rsid w:val="00F666AA"/>
    <w:rsid w:val="00F669FB"/>
    <w:rsid w:val="00F669FE"/>
    <w:rsid w:val="00F66E36"/>
    <w:rsid w:val="00F66EF3"/>
    <w:rsid w:val="00F66F32"/>
    <w:rsid w:val="00F67080"/>
    <w:rsid w:val="00F67225"/>
    <w:rsid w:val="00F6722F"/>
    <w:rsid w:val="00F672B1"/>
    <w:rsid w:val="00F6764E"/>
    <w:rsid w:val="00F677EC"/>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76"/>
    <w:rsid w:val="00F712C3"/>
    <w:rsid w:val="00F714CB"/>
    <w:rsid w:val="00F716D4"/>
    <w:rsid w:val="00F7181C"/>
    <w:rsid w:val="00F719DC"/>
    <w:rsid w:val="00F71B47"/>
    <w:rsid w:val="00F71BE3"/>
    <w:rsid w:val="00F71FA9"/>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3F06"/>
    <w:rsid w:val="00F73F98"/>
    <w:rsid w:val="00F7407B"/>
    <w:rsid w:val="00F74319"/>
    <w:rsid w:val="00F74438"/>
    <w:rsid w:val="00F7462A"/>
    <w:rsid w:val="00F74649"/>
    <w:rsid w:val="00F74796"/>
    <w:rsid w:val="00F74C6C"/>
    <w:rsid w:val="00F750EF"/>
    <w:rsid w:val="00F751CA"/>
    <w:rsid w:val="00F75384"/>
    <w:rsid w:val="00F7546E"/>
    <w:rsid w:val="00F75B0C"/>
    <w:rsid w:val="00F75BA9"/>
    <w:rsid w:val="00F75CB7"/>
    <w:rsid w:val="00F75DB2"/>
    <w:rsid w:val="00F75DCA"/>
    <w:rsid w:val="00F761DD"/>
    <w:rsid w:val="00F7638F"/>
    <w:rsid w:val="00F766C5"/>
    <w:rsid w:val="00F76774"/>
    <w:rsid w:val="00F768C2"/>
    <w:rsid w:val="00F76C4D"/>
    <w:rsid w:val="00F76E0D"/>
    <w:rsid w:val="00F76EA1"/>
    <w:rsid w:val="00F770A6"/>
    <w:rsid w:val="00F77284"/>
    <w:rsid w:val="00F77292"/>
    <w:rsid w:val="00F77760"/>
    <w:rsid w:val="00F77889"/>
    <w:rsid w:val="00F77967"/>
    <w:rsid w:val="00F77AB5"/>
    <w:rsid w:val="00F77AFD"/>
    <w:rsid w:val="00F77D0B"/>
    <w:rsid w:val="00F77D4C"/>
    <w:rsid w:val="00F80570"/>
    <w:rsid w:val="00F806B4"/>
    <w:rsid w:val="00F806CD"/>
    <w:rsid w:val="00F80967"/>
    <w:rsid w:val="00F80FC4"/>
    <w:rsid w:val="00F81024"/>
    <w:rsid w:val="00F810F1"/>
    <w:rsid w:val="00F81176"/>
    <w:rsid w:val="00F812A5"/>
    <w:rsid w:val="00F813CE"/>
    <w:rsid w:val="00F81462"/>
    <w:rsid w:val="00F814DE"/>
    <w:rsid w:val="00F816E5"/>
    <w:rsid w:val="00F81983"/>
    <w:rsid w:val="00F81994"/>
    <w:rsid w:val="00F819BA"/>
    <w:rsid w:val="00F81AA7"/>
    <w:rsid w:val="00F81BE8"/>
    <w:rsid w:val="00F81CDC"/>
    <w:rsid w:val="00F81D2D"/>
    <w:rsid w:val="00F81FB7"/>
    <w:rsid w:val="00F8205F"/>
    <w:rsid w:val="00F82149"/>
    <w:rsid w:val="00F82468"/>
    <w:rsid w:val="00F8273A"/>
    <w:rsid w:val="00F8278D"/>
    <w:rsid w:val="00F827D0"/>
    <w:rsid w:val="00F82833"/>
    <w:rsid w:val="00F82E58"/>
    <w:rsid w:val="00F82E78"/>
    <w:rsid w:val="00F82ED8"/>
    <w:rsid w:val="00F82F56"/>
    <w:rsid w:val="00F83081"/>
    <w:rsid w:val="00F83344"/>
    <w:rsid w:val="00F83835"/>
    <w:rsid w:val="00F83B66"/>
    <w:rsid w:val="00F83C10"/>
    <w:rsid w:val="00F83C14"/>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9DE"/>
    <w:rsid w:val="00F85A72"/>
    <w:rsid w:val="00F85ADF"/>
    <w:rsid w:val="00F86158"/>
    <w:rsid w:val="00F8650D"/>
    <w:rsid w:val="00F86543"/>
    <w:rsid w:val="00F8656E"/>
    <w:rsid w:val="00F86825"/>
    <w:rsid w:val="00F86AF3"/>
    <w:rsid w:val="00F86CF7"/>
    <w:rsid w:val="00F8711C"/>
    <w:rsid w:val="00F871E1"/>
    <w:rsid w:val="00F8727D"/>
    <w:rsid w:val="00F87438"/>
    <w:rsid w:val="00F87523"/>
    <w:rsid w:val="00F8758B"/>
    <w:rsid w:val="00F876F3"/>
    <w:rsid w:val="00F877D2"/>
    <w:rsid w:val="00F87AED"/>
    <w:rsid w:val="00F87B8A"/>
    <w:rsid w:val="00F87BC5"/>
    <w:rsid w:val="00F87CC5"/>
    <w:rsid w:val="00F87CD3"/>
    <w:rsid w:val="00F87D51"/>
    <w:rsid w:val="00F87F7E"/>
    <w:rsid w:val="00F87FED"/>
    <w:rsid w:val="00F90079"/>
    <w:rsid w:val="00F9024E"/>
    <w:rsid w:val="00F9063A"/>
    <w:rsid w:val="00F906AD"/>
    <w:rsid w:val="00F9074F"/>
    <w:rsid w:val="00F9090B"/>
    <w:rsid w:val="00F9099E"/>
    <w:rsid w:val="00F90AA3"/>
    <w:rsid w:val="00F90AE9"/>
    <w:rsid w:val="00F90B8F"/>
    <w:rsid w:val="00F90E94"/>
    <w:rsid w:val="00F911D7"/>
    <w:rsid w:val="00F9121F"/>
    <w:rsid w:val="00F9122F"/>
    <w:rsid w:val="00F91446"/>
    <w:rsid w:val="00F91482"/>
    <w:rsid w:val="00F9158A"/>
    <w:rsid w:val="00F9170C"/>
    <w:rsid w:val="00F917EB"/>
    <w:rsid w:val="00F91847"/>
    <w:rsid w:val="00F920A6"/>
    <w:rsid w:val="00F9212F"/>
    <w:rsid w:val="00F92237"/>
    <w:rsid w:val="00F92246"/>
    <w:rsid w:val="00F92265"/>
    <w:rsid w:val="00F922F9"/>
    <w:rsid w:val="00F92389"/>
    <w:rsid w:val="00F9293E"/>
    <w:rsid w:val="00F929FA"/>
    <w:rsid w:val="00F92AA4"/>
    <w:rsid w:val="00F92C5A"/>
    <w:rsid w:val="00F92DE6"/>
    <w:rsid w:val="00F92E18"/>
    <w:rsid w:val="00F93078"/>
    <w:rsid w:val="00F9318A"/>
    <w:rsid w:val="00F93364"/>
    <w:rsid w:val="00F93402"/>
    <w:rsid w:val="00F93440"/>
    <w:rsid w:val="00F93731"/>
    <w:rsid w:val="00F93813"/>
    <w:rsid w:val="00F9397C"/>
    <w:rsid w:val="00F939CD"/>
    <w:rsid w:val="00F93B90"/>
    <w:rsid w:val="00F93BC7"/>
    <w:rsid w:val="00F93C99"/>
    <w:rsid w:val="00F93D55"/>
    <w:rsid w:val="00F93ED3"/>
    <w:rsid w:val="00F93F0B"/>
    <w:rsid w:val="00F940C0"/>
    <w:rsid w:val="00F94228"/>
    <w:rsid w:val="00F94351"/>
    <w:rsid w:val="00F946D2"/>
    <w:rsid w:val="00F946E0"/>
    <w:rsid w:val="00F94C47"/>
    <w:rsid w:val="00F94E81"/>
    <w:rsid w:val="00F94EA9"/>
    <w:rsid w:val="00F94F6A"/>
    <w:rsid w:val="00F95056"/>
    <w:rsid w:val="00F951EC"/>
    <w:rsid w:val="00F9520A"/>
    <w:rsid w:val="00F95506"/>
    <w:rsid w:val="00F95921"/>
    <w:rsid w:val="00F9596E"/>
    <w:rsid w:val="00F959BB"/>
    <w:rsid w:val="00F959EE"/>
    <w:rsid w:val="00F95D79"/>
    <w:rsid w:val="00F96129"/>
    <w:rsid w:val="00F961A8"/>
    <w:rsid w:val="00F9649A"/>
    <w:rsid w:val="00F96592"/>
    <w:rsid w:val="00F966B6"/>
    <w:rsid w:val="00F966E3"/>
    <w:rsid w:val="00F966ED"/>
    <w:rsid w:val="00F96902"/>
    <w:rsid w:val="00F96A62"/>
    <w:rsid w:val="00F96B0F"/>
    <w:rsid w:val="00F96BA2"/>
    <w:rsid w:val="00F96BBF"/>
    <w:rsid w:val="00F96CE0"/>
    <w:rsid w:val="00F96D23"/>
    <w:rsid w:val="00F9700B"/>
    <w:rsid w:val="00F97141"/>
    <w:rsid w:val="00F973AB"/>
    <w:rsid w:val="00F9747F"/>
    <w:rsid w:val="00F9779C"/>
    <w:rsid w:val="00F97815"/>
    <w:rsid w:val="00F978F8"/>
    <w:rsid w:val="00F97914"/>
    <w:rsid w:val="00F97A02"/>
    <w:rsid w:val="00F97B27"/>
    <w:rsid w:val="00F97B78"/>
    <w:rsid w:val="00F97C9B"/>
    <w:rsid w:val="00FA00C7"/>
    <w:rsid w:val="00FA0121"/>
    <w:rsid w:val="00FA015A"/>
    <w:rsid w:val="00FA02AF"/>
    <w:rsid w:val="00FA062D"/>
    <w:rsid w:val="00FA0680"/>
    <w:rsid w:val="00FA06DF"/>
    <w:rsid w:val="00FA0783"/>
    <w:rsid w:val="00FA0888"/>
    <w:rsid w:val="00FA0926"/>
    <w:rsid w:val="00FA0990"/>
    <w:rsid w:val="00FA0A68"/>
    <w:rsid w:val="00FA0AF5"/>
    <w:rsid w:val="00FA0C10"/>
    <w:rsid w:val="00FA0D86"/>
    <w:rsid w:val="00FA0F09"/>
    <w:rsid w:val="00FA0F93"/>
    <w:rsid w:val="00FA185B"/>
    <w:rsid w:val="00FA1ADF"/>
    <w:rsid w:val="00FA1C08"/>
    <w:rsid w:val="00FA233D"/>
    <w:rsid w:val="00FA24A6"/>
    <w:rsid w:val="00FA256A"/>
    <w:rsid w:val="00FA260E"/>
    <w:rsid w:val="00FA2670"/>
    <w:rsid w:val="00FA2932"/>
    <w:rsid w:val="00FA2C1D"/>
    <w:rsid w:val="00FA2D18"/>
    <w:rsid w:val="00FA2D19"/>
    <w:rsid w:val="00FA2DF4"/>
    <w:rsid w:val="00FA2ECF"/>
    <w:rsid w:val="00FA2F18"/>
    <w:rsid w:val="00FA311F"/>
    <w:rsid w:val="00FA3323"/>
    <w:rsid w:val="00FA33E9"/>
    <w:rsid w:val="00FA3424"/>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103"/>
    <w:rsid w:val="00FA640D"/>
    <w:rsid w:val="00FA6608"/>
    <w:rsid w:val="00FA676F"/>
    <w:rsid w:val="00FA67DF"/>
    <w:rsid w:val="00FA6C46"/>
    <w:rsid w:val="00FA6CA0"/>
    <w:rsid w:val="00FA6F15"/>
    <w:rsid w:val="00FA714C"/>
    <w:rsid w:val="00FA7226"/>
    <w:rsid w:val="00FA7528"/>
    <w:rsid w:val="00FA7845"/>
    <w:rsid w:val="00FA7876"/>
    <w:rsid w:val="00FA7DDE"/>
    <w:rsid w:val="00FA7DEA"/>
    <w:rsid w:val="00FB0085"/>
    <w:rsid w:val="00FB017B"/>
    <w:rsid w:val="00FB01F7"/>
    <w:rsid w:val="00FB020A"/>
    <w:rsid w:val="00FB0392"/>
    <w:rsid w:val="00FB043D"/>
    <w:rsid w:val="00FB05AD"/>
    <w:rsid w:val="00FB077E"/>
    <w:rsid w:val="00FB0787"/>
    <w:rsid w:val="00FB08C7"/>
    <w:rsid w:val="00FB0972"/>
    <w:rsid w:val="00FB0AF1"/>
    <w:rsid w:val="00FB0C24"/>
    <w:rsid w:val="00FB0CE3"/>
    <w:rsid w:val="00FB0D53"/>
    <w:rsid w:val="00FB0DCB"/>
    <w:rsid w:val="00FB0DDE"/>
    <w:rsid w:val="00FB0EE9"/>
    <w:rsid w:val="00FB114E"/>
    <w:rsid w:val="00FB134D"/>
    <w:rsid w:val="00FB13DF"/>
    <w:rsid w:val="00FB1406"/>
    <w:rsid w:val="00FB15E2"/>
    <w:rsid w:val="00FB1640"/>
    <w:rsid w:val="00FB17AC"/>
    <w:rsid w:val="00FB17E3"/>
    <w:rsid w:val="00FB1AF7"/>
    <w:rsid w:val="00FB1D1E"/>
    <w:rsid w:val="00FB1F5D"/>
    <w:rsid w:val="00FB21B8"/>
    <w:rsid w:val="00FB26D8"/>
    <w:rsid w:val="00FB271E"/>
    <w:rsid w:val="00FB2CA9"/>
    <w:rsid w:val="00FB3120"/>
    <w:rsid w:val="00FB31E7"/>
    <w:rsid w:val="00FB320D"/>
    <w:rsid w:val="00FB3262"/>
    <w:rsid w:val="00FB3539"/>
    <w:rsid w:val="00FB3762"/>
    <w:rsid w:val="00FB379F"/>
    <w:rsid w:val="00FB4106"/>
    <w:rsid w:val="00FB41E6"/>
    <w:rsid w:val="00FB4213"/>
    <w:rsid w:val="00FB42B4"/>
    <w:rsid w:val="00FB43DC"/>
    <w:rsid w:val="00FB4673"/>
    <w:rsid w:val="00FB46CB"/>
    <w:rsid w:val="00FB4820"/>
    <w:rsid w:val="00FB4A19"/>
    <w:rsid w:val="00FB4A3B"/>
    <w:rsid w:val="00FB4B1F"/>
    <w:rsid w:val="00FB4C44"/>
    <w:rsid w:val="00FB4D2D"/>
    <w:rsid w:val="00FB4E77"/>
    <w:rsid w:val="00FB4EB1"/>
    <w:rsid w:val="00FB4ECB"/>
    <w:rsid w:val="00FB4F77"/>
    <w:rsid w:val="00FB519B"/>
    <w:rsid w:val="00FB5274"/>
    <w:rsid w:val="00FB5400"/>
    <w:rsid w:val="00FB5520"/>
    <w:rsid w:val="00FB5921"/>
    <w:rsid w:val="00FB5A07"/>
    <w:rsid w:val="00FB5E62"/>
    <w:rsid w:val="00FB5E8C"/>
    <w:rsid w:val="00FB5F28"/>
    <w:rsid w:val="00FB61C0"/>
    <w:rsid w:val="00FB62E1"/>
    <w:rsid w:val="00FB6701"/>
    <w:rsid w:val="00FB6B32"/>
    <w:rsid w:val="00FB6BE3"/>
    <w:rsid w:val="00FB6C6F"/>
    <w:rsid w:val="00FB6CCC"/>
    <w:rsid w:val="00FB7041"/>
    <w:rsid w:val="00FB7088"/>
    <w:rsid w:val="00FB7109"/>
    <w:rsid w:val="00FB74E0"/>
    <w:rsid w:val="00FB75CC"/>
    <w:rsid w:val="00FB764D"/>
    <w:rsid w:val="00FB77F4"/>
    <w:rsid w:val="00FB78FD"/>
    <w:rsid w:val="00FB79D9"/>
    <w:rsid w:val="00FB7A02"/>
    <w:rsid w:val="00FB7AA0"/>
    <w:rsid w:val="00FB7AFC"/>
    <w:rsid w:val="00FB7BC5"/>
    <w:rsid w:val="00FB7D50"/>
    <w:rsid w:val="00FC008A"/>
    <w:rsid w:val="00FC01DC"/>
    <w:rsid w:val="00FC026E"/>
    <w:rsid w:val="00FC03C2"/>
    <w:rsid w:val="00FC06AA"/>
    <w:rsid w:val="00FC074A"/>
    <w:rsid w:val="00FC090C"/>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15"/>
    <w:rsid w:val="00FC28EB"/>
    <w:rsid w:val="00FC2DA7"/>
    <w:rsid w:val="00FC3096"/>
    <w:rsid w:val="00FC3155"/>
    <w:rsid w:val="00FC3221"/>
    <w:rsid w:val="00FC324C"/>
    <w:rsid w:val="00FC32B5"/>
    <w:rsid w:val="00FC3332"/>
    <w:rsid w:val="00FC3B68"/>
    <w:rsid w:val="00FC3E45"/>
    <w:rsid w:val="00FC3E9D"/>
    <w:rsid w:val="00FC3F30"/>
    <w:rsid w:val="00FC48D2"/>
    <w:rsid w:val="00FC4A27"/>
    <w:rsid w:val="00FC4BD1"/>
    <w:rsid w:val="00FC4C4F"/>
    <w:rsid w:val="00FC4D29"/>
    <w:rsid w:val="00FC4E6E"/>
    <w:rsid w:val="00FC4E8A"/>
    <w:rsid w:val="00FC51D2"/>
    <w:rsid w:val="00FC51F9"/>
    <w:rsid w:val="00FC5237"/>
    <w:rsid w:val="00FC52B2"/>
    <w:rsid w:val="00FC542A"/>
    <w:rsid w:val="00FC546B"/>
    <w:rsid w:val="00FC591A"/>
    <w:rsid w:val="00FC59E1"/>
    <w:rsid w:val="00FC5DDF"/>
    <w:rsid w:val="00FC605D"/>
    <w:rsid w:val="00FC614D"/>
    <w:rsid w:val="00FC62DD"/>
    <w:rsid w:val="00FC64D7"/>
    <w:rsid w:val="00FC64F6"/>
    <w:rsid w:val="00FC6575"/>
    <w:rsid w:val="00FC65C8"/>
    <w:rsid w:val="00FC67D9"/>
    <w:rsid w:val="00FC6AEB"/>
    <w:rsid w:val="00FC6B38"/>
    <w:rsid w:val="00FC6C73"/>
    <w:rsid w:val="00FC6D52"/>
    <w:rsid w:val="00FC723F"/>
    <w:rsid w:val="00FC7405"/>
    <w:rsid w:val="00FC7542"/>
    <w:rsid w:val="00FC762F"/>
    <w:rsid w:val="00FC76B8"/>
    <w:rsid w:val="00FC788D"/>
    <w:rsid w:val="00FC78DA"/>
    <w:rsid w:val="00FC7A05"/>
    <w:rsid w:val="00FC7A12"/>
    <w:rsid w:val="00FC7C1D"/>
    <w:rsid w:val="00FC7C3B"/>
    <w:rsid w:val="00FC7D84"/>
    <w:rsid w:val="00FC7D89"/>
    <w:rsid w:val="00FC7F2E"/>
    <w:rsid w:val="00FD02BA"/>
    <w:rsid w:val="00FD03B3"/>
    <w:rsid w:val="00FD082A"/>
    <w:rsid w:val="00FD09DB"/>
    <w:rsid w:val="00FD0B65"/>
    <w:rsid w:val="00FD0D52"/>
    <w:rsid w:val="00FD0DF9"/>
    <w:rsid w:val="00FD0E47"/>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9F2"/>
    <w:rsid w:val="00FD3CC6"/>
    <w:rsid w:val="00FD3D02"/>
    <w:rsid w:val="00FD3D56"/>
    <w:rsid w:val="00FD3F94"/>
    <w:rsid w:val="00FD40B9"/>
    <w:rsid w:val="00FD40E8"/>
    <w:rsid w:val="00FD44A5"/>
    <w:rsid w:val="00FD4562"/>
    <w:rsid w:val="00FD457D"/>
    <w:rsid w:val="00FD4752"/>
    <w:rsid w:val="00FD4848"/>
    <w:rsid w:val="00FD4AF8"/>
    <w:rsid w:val="00FD4D58"/>
    <w:rsid w:val="00FD4DF9"/>
    <w:rsid w:val="00FD4FC4"/>
    <w:rsid w:val="00FD515E"/>
    <w:rsid w:val="00FD529F"/>
    <w:rsid w:val="00FD52E3"/>
    <w:rsid w:val="00FD5669"/>
    <w:rsid w:val="00FD58E1"/>
    <w:rsid w:val="00FD5A1A"/>
    <w:rsid w:val="00FD5A43"/>
    <w:rsid w:val="00FD5AA1"/>
    <w:rsid w:val="00FD5AB3"/>
    <w:rsid w:val="00FD5B97"/>
    <w:rsid w:val="00FD5CBF"/>
    <w:rsid w:val="00FD5EB3"/>
    <w:rsid w:val="00FD5EDB"/>
    <w:rsid w:val="00FD619F"/>
    <w:rsid w:val="00FD644C"/>
    <w:rsid w:val="00FD66EB"/>
    <w:rsid w:val="00FD69EC"/>
    <w:rsid w:val="00FD6B4D"/>
    <w:rsid w:val="00FD6FD0"/>
    <w:rsid w:val="00FD702C"/>
    <w:rsid w:val="00FD711B"/>
    <w:rsid w:val="00FD7411"/>
    <w:rsid w:val="00FD7492"/>
    <w:rsid w:val="00FD74E9"/>
    <w:rsid w:val="00FD75BC"/>
    <w:rsid w:val="00FD7730"/>
    <w:rsid w:val="00FD77B7"/>
    <w:rsid w:val="00FD77CD"/>
    <w:rsid w:val="00FD7C41"/>
    <w:rsid w:val="00FD7E17"/>
    <w:rsid w:val="00FD7F85"/>
    <w:rsid w:val="00FE0076"/>
    <w:rsid w:val="00FE0240"/>
    <w:rsid w:val="00FE0557"/>
    <w:rsid w:val="00FE06FE"/>
    <w:rsid w:val="00FE0823"/>
    <w:rsid w:val="00FE096B"/>
    <w:rsid w:val="00FE09FD"/>
    <w:rsid w:val="00FE0B75"/>
    <w:rsid w:val="00FE0BBC"/>
    <w:rsid w:val="00FE0C5B"/>
    <w:rsid w:val="00FE0CC5"/>
    <w:rsid w:val="00FE0FDD"/>
    <w:rsid w:val="00FE116D"/>
    <w:rsid w:val="00FE1468"/>
    <w:rsid w:val="00FE150C"/>
    <w:rsid w:val="00FE1543"/>
    <w:rsid w:val="00FE1984"/>
    <w:rsid w:val="00FE1A0B"/>
    <w:rsid w:val="00FE1ABB"/>
    <w:rsid w:val="00FE1ADA"/>
    <w:rsid w:val="00FE1B4B"/>
    <w:rsid w:val="00FE1B97"/>
    <w:rsid w:val="00FE1C3A"/>
    <w:rsid w:val="00FE1DF5"/>
    <w:rsid w:val="00FE1F69"/>
    <w:rsid w:val="00FE20DD"/>
    <w:rsid w:val="00FE23D0"/>
    <w:rsid w:val="00FE255A"/>
    <w:rsid w:val="00FE2581"/>
    <w:rsid w:val="00FE2A70"/>
    <w:rsid w:val="00FE2A8A"/>
    <w:rsid w:val="00FE2B11"/>
    <w:rsid w:val="00FE2C26"/>
    <w:rsid w:val="00FE2E1D"/>
    <w:rsid w:val="00FE2F24"/>
    <w:rsid w:val="00FE3120"/>
    <w:rsid w:val="00FE3146"/>
    <w:rsid w:val="00FE3174"/>
    <w:rsid w:val="00FE336E"/>
    <w:rsid w:val="00FE3C19"/>
    <w:rsid w:val="00FE3FDC"/>
    <w:rsid w:val="00FE407F"/>
    <w:rsid w:val="00FE438E"/>
    <w:rsid w:val="00FE46E8"/>
    <w:rsid w:val="00FE49C5"/>
    <w:rsid w:val="00FE4A0D"/>
    <w:rsid w:val="00FE4E41"/>
    <w:rsid w:val="00FE4F7E"/>
    <w:rsid w:val="00FE5267"/>
    <w:rsid w:val="00FE53B5"/>
    <w:rsid w:val="00FE5409"/>
    <w:rsid w:val="00FE5446"/>
    <w:rsid w:val="00FE54D9"/>
    <w:rsid w:val="00FE55E7"/>
    <w:rsid w:val="00FE56E9"/>
    <w:rsid w:val="00FE583D"/>
    <w:rsid w:val="00FE5856"/>
    <w:rsid w:val="00FE5B42"/>
    <w:rsid w:val="00FE5BA9"/>
    <w:rsid w:val="00FE5CC2"/>
    <w:rsid w:val="00FE5D7C"/>
    <w:rsid w:val="00FE5E24"/>
    <w:rsid w:val="00FE5EF5"/>
    <w:rsid w:val="00FE5EF9"/>
    <w:rsid w:val="00FE6075"/>
    <w:rsid w:val="00FE616D"/>
    <w:rsid w:val="00FE6448"/>
    <w:rsid w:val="00FE6692"/>
    <w:rsid w:val="00FE671E"/>
    <w:rsid w:val="00FE683B"/>
    <w:rsid w:val="00FE68E3"/>
    <w:rsid w:val="00FE695C"/>
    <w:rsid w:val="00FE71F9"/>
    <w:rsid w:val="00FE7382"/>
    <w:rsid w:val="00FE7478"/>
    <w:rsid w:val="00FE751A"/>
    <w:rsid w:val="00FE7D6A"/>
    <w:rsid w:val="00FE7EB1"/>
    <w:rsid w:val="00FF018E"/>
    <w:rsid w:val="00FF074F"/>
    <w:rsid w:val="00FF0829"/>
    <w:rsid w:val="00FF0899"/>
    <w:rsid w:val="00FF0A64"/>
    <w:rsid w:val="00FF0BF7"/>
    <w:rsid w:val="00FF0C53"/>
    <w:rsid w:val="00FF0F2B"/>
    <w:rsid w:val="00FF1014"/>
    <w:rsid w:val="00FF10AE"/>
    <w:rsid w:val="00FF1196"/>
    <w:rsid w:val="00FF11F4"/>
    <w:rsid w:val="00FF1296"/>
    <w:rsid w:val="00FF1488"/>
    <w:rsid w:val="00FF1646"/>
    <w:rsid w:val="00FF1676"/>
    <w:rsid w:val="00FF172A"/>
    <w:rsid w:val="00FF1876"/>
    <w:rsid w:val="00FF187E"/>
    <w:rsid w:val="00FF18A6"/>
    <w:rsid w:val="00FF19B5"/>
    <w:rsid w:val="00FF1B53"/>
    <w:rsid w:val="00FF1D89"/>
    <w:rsid w:val="00FF1F09"/>
    <w:rsid w:val="00FF1F16"/>
    <w:rsid w:val="00FF2035"/>
    <w:rsid w:val="00FF232C"/>
    <w:rsid w:val="00FF282D"/>
    <w:rsid w:val="00FF2B3B"/>
    <w:rsid w:val="00FF2C97"/>
    <w:rsid w:val="00FF2D02"/>
    <w:rsid w:val="00FF2EEC"/>
    <w:rsid w:val="00FF300D"/>
    <w:rsid w:val="00FF3063"/>
    <w:rsid w:val="00FF3138"/>
    <w:rsid w:val="00FF3363"/>
    <w:rsid w:val="00FF351C"/>
    <w:rsid w:val="00FF35EB"/>
    <w:rsid w:val="00FF36CB"/>
    <w:rsid w:val="00FF39EE"/>
    <w:rsid w:val="00FF3C49"/>
    <w:rsid w:val="00FF3ED1"/>
    <w:rsid w:val="00FF40E6"/>
    <w:rsid w:val="00FF487B"/>
    <w:rsid w:val="00FF48A3"/>
    <w:rsid w:val="00FF4B37"/>
    <w:rsid w:val="00FF4E22"/>
    <w:rsid w:val="00FF4E95"/>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9E4"/>
    <w:rsid w:val="00FF6A41"/>
    <w:rsid w:val="00FF6A4D"/>
    <w:rsid w:val="00FF6A91"/>
    <w:rsid w:val="00FF71FC"/>
    <w:rsid w:val="00FF72DC"/>
    <w:rsid w:val="00FF73BC"/>
    <w:rsid w:val="00FF757C"/>
    <w:rsid w:val="00FF75CA"/>
    <w:rsid w:val="00FF76A0"/>
    <w:rsid w:val="00FF7BFC"/>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3083E"/>
  <w15:docId w15:val="{CEA248FF-C33C-4702-AB38-091E816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F034B6"/>
    <w:pPr>
      <w:ind w:left="-142"/>
      <w:outlineLvl w:val="1"/>
    </w:pPr>
    <w:rPr>
      <w:rFonts w:ascii="Verdana" w:hAnsi="Verdana" w:cs="Arial"/>
      <w:b/>
      <w:bCs/>
      <w:spacing w:val="-4"/>
      <w:kern w:val="28"/>
      <w:sz w:val="22"/>
      <w:szCs w:val="22"/>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F034B6"/>
    <w:rPr>
      <w:rFonts w:ascii="Verdana" w:hAnsi="Verdana" w:cs="Arial"/>
      <w:b/>
      <w:bCs/>
      <w:spacing w:val="-4"/>
      <w:kern w:val="28"/>
      <w:sz w:val="22"/>
      <w:szCs w:val="22"/>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uiPriority w:val="9"/>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uiPriority w:val="99"/>
    <w:rsid w:val="007220DF"/>
    <w:rPr>
      <w:rFonts w:cs="Times New Roman"/>
      <w:vertAlign w:val="superscript"/>
    </w:rPr>
  </w:style>
  <w:style w:type="paragraph" w:styleId="FootnoteText">
    <w:name w:val="footnote text"/>
    <w:basedOn w:val="Normal"/>
    <w:link w:val="FootnoteTextChar"/>
    <w:uiPriority w:val="99"/>
    <w:rsid w:val="003F6759"/>
  </w:style>
  <w:style w:type="character" w:customStyle="1" w:styleId="FootnoteTextChar">
    <w:name w:val="Footnote Text Char"/>
    <w:link w:val="FootnoteText"/>
    <w:uiPriority w:val="99"/>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256B52"/>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link w:val="ListParagraphChar"/>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 w:type="character" w:customStyle="1" w:styleId="ListParagraphChar">
    <w:name w:val="List Paragraph Char"/>
    <w:basedOn w:val="DefaultParagraphFont"/>
    <w:link w:val="ListParagraph"/>
    <w:uiPriority w:val="34"/>
    <w:rsid w:val="00BE501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19021626">
      <w:bodyDiv w:val="1"/>
      <w:marLeft w:val="0"/>
      <w:marRight w:val="0"/>
      <w:marTop w:val="0"/>
      <w:marBottom w:val="0"/>
      <w:divBdr>
        <w:top w:val="none" w:sz="0" w:space="0" w:color="auto"/>
        <w:left w:val="none" w:sz="0" w:space="0" w:color="auto"/>
        <w:bottom w:val="none" w:sz="0" w:space="0" w:color="auto"/>
        <w:right w:val="none" w:sz="0" w:space="0" w:color="auto"/>
      </w:divBdr>
    </w:div>
    <w:div w:id="224604243">
      <w:bodyDiv w:val="1"/>
      <w:marLeft w:val="0"/>
      <w:marRight w:val="0"/>
      <w:marTop w:val="0"/>
      <w:marBottom w:val="0"/>
      <w:divBdr>
        <w:top w:val="none" w:sz="0" w:space="0" w:color="auto"/>
        <w:left w:val="none" w:sz="0" w:space="0" w:color="auto"/>
        <w:bottom w:val="none" w:sz="0" w:space="0" w:color="auto"/>
        <w:right w:val="none" w:sz="0" w:space="0" w:color="auto"/>
      </w:divBdr>
    </w:div>
    <w:div w:id="244532131">
      <w:bodyDiv w:val="1"/>
      <w:marLeft w:val="0"/>
      <w:marRight w:val="0"/>
      <w:marTop w:val="0"/>
      <w:marBottom w:val="0"/>
      <w:divBdr>
        <w:top w:val="none" w:sz="0" w:space="0" w:color="auto"/>
        <w:left w:val="none" w:sz="0" w:space="0" w:color="auto"/>
        <w:bottom w:val="none" w:sz="0" w:space="0" w:color="auto"/>
        <w:right w:val="none" w:sz="0" w:space="0" w:color="auto"/>
      </w:divBdr>
    </w:div>
    <w:div w:id="251011341">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272977806">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1421701">
      <w:bodyDiv w:val="1"/>
      <w:marLeft w:val="0"/>
      <w:marRight w:val="0"/>
      <w:marTop w:val="0"/>
      <w:marBottom w:val="0"/>
      <w:divBdr>
        <w:top w:val="none" w:sz="0" w:space="0" w:color="auto"/>
        <w:left w:val="none" w:sz="0" w:space="0" w:color="auto"/>
        <w:bottom w:val="none" w:sz="0" w:space="0" w:color="auto"/>
        <w:right w:val="none" w:sz="0" w:space="0" w:color="auto"/>
      </w:divBdr>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68921104">
      <w:bodyDiv w:val="1"/>
      <w:marLeft w:val="0"/>
      <w:marRight w:val="0"/>
      <w:marTop w:val="0"/>
      <w:marBottom w:val="0"/>
      <w:divBdr>
        <w:top w:val="none" w:sz="0" w:space="0" w:color="auto"/>
        <w:left w:val="none" w:sz="0" w:space="0" w:color="auto"/>
        <w:bottom w:val="none" w:sz="0" w:space="0" w:color="auto"/>
        <w:right w:val="none" w:sz="0" w:space="0" w:color="auto"/>
      </w:divBdr>
    </w:div>
    <w:div w:id="397826873">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19133673">
      <w:bodyDiv w:val="1"/>
      <w:marLeft w:val="0"/>
      <w:marRight w:val="0"/>
      <w:marTop w:val="0"/>
      <w:marBottom w:val="0"/>
      <w:divBdr>
        <w:top w:val="none" w:sz="0" w:space="0" w:color="auto"/>
        <w:left w:val="none" w:sz="0" w:space="0" w:color="auto"/>
        <w:bottom w:val="none" w:sz="0" w:space="0" w:color="auto"/>
        <w:right w:val="none" w:sz="0" w:space="0" w:color="auto"/>
      </w:divBdr>
    </w:div>
    <w:div w:id="44296151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76610400">
      <w:bodyDiv w:val="1"/>
      <w:marLeft w:val="0"/>
      <w:marRight w:val="0"/>
      <w:marTop w:val="0"/>
      <w:marBottom w:val="0"/>
      <w:divBdr>
        <w:top w:val="none" w:sz="0" w:space="0" w:color="auto"/>
        <w:left w:val="none" w:sz="0" w:space="0" w:color="auto"/>
        <w:bottom w:val="none" w:sz="0" w:space="0" w:color="auto"/>
        <w:right w:val="none" w:sz="0" w:space="0" w:color="auto"/>
      </w:divBdr>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18008571">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51815126">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07780996">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29357268">
      <w:bodyDiv w:val="1"/>
      <w:marLeft w:val="0"/>
      <w:marRight w:val="0"/>
      <w:marTop w:val="0"/>
      <w:marBottom w:val="0"/>
      <w:divBdr>
        <w:top w:val="none" w:sz="0" w:space="0" w:color="auto"/>
        <w:left w:val="none" w:sz="0" w:space="0" w:color="auto"/>
        <w:bottom w:val="none" w:sz="0" w:space="0" w:color="auto"/>
        <w:right w:val="none" w:sz="0" w:space="0" w:color="auto"/>
      </w:divBdr>
    </w:div>
    <w:div w:id="634144127">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58776718">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170508">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74116349">
      <w:bodyDiv w:val="1"/>
      <w:marLeft w:val="0"/>
      <w:marRight w:val="0"/>
      <w:marTop w:val="0"/>
      <w:marBottom w:val="0"/>
      <w:divBdr>
        <w:top w:val="none" w:sz="0" w:space="0" w:color="auto"/>
        <w:left w:val="none" w:sz="0" w:space="0" w:color="auto"/>
        <w:bottom w:val="none" w:sz="0" w:space="0" w:color="auto"/>
        <w:right w:val="none" w:sz="0" w:space="0" w:color="auto"/>
      </w:divBdr>
      <w:divsChild>
        <w:div w:id="175966987">
          <w:marLeft w:val="1166"/>
          <w:marRight w:val="0"/>
          <w:marTop w:val="96"/>
          <w:marBottom w:val="0"/>
          <w:divBdr>
            <w:top w:val="none" w:sz="0" w:space="0" w:color="auto"/>
            <w:left w:val="none" w:sz="0" w:space="0" w:color="auto"/>
            <w:bottom w:val="none" w:sz="0" w:space="0" w:color="auto"/>
            <w:right w:val="none" w:sz="0" w:space="0" w:color="auto"/>
          </w:divBdr>
        </w:div>
        <w:div w:id="823745400">
          <w:marLeft w:val="547"/>
          <w:marRight w:val="0"/>
          <w:marTop w:val="106"/>
          <w:marBottom w:val="0"/>
          <w:divBdr>
            <w:top w:val="none" w:sz="0" w:space="0" w:color="auto"/>
            <w:left w:val="none" w:sz="0" w:space="0" w:color="auto"/>
            <w:bottom w:val="none" w:sz="0" w:space="0" w:color="auto"/>
            <w:right w:val="none" w:sz="0" w:space="0" w:color="auto"/>
          </w:divBdr>
        </w:div>
        <w:div w:id="1576819565">
          <w:marLeft w:val="547"/>
          <w:marRight w:val="0"/>
          <w:marTop w:val="106"/>
          <w:marBottom w:val="0"/>
          <w:divBdr>
            <w:top w:val="none" w:sz="0" w:space="0" w:color="auto"/>
            <w:left w:val="none" w:sz="0" w:space="0" w:color="auto"/>
            <w:bottom w:val="none" w:sz="0" w:space="0" w:color="auto"/>
            <w:right w:val="none" w:sz="0" w:space="0" w:color="auto"/>
          </w:divBdr>
        </w:div>
      </w:divsChild>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4254584">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01388097">
      <w:bodyDiv w:val="1"/>
      <w:marLeft w:val="0"/>
      <w:marRight w:val="0"/>
      <w:marTop w:val="0"/>
      <w:marBottom w:val="0"/>
      <w:divBdr>
        <w:top w:val="none" w:sz="0" w:space="0" w:color="auto"/>
        <w:left w:val="none" w:sz="0" w:space="0" w:color="auto"/>
        <w:bottom w:val="none" w:sz="0" w:space="0" w:color="auto"/>
        <w:right w:val="none" w:sz="0" w:space="0" w:color="auto"/>
      </w:divBdr>
    </w:div>
    <w:div w:id="809634776">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345709">
      <w:bodyDiv w:val="1"/>
      <w:marLeft w:val="0"/>
      <w:marRight w:val="0"/>
      <w:marTop w:val="0"/>
      <w:marBottom w:val="0"/>
      <w:divBdr>
        <w:top w:val="none" w:sz="0" w:space="0" w:color="auto"/>
        <w:left w:val="none" w:sz="0" w:space="0" w:color="auto"/>
        <w:bottom w:val="none" w:sz="0" w:space="0" w:color="auto"/>
        <w:right w:val="none" w:sz="0" w:space="0" w:color="auto"/>
      </w:divBdr>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660859">
      <w:bodyDiv w:val="1"/>
      <w:marLeft w:val="0"/>
      <w:marRight w:val="0"/>
      <w:marTop w:val="0"/>
      <w:marBottom w:val="0"/>
      <w:divBdr>
        <w:top w:val="none" w:sz="0" w:space="0" w:color="auto"/>
        <w:left w:val="none" w:sz="0" w:space="0" w:color="auto"/>
        <w:bottom w:val="none" w:sz="0" w:space="0" w:color="auto"/>
        <w:right w:val="none" w:sz="0" w:space="0" w:color="auto"/>
      </w:divBdr>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378390">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1000498787">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13655462">
      <w:bodyDiv w:val="1"/>
      <w:marLeft w:val="0"/>
      <w:marRight w:val="0"/>
      <w:marTop w:val="0"/>
      <w:marBottom w:val="0"/>
      <w:divBdr>
        <w:top w:val="none" w:sz="0" w:space="0" w:color="auto"/>
        <w:left w:val="none" w:sz="0" w:space="0" w:color="auto"/>
        <w:bottom w:val="none" w:sz="0" w:space="0" w:color="auto"/>
        <w:right w:val="none" w:sz="0" w:space="0" w:color="auto"/>
      </w:divBdr>
    </w:div>
    <w:div w:id="1022824975">
      <w:bodyDiv w:val="1"/>
      <w:marLeft w:val="0"/>
      <w:marRight w:val="0"/>
      <w:marTop w:val="0"/>
      <w:marBottom w:val="0"/>
      <w:divBdr>
        <w:top w:val="none" w:sz="0" w:space="0" w:color="auto"/>
        <w:left w:val="none" w:sz="0" w:space="0" w:color="auto"/>
        <w:bottom w:val="none" w:sz="0" w:space="0" w:color="auto"/>
        <w:right w:val="none" w:sz="0" w:space="0" w:color="auto"/>
      </w:divBdr>
    </w:div>
    <w:div w:id="1026906337">
      <w:bodyDiv w:val="1"/>
      <w:marLeft w:val="0"/>
      <w:marRight w:val="0"/>
      <w:marTop w:val="0"/>
      <w:marBottom w:val="0"/>
      <w:divBdr>
        <w:top w:val="none" w:sz="0" w:space="0" w:color="auto"/>
        <w:left w:val="none" w:sz="0" w:space="0" w:color="auto"/>
        <w:bottom w:val="none" w:sz="0" w:space="0" w:color="auto"/>
        <w:right w:val="none" w:sz="0" w:space="0" w:color="auto"/>
      </w:divBdr>
    </w:div>
    <w:div w:id="1029260720">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65638973">
      <w:bodyDiv w:val="1"/>
      <w:marLeft w:val="0"/>
      <w:marRight w:val="0"/>
      <w:marTop w:val="0"/>
      <w:marBottom w:val="0"/>
      <w:divBdr>
        <w:top w:val="none" w:sz="0" w:space="0" w:color="auto"/>
        <w:left w:val="none" w:sz="0" w:space="0" w:color="auto"/>
        <w:bottom w:val="none" w:sz="0" w:space="0" w:color="auto"/>
        <w:right w:val="none" w:sz="0" w:space="0" w:color="auto"/>
      </w:divBdr>
      <w:divsChild>
        <w:div w:id="724182734">
          <w:marLeft w:val="0"/>
          <w:marRight w:val="0"/>
          <w:marTop w:val="0"/>
          <w:marBottom w:val="0"/>
          <w:divBdr>
            <w:top w:val="none" w:sz="0" w:space="0" w:color="auto"/>
            <w:left w:val="none" w:sz="0" w:space="0" w:color="auto"/>
            <w:bottom w:val="none" w:sz="0" w:space="0" w:color="auto"/>
            <w:right w:val="none" w:sz="0" w:space="0" w:color="auto"/>
          </w:divBdr>
          <w:divsChild>
            <w:div w:id="1437561738">
              <w:marLeft w:val="0"/>
              <w:marRight w:val="0"/>
              <w:marTop w:val="0"/>
              <w:marBottom w:val="0"/>
              <w:divBdr>
                <w:top w:val="none" w:sz="0" w:space="0" w:color="auto"/>
                <w:left w:val="none" w:sz="0" w:space="0" w:color="auto"/>
                <w:bottom w:val="none" w:sz="0" w:space="0" w:color="auto"/>
                <w:right w:val="none" w:sz="0" w:space="0" w:color="auto"/>
              </w:divBdr>
              <w:divsChild>
                <w:div w:id="139083397">
                  <w:marLeft w:val="0"/>
                  <w:marRight w:val="0"/>
                  <w:marTop w:val="0"/>
                  <w:marBottom w:val="120"/>
                  <w:divBdr>
                    <w:top w:val="none" w:sz="0" w:space="0" w:color="auto"/>
                    <w:left w:val="none" w:sz="0" w:space="0" w:color="auto"/>
                    <w:bottom w:val="none" w:sz="0" w:space="0" w:color="auto"/>
                    <w:right w:val="none" w:sz="0" w:space="0" w:color="auto"/>
                  </w:divBdr>
                </w:div>
                <w:div w:id="388113686">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777364082">
          <w:marLeft w:val="0"/>
          <w:marRight w:val="0"/>
          <w:marTop w:val="0"/>
          <w:marBottom w:val="0"/>
          <w:divBdr>
            <w:top w:val="none" w:sz="0" w:space="0" w:color="auto"/>
            <w:left w:val="none" w:sz="0" w:space="0" w:color="auto"/>
            <w:bottom w:val="none" w:sz="0" w:space="0" w:color="auto"/>
            <w:right w:val="none" w:sz="0" w:space="0" w:color="auto"/>
          </w:divBdr>
          <w:divsChild>
            <w:div w:id="207689645">
              <w:marLeft w:val="0"/>
              <w:marRight w:val="0"/>
              <w:marTop w:val="0"/>
              <w:marBottom w:val="0"/>
              <w:divBdr>
                <w:top w:val="none" w:sz="0" w:space="0" w:color="auto"/>
                <w:left w:val="none" w:sz="0" w:space="0" w:color="auto"/>
                <w:bottom w:val="none" w:sz="0" w:space="0" w:color="auto"/>
                <w:right w:val="none" w:sz="0" w:space="0" w:color="auto"/>
              </w:divBdr>
              <w:divsChild>
                <w:div w:id="392971783">
                  <w:marLeft w:val="840"/>
                  <w:marRight w:val="0"/>
                  <w:marTop w:val="0"/>
                  <w:marBottom w:val="120"/>
                  <w:divBdr>
                    <w:top w:val="none" w:sz="0" w:space="0" w:color="auto"/>
                    <w:left w:val="none" w:sz="0" w:space="0" w:color="auto"/>
                    <w:bottom w:val="none" w:sz="0" w:space="0" w:color="auto"/>
                    <w:right w:val="none" w:sz="0" w:space="0" w:color="auto"/>
                  </w:divBdr>
                </w:div>
                <w:div w:id="4237634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089156508">
      <w:bodyDiv w:val="1"/>
      <w:marLeft w:val="0"/>
      <w:marRight w:val="0"/>
      <w:marTop w:val="0"/>
      <w:marBottom w:val="0"/>
      <w:divBdr>
        <w:top w:val="none" w:sz="0" w:space="0" w:color="auto"/>
        <w:left w:val="none" w:sz="0" w:space="0" w:color="auto"/>
        <w:bottom w:val="none" w:sz="0" w:space="0" w:color="auto"/>
        <w:right w:val="none" w:sz="0" w:space="0" w:color="auto"/>
      </w:divBdr>
    </w:div>
    <w:div w:id="1105882485">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3932010">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195846899">
      <w:bodyDiv w:val="1"/>
      <w:marLeft w:val="0"/>
      <w:marRight w:val="0"/>
      <w:marTop w:val="0"/>
      <w:marBottom w:val="0"/>
      <w:divBdr>
        <w:top w:val="none" w:sz="0" w:space="0" w:color="auto"/>
        <w:left w:val="none" w:sz="0" w:space="0" w:color="auto"/>
        <w:bottom w:val="none" w:sz="0" w:space="0" w:color="auto"/>
        <w:right w:val="none" w:sz="0" w:space="0" w:color="auto"/>
      </w:divBdr>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27911879">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5489774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2052293">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11254873">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52611780">
      <w:bodyDiv w:val="1"/>
      <w:marLeft w:val="0"/>
      <w:marRight w:val="0"/>
      <w:marTop w:val="0"/>
      <w:marBottom w:val="0"/>
      <w:divBdr>
        <w:top w:val="none" w:sz="0" w:space="0" w:color="auto"/>
        <w:left w:val="none" w:sz="0" w:space="0" w:color="auto"/>
        <w:bottom w:val="none" w:sz="0" w:space="0" w:color="auto"/>
        <w:right w:val="none" w:sz="0" w:space="0" w:color="auto"/>
      </w:divBdr>
      <w:divsChild>
        <w:div w:id="435952490">
          <w:marLeft w:val="547"/>
          <w:marRight w:val="0"/>
          <w:marTop w:val="106"/>
          <w:marBottom w:val="0"/>
          <w:divBdr>
            <w:top w:val="none" w:sz="0" w:space="0" w:color="auto"/>
            <w:left w:val="none" w:sz="0" w:space="0" w:color="auto"/>
            <w:bottom w:val="none" w:sz="0" w:space="0" w:color="auto"/>
            <w:right w:val="none" w:sz="0" w:space="0" w:color="auto"/>
          </w:divBdr>
        </w:div>
        <w:div w:id="614865636">
          <w:marLeft w:val="547"/>
          <w:marRight w:val="0"/>
          <w:marTop w:val="106"/>
          <w:marBottom w:val="0"/>
          <w:divBdr>
            <w:top w:val="none" w:sz="0" w:space="0" w:color="auto"/>
            <w:left w:val="none" w:sz="0" w:space="0" w:color="auto"/>
            <w:bottom w:val="none" w:sz="0" w:space="0" w:color="auto"/>
            <w:right w:val="none" w:sz="0" w:space="0" w:color="auto"/>
          </w:divBdr>
        </w:div>
        <w:div w:id="1372999403">
          <w:marLeft w:val="547"/>
          <w:marRight w:val="0"/>
          <w:marTop w:val="106"/>
          <w:marBottom w:val="0"/>
          <w:divBdr>
            <w:top w:val="none" w:sz="0" w:space="0" w:color="auto"/>
            <w:left w:val="none" w:sz="0" w:space="0" w:color="auto"/>
            <w:bottom w:val="none" w:sz="0" w:space="0" w:color="auto"/>
            <w:right w:val="none" w:sz="0" w:space="0" w:color="auto"/>
          </w:divBdr>
        </w:div>
      </w:divsChild>
    </w:div>
    <w:div w:id="1357075001">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04838770">
      <w:bodyDiv w:val="1"/>
      <w:marLeft w:val="0"/>
      <w:marRight w:val="0"/>
      <w:marTop w:val="0"/>
      <w:marBottom w:val="0"/>
      <w:divBdr>
        <w:top w:val="none" w:sz="0" w:space="0" w:color="auto"/>
        <w:left w:val="none" w:sz="0" w:space="0" w:color="auto"/>
        <w:bottom w:val="none" w:sz="0" w:space="0" w:color="auto"/>
        <w:right w:val="none" w:sz="0" w:space="0" w:color="auto"/>
      </w:divBdr>
    </w:div>
    <w:div w:id="1414467936">
      <w:bodyDiv w:val="1"/>
      <w:marLeft w:val="0"/>
      <w:marRight w:val="0"/>
      <w:marTop w:val="0"/>
      <w:marBottom w:val="0"/>
      <w:divBdr>
        <w:top w:val="none" w:sz="0" w:space="0" w:color="auto"/>
        <w:left w:val="none" w:sz="0" w:space="0" w:color="auto"/>
        <w:bottom w:val="none" w:sz="0" w:space="0" w:color="auto"/>
        <w:right w:val="none" w:sz="0" w:space="0" w:color="auto"/>
      </w:divBdr>
    </w:div>
    <w:div w:id="1418400264">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4475006">
      <w:bodyDiv w:val="1"/>
      <w:marLeft w:val="0"/>
      <w:marRight w:val="0"/>
      <w:marTop w:val="0"/>
      <w:marBottom w:val="0"/>
      <w:divBdr>
        <w:top w:val="none" w:sz="0" w:space="0" w:color="auto"/>
        <w:left w:val="none" w:sz="0" w:space="0" w:color="auto"/>
        <w:bottom w:val="none" w:sz="0" w:space="0" w:color="auto"/>
        <w:right w:val="none" w:sz="0" w:space="0" w:color="auto"/>
      </w:divBdr>
      <w:divsChild>
        <w:div w:id="703213350">
          <w:marLeft w:val="0"/>
          <w:marRight w:val="0"/>
          <w:marTop w:val="0"/>
          <w:marBottom w:val="0"/>
          <w:divBdr>
            <w:top w:val="none" w:sz="0" w:space="0" w:color="auto"/>
            <w:left w:val="none" w:sz="0" w:space="0" w:color="auto"/>
            <w:bottom w:val="none" w:sz="0" w:space="0" w:color="auto"/>
            <w:right w:val="none" w:sz="0" w:space="0" w:color="auto"/>
          </w:divBdr>
          <w:divsChild>
            <w:div w:id="1577127998">
              <w:marLeft w:val="0"/>
              <w:marRight w:val="0"/>
              <w:marTop w:val="0"/>
              <w:marBottom w:val="0"/>
              <w:divBdr>
                <w:top w:val="none" w:sz="0" w:space="0" w:color="auto"/>
                <w:left w:val="none" w:sz="0" w:space="0" w:color="auto"/>
                <w:bottom w:val="none" w:sz="0" w:space="0" w:color="auto"/>
                <w:right w:val="none" w:sz="0" w:space="0" w:color="auto"/>
              </w:divBdr>
              <w:divsChild>
                <w:div w:id="1166704621">
                  <w:marLeft w:val="0"/>
                  <w:marRight w:val="0"/>
                  <w:marTop w:val="0"/>
                  <w:marBottom w:val="120"/>
                  <w:divBdr>
                    <w:top w:val="none" w:sz="0" w:space="0" w:color="auto"/>
                    <w:left w:val="none" w:sz="0" w:space="0" w:color="auto"/>
                    <w:bottom w:val="none" w:sz="0" w:space="0" w:color="auto"/>
                    <w:right w:val="none" w:sz="0" w:space="0" w:color="auto"/>
                  </w:divBdr>
                </w:div>
                <w:div w:id="1581061734">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383946395">
          <w:marLeft w:val="0"/>
          <w:marRight w:val="0"/>
          <w:marTop w:val="0"/>
          <w:marBottom w:val="0"/>
          <w:divBdr>
            <w:top w:val="none" w:sz="0" w:space="0" w:color="auto"/>
            <w:left w:val="none" w:sz="0" w:space="0" w:color="auto"/>
            <w:bottom w:val="none" w:sz="0" w:space="0" w:color="auto"/>
            <w:right w:val="none" w:sz="0" w:space="0" w:color="auto"/>
          </w:divBdr>
          <w:divsChild>
            <w:div w:id="948392688">
              <w:marLeft w:val="0"/>
              <w:marRight w:val="0"/>
              <w:marTop w:val="0"/>
              <w:marBottom w:val="0"/>
              <w:divBdr>
                <w:top w:val="none" w:sz="0" w:space="0" w:color="auto"/>
                <w:left w:val="none" w:sz="0" w:space="0" w:color="auto"/>
                <w:bottom w:val="none" w:sz="0" w:space="0" w:color="auto"/>
                <w:right w:val="none" w:sz="0" w:space="0" w:color="auto"/>
              </w:divBdr>
              <w:divsChild>
                <w:div w:id="479811922">
                  <w:marLeft w:val="0"/>
                  <w:marRight w:val="0"/>
                  <w:marTop w:val="0"/>
                  <w:marBottom w:val="120"/>
                  <w:divBdr>
                    <w:top w:val="none" w:sz="0" w:space="0" w:color="auto"/>
                    <w:left w:val="none" w:sz="0" w:space="0" w:color="auto"/>
                    <w:bottom w:val="none" w:sz="0" w:space="0" w:color="auto"/>
                    <w:right w:val="none" w:sz="0" w:space="0" w:color="auto"/>
                  </w:divBdr>
                </w:div>
                <w:div w:id="919171842">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406003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0033039">
      <w:bodyDiv w:val="1"/>
      <w:marLeft w:val="0"/>
      <w:marRight w:val="0"/>
      <w:marTop w:val="0"/>
      <w:marBottom w:val="0"/>
      <w:divBdr>
        <w:top w:val="none" w:sz="0" w:space="0" w:color="auto"/>
        <w:left w:val="none" w:sz="0" w:space="0" w:color="auto"/>
        <w:bottom w:val="none" w:sz="0" w:space="0" w:color="auto"/>
        <w:right w:val="none" w:sz="0" w:space="0" w:color="auto"/>
      </w:divBdr>
    </w:div>
    <w:div w:id="1466385473">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492672992">
      <w:bodyDiv w:val="1"/>
      <w:marLeft w:val="0"/>
      <w:marRight w:val="0"/>
      <w:marTop w:val="0"/>
      <w:marBottom w:val="0"/>
      <w:divBdr>
        <w:top w:val="none" w:sz="0" w:space="0" w:color="auto"/>
        <w:left w:val="none" w:sz="0" w:space="0" w:color="auto"/>
        <w:bottom w:val="none" w:sz="0" w:space="0" w:color="auto"/>
        <w:right w:val="none" w:sz="0" w:space="0" w:color="auto"/>
      </w:divBdr>
      <w:divsChild>
        <w:div w:id="409238671">
          <w:marLeft w:val="547"/>
          <w:marRight w:val="0"/>
          <w:marTop w:val="106"/>
          <w:marBottom w:val="0"/>
          <w:divBdr>
            <w:top w:val="none" w:sz="0" w:space="0" w:color="auto"/>
            <w:left w:val="none" w:sz="0" w:space="0" w:color="auto"/>
            <w:bottom w:val="none" w:sz="0" w:space="0" w:color="auto"/>
            <w:right w:val="none" w:sz="0" w:space="0" w:color="auto"/>
          </w:divBdr>
        </w:div>
        <w:div w:id="462963439">
          <w:marLeft w:val="547"/>
          <w:marRight w:val="0"/>
          <w:marTop w:val="106"/>
          <w:marBottom w:val="0"/>
          <w:divBdr>
            <w:top w:val="none" w:sz="0" w:space="0" w:color="auto"/>
            <w:left w:val="none" w:sz="0" w:space="0" w:color="auto"/>
            <w:bottom w:val="none" w:sz="0" w:space="0" w:color="auto"/>
            <w:right w:val="none" w:sz="0" w:space="0" w:color="auto"/>
          </w:divBdr>
        </w:div>
        <w:div w:id="798108676">
          <w:marLeft w:val="547"/>
          <w:marRight w:val="0"/>
          <w:marTop w:val="106"/>
          <w:marBottom w:val="0"/>
          <w:divBdr>
            <w:top w:val="none" w:sz="0" w:space="0" w:color="auto"/>
            <w:left w:val="none" w:sz="0" w:space="0" w:color="auto"/>
            <w:bottom w:val="none" w:sz="0" w:space="0" w:color="auto"/>
            <w:right w:val="none" w:sz="0" w:space="0" w:color="auto"/>
          </w:divBdr>
        </w:div>
      </w:divsChild>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6970626">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62208889">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0093542">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1186298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40377939">
      <w:bodyDiv w:val="1"/>
      <w:marLeft w:val="0"/>
      <w:marRight w:val="0"/>
      <w:marTop w:val="0"/>
      <w:marBottom w:val="0"/>
      <w:divBdr>
        <w:top w:val="none" w:sz="0" w:space="0" w:color="auto"/>
        <w:left w:val="none" w:sz="0" w:space="0" w:color="auto"/>
        <w:bottom w:val="none" w:sz="0" w:space="0" w:color="auto"/>
        <w:right w:val="none" w:sz="0" w:space="0" w:color="auto"/>
      </w:divBdr>
    </w:div>
    <w:div w:id="1647398776">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14304202">
      <w:bodyDiv w:val="1"/>
      <w:marLeft w:val="0"/>
      <w:marRight w:val="0"/>
      <w:marTop w:val="0"/>
      <w:marBottom w:val="0"/>
      <w:divBdr>
        <w:top w:val="none" w:sz="0" w:space="0" w:color="auto"/>
        <w:left w:val="none" w:sz="0" w:space="0" w:color="auto"/>
        <w:bottom w:val="none" w:sz="0" w:space="0" w:color="auto"/>
        <w:right w:val="none" w:sz="0" w:space="0" w:color="auto"/>
      </w:divBdr>
    </w:div>
    <w:div w:id="1716657869">
      <w:bodyDiv w:val="1"/>
      <w:marLeft w:val="0"/>
      <w:marRight w:val="0"/>
      <w:marTop w:val="0"/>
      <w:marBottom w:val="0"/>
      <w:divBdr>
        <w:top w:val="none" w:sz="0" w:space="0" w:color="auto"/>
        <w:left w:val="none" w:sz="0" w:space="0" w:color="auto"/>
        <w:bottom w:val="none" w:sz="0" w:space="0" w:color="auto"/>
        <w:right w:val="none" w:sz="0" w:space="0" w:color="auto"/>
      </w:divBdr>
    </w:div>
    <w:div w:id="1718776461">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798135278">
      <w:bodyDiv w:val="1"/>
      <w:marLeft w:val="0"/>
      <w:marRight w:val="0"/>
      <w:marTop w:val="0"/>
      <w:marBottom w:val="0"/>
      <w:divBdr>
        <w:top w:val="none" w:sz="0" w:space="0" w:color="auto"/>
        <w:left w:val="none" w:sz="0" w:space="0" w:color="auto"/>
        <w:bottom w:val="none" w:sz="0" w:space="0" w:color="auto"/>
        <w:right w:val="none" w:sz="0" w:space="0" w:color="auto"/>
      </w:divBdr>
      <w:divsChild>
        <w:div w:id="343554682">
          <w:marLeft w:val="1166"/>
          <w:marRight w:val="0"/>
          <w:marTop w:val="96"/>
          <w:marBottom w:val="0"/>
          <w:divBdr>
            <w:top w:val="none" w:sz="0" w:space="0" w:color="auto"/>
            <w:left w:val="none" w:sz="0" w:space="0" w:color="auto"/>
            <w:bottom w:val="none" w:sz="0" w:space="0" w:color="auto"/>
            <w:right w:val="none" w:sz="0" w:space="0" w:color="auto"/>
          </w:divBdr>
        </w:div>
        <w:div w:id="1102989076">
          <w:marLeft w:val="547"/>
          <w:marRight w:val="0"/>
          <w:marTop w:val="106"/>
          <w:marBottom w:val="0"/>
          <w:divBdr>
            <w:top w:val="none" w:sz="0" w:space="0" w:color="auto"/>
            <w:left w:val="none" w:sz="0" w:space="0" w:color="auto"/>
            <w:bottom w:val="none" w:sz="0" w:space="0" w:color="auto"/>
            <w:right w:val="none" w:sz="0" w:space="0" w:color="auto"/>
          </w:divBdr>
        </w:div>
        <w:div w:id="1133326031">
          <w:marLeft w:val="1166"/>
          <w:marRight w:val="0"/>
          <w:marTop w:val="96"/>
          <w:marBottom w:val="0"/>
          <w:divBdr>
            <w:top w:val="none" w:sz="0" w:space="0" w:color="auto"/>
            <w:left w:val="none" w:sz="0" w:space="0" w:color="auto"/>
            <w:bottom w:val="none" w:sz="0" w:space="0" w:color="auto"/>
            <w:right w:val="none" w:sz="0" w:space="0" w:color="auto"/>
          </w:divBdr>
        </w:div>
        <w:div w:id="1475954203">
          <w:marLeft w:val="547"/>
          <w:marRight w:val="0"/>
          <w:marTop w:val="106"/>
          <w:marBottom w:val="0"/>
          <w:divBdr>
            <w:top w:val="none" w:sz="0" w:space="0" w:color="auto"/>
            <w:left w:val="none" w:sz="0" w:space="0" w:color="auto"/>
            <w:bottom w:val="none" w:sz="0" w:space="0" w:color="auto"/>
            <w:right w:val="none" w:sz="0" w:space="0" w:color="auto"/>
          </w:divBdr>
        </w:div>
        <w:div w:id="1564757895">
          <w:marLeft w:val="547"/>
          <w:marRight w:val="0"/>
          <w:marTop w:val="106"/>
          <w:marBottom w:val="0"/>
          <w:divBdr>
            <w:top w:val="none" w:sz="0" w:space="0" w:color="auto"/>
            <w:left w:val="none" w:sz="0" w:space="0" w:color="auto"/>
            <w:bottom w:val="none" w:sz="0" w:space="0" w:color="auto"/>
            <w:right w:val="none" w:sz="0" w:space="0" w:color="auto"/>
          </w:divBdr>
        </w:div>
        <w:div w:id="1997952045">
          <w:marLeft w:val="1166"/>
          <w:marRight w:val="0"/>
          <w:marTop w:val="96"/>
          <w:marBottom w:val="0"/>
          <w:divBdr>
            <w:top w:val="none" w:sz="0" w:space="0" w:color="auto"/>
            <w:left w:val="none" w:sz="0" w:space="0" w:color="auto"/>
            <w:bottom w:val="none" w:sz="0" w:space="0" w:color="auto"/>
            <w:right w:val="none" w:sz="0" w:space="0" w:color="auto"/>
          </w:divBdr>
        </w:div>
      </w:divsChild>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898275041">
      <w:bodyDiv w:val="1"/>
      <w:marLeft w:val="0"/>
      <w:marRight w:val="0"/>
      <w:marTop w:val="0"/>
      <w:marBottom w:val="0"/>
      <w:divBdr>
        <w:top w:val="none" w:sz="0" w:space="0" w:color="auto"/>
        <w:left w:val="none" w:sz="0" w:space="0" w:color="auto"/>
        <w:bottom w:val="none" w:sz="0" w:space="0" w:color="auto"/>
        <w:right w:val="none" w:sz="0" w:space="0" w:color="auto"/>
      </w:divBdr>
    </w:div>
    <w:div w:id="1920744710">
      <w:bodyDiv w:val="1"/>
      <w:marLeft w:val="0"/>
      <w:marRight w:val="0"/>
      <w:marTop w:val="0"/>
      <w:marBottom w:val="0"/>
      <w:divBdr>
        <w:top w:val="none" w:sz="0" w:space="0" w:color="auto"/>
        <w:left w:val="none" w:sz="0" w:space="0" w:color="auto"/>
        <w:bottom w:val="none" w:sz="0" w:space="0" w:color="auto"/>
        <w:right w:val="none" w:sz="0" w:space="0" w:color="auto"/>
      </w:divBdr>
    </w:div>
    <w:div w:id="1924601401">
      <w:bodyDiv w:val="1"/>
      <w:marLeft w:val="0"/>
      <w:marRight w:val="0"/>
      <w:marTop w:val="0"/>
      <w:marBottom w:val="0"/>
      <w:divBdr>
        <w:top w:val="none" w:sz="0" w:space="0" w:color="auto"/>
        <w:left w:val="none" w:sz="0" w:space="0" w:color="auto"/>
        <w:bottom w:val="none" w:sz="0" w:space="0" w:color="auto"/>
        <w:right w:val="none" w:sz="0" w:space="0" w:color="auto"/>
      </w:divBdr>
      <w:divsChild>
        <w:div w:id="400951348">
          <w:marLeft w:val="1166"/>
          <w:marRight w:val="0"/>
          <w:marTop w:val="96"/>
          <w:marBottom w:val="0"/>
          <w:divBdr>
            <w:top w:val="none" w:sz="0" w:space="0" w:color="auto"/>
            <w:left w:val="none" w:sz="0" w:space="0" w:color="auto"/>
            <w:bottom w:val="none" w:sz="0" w:space="0" w:color="auto"/>
            <w:right w:val="none" w:sz="0" w:space="0" w:color="auto"/>
          </w:divBdr>
        </w:div>
        <w:div w:id="696275372">
          <w:marLeft w:val="547"/>
          <w:marRight w:val="0"/>
          <w:marTop w:val="106"/>
          <w:marBottom w:val="0"/>
          <w:divBdr>
            <w:top w:val="none" w:sz="0" w:space="0" w:color="auto"/>
            <w:left w:val="none" w:sz="0" w:space="0" w:color="auto"/>
            <w:bottom w:val="none" w:sz="0" w:space="0" w:color="auto"/>
            <w:right w:val="none" w:sz="0" w:space="0" w:color="auto"/>
          </w:divBdr>
        </w:div>
        <w:div w:id="986320136">
          <w:marLeft w:val="547"/>
          <w:marRight w:val="0"/>
          <w:marTop w:val="106"/>
          <w:marBottom w:val="0"/>
          <w:divBdr>
            <w:top w:val="none" w:sz="0" w:space="0" w:color="auto"/>
            <w:left w:val="none" w:sz="0" w:space="0" w:color="auto"/>
            <w:bottom w:val="none" w:sz="0" w:space="0" w:color="auto"/>
            <w:right w:val="none" w:sz="0" w:space="0" w:color="auto"/>
          </w:divBdr>
        </w:div>
        <w:div w:id="1001545270">
          <w:marLeft w:val="1166"/>
          <w:marRight w:val="0"/>
          <w:marTop w:val="96"/>
          <w:marBottom w:val="0"/>
          <w:divBdr>
            <w:top w:val="none" w:sz="0" w:space="0" w:color="auto"/>
            <w:left w:val="none" w:sz="0" w:space="0" w:color="auto"/>
            <w:bottom w:val="none" w:sz="0" w:space="0" w:color="auto"/>
            <w:right w:val="none" w:sz="0" w:space="0" w:color="auto"/>
          </w:divBdr>
        </w:div>
        <w:div w:id="1004548443">
          <w:marLeft w:val="547"/>
          <w:marRight w:val="0"/>
          <w:marTop w:val="106"/>
          <w:marBottom w:val="0"/>
          <w:divBdr>
            <w:top w:val="none" w:sz="0" w:space="0" w:color="auto"/>
            <w:left w:val="none" w:sz="0" w:space="0" w:color="auto"/>
            <w:bottom w:val="none" w:sz="0" w:space="0" w:color="auto"/>
            <w:right w:val="none" w:sz="0" w:space="0" w:color="auto"/>
          </w:divBdr>
        </w:div>
        <w:div w:id="1140610075">
          <w:marLeft w:val="547"/>
          <w:marRight w:val="0"/>
          <w:marTop w:val="106"/>
          <w:marBottom w:val="0"/>
          <w:divBdr>
            <w:top w:val="none" w:sz="0" w:space="0" w:color="auto"/>
            <w:left w:val="none" w:sz="0" w:space="0" w:color="auto"/>
            <w:bottom w:val="none" w:sz="0" w:space="0" w:color="auto"/>
            <w:right w:val="none" w:sz="0" w:space="0" w:color="auto"/>
          </w:divBdr>
        </w:div>
        <w:div w:id="1607888920">
          <w:marLeft w:val="1166"/>
          <w:marRight w:val="0"/>
          <w:marTop w:val="96"/>
          <w:marBottom w:val="0"/>
          <w:divBdr>
            <w:top w:val="none" w:sz="0" w:space="0" w:color="auto"/>
            <w:left w:val="none" w:sz="0" w:space="0" w:color="auto"/>
            <w:bottom w:val="none" w:sz="0" w:space="0" w:color="auto"/>
            <w:right w:val="none" w:sz="0" w:space="0" w:color="auto"/>
          </w:divBdr>
        </w:div>
      </w:divsChild>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39292999">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74169252">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16567643">
      <w:bodyDiv w:val="1"/>
      <w:marLeft w:val="0"/>
      <w:marRight w:val="0"/>
      <w:marTop w:val="0"/>
      <w:marBottom w:val="0"/>
      <w:divBdr>
        <w:top w:val="none" w:sz="0" w:space="0" w:color="auto"/>
        <w:left w:val="none" w:sz="0" w:space="0" w:color="auto"/>
        <w:bottom w:val="none" w:sz="0" w:space="0" w:color="auto"/>
        <w:right w:val="none" w:sz="0" w:space="0" w:color="auto"/>
      </w:divBdr>
    </w:div>
    <w:div w:id="2028676598">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39308296">
      <w:bodyDiv w:val="1"/>
      <w:marLeft w:val="0"/>
      <w:marRight w:val="0"/>
      <w:marTop w:val="0"/>
      <w:marBottom w:val="0"/>
      <w:divBdr>
        <w:top w:val="none" w:sz="0" w:space="0" w:color="auto"/>
        <w:left w:val="none" w:sz="0" w:space="0" w:color="auto"/>
        <w:bottom w:val="none" w:sz="0" w:space="0" w:color="auto"/>
        <w:right w:val="none" w:sz="0" w:space="0" w:color="auto"/>
      </w:divBdr>
    </w:div>
    <w:div w:id="2040466295">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64063209">
      <w:bodyDiv w:val="1"/>
      <w:marLeft w:val="0"/>
      <w:marRight w:val="0"/>
      <w:marTop w:val="0"/>
      <w:marBottom w:val="0"/>
      <w:divBdr>
        <w:top w:val="none" w:sz="0" w:space="0" w:color="auto"/>
        <w:left w:val="none" w:sz="0" w:space="0" w:color="auto"/>
        <w:bottom w:val="none" w:sz="0" w:space="0" w:color="auto"/>
        <w:right w:val="none" w:sz="0" w:space="0" w:color="auto"/>
      </w:divBdr>
    </w:div>
    <w:div w:id="2077629966">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095122553">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 w:id="211589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45</TotalTime>
  <Pages>25</Pages>
  <Words>8237</Words>
  <Characters>46952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55079</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msynott</dc:creator>
  <cp:keywords/>
  <dc:description/>
  <cp:lastModifiedBy>Michelle Synott</cp:lastModifiedBy>
  <cp:revision>12</cp:revision>
  <cp:lastPrinted>2024-01-08T01:31:00Z</cp:lastPrinted>
  <dcterms:created xsi:type="dcterms:W3CDTF">2024-02-14T04:55:00Z</dcterms:created>
  <dcterms:modified xsi:type="dcterms:W3CDTF">2024-02-22T01:47:00Z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y fmtid="{D5CDD505-2E9C-101B-9397-08002B2CF9AE}" pid="4" name="MSIP_Label_defa4170-0d19-0005-0004-bc88714345d2_Enabled">
    <vt:lpwstr>true</vt:lpwstr>
  </property>
  <property fmtid="{D5CDD505-2E9C-101B-9397-08002B2CF9AE}" pid="5" name="MSIP_Label_defa4170-0d19-0005-0004-bc88714345d2_SetDate">
    <vt:lpwstr>2023-12-06T00:02:41Z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18164870-dc27-4677-a269-62dbd92c10ea</vt:lpwstr>
  </property>
  <property fmtid="{D5CDD505-2E9C-101B-9397-08002B2CF9AE}" pid="9" name="MSIP_Label_defa4170-0d19-0005-0004-bc88714345d2_ActionId">
    <vt:lpwstr>72f69e5f-b329-429b-be8f-1f9031a46df8</vt:lpwstr>
  </property>
  <property fmtid="{D5CDD505-2E9C-101B-9397-08002B2CF9AE}" pid="10" name="MSIP_Label_defa4170-0d19-0005-0004-bc88714345d2_ContentBits">
    <vt:lpwstr>0</vt:lpwstr>
  </property>
</Properties>
</file>