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0B67808A"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60E5A">
        <w:rPr>
          <w:caps w:val="0"/>
        </w:rPr>
        <w:t>6</w:t>
      </w:r>
      <w:r w:rsidR="00965911">
        <w:rPr>
          <w:caps w:val="0"/>
        </w:rPr>
        <w:t>4</w:t>
      </w:r>
    </w:p>
    <w:p w14:paraId="0C6B487A" w14:textId="77777777" w:rsidR="00900037" w:rsidRPr="00013220" w:rsidRDefault="00900037" w:rsidP="002B6652">
      <w:pPr>
        <w:pStyle w:val="Subtitle"/>
        <w:ind w:left="-426" w:right="-623"/>
        <w:jc w:val="center"/>
        <w:rPr>
          <w:b/>
          <w:i w:val="0"/>
          <w:sz w:val="36"/>
          <w:szCs w:val="36"/>
        </w:rPr>
      </w:pPr>
    </w:p>
    <w:p w14:paraId="0AC82FDD" w14:textId="582BF016" w:rsidR="00900037" w:rsidRPr="006F7EC0" w:rsidRDefault="00965911" w:rsidP="006F7EC0">
      <w:pPr>
        <w:pStyle w:val="Title"/>
        <w:spacing w:before="200"/>
        <w:ind w:left="-426" w:right="-623"/>
        <w:jc w:val="center"/>
        <w:rPr>
          <w:caps w:val="0"/>
          <w:sz w:val="28"/>
          <w:szCs w:val="28"/>
        </w:rPr>
      </w:pPr>
      <w:r>
        <w:rPr>
          <w:caps w:val="0"/>
          <w:sz w:val="28"/>
          <w:szCs w:val="28"/>
        </w:rPr>
        <w:t xml:space="preserve">April </w:t>
      </w:r>
      <w:r w:rsidR="00D85930">
        <w:rPr>
          <w:caps w:val="0"/>
          <w:sz w:val="28"/>
          <w:szCs w:val="28"/>
        </w:rPr>
        <w:t>202</w:t>
      </w:r>
      <w:r w:rsidR="00BC09BB">
        <w:rPr>
          <w:caps w:val="0"/>
          <w:sz w:val="28"/>
          <w:szCs w:val="28"/>
        </w:rPr>
        <w:t>4</w:t>
      </w:r>
      <w:r w:rsidR="00D85930">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June </w:t>
      </w:r>
      <w:r w:rsidR="00D85930">
        <w:rPr>
          <w:caps w:val="0"/>
          <w:sz w:val="28"/>
          <w:szCs w:val="28"/>
        </w:rPr>
        <w:t>202</w:t>
      </w:r>
      <w:r w:rsidR="00BC09BB">
        <w:rPr>
          <w:caps w:val="0"/>
          <w:sz w:val="28"/>
          <w:szCs w:val="28"/>
        </w:rPr>
        <w:t>4</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49D852B1"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4E6485">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7DBD1872" w:rsidR="008A481F" w:rsidRPr="00ED55CD" w:rsidRDefault="00536924" w:rsidP="00EE5878">
      <w:pPr>
        <w:ind w:left="-142" w:right="-425"/>
        <w:jc w:val="both"/>
        <w:rPr>
          <w:rFonts w:cs="Arial"/>
        </w:rPr>
      </w:pPr>
      <w:r w:rsidRPr="00ED55CD">
        <w:rPr>
          <w:rFonts w:cs="Arial"/>
        </w:rPr>
        <w:t xml:space="preserve">The </w:t>
      </w:r>
      <w:r w:rsidR="00105F8E" w:rsidRPr="00ED55CD">
        <w:rPr>
          <w:rFonts w:cs="Arial"/>
        </w:rPr>
        <w:t>Famil</w:t>
      </w:r>
      <w:r w:rsidR="00105F8E">
        <w:rPr>
          <w:rFonts w:cs="Arial"/>
        </w:rPr>
        <w:t>y</w:t>
      </w:r>
      <w:r w:rsidR="00105F8E" w:rsidRPr="00ED55CD">
        <w:rPr>
          <w:rFonts w:cs="Arial"/>
        </w:rPr>
        <w:t xml:space="preserve"> </w:t>
      </w:r>
      <w:r w:rsidRPr="00ED55CD">
        <w:rPr>
          <w:rFonts w:cs="Arial"/>
        </w:rPr>
        <w:t>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5040856A"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965911">
        <w:rPr>
          <w:rFonts w:cs="Arial"/>
        </w:rPr>
        <w:t>April</w:t>
      </w:r>
      <w:r w:rsidR="00965911" w:rsidRPr="00ED55CD">
        <w:rPr>
          <w:rFonts w:cs="Arial"/>
        </w:rPr>
        <w:t xml:space="preserve"> </w:t>
      </w:r>
      <w:r w:rsidR="003467B2" w:rsidRPr="00ED55CD">
        <w:rPr>
          <w:rFonts w:cs="Arial"/>
        </w:rPr>
        <w:t xml:space="preserve">to </w:t>
      </w:r>
      <w:r w:rsidR="00965911">
        <w:rPr>
          <w:rFonts w:cs="Arial"/>
        </w:rPr>
        <w:t>June</w:t>
      </w:r>
      <w:r w:rsidR="00965911" w:rsidRPr="00ED55CD">
        <w:rPr>
          <w:rFonts w:cs="Arial"/>
        </w:rPr>
        <w:t xml:space="preserve"> </w:t>
      </w:r>
      <w:r w:rsidR="00D85930">
        <w:rPr>
          <w:rFonts w:cs="Arial"/>
        </w:rPr>
        <w:t>202</w:t>
      </w:r>
      <w:r w:rsidR="00BC09BB">
        <w:rPr>
          <w:rFonts w:cs="Arial"/>
        </w:rPr>
        <w:t>4</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115F6ABD"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460E5A">
        <w:rPr>
          <w:rFonts w:cs="Arial"/>
        </w:rPr>
        <w:t>6</w:t>
      </w:r>
      <w:r w:rsidR="00965911">
        <w:rPr>
          <w:rFonts w:cs="Arial"/>
        </w:rPr>
        <w:t>4</w:t>
      </w:r>
      <w:r w:rsidR="00281E08" w:rsidRPr="00ED55CD">
        <w:rPr>
          <w:rFonts w:cs="Arial"/>
        </w:rPr>
        <w:t xml:space="preserve"> </w:t>
      </w:r>
      <w:r w:rsidRPr="00ED55CD">
        <w:rPr>
          <w:rFonts w:cs="Arial"/>
        </w:rPr>
        <w:t>with comparisons shown to the previous quarter.</w:t>
      </w:r>
    </w:p>
    <w:p w14:paraId="0C420264" w14:textId="77777777" w:rsidR="0023544C" w:rsidRPr="007A56DA" w:rsidRDefault="0023544C" w:rsidP="007A56DA">
      <w:pPr>
        <w:ind w:left="-142" w:right="-425"/>
        <w:jc w:val="both"/>
        <w:rPr>
          <w:rFonts w:cs="Arial"/>
        </w:rPr>
      </w:pPr>
      <w:bookmarkStart w:id="0" w:name="_Hlk38021442"/>
    </w:p>
    <w:p w14:paraId="7466B2AC" w14:textId="3F9D61D9"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965911">
        <w:rPr>
          <w:sz w:val="16"/>
          <w:szCs w:val="16"/>
        </w:rPr>
        <w:t xml:space="preserve">January </w:t>
      </w:r>
      <w:r w:rsidR="00413FAC">
        <w:rPr>
          <w:sz w:val="16"/>
          <w:szCs w:val="16"/>
        </w:rPr>
        <w:t>202</w:t>
      </w:r>
      <w:r w:rsidR="00965911">
        <w:rPr>
          <w:sz w:val="16"/>
          <w:szCs w:val="16"/>
        </w:rPr>
        <w:t>4</w:t>
      </w:r>
      <w:r w:rsidR="00DA70CA">
        <w:rPr>
          <w:sz w:val="16"/>
          <w:szCs w:val="16"/>
        </w:rPr>
        <w:t xml:space="preserve"> </w:t>
      </w:r>
      <w:r>
        <w:rPr>
          <w:sz w:val="16"/>
          <w:szCs w:val="16"/>
        </w:rPr>
        <w:t xml:space="preserve">to </w:t>
      </w:r>
      <w:r w:rsidR="007B7E78">
        <w:rPr>
          <w:sz w:val="16"/>
          <w:szCs w:val="16"/>
        </w:rPr>
        <w:t>3</w:t>
      </w:r>
      <w:r w:rsidR="00965911">
        <w:rPr>
          <w:sz w:val="16"/>
          <w:szCs w:val="16"/>
        </w:rPr>
        <w:t xml:space="preserve">0 June </w:t>
      </w:r>
      <w:r w:rsidR="00C01980">
        <w:rPr>
          <w:sz w:val="16"/>
          <w:szCs w:val="16"/>
        </w:rPr>
        <w:t>202</w:t>
      </w:r>
      <w:r w:rsidR="00BC09BB">
        <w:rPr>
          <w:sz w:val="16"/>
          <w:szCs w:val="16"/>
        </w:rPr>
        <w:t>4</w:t>
      </w:r>
    </w:p>
    <w:tbl>
      <w:tblPr>
        <w:tblW w:w="8565" w:type="dxa"/>
        <w:tblInd w:w="103" w:type="dxa"/>
        <w:tblLook w:val="04A0" w:firstRow="1" w:lastRow="0" w:firstColumn="1" w:lastColumn="0" w:noHBand="0" w:noVBand="1"/>
      </w:tblPr>
      <w:tblGrid>
        <w:gridCol w:w="6706"/>
        <w:gridCol w:w="961"/>
        <w:gridCol w:w="898"/>
      </w:tblGrid>
      <w:tr w:rsidR="00286295" w:rsidRPr="00504360" w14:paraId="0784B417" w14:textId="27277602" w:rsidTr="00286295">
        <w:trPr>
          <w:trHeight w:val="398"/>
        </w:trPr>
        <w:tc>
          <w:tcPr>
            <w:tcW w:w="6706"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286295" w:rsidRPr="00504360" w:rsidRDefault="00286295" w:rsidP="00286295">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61" w:type="dxa"/>
            <w:tcBorders>
              <w:top w:val="single" w:sz="4" w:space="0" w:color="auto"/>
              <w:left w:val="single" w:sz="4" w:space="0" w:color="auto"/>
              <w:bottom w:val="single" w:sz="4" w:space="0" w:color="auto"/>
              <w:right w:val="single" w:sz="4" w:space="0" w:color="auto"/>
            </w:tcBorders>
          </w:tcPr>
          <w:p w14:paraId="21DA877E" w14:textId="0D6B434B" w:rsidR="00286295" w:rsidRPr="00504360" w:rsidRDefault="00286295" w:rsidP="00286295">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63</w:t>
            </w:r>
          </w:p>
        </w:tc>
        <w:tc>
          <w:tcPr>
            <w:tcW w:w="898" w:type="dxa"/>
            <w:tcBorders>
              <w:top w:val="single" w:sz="4" w:space="0" w:color="auto"/>
              <w:left w:val="single" w:sz="4" w:space="0" w:color="auto"/>
              <w:bottom w:val="single" w:sz="4" w:space="0" w:color="auto"/>
              <w:right w:val="single" w:sz="4" w:space="0" w:color="auto"/>
            </w:tcBorders>
          </w:tcPr>
          <w:p w14:paraId="2FE7023A" w14:textId="4C251AC6" w:rsidR="00286295" w:rsidRPr="00504360" w:rsidRDefault="00286295" w:rsidP="00286295">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64</w:t>
            </w:r>
          </w:p>
        </w:tc>
      </w:tr>
      <w:tr w:rsidR="00286295" w:rsidRPr="00504360" w14:paraId="2B1B5FCF" w14:textId="4C4D2C68"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E8F5726" w14:textId="0D4E4259" w:rsidR="00286295" w:rsidRPr="00504360" w:rsidRDefault="00286295" w:rsidP="00286295">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61" w:type="dxa"/>
            <w:tcBorders>
              <w:top w:val="single" w:sz="4" w:space="0" w:color="auto"/>
              <w:left w:val="single" w:sz="4" w:space="0" w:color="auto"/>
              <w:bottom w:val="single" w:sz="4" w:space="0" w:color="auto"/>
              <w:right w:val="single" w:sz="4" w:space="0" w:color="auto"/>
            </w:tcBorders>
          </w:tcPr>
          <w:p w14:paraId="4E224CEA" w14:textId="670155BB" w:rsidR="00286295" w:rsidRDefault="00286295" w:rsidP="00286295">
            <w:pPr>
              <w:spacing w:line="240" w:lineRule="auto"/>
              <w:jc w:val="right"/>
              <w:rPr>
                <w:rFonts w:cs="Arial"/>
                <w:sz w:val="18"/>
                <w:szCs w:val="18"/>
              </w:rPr>
            </w:pPr>
            <w:r>
              <w:rPr>
                <w:rFonts w:cs="Arial"/>
                <w:sz w:val="18"/>
                <w:szCs w:val="18"/>
              </w:rPr>
              <w:t>1,679</w:t>
            </w:r>
          </w:p>
        </w:tc>
        <w:tc>
          <w:tcPr>
            <w:tcW w:w="898" w:type="dxa"/>
            <w:tcBorders>
              <w:top w:val="single" w:sz="4" w:space="0" w:color="auto"/>
              <w:left w:val="single" w:sz="4" w:space="0" w:color="auto"/>
              <w:bottom w:val="single" w:sz="4" w:space="0" w:color="auto"/>
              <w:right w:val="single" w:sz="4" w:space="0" w:color="auto"/>
            </w:tcBorders>
          </w:tcPr>
          <w:p w14:paraId="47AD7A9B" w14:textId="34076B62" w:rsidR="00286295" w:rsidRDefault="00286295" w:rsidP="00286295">
            <w:pPr>
              <w:spacing w:line="240" w:lineRule="auto"/>
              <w:jc w:val="right"/>
              <w:rPr>
                <w:rFonts w:cs="Arial"/>
                <w:sz w:val="18"/>
                <w:szCs w:val="18"/>
              </w:rPr>
            </w:pPr>
            <w:r>
              <w:rPr>
                <w:rFonts w:cs="Arial"/>
                <w:sz w:val="18"/>
                <w:szCs w:val="18"/>
              </w:rPr>
              <w:t>1,872</w:t>
            </w:r>
          </w:p>
        </w:tc>
      </w:tr>
      <w:tr w:rsidR="00286295" w:rsidRPr="00504360" w14:paraId="624B7E23" w14:textId="65456A91"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7B61E1FF" w14:textId="384922C7" w:rsidR="00286295" w:rsidRPr="00504360" w:rsidRDefault="00286295" w:rsidP="00286295">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tcPr>
          <w:p w14:paraId="782FBAEE" w14:textId="3942DDB2" w:rsidR="00286295" w:rsidRDefault="00286295" w:rsidP="00286295">
            <w:pPr>
              <w:spacing w:line="240" w:lineRule="auto"/>
              <w:jc w:val="right"/>
              <w:rPr>
                <w:rFonts w:cs="Arial"/>
                <w:sz w:val="18"/>
                <w:szCs w:val="18"/>
              </w:rPr>
            </w:pPr>
            <w:r>
              <w:rPr>
                <w:rFonts w:cs="Arial"/>
                <w:sz w:val="18"/>
                <w:szCs w:val="18"/>
              </w:rPr>
              <w:t>1,087</w:t>
            </w:r>
          </w:p>
        </w:tc>
        <w:tc>
          <w:tcPr>
            <w:tcW w:w="898" w:type="dxa"/>
            <w:tcBorders>
              <w:top w:val="single" w:sz="4" w:space="0" w:color="auto"/>
              <w:left w:val="single" w:sz="4" w:space="0" w:color="auto"/>
              <w:bottom w:val="single" w:sz="4" w:space="0" w:color="auto"/>
              <w:right w:val="single" w:sz="4" w:space="0" w:color="auto"/>
            </w:tcBorders>
          </w:tcPr>
          <w:p w14:paraId="331629D9" w14:textId="1BAF5AA8" w:rsidR="00286295" w:rsidRDefault="00286295" w:rsidP="00286295">
            <w:pPr>
              <w:spacing w:line="240" w:lineRule="auto"/>
              <w:jc w:val="right"/>
              <w:rPr>
                <w:rFonts w:cs="Arial"/>
                <w:sz w:val="18"/>
                <w:szCs w:val="18"/>
              </w:rPr>
            </w:pPr>
            <w:r>
              <w:rPr>
                <w:rFonts w:cs="Arial"/>
                <w:sz w:val="18"/>
                <w:szCs w:val="18"/>
              </w:rPr>
              <w:t>1,280</w:t>
            </w:r>
          </w:p>
        </w:tc>
      </w:tr>
      <w:tr w:rsidR="00286295" w:rsidRPr="00504360" w14:paraId="387F01C7" w14:textId="74503642"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6955DD30" w14:textId="72D55FA5" w:rsidR="00286295" w:rsidRPr="00504360" w:rsidRDefault="00286295" w:rsidP="00286295">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61" w:type="dxa"/>
            <w:tcBorders>
              <w:top w:val="single" w:sz="4" w:space="0" w:color="auto"/>
              <w:left w:val="single" w:sz="4" w:space="0" w:color="auto"/>
              <w:bottom w:val="single" w:sz="4" w:space="0" w:color="auto"/>
              <w:right w:val="single" w:sz="4" w:space="0" w:color="auto"/>
            </w:tcBorders>
          </w:tcPr>
          <w:p w14:paraId="151494EC" w14:textId="553FCBAE" w:rsidR="00286295" w:rsidRDefault="00286295" w:rsidP="00286295">
            <w:pPr>
              <w:spacing w:line="240" w:lineRule="auto"/>
              <w:jc w:val="right"/>
              <w:rPr>
                <w:rFonts w:cs="Arial"/>
                <w:sz w:val="18"/>
                <w:szCs w:val="18"/>
              </w:rPr>
            </w:pPr>
            <w:r>
              <w:rPr>
                <w:rFonts w:cs="Arial"/>
                <w:sz w:val="18"/>
                <w:szCs w:val="18"/>
              </w:rPr>
              <w:t>592</w:t>
            </w:r>
          </w:p>
        </w:tc>
        <w:tc>
          <w:tcPr>
            <w:tcW w:w="898" w:type="dxa"/>
            <w:tcBorders>
              <w:top w:val="single" w:sz="4" w:space="0" w:color="auto"/>
              <w:left w:val="single" w:sz="4" w:space="0" w:color="auto"/>
              <w:bottom w:val="single" w:sz="4" w:space="0" w:color="auto"/>
              <w:right w:val="single" w:sz="4" w:space="0" w:color="auto"/>
            </w:tcBorders>
          </w:tcPr>
          <w:p w14:paraId="443E664E" w14:textId="3135A085" w:rsidR="00286295" w:rsidRDefault="00286295" w:rsidP="00286295">
            <w:pPr>
              <w:spacing w:line="240" w:lineRule="auto"/>
              <w:jc w:val="right"/>
              <w:rPr>
                <w:rFonts w:cs="Arial"/>
                <w:sz w:val="18"/>
                <w:szCs w:val="18"/>
              </w:rPr>
            </w:pPr>
            <w:r>
              <w:rPr>
                <w:rFonts w:cs="Arial"/>
                <w:sz w:val="18"/>
                <w:szCs w:val="18"/>
              </w:rPr>
              <w:t>592</w:t>
            </w:r>
          </w:p>
        </w:tc>
      </w:tr>
      <w:tr w:rsidR="00286295" w:rsidRPr="00504360" w14:paraId="5B71472F" w14:textId="28E7A092" w:rsidTr="00133EE4">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8542D45" w14:textId="3B7AB833" w:rsidR="00286295" w:rsidRPr="00504360" w:rsidRDefault="00286295" w:rsidP="00286295">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489CE8DE" w14:textId="0B75C022" w:rsidR="00286295" w:rsidRDefault="00286295" w:rsidP="00286295">
            <w:pPr>
              <w:spacing w:line="240" w:lineRule="auto"/>
              <w:jc w:val="right"/>
              <w:rPr>
                <w:rFonts w:cs="Arial"/>
                <w:sz w:val="18"/>
                <w:szCs w:val="18"/>
              </w:rPr>
            </w:pPr>
            <w:r>
              <w:rPr>
                <w:rFonts w:cs="Arial"/>
                <w:sz w:val="18"/>
                <w:szCs w:val="18"/>
              </w:rPr>
              <w:t>598</w:t>
            </w:r>
          </w:p>
        </w:tc>
        <w:tc>
          <w:tcPr>
            <w:tcW w:w="898" w:type="dxa"/>
            <w:tcBorders>
              <w:top w:val="single" w:sz="4" w:space="0" w:color="auto"/>
              <w:left w:val="single" w:sz="4" w:space="0" w:color="auto"/>
              <w:bottom w:val="single" w:sz="4" w:space="0" w:color="auto"/>
              <w:right w:val="single" w:sz="4" w:space="0" w:color="auto"/>
            </w:tcBorders>
            <w:vAlign w:val="center"/>
          </w:tcPr>
          <w:p w14:paraId="5907B989" w14:textId="139A368E" w:rsidR="00286295" w:rsidRDefault="008D50AD" w:rsidP="00286295">
            <w:pPr>
              <w:spacing w:line="240" w:lineRule="auto"/>
              <w:jc w:val="right"/>
              <w:rPr>
                <w:rFonts w:cs="Arial"/>
                <w:sz w:val="18"/>
                <w:szCs w:val="18"/>
              </w:rPr>
            </w:pPr>
            <w:r>
              <w:rPr>
                <w:rFonts w:cs="Arial"/>
                <w:sz w:val="18"/>
                <w:szCs w:val="18"/>
              </w:rPr>
              <w:t>667</w:t>
            </w:r>
          </w:p>
        </w:tc>
      </w:tr>
      <w:tr w:rsidR="00286295" w:rsidRPr="00504360" w14:paraId="5B70DF90" w14:textId="186594F6" w:rsidTr="00286295">
        <w:trPr>
          <w:trHeight w:val="128"/>
        </w:trPr>
        <w:tc>
          <w:tcPr>
            <w:tcW w:w="6706" w:type="dxa"/>
            <w:tcBorders>
              <w:top w:val="nil"/>
              <w:left w:val="single" w:sz="4" w:space="0" w:color="auto"/>
              <w:bottom w:val="single" w:sz="4" w:space="0" w:color="auto"/>
              <w:right w:val="single" w:sz="4" w:space="0" w:color="auto"/>
            </w:tcBorders>
            <w:shd w:val="clear" w:color="auto" w:fill="auto"/>
            <w:vAlign w:val="center"/>
          </w:tcPr>
          <w:p w14:paraId="79B93333" w14:textId="77777777" w:rsidR="00286295" w:rsidRPr="00504360" w:rsidRDefault="00286295" w:rsidP="00286295">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44B207E3" w14:textId="3F589DBC" w:rsidR="00286295" w:rsidRPr="00733DE0" w:rsidRDefault="00286295" w:rsidP="00286295">
            <w:pPr>
              <w:spacing w:line="240" w:lineRule="auto"/>
              <w:jc w:val="right"/>
              <w:rPr>
                <w:rFonts w:cs="Arial"/>
                <w:sz w:val="18"/>
                <w:szCs w:val="18"/>
              </w:rPr>
            </w:pPr>
            <w:r>
              <w:rPr>
                <w:rFonts w:cs="Arial"/>
                <w:sz w:val="18"/>
                <w:szCs w:val="18"/>
              </w:rPr>
              <w:t> </w:t>
            </w:r>
          </w:p>
        </w:tc>
        <w:tc>
          <w:tcPr>
            <w:tcW w:w="898" w:type="dxa"/>
            <w:tcBorders>
              <w:top w:val="single" w:sz="4" w:space="0" w:color="auto"/>
              <w:left w:val="single" w:sz="4" w:space="0" w:color="auto"/>
              <w:bottom w:val="single" w:sz="4" w:space="0" w:color="auto"/>
              <w:right w:val="single" w:sz="4" w:space="0" w:color="auto"/>
            </w:tcBorders>
            <w:vAlign w:val="center"/>
          </w:tcPr>
          <w:p w14:paraId="0C107331" w14:textId="2550A645" w:rsidR="00286295" w:rsidRPr="00733DE0" w:rsidRDefault="00286295" w:rsidP="00286295">
            <w:pPr>
              <w:spacing w:line="240" w:lineRule="auto"/>
              <w:jc w:val="right"/>
              <w:rPr>
                <w:rFonts w:cs="Arial"/>
                <w:sz w:val="18"/>
                <w:szCs w:val="18"/>
              </w:rPr>
            </w:pPr>
          </w:p>
        </w:tc>
      </w:tr>
      <w:tr w:rsidR="00286295" w:rsidRPr="00504360" w14:paraId="4598B56C" w14:textId="6E1FDFC3"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4812E09" w14:textId="3ACBCAEC" w:rsidR="00286295" w:rsidRPr="001E2C9A" w:rsidRDefault="00286295" w:rsidP="00286295">
            <w:pPr>
              <w:spacing w:line="240" w:lineRule="auto"/>
              <w:rPr>
                <w:rFonts w:cs="Arial"/>
                <w:b/>
                <w:bCs/>
                <w:sz w:val="18"/>
                <w:szCs w:val="18"/>
                <w:lang w:eastAsia="en-AU"/>
              </w:rPr>
            </w:pPr>
            <w:r w:rsidRPr="0041058E">
              <w:rPr>
                <w:rFonts w:cs="Arial"/>
                <w:b/>
                <w:bCs/>
                <w:sz w:val="18"/>
                <w:szCs w:val="18"/>
                <w:lang w:eastAsia="en-AU"/>
              </w:rPr>
              <w:t>Conferences</w:t>
            </w:r>
          </w:p>
        </w:tc>
        <w:tc>
          <w:tcPr>
            <w:tcW w:w="961" w:type="dxa"/>
            <w:tcBorders>
              <w:top w:val="single" w:sz="4" w:space="0" w:color="auto"/>
              <w:left w:val="single" w:sz="4" w:space="0" w:color="auto"/>
              <w:bottom w:val="single" w:sz="4" w:space="0" w:color="auto"/>
              <w:right w:val="single" w:sz="4" w:space="0" w:color="auto"/>
            </w:tcBorders>
            <w:vAlign w:val="center"/>
          </w:tcPr>
          <w:p w14:paraId="05DADFF9" w14:textId="45A816C7" w:rsidR="00286295" w:rsidRPr="00733DE0" w:rsidRDefault="00286295" w:rsidP="00286295">
            <w:pPr>
              <w:spacing w:line="240" w:lineRule="auto"/>
              <w:jc w:val="right"/>
              <w:rPr>
                <w:rFonts w:cs="Arial"/>
                <w:sz w:val="18"/>
                <w:szCs w:val="18"/>
              </w:rPr>
            </w:pPr>
            <w:r>
              <w:rPr>
                <w:rFonts w:cs="Arial"/>
                <w:sz w:val="18"/>
                <w:szCs w:val="18"/>
              </w:rPr>
              <w:t> </w:t>
            </w:r>
          </w:p>
        </w:tc>
        <w:tc>
          <w:tcPr>
            <w:tcW w:w="898" w:type="dxa"/>
            <w:tcBorders>
              <w:top w:val="single" w:sz="4" w:space="0" w:color="auto"/>
              <w:left w:val="single" w:sz="4" w:space="0" w:color="auto"/>
              <w:bottom w:val="single" w:sz="4" w:space="0" w:color="auto"/>
              <w:right w:val="single" w:sz="4" w:space="0" w:color="auto"/>
            </w:tcBorders>
            <w:vAlign w:val="center"/>
          </w:tcPr>
          <w:p w14:paraId="57D8282F" w14:textId="22077B63" w:rsidR="00286295" w:rsidRPr="00733DE0" w:rsidRDefault="00286295" w:rsidP="00286295">
            <w:pPr>
              <w:spacing w:line="240" w:lineRule="auto"/>
              <w:jc w:val="right"/>
              <w:rPr>
                <w:rFonts w:cs="Arial"/>
                <w:sz w:val="18"/>
                <w:szCs w:val="18"/>
              </w:rPr>
            </w:pPr>
          </w:p>
        </w:tc>
      </w:tr>
      <w:tr w:rsidR="00286295" w:rsidRPr="00504360" w14:paraId="357F6E2A" w14:textId="1A8A8617"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CD2AEC3" w14:textId="72F76CB9" w:rsidR="00286295" w:rsidRPr="0041058E" w:rsidRDefault="00286295" w:rsidP="00286295">
            <w:pPr>
              <w:spacing w:line="240" w:lineRule="auto"/>
              <w:rPr>
                <w:rFonts w:cs="Arial"/>
                <w:b/>
                <w:bCs/>
                <w:sz w:val="18"/>
                <w:szCs w:val="18"/>
                <w:lang w:eastAsia="en-AU"/>
              </w:rPr>
            </w:pPr>
            <w:r w:rsidRPr="00504360">
              <w:rPr>
                <w:rFonts w:cs="Arial"/>
                <w:sz w:val="18"/>
                <w:szCs w:val="18"/>
                <w:lang w:eastAsia="en-AU"/>
              </w:rPr>
              <w:t>Conferences conducted</w:t>
            </w:r>
          </w:p>
        </w:tc>
        <w:tc>
          <w:tcPr>
            <w:tcW w:w="961" w:type="dxa"/>
            <w:tcBorders>
              <w:top w:val="single" w:sz="4" w:space="0" w:color="auto"/>
              <w:left w:val="single" w:sz="4" w:space="0" w:color="auto"/>
              <w:bottom w:val="single" w:sz="4" w:space="0" w:color="auto"/>
              <w:right w:val="single" w:sz="4" w:space="0" w:color="auto"/>
            </w:tcBorders>
            <w:vAlign w:val="center"/>
          </w:tcPr>
          <w:p w14:paraId="77B1A2DB" w14:textId="5C7EB632" w:rsidR="00286295" w:rsidRDefault="00286295" w:rsidP="00286295">
            <w:pPr>
              <w:spacing w:line="240" w:lineRule="auto"/>
              <w:jc w:val="right"/>
              <w:rPr>
                <w:rFonts w:cs="Arial"/>
                <w:sz w:val="18"/>
                <w:szCs w:val="18"/>
              </w:rPr>
            </w:pPr>
            <w:r>
              <w:rPr>
                <w:rFonts w:cs="Arial"/>
                <w:sz w:val="18"/>
                <w:szCs w:val="18"/>
              </w:rPr>
              <w:t>244</w:t>
            </w:r>
          </w:p>
        </w:tc>
        <w:tc>
          <w:tcPr>
            <w:tcW w:w="898" w:type="dxa"/>
            <w:tcBorders>
              <w:top w:val="single" w:sz="4" w:space="0" w:color="auto"/>
              <w:left w:val="single" w:sz="4" w:space="0" w:color="auto"/>
              <w:bottom w:val="single" w:sz="4" w:space="0" w:color="auto"/>
              <w:right w:val="single" w:sz="4" w:space="0" w:color="auto"/>
            </w:tcBorders>
            <w:vAlign w:val="center"/>
          </w:tcPr>
          <w:p w14:paraId="4F46F33A" w14:textId="4BCEFEC4" w:rsidR="00286295" w:rsidRDefault="00286295" w:rsidP="00286295">
            <w:pPr>
              <w:spacing w:line="240" w:lineRule="auto"/>
              <w:jc w:val="right"/>
              <w:rPr>
                <w:rFonts w:cs="Arial"/>
                <w:sz w:val="18"/>
                <w:szCs w:val="18"/>
              </w:rPr>
            </w:pPr>
            <w:r>
              <w:rPr>
                <w:rFonts w:cs="Arial"/>
                <w:sz w:val="18"/>
                <w:szCs w:val="18"/>
              </w:rPr>
              <w:t>201</w:t>
            </w:r>
          </w:p>
        </w:tc>
      </w:tr>
      <w:tr w:rsidR="00286295" w:rsidRPr="00504360" w14:paraId="6640BF7C" w14:textId="6FEDCDDC"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7F4BA4D9" w14:textId="42488895" w:rsidR="00286295" w:rsidRPr="00504360" w:rsidRDefault="00286295" w:rsidP="00286295">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61" w:type="dxa"/>
            <w:tcBorders>
              <w:top w:val="single" w:sz="4" w:space="0" w:color="auto"/>
              <w:left w:val="single" w:sz="4" w:space="0" w:color="auto"/>
              <w:bottom w:val="single" w:sz="4" w:space="0" w:color="auto"/>
              <w:right w:val="single" w:sz="4" w:space="0" w:color="auto"/>
            </w:tcBorders>
            <w:vAlign w:val="center"/>
          </w:tcPr>
          <w:p w14:paraId="464B998D" w14:textId="04207735" w:rsidR="00286295" w:rsidRDefault="00286295" w:rsidP="00286295">
            <w:pPr>
              <w:spacing w:line="240" w:lineRule="auto"/>
              <w:jc w:val="right"/>
              <w:rPr>
                <w:rFonts w:cs="Arial"/>
                <w:sz w:val="18"/>
                <w:szCs w:val="18"/>
              </w:rPr>
            </w:pPr>
            <w:r>
              <w:rPr>
                <w:rFonts w:cs="Arial"/>
                <w:sz w:val="18"/>
                <w:szCs w:val="18"/>
              </w:rPr>
              <w:t>193</w:t>
            </w:r>
          </w:p>
        </w:tc>
        <w:tc>
          <w:tcPr>
            <w:tcW w:w="898" w:type="dxa"/>
            <w:tcBorders>
              <w:top w:val="single" w:sz="4" w:space="0" w:color="auto"/>
              <w:left w:val="single" w:sz="4" w:space="0" w:color="auto"/>
              <w:bottom w:val="single" w:sz="4" w:space="0" w:color="auto"/>
              <w:right w:val="single" w:sz="4" w:space="0" w:color="auto"/>
            </w:tcBorders>
            <w:vAlign w:val="center"/>
          </w:tcPr>
          <w:p w14:paraId="10FF704E" w14:textId="5F107659" w:rsidR="00286295" w:rsidRDefault="00286295" w:rsidP="00286295">
            <w:pPr>
              <w:spacing w:line="240" w:lineRule="auto"/>
              <w:jc w:val="right"/>
              <w:rPr>
                <w:rFonts w:cs="Arial"/>
                <w:sz w:val="18"/>
                <w:szCs w:val="18"/>
              </w:rPr>
            </w:pPr>
            <w:r>
              <w:rPr>
                <w:rFonts w:cs="Arial"/>
                <w:sz w:val="18"/>
                <w:szCs w:val="18"/>
              </w:rPr>
              <w:t>172</w:t>
            </w:r>
          </w:p>
        </w:tc>
      </w:tr>
      <w:tr w:rsidR="00286295" w:rsidRPr="00504360" w14:paraId="5461BF2B" w14:textId="32840BB8"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31A9D1E6" w14:textId="41FA7E88" w:rsidR="00286295" w:rsidRPr="00504360" w:rsidRDefault="00286295" w:rsidP="00286295">
            <w:pPr>
              <w:spacing w:line="240" w:lineRule="auto"/>
              <w:rPr>
                <w:rFonts w:cs="Arial"/>
                <w:sz w:val="18"/>
                <w:szCs w:val="18"/>
                <w:lang w:eastAsia="en-AU"/>
              </w:rPr>
            </w:pPr>
            <w:r w:rsidRPr="0041058E">
              <w:rPr>
                <w:rFonts w:cs="Arial"/>
                <w:sz w:val="18"/>
                <w:szCs w:val="18"/>
                <w:lang w:eastAsia="en-AU"/>
              </w:rPr>
              <w:t>Attendance percentage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291F1151" w14:textId="6C89D3F7" w:rsidR="00286295" w:rsidRDefault="00286295" w:rsidP="00286295">
            <w:pPr>
              <w:spacing w:line="240" w:lineRule="auto"/>
              <w:jc w:val="right"/>
              <w:rPr>
                <w:rFonts w:cs="Arial"/>
                <w:sz w:val="18"/>
                <w:szCs w:val="18"/>
              </w:rPr>
            </w:pPr>
            <w:r>
              <w:rPr>
                <w:rFonts w:cs="Arial"/>
                <w:sz w:val="18"/>
                <w:szCs w:val="18"/>
              </w:rPr>
              <w:t>70%</w:t>
            </w:r>
          </w:p>
        </w:tc>
        <w:tc>
          <w:tcPr>
            <w:tcW w:w="898" w:type="dxa"/>
            <w:tcBorders>
              <w:top w:val="single" w:sz="4" w:space="0" w:color="auto"/>
              <w:left w:val="single" w:sz="4" w:space="0" w:color="auto"/>
              <w:bottom w:val="single" w:sz="4" w:space="0" w:color="auto"/>
              <w:right w:val="single" w:sz="4" w:space="0" w:color="auto"/>
            </w:tcBorders>
            <w:vAlign w:val="center"/>
          </w:tcPr>
          <w:p w14:paraId="0EC27234" w14:textId="159929AC" w:rsidR="00286295" w:rsidRDefault="00286295" w:rsidP="00286295">
            <w:pPr>
              <w:spacing w:line="240" w:lineRule="auto"/>
              <w:jc w:val="right"/>
              <w:rPr>
                <w:rFonts w:cs="Arial"/>
                <w:sz w:val="18"/>
                <w:szCs w:val="18"/>
              </w:rPr>
            </w:pPr>
            <w:r>
              <w:rPr>
                <w:rFonts w:cs="Arial"/>
                <w:sz w:val="18"/>
                <w:szCs w:val="18"/>
              </w:rPr>
              <w:t>76%</w:t>
            </w:r>
          </w:p>
        </w:tc>
      </w:tr>
      <w:tr w:rsidR="00286295" w:rsidRPr="00504360" w14:paraId="71489B13" w14:textId="54A3FEFE"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3AC9675E" w14:textId="41D4EDB0" w:rsidR="00286295" w:rsidRPr="00504360" w:rsidRDefault="00286295" w:rsidP="00286295">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0BCABC82" w14:textId="7E958EE8" w:rsidR="00286295" w:rsidRDefault="00286295" w:rsidP="00286295">
            <w:pPr>
              <w:spacing w:line="240" w:lineRule="auto"/>
              <w:jc w:val="right"/>
              <w:rPr>
                <w:rFonts w:cs="Arial"/>
                <w:sz w:val="18"/>
                <w:szCs w:val="18"/>
              </w:rPr>
            </w:pPr>
            <w:r>
              <w:rPr>
                <w:rFonts w:cs="Arial"/>
                <w:sz w:val="18"/>
                <w:szCs w:val="18"/>
              </w:rPr>
              <w:t>16%</w:t>
            </w:r>
          </w:p>
        </w:tc>
        <w:tc>
          <w:tcPr>
            <w:tcW w:w="898" w:type="dxa"/>
            <w:tcBorders>
              <w:top w:val="single" w:sz="4" w:space="0" w:color="auto"/>
              <w:left w:val="single" w:sz="4" w:space="0" w:color="auto"/>
              <w:bottom w:val="single" w:sz="4" w:space="0" w:color="auto"/>
              <w:right w:val="single" w:sz="4" w:space="0" w:color="auto"/>
            </w:tcBorders>
            <w:vAlign w:val="center"/>
          </w:tcPr>
          <w:p w14:paraId="327A48C4" w14:textId="2FE07032" w:rsidR="00286295" w:rsidRDefault="00286295" w:rsidP="00286295">
            <w:pPr>
              <w:spacing w:line="240" w:lineRule="auto"/>
              <w:jc w:val="right"/>
              <w:rPr>
                <w:rFonts w:cs="Arial"/>
                <w:sz w:val="18"/>
                <w:szCs w:val="18"/>
              </w:rPr>
            </w:pPr>
            <w:r>
              <w:rPr>
                <w:rFonts w:cs="Arial"/>
                <w:sz w:val="18"/>
                <w:szCs w:val="18"/>
              </w:rPr>
              <w:t>40%</w:t>
            </w:r>
          </w:p>
        </w:tc>
      </w:tr>
      <w:tr w:rsidR="00286295" w:rsidRPr="00504360" w14:paraId="000DC7AD" w14:textId="18464FA9" w:rsidTr="00286295">
        <w:trPr>
          <w:trHeight w:val="152"/>
        </w:trPr>
        <w:tc>
          <w:tcPr>
            <w:tcW w:w="6706" w:type="dxa"/>
            <w:tcBorders>
              <w:top w:val="nil"/>
              <w:left w:val="single" w:sz="4" w:space="0" w:color="auto"/>
              <w:bottom w:val="single" w:sz="4" w:space="0" w:color="auto"/>
              <w:right w:val="single" w:sz="4" w:space="0" w:color="auto"/>
            </w:tcBorders>
            <w:shd w:val="clear" w:color="auto" w:fill="auto"/>
            <w:vAlign w:val="center"/>
          </w:tcPr>
          <w:p w14:paraId="7D6B840B" w14:textId="77777777" w:rsidR="00286295" w:rsidRPr="00504360" w:rsidRDefault="00286295" w:rsidP="00286295">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6D6736ED" w14:textId="4A9854F0" w:rsidR="00286295" w:rsidRPr="00733DE0" w:rsidRDefault="00286295" w:rsidP="00286295">
            <w:pPr>
              <w:spacing w:line="240" w:lineRule="auto"/>
              <w:jc w:val="right"/>
              <w:rPr>
                <w:rFonts w:cs="Arial"/>
                <w:sz w:val="18"/>
                <w:szCs w:val="18"/>
                <w:lang w:eastAsia="en-AU"/>
              </w:rPr>
            </w:pPr>
            <w:r>
              <w:rPr>
                <w:rFonts w:cs="Arial"/>
                <w:sz w:val="18"/>
                <w:szCs w:val="18"/>
              </w:rPr>
              <w:t> </w:t>
            </w:r>
          </w:p>
        </w:tc>
        <w:tc>
          <w:tcPr>
            <w:tcW w:w="898" w:type="dxa"/>
            <w:tcBorders>
              <w:top w:val="single" w:sz="4" w:space="0" w:color="auto"/>
              <w:left w:val="single" w:sz="4" w:space="0" w:color="auto"/>
              <w:bottom w:val="single" w:sz="4" w:space="0" w:color="auto"/>
              <w:right w:val="single" w:sz="4" w:space="0" w:color="auto"/>
            </w:tcBorders>
            <w:vAlign w:val="center"/>
          </w:tcPr>
          <w:p w14:paraId="5C6AD2AC" w14:textId="3E68892F" w:rsidR="00286295" w:rsidRPr="00733DE0" w:rsidRDefault="00286295" w:rsidP="00286295">
            <w:pPr>
              <w:spacing w:line="240" w:lineRule="auto"/>
              <w:jc w:val="right"/>
              <w:rPr>
                <w:rFonts w:cs="Arial"/>
                <w:sz w:val="18"/>
                <w:szCs w:val="18"/>
                <w:lang w:eastAsia="en-AU"/>
              </w:rPr>
            </w:pPr>
          </w:p>
        </w:tc>
      </w:tr>
      <w:tr w:rsidR="00286295" w:rsidRPr="00504360" w14:paraId="242866B2" w14:textId="0920E6E1"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31F76B6" w14:textId="6FFCCD1B" w:rsidR="00286295" w:rsidRPr="00504360" w:rsidRDefault="00286295" w:rsidP="00286295">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61" w:type="dxa"/>
            <w:tcBorders>
              <w:top w:val="single" w:sz="4" w:space="0" w:color="auto"/>
              <w:left w:val="single" w:sz="4" w:space="0" w:color="auto"/>
              <w:bottom w:val="single" w:sz="4" w:space="0" w:color="auto"/>
              <w:right w:val="single" w:sz="4" w:space="0" w:color="auto"/>
            </w:tcBorders>
            <w:vAlign w:val="center"/>
          </w:tcPr>
          <w:p w14:paraId="0F355862" w14:textId="50FF625D" w:rsidR="00286295" w:rsidRPr="00733DE0" w:rsidRDefault="00286295" w:rsidP="00286295">
            <w:pPr>
              <w:spacing w:line="240" w:lineRule="auto"/>
              <w:jc w:val="right"/>
              <w:rPr>
                <w:rFonts w:cs="Arial"/>
                <w:sz w:val="18"/>
                <w:szCs w:val="18"/>
                <w:lang w:eastAsia="en-AU"/>
              </w:rPr>
            </w:pPr>
            <w:r>
              <w:rPr>
                <w:rFonts w:cs="Arial"/>
                <w:sz w:val="18"/>
                <w:szCs w:val="18"/>
              </w:rPr>
              <w:t> </w:t>
            </w:r>
          </w:p>
        </w:tc>
        <w:tc>
          <w:tcPr>
            <w:tcW w:w="898" w:type="dxa"/>
            <w:tcBorders>
              <w:top w:val="single" w:sz="4" w:space="0" w:color="auto"/>
              <w:left w:val="single" w:sz="4" w:space="0" w:color="auto"/>
              <w:bottom w:val="single" w:sz="4" w:space="0" w:color="auto"/>
              <w:right w:val="single" w:sz="4" w:space="0" w:color="auto"/>
            </w:tcBorders>
            <w:vAlign w:val="center"/>
          </w:tcPr>
          <w:p w14:paraId="4E4609C6" w14:textId="4B63A5A4" w:rsidR="00286295" w:rsidRPr="00733DE0" w:rsidRDefault="00286295" w:rsidP="00286295">
            <w:pPr>
              <w:spacing w:line="240" w:lineRule="auto"/>
              <w:jc w:val="right"/>
              <w:rPr>
                <w:rFonts w:cs="Arial"/>
                <w:sz w:val="18"/>
                <w:szCs w:val="18"/>
                <w:lang w:eastAsia="en-AU"/>
              </w:rPr>
            </w:pPr>
          </w:p>
        </w:tc>
      </w:tr>
      <w:tr w:rsidR="00286295" w:rsidRPr="00504360" w14:paraId="5D7BAD0E" w14:textId="6FF1C812"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286295" w:rsidRPr="00504360" w:rsidRDefault="00286295" w:rsidP="00286295">
            <w:pPr>
              <w:spacing w:line="240" w:lineRule="auto"/>
              <w:rPr>
                <w:rFonts w:cs="Arial"/>
                <w:sz w:val="18"/>
                <w:szCs w:val="18"/>
                <w:lang w:eastAsia="en-AU"/>
              </w:rPr>
            </w:pPr>
            <w:r w:rsidRPr="00504360">
              <w:rPr>
                <w:rFonts w:cs="Arial"/>
                <w:sz w:val="18"/>
                <w:szCs w:val="18"/>
              </w:rPr>
              <w:t>Agreements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7F5282A6" w14:textId="706D6831" w:rsidR="00286295" w:rsidRDefault="00286295" w:rsidP="00286295">
            <w:pPr>
              <w:spacing w:line="240" w:lineRule="auto"/>
              <w:jc w:val="right"/>
              <w:rPr>
                <w:rFonts w:cs="Arial"/>
                <w:sz w:val="18"/>
                <w:szCs w:val="18"/>
              </w:rPr>
            </w:pPr>
            <w:r>
              <w:rPr>
                <w:rFonts w:cs="Arial"/>
                <w:sz w:val="18"/>
                <w:szCs w:val="18"/>
              </w:rPr>
              <w:t>74</w:t>
            </w:r>
          </w:p>
        </w:tc>
        <w:tc>
          <w:tcPr>
            <w:tcW w:w="898" w:type="dxa"/>
            <w:tcBorders>
              <w:top w:val="single" w:sz="4" w:space="0" w:color="auto"/>
              <w:left w:val="single" w:sz="4" w:space="0" w:color="auto"/>
              <w:bottom w:val="single" w:sz="4" w:space="0" w:color="auto"/>
              <w:right w:val="single" w:sz="4" w:space="0" w:color="auto"/>
            </w:tcBorders>
            <w:vAlign w:val="center"/>
          </w:tcPr>
          <w:p w14:paraId="29953DE5" w14:textId="5CDF0D01" w:rsidR="00286295" w:rsidRDefault="00286295" w:rsidP="00286295">
            <w:pPr>
              <w:spacing w:line="240" w:lineRule="auto"/>
              <w:jc w:val="right"/>
              <w:rPr>
                <w:rFonts w:cs="Arial"/>
                <w:sz w:val="18"/>
                <w:szCs w:val="18"/>
              </w:rPr>
            </w:pPr>
            <w:r>
              <w:rPr>
                <w:rFonts w:cs="Arial"/>
                <w:sz w:val="18"/>
                <w:szCs w:val="18"/>
              </w:rPr>
              <w:t>64</w:t>
            </w:r>
          </w:p>
        </w:tc>
      </w:tr>
      <w:tr w:rsidR="00286295" w:rsidRPr="00504360" w14:paraId="2EEF3859" w14:textId="5D744EA2"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286295" w:rsidRPr="00504360" w:rsidRDefault="00286295" w:rsidP="00286295">
            <w:pPr>
              <w:spacing w:line="240" w:lineRule="auto"/>
              <w:rPr>
                <w:rFonts w:cs="Arial"/>
                <w:sz w:val="18"/>
                <w:szCs w:val="18"/>
                <w:lang w:eastAsia="en-AU"/>
              </w:rPr>
            </w:pPr>
            <w:r w:rsidRPr="00504360">
              <w:rPr>
                <w:rFonts w:cs="Arial"/>
                <w:sz w:val="18"/>
                <w:szCs w:val="18"/>
              </w:rPr>
              <w:t>Orders made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784C0EBB" w14:textId="30431AE9" w:rsidR="00286295" w:rsidRDefault="00286295" w:rsidP="00286295">
            <w:pPr>
              <w:spacing w:line="240" w:lineRule="auto"/>
              <w:jc w:val="right"/>
              <w:rPr>
                <w:rFonts w:cs="Arial"/>
                <w:sz w:val="18"/>
                <w:szCs w:val="18"/>
              </w:rPr>
            </w:pPr>
            <w:r>
              <w:rPr>
                <w:rFonts w:cs="Arial"/>
                <w:sz w:val="18"/>
                <w:szCs w:val="18"/>
              </w:rPr>
              <w:t>23</w:t>
            </w:r>
          </w:p>
        </w:tc>
        <w:tc>
          <w:tcPr>
            <w:tcW w:w="898" w:type="dxa"/>
            <w:tcBorders>
              <w:top w:val="single" w:sz="4" w:space="0" w:color="auto"/>
              <w:left w:val="single" w:sz="4" w:space="0" w:color="auto"/>
              <w:bottom w:val="single" w:sz="4" w:space="0" w:color="auto"/>
              <w:right w:val="single" w:sz="4" w:space="0" w:color="auto"/>
            </w:tcBorders>
            <w:vAlign w:val="center"/>
          </w:tcPr>
          <w:p w14:paraId="51F991E4" w14:textId="7402C809" w:rsidR="00286295" w:rsidRDefault="00286295" w:rsidP="00286295">
            <w:pPr>
              <w:spacing w:line="240" w:lineRule="auto"/>
              <w:jc w:val="right"/>
              <w:rPr>
                <w:rFonts w:cs="Arial"/>
                <w:sz w:val="18"/>
                <w:szCs w:val="18"/>
              </w:rPr>
            </w:pPr>
            <w:r>
              <w:rPr>
                <w:rFonts w:cs="Arial"/>
                <w:sz w:val="18"/>
                <w:szCs w:val="18"/>
              </w:rPr>
              <w:t>19</w:t>
            </w:r>
          </w:p>
        </w:tc>
      </w:tr>
      <w:tr w:rsidR="00286295" w:rsidRPr="00504360" w14:paraId="6ABD7603" w14:textId="6E5EA706"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19A8B33" w14:textId="46622F3D" w:rsidR="00286295" w:rsidRPr="00504360" w:rsidRDefault="00286295" w:rsidP="00286295">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61" w:type="dxa"/>
            <w:tcBorders>
              <w:top w:val="single" w:sz="4" w:space="0" w:color="auto"/>
              <w:left w:val="single" w:sz="4" w:space="0" w:color="auto"/>
              <w:bottom w:val="single" w:sz="4" w:space="0" w:color="auto"/>
              <w:right w:val="single" w:sz="4" w:space="0" w:color="auto"/>
            </w:tcBorders>
            <w:vAlign w:val="center"/>
          </w:tcPr>
          <w:p w14:paraId="196379A3" w14:textId="196C20E8" w:rsidR="00286295" w:rsidRDefault="00286295" w:rsidP="00286295">
            <w:pPr>
              <w:spacing w:line="240" w:lineRule="auto"/>
              <w:jc w:val="right"/>
              <w:rPr>
                <w:rFonts w:cs="Arial"/>
                <w:sz w:val="18"/>
                <w:szCs w:val="18"/>
              </w:rPr>
            </w:pPr>
            <w:r>
              <w:rPr>
                <w:rFonts w:cs="Arial"/>
                <w:sz w:val="18"/>
                <w:szCs w:val="18"/>
              </w:rPr>
              <w:t>115</w:t>
            </w:r>
          </w:p>
        </w:tc>
        <w:tc>
          <w:tcPr>
            <w:tcW w:w="898" w:type="dxa"/>
            <w:tcBorders>
              <w:top w:val="single" w:sz="4" w:space="0" w:color="auto"/>
              <w:left w:val="single" w:sz="4" w:space="0" w:color="auto"/>
              <w:bottom w:val="single" w:sz="4" w:space="0" w:color="auto"/>
              <w:right w:val="single" w:sz="4" w:space="0" w:color="auto"/>
            </w:tcBorders>
            <w:vAlign w:val="center"/>
          </w:tcPr>
          <w:p w14:paraId="403A9128" w14:textId="29C0F7F5" w:rsidR="00286295" w:rsidRDefault="00286295" w:rsidP="00286295">
            <w:pPr>
              <w:spacing w:line="240" w:lineRule="auto"/>
              <w:jc w:val="right"/>
              <w:rPr>
                <w:rFonts w:cs="Arial"/>
                <w:sz w:val="18"/>
                <w:szCs w:val="18"/>
              </w:rPr>
            </w:pPr>
            <w:r>
              <w:rPr>
                <w:rFonts w:cs="Arial"/>
                <w:sz w:val="18"/>
                <w:szCs w:val="18"/>
              </w:rPr>
              <w:t>98</w:t>
            </w:r>
          </w:p>
        </w:tc>
      </w:tr>
      <w:tr w:rsidR="00286295" w:rsidRPr="00504360" w14:paraId="2709F335" w14:textId="21DF8EAA"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25C9370F" w14:textId="6A13D77F" w:rsidR="00286295" w:rsidRDefault="00286295" w:rsidP="00286295">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61" w:type="dxa"/>
            <w:tcBorders>
              <w:top w:val="single" w:sz="4" w:space="0" w:color="auto"/>
              <w:left w:val="single" w:sz="4" w:space="0" w:color="auto"/>
              <w:bottom w:val="single" w:sz="4" w:space="0" w:color="auto"/>
              <w:right w:val="single" w:sz="4" w:space="0" w:color="auto"/>
            </w:tcBorders>
            <w:vAlign w:val="center"/>
          </w:tcPr>
          <w:p w14:paraId="23D27672" w14:textId="643729F6" w:rsidR="00286295" w:rsidRDefault="00286295" w:rsidP="00286295">
            <w:pPr>
              <w:spacing w:line="240" w:lineRule="auto"/>
              <w:jc w:val="right"/>
              <w:rPr>
                <w:rFonts w:cs="Arial"/>
                <w:sz w:val="18"/>
                <w:szCs w:val="18"/>
              </w:rPr>
            </w:pPr>
            <w:r>
              <w:rPr>
                <w:rFonts w:cs="Arial"/>
                <w:sz w:val="18"/>
                <w:szCs w:val="18"/>
              </w:rPr>
              <w:t>0</w:t>
            </w:r>
          </w:p>
        </w:tc>
        <w:tc>
          <w:tcPr>
            <w:tcW w:w="898" w:type="dxa"/>
            <w:tcBorders>
              <w:top w:val="single" w:sz="4" w:space="0" w:color="auto"/>
              <w:left w:val="single" w:sz="4" w:space="0" w:color="auto"/>
              <w:bottom w:val="single" w:sz="4" w:space="0" w:color="auto"/>
              <w:right w:val="single" w:sz="4" w:space="0" w:color="auto"/>
            </w:tcBorders>
            <w:vAlign w:val="center"/>
          </w:tcPr>
          <w:p w14:paraId="1870CF26" w14:textId="6AF5410D" w:rsidR="00286295" w:rsidRDefault="00286295" w:rsidP="00286295">
            <w:pPr>
              <w:spacing w:line="240" w:lineRule="auto"/>
              <w:jc w:val="right"/>
              <w:rPr>
                <w:rFonts w:cs="Arial"/>
                <w:sz w:val="18"/>
                <w:szCs w:val="18"/>
              </w:rPr>
            </w:pPr>
            <w:r>
              <w:rPr>
                <w:rFonts w:cs="Arial"/>
                <w:sz w:val="18"/>
                <w:szCs w:val="18"/>
              </w:rPr>
              <w:t>0</w:t>
            </w:r>
          </w:p>
        </w:tc>
      </w:tr>
      <w:tr w:rsidR="00286295" w:rsidRPr="00504360" w14:paraId="72AB99E7" w14:textId="3AC7B1E8" w:rsidTr="00286295">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6CFFF173" w14:textId="2C481091" w:rsidR="00286295" w:rsidRPr="00504360" w:rsidRDefault="00286295" w:rsidP="00286295">
            <w:pPr>
              <w:spacing w:line="240" w:lineRule="auto"/>
              <w:rPr>
                <w:rFonts w:cs="Arial"/>
                <w:sz w:val="18"/>
                <w:szCs w:val="18"/>
                <w:lang w:eastAsia="en-AU"/>
              </w:rPr>
            </w:pPr>
            <w:r w:rsidRPr="00504360">
              <w:rPr>
                <w:rFonts w:cs="Arial"/>
                <w:sz w:val="18"/>
                <w:szCs w:val="18"/>
              </w:rPr>
              <w:t>Orders made for CIM</w:t>
            </w:r>
          </w:p>
        </w:tc>
        <w:tc>
          <w:tcPr>
            <w:tcW w:w="961" w:type="dxa"/>
            <w:tcBorders>
              <w:top w:val="single" w:sz="4" w:space="0" w:color="auto"/>
              <w:left w:val="single" w:sz="4" w:space="0" w:color="auto"/>
              <w:bottom w:val="single" w:sz="4" w:space="0" w:color="auto"/>
              <w:right w:val="single" w:sz="4" w:space="0" w:color="auto"/>
            </w:tcBorders>
            <w:vAlign w:val="center"/>
          </w:tcPr>
          <w:p w14:paraId="6DD09631" w14:textId="3351BFB9" w:rsidR="00286295" w:rsidRDefault="00286295" w:rsidP="00286295">
            <w:pPr>
              <w:spacing w:line="240" w:lineRule="auto"/>
              <w:jc w:val="right"/>
              <w:rPr>
                <w:rFonts w:cs="Arial"/>
                <w:sz w:val="18"/>
                <w:szCs w:val="18"/>
              </w:rPr>
            </w:pPr>
            <w:r>
              <w:rPr>
                <w:rFonts w:cs="Arial"/>
                <w:sz w:val="18"/>
                <w:szCs w:val="18"/>
              </w:rPr>
              <w:t>9</w:t>
            </w:r>
          </w:p>
        </w:tc>
        <w:tc>
          <w:tcPr>
            <w:tcW w:w="898" w:type="dxa"/>
            <w:tcBorders>
              <w:top w:val="single" w:sz="4" w:space="0" w:color="auto"/>
              <w:left w:val="single" w:sz="4" w:space="0" w:color="auto"/>
              <w:bottom w:val="single" w:sz="4" w:space="0" w:color="auto"/>
              <w:right w:val="single" w:sz="4" w:space="0" w:color="auto"/>
            </w:tcBorders>
            <w:vAlign w:val="center"/>
          </w:tcPr>
          <w:p w14:paraId="1A00E79A" w14:textId="5DCD81C3" w:rsidR="00286295" w:rsidRDefault="00286295" w:rsidP="00286295">
            <w:pPr>
              <w:spacing w:line="240" w:lineRule="auto"/>
              <w:jc w:val="right"/>
              <w:rPr>
                <w:rFonts w:cs="Arial"/>
                <w:sz w:val="18"/>
                <w:szCs w:val="18"/>
              </w:rPr>
            </w:pPr>
            <w:r>
              <w:rPr>
                <w:rFonts w:cs="Arial"/>
                <w:sz w:val="18"/>
                <w:szCs w:val="18"/>
              </w:rPr>
              <w:t>4</w:t>
            </w:r>
          </w:p>
        </w:tc>
      </w:tr>
    </w:tbl>
    <w:p w14:paraId="2FD0CBCB" w14:textId="5E5C658B" w:rsidR="000114A6" w:rsidRDefault="000114A6"/>
    <w:p w14:paraId="19B06170" w14:textId="77777777" w:rsidR="000114A6" w:rsidRDefault="000114A6">
      <w:pPr>
        <w:spacing w:line="240" w:lineRule="auto"/>
      </w:pPr>
      <w:r>
        <w:br w:type="page"/>
      </w:r>
    </w:p>
    <w:tbl>
      <w:tblPr>
        <w:tblW w:w="8564" w:type="dxa"/>
        <w:tblInd w:w="103" w:type="dxa"/>
        <w:tblLook w:val="04A0" w:firstRow="1" w:lastRow="0" w:firstColumn="1" w:lastColumn="0" w:noHBand="0" w:noVBand="1"/>
      </w:tblPr>
      <w:tblGrid>
        <w:gridCol w:w="6706"/>
        <w:gridCol w:w="962"/>
        <w:gridCol w:w="896"/>
      </w:tblGrid>
      <w:tr w:rsidR="00286295" w:rsidRPr="00504360" w14:paraId="1D148075" w14:textId="6A7C970D" w:rsidTr="00286295">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920CEF9" w14:textId="22CFF7FC" w:rsidR="00286295" w:rsidRPr="0041058E" w:rsidRDefault="00286295" w:rsidP="00286295">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62" w:type="dxa"/>
            <w:tcBorders>
              <w:top w:val="single" w:sz="4" w:space="0" w:color="auto"/>
              <w:left w:val="single" w:sz="4" w:space="0" w:color="auto"/>
              <w:bottom w:val="single" w:sz="4" w:space="0" w:color="auto"/>
              <w:right w:val="single" w:sz="4" w:space="0" w:color="auto"/>
            </w:tcBorders>
          </w:tcPr>
          <w:p w14:paraId="7F8342CB" w14:textId="2BB8FB8F" w:rsidR="00286295" w:rsidRPr="00504360" w:rsidRDefault="00286295" w:rsidP="00286295">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63</w:t>
            </w:r>
          </w:p>
        </w:tc>
        <w:tc>
          <w:tcPr>
            <w:tcW w:w="896" w:type="dxa"/>
            <w:tcBorders>
              <w:top w:val="single" w:sz="4" w:space="0" w:color="auto"/>
              <w:left w:val="single" w:sz="4" w:space="0" w:color="auto"/>
              <w:bottom w:val="single" w:sz="4" w:space="0" w:color="auto"/>
              <w:right w:val="single" w:sz="4" w:space="0" w:color="auto"/>
            </w:tcBorders>
          </w:tcPr>
          <w:p w14:paraId="48BBC648" w14:textId="5D77492F" w:rsidR="00286295" w:rsidRPr="00504360" w:rsidRDefault="00286295" w:rsidP="00286295">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64</w:t>
            </w:r>
          </w:p>
        </w:tc>
      </w:tr>
      <w:tr w:rsidR="00286295" w:rsidRPr="00504360" w14:paraId="4E8132BF" w14:textId="66B29BF5" w:rsidTr="00286295">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3CB70D17" w14:textId="45EDC03D" w:rsidR="00286295" w:rsidRPr="00561C6C" w:rsidRDefault="00286295" w:rsidP="00286295">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62" w:type="dxa"/>
            <w:tcBorders>
              <w:top w:val="single" w:sz="4" w:space="0" w:color="auto"/>
              <w:left w:val="single" w:sz="4" w:space="0" w:color="auto"/>
              <w:bottom w:val="single" w:sz="4" w:space="0" w:color="auto"/>
              <w:right w:val="single" w:sz="4" w:space="0" w:color="auto"/>
            </w:tcBorders>
            <w:vAlign w:val="center"/>
          </w:tcPr>
          <w:p w14:paraId="2EE1559E" w14:textId="72975EBC" w:rsidR="00286295" w:rsidRDefault="00286295" w:rsidP="00286295">
            <w:pPr>
              <w:spacing w:line="240" w:lineRule="auto"/>
              <w:jc w:val="right"/>
              <w:rPr>
                <w:rFonts w:cs="Arial"/>
                <w:sz w:val="18"/>
                <w:szCs w:val="18"/>
              </w:rPr>
            </w:pPr>
            <w:r>
              <w:rPr>
                <w:rFonts w:cs="Arial"/>
                <w:sz w:val="18"/>
                <w:szCs w:val="18"/>
              </w:rPr>
              <w:t>53</w:t>
            </w:r>
          </w:p>
        </w:tc>
        <w:tc>
          <w:tcPr>
            <w:tcW w:w="896" w:type="dxa"/>
            <w:tcBorders>
              <w:top w:val="single" w:sz="4" w:space="0" w:color="auto"/>
              <w:left w:val="single" w:sz="4" w:space="0" w:color="auto"/>
              <w:bottom w:val="single" w:sz="4" w:space="0" w:color="auto"/>
              <w:right w:val="single" w:sz="4" w:space="0" w:color="auto"/>
            </w:tcBorders>
            <w:vAlign w:val="center"/>
          </w:tcPr>
          <w:p w14:paraId="6D16041B" w14:textId="328DA19A" w:rsidR="00286295" w:rsidRDefault="00286295" w:rsidP="00286295">
            <w:pPr>
              <w:spacing w:line="240" w:lineRule="auto"/>
              <w:jc w:val="right"/>
              <w:rPr>
                <w:rFonts w:cs="Arial"/>
                <w:sz w:val="18"/>
                <w:szCs w:val="18"/>
              </w:rPr>
            </w:pPr>
            <w:r>
              <w:rPr>
                <w:rFonts w:cs="Arial"/>
                <w:sz w:val="18"/>
                <w:szCs w:val="18"/>
              </w:rPr>
              <w:t>38</w:t>
            </w:r>
          </w:p>
        </w:tc>
      </w:tr>
      <w:tr w:rsidR="00286295" w:rsidRPr="00504360" w14:paraId="62188BF7" w14:textId="00A8748D" w:rsidTr="00286295">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2FACBC9B" w14:textId="66E2C5B0" w:rsidR="00286295" w:rsidRPr="00561C6C" w:rsidRDefault="00286295" w:rsidP="00286295">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746313C2" w14:textId="341A3E92" w:rsidR="00286295" w:rsidRDefault="00286295" w:rsidP="00286295">
            <w:pPr>
              <w:spacing w:line="240" w:lineRule="auto"/>
              <w:jc w:val="right"/>
              <w:rPr>
                <w:rFonts w:cs="Arial"/>
                <w:sz w:val="18"/>
                <w:szCs w:val="18"/>
              </w:rPr>
            </w:pPr>
            <w:r>
              <w:rPr>
                <w:rFonts w:cs="Arial"/>
                <w:sz w:val="18"/>
                <w:szCs w:val="18"/>
              </w:rPr>
              <w:t>32</w:t>
            </w:r>
          </w:p>
        </w:tc>
        <w:tc>
          <w:tcPr>
            <w:tcW w:w="896" w:type="dxa"/>
            <w:tcBorders>
              <w:top w:val="single" w:sz="4" w:space="0" w:color="auto"/>
              <w:left w:val="single" w:sz="4" w:space="0" w:color="auto"/>
              <w:bottom w:val="single" w:sz="4" w:space="0" w:color="auto"/>
              <w:right w:val="single" w:sz="4" w:space="0" w:color="auto"/>
            </w:tcBorders>
            <w:vAlign w:val="center"/>
          </w:tcPr>
          <w:p w14:paraId="598BF8B2" w14:textId="7E7D6BFB" w:rsidR="00286295" w:rsidRDefault="00286295" w:rsidP="00286295">
            <w:pPr>
              <w:spacing w:line="240" w:lineRule="auto"/>
              <w:jc w:val="right"/>
              <w:rPr>
                <w:rFonts w:cs="Arial"/>
                <w:sz w:val="18"/>
                <w:szCs w:val="18"/>
              </w:rPr>
            </w:pPr>
            <w:r>
              <w:rPr>
                <w:rFonts w:cs="Arial"/>
                <w:sz w:val="18"/>
                <w:szCs w:val="18"/>
              </w:rPr>
              <w:t>34</w:t>
            </w:r>
          </w:p>
        </w:tc>
      </w:tr>
      <w:tr w:rsidR="00286295" w:rsidRPr="00504360" w14:paraId="4805DD92" w14:textId="69D0BCB3" w:rsidTr="00286295">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07EAB58" w14:textId="47455EF2" w:rsidR="00286295" w:rsidRPr="00561C6C" w:rsidRDefault="00286295" w:rsidP="00286295">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6AAD483C" w14:textId="6DDF2CA5" w:rsidR="00286295" w:rsidRDefault="00286295" w:rsidP="00286295">
            <w:pPr>
              <w:spacing w:line="240" w:lineRule="auto"/>
              <w:jc w:val="right"/>
              <w:rPr>
                <w:rFonts w:cs="Arial"/>
                <w:sz w:val="18"/>
                <w:szCs w:val="18"/>
              </w:rPr>
            </w:pPr>
            <w:r>
              <w:rPr>
                <w:rFonts w:cs="Arial"/>
                <w:sz w:val="18"/>
                <w:szCs w:val="18"/>
              </w:rPr>
              <w:t>1</w:t>
            </w:r>
          </w:p>
        </w:tc>
        <w:tc>
          <w:tcPr>
            <w:tcW w:w="896" w:type="dxa"/>
            <w:tcBorders>
              <w:top w:val="single" w:sz="4" w:space="0" w:color="auto"/>
              <w:left w:val="single" w:sz="4" w:space="0" w:color="auto"/>
              <w:bottom w:val="single" w:sz="4" w:space="0" w:color="auto"/>
              <w:right w:val="single" w:sz="4" w:space="0" w:color="auto"/>
            </w:tcBorders>
            <w:vAlign w:val="center"/>
          </w:tcPr>
          <w:p w14:paraId="07E403E2" w14:textId="2CA470A0" w:rsidR="00286295" w:rsidRDefault="00286295" w:rsidP="00286295">
            <w:pPr>
              <w:spacing w:line="240" w:lineRule="auto"/>
              <w:jc w:val="right"/>
              <w:rPr>
                <w:rFonts w:cs="Arial"/>
                <w:sz w:val="18"/>
                <w:szCs w:val="18"/>
              </w:rPr>
            </w:pPr>
            <w:r>
              <w:rPr>
                <w:rFonts w:cs="Arial"/>
                <w:sz w:val="18"/>
                <w:szCs w:val="18"/>
              </w:rPr>
              <w:t>0</w:t>
            </w:r>
          </w:p>
        </w:tc>
      </w:tr>
      <w:tr w:rsidR="00286295" w:rsidRPr="00504360" w14:paraId="7C69E8E6" w14:textId="5175BB4F" w:rsidTr="00286295">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46760947" w14:textId="77777777" w:rsidR="00286295" w:rsidRPr="0041058E" w:rsidRDefault="00286295" w:rsidP="00286295">
            <w:pPr>
              <w:spacing w:line="240" w:lineRule="auto"/>
              <w:rPr>
                <w:rFonts w:cs="Arial"/>
                <w:b/>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1D72457E" w14:textId="25C0AC54" w:rsidR="00286295" w:rsidRPr="00504360" w:rsidRDefault="00286295" w:rsidP="00286295">
            <w:pPr>
              <w:spacing w:line="240" w:lineRule="auto"/>
              <w:jc w:val="right"/>
              <w:rPr>
                <w:rFonts w:cs="Arial"/>
                <w:b/>
                <w:bCs/>
                <w:sz w:val="18"/>
                <w:szCs w:val="18"/>
                <w:lang w:eastAsia="en-AU"/>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2C9FA71C" w14:textId="11924DD6" w:rsidR="00286295" w:rsidRPr="00504360" w:rsidRDefault="00286295" w:rsidP="00286295">
            <w:pPr>
              <w:spacing w:line="240" w:lineRule="auto"/>
              <w:jc w:val="right"/>
              <w:rPr>
                <w:rFonts w:cs="Arial"/>
                <w:b/>
                <w:bCs/>
                <w:sz w:val="18"/>
                <w:szCs w:val="18"/>
                <w:lang w:eastAsia="en-AU"/>
              </w:rPr>
            </w:pPr>
          </w:p>
        </w:tc>
      </w:tr>
      <w:tr w:rsidR="00286295" w:rsidRPr="00504360" w14:paraId="4B8C25F7" w14:textId="03DA95BF" w:rsidTr="00286295">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286295" w:rsidRPr="00504360" w:rsidRDefault="00286295" w:rsidP="00286295">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2110E07A" w14:textId="6B9FEC0D" w:rsidR="00286295" w:rsidRPr="00733DE0" w:rsidRDefault="00286295" w:rsidP="00286295">
            <w:pPr>
              <w:spacing w:line="240" w:lineRule="auto"/>
              <w:jc w:val="right"/>
              <w:rPr>
                <w:rFonts w:cs="Arial"/>
                <w:sz w:val="18"/>
                <w:szCs w:val="18"/>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73AF792E" w14:textId="34C0D54C" w:rsidR="00286295" w:rsidRPr="00733DE0" w:rsidRDefault="00286295" w:rsidP="00286295">
            <w:pPr>
              <w:spacing w:line="240" w:lineRule="auto"/>
              <w:jc w:val="right"/>
              <w:rPr>
                <w:rFonts w:cs="Arial"/>
                <w:sz w:val="18"/>
                <w:szCs w:val="18"/>
              </w:rPr>
            </w:pPr>
          </w:p>
        </w:tc>
      </w:tr>
      <w:tr w:rsidR="00286295" w:rsidRPr="00504360" w14:paraId="74C95294" w14:textId="2DC8CDC7"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115F8D9F" w14:textId="1122760F" w:rsidR="00286295" w:rsidRDefault="00286295" w:rsidP="00286295">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1EB26038" w14:textId="712FB13F" w:rsidR="00286295" w:rsidRDefault="00286295" w:rsidP="00286295">
            <w:pPr>
              <w:spacing w:line="240" w:lineRule="auto"/>
              <w:jc w:val="right"/>
              <w:rPr>
                <w:rFonts w:cs="Arial"/>
                <w:sz w:val="18"/>
                <w:szCs w:val="18"/>
              </w:rPr>
            </w:pPr>
            <w:r>
              <w:rPr>
                <w:rFonts w:cs="Arial"/>
                <w:sz w:val="18"/>
                <w:szCs w:val="18"/>
              </w:rPr>
              <w:t>3</w:t>
            </w:r>
          </w:p>
        </w:tc>
        <w:tc>
          <w:tcPr>
            <w:tcW w:w="896" w:type="dxa"/>
            <w:tcBorders>
              <w:top w:val="single" w:sz="4" w:space="0" w:color="auto"/>
              <w:left w:val="single" w:sz="4" w:space="0" w:color="auto"/>
              <w:bottom w:val="single" w:sz="4" w:space="0" w:color="auto"/>
              <w:right w:val="single" w:sz="4" w:space="0" w:color="auto"/>
            </w:tcBorders>
            <w:vAlign w:val="center"/>
          </w:tcPr>
          <w:p w14:paraId="0B8B0CB5" w14:textId="3FDEB397" w:rsidR="00286295" w:rsidRDefault="00E7496D" w:rsidP="00286295">
            <w:pPr>
              <w:spacing w:line="240" w:lineRule="auto"/>
              <w:jc w:val="right"/>
              <w:rPr>
                <w:rFonts w:cs="Arial"/>
                <w:sz w:val="18"/>
                <w:szCs w:val="18"/>
              </w:rPr>
            </w:pPr>
            <w:r>
              <w:rPr>
                <w:rFonts w:cs="Arial"/>
                <w:sz w:val="18"/>
                <w:szCs w:val="18"/>
              </w:rPr>
              <w:t>0</w:t>
            </w:r>
          </w:p>
        </w:tc>
      </w:tr>
      <w:tr w:rsidR="00286295" w:rsidRPr="00504360" w14:paraId="0F426218" w14:textId="7073452E"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776A41F8" w14:textId="70D6C571" w:rsidR="00286295" w:rsidRPr="00504360" w:rsidRDefault="00286295" w:rsidP="00286295">
            <w:pPr>
              <w:spacing w:line="240" w:lineRule="auto"/>
              <w:rPr>
                <w:rFonts w:cs="Arial"/>
                <w:sz w:val="18"/>
                <w:szCs w:val="18"/>
              </w:rPr>
            </w:pPr>
            <w:r>
              <w:rPr>
                <w:rFonts w:cs="Arial"/>
                <w:sz w:val="18"/>
                <w:szCs w:val="18"/>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7E18E5DD" w14:textId="4DAFA7E9" w:rsidR="00286295" w:rsidRDefault="00286295" w:rsidP="00286295">
            <w:pPr>
              <w:spacing w:line="240" w:lineRule="auto"/>
              <w:jc w:val="right"/>
              <w:rPr>
                <w:rFonts w:cs="Arial"/>
                <w:sz w:val="18"/>
                <w:szCs w:val="18"/>
              </w:rPr>
            </w:pPr>
            <w:r>
              <w:rPr>
                <w:rFonts w:cs="Arial"/>
                <w:sz w:val="18"/>
                <w:szCs w:val="18"/>
              </w:rPr>
              <w:t>100%</w:t>
            </w:r>
          </w:p>
        </w:tc>
        <w:tc>
          <w:tcPr>
            <w:tcW w:w="896" w:type="dxa"/>
            <w:tcBorders>
              <w:top w:val="single" w:sz="4" w:space="0" w:color="auto"/>
              <w:left w:val="single" w:sz="4" w:space="0" w:color="auto"/>
              <w:bottom w:val="single" w:sz="4" w:space="0" w:color="auto"/>
              <w:right w:val="single" w:sz="4" w:space="0" w:color="auto"/>
            </w:tcBorders>
            <w:vAlign w:val="center"/>
          </w:tcPr>
          <w:p w14:paraId="1131F637" w14:textId="1E41F1B5" w:rsidR="00286295" w:rsidRDefault="00286295" w:rsidP="00286295">
            <w:pPr>
              <w:spacing w:line="240" w:lineRule="auto"/>
              <w:jc w:val="right"/>
              <w:rPr>
                <w:rFonts w:cs="Arial"/>
                <w:sz w:val="18"/>
                <w:szCs w:val="18"/>
              </w:rPr>
            </w:pPr>
          </w:p>
        </w:tc>
      </w:tr>
      <w:tr w:rsidR="00286295" w:rsidRPr="00504360" w14:paraId="09FA7CF5" w14:textId="44BF633D"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4A8C91F8" w14:textId="6F6CD011" w:rsidR="00286295" w:rsidRPr="00504360" w:rsidRDefault="00286295" w:rsidP="00286295">
            <w:pPr>
              <w:spacing w:line="240" w:lineRule="auto"/>
              <w:rPr>
                <w:rFonts w:cs="Arial"/>
                <w:sz w:val="18"/>
                <w:szCs w:val="18"/>
              </w:rPr>
            </w:pPr>
            <w:r>
              <w:rPr>
                <w:rFonts w:cs="Arial"/>
                <w:sz w:val="18"/>
                <w:szCs w:val="18"/>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0F72F16F" w14:textId="66C97061" w:rsidR="00286295" w:rsidRDefault="00286295" w:rsidP="00286295">
            <w:pPr>
              <w:spacing w:line="240" w:lineRule="auto"/>
              <w:jc w:val="right"/>
              <w:rPr>
                <w:rFonts w:cs="Arial"/>
                <w:sz w:val="18"/>
                <w:szCs w:val="18"/>
              </w:rPr>
            </w:pPr>
            <w:r>
              <w:rPr>
                <w:rFonts w:cs="Arial"/>
                <w:sz w:val="18"/>
                <w:szCs w:val="18"/>
              </w:rPr>
              <w:t>0%</w:t>
            </w:r>
          </w:p>
        </w:tc>
        <w:tc>
          <w:tcPr>
            <w:tcW w:w="896" w:type="dxa"/>
            <w:tcBorders>
              <w:top w:val="single" w:sz="4" w:space="0" w:color="auto"/>
              <w:left w:val="single" w:sz="4" w:space="0" w:color="auto"/>
              <w:bottom w:val="single" w:sz="4" w:space="0" w:color="auto"/>
              <w:right w:val="single" w:sz="4" w:space="0" w:color="auto"/>
            </w:tcBorders>
            <w:vAlign w:val="center"/>
          </w:tcPr>
          <w:p w14:paraId="7D4EEB08" w14:textId="4352C045" w:rsidR="00286295" w:rsidRDefault="00286295" w:rsidP="00286295">
            <w:pPr>
              <w:spacing w:line="240" w:lineRule="auto"/>
              <w:jc w:val="right"/>
              <w:rPr>
                <w:rFonts w:cs="Arial"/>
                <w:sz w:val="18"/>
                <w:szCs w:val="18"/>
              </w:rPr>
            </w:pPr>
          </w:p>
        </w:tc>
      </w:tr>
      <w:tr w:rsidR="00286295" w:rsidRPr="00D157E2" w14:paraId="714A0FD4" w14:textId="579B83DF" w:rsidTr="00286295">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52645BC2" w14:textId="77777777" w:rsidR="00286295" w:rsidRPr="00504360" w:rsidRDefault="00286295" w:rsidP="00286295">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1F4999DB" w14:textId="58E9382A" w:rsidR="00286295" w:rsidRPr="002D2253" w:rsidRDefault="00286295" w:rsidP="00286295">
            <w:pPr>
              <w:spacing w:line="240" w:lineRule="auto"/>
              <w:jc w:val="right"/>
              <w:rPr>
                <w:rFonts w:cs="Arial"/>
                <w:sz w:val="18"/>
                <w:szCs w:val="18"/>
                <w:lang w:eastAsia="en-AU"/>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041EE67F" w14:textId="5ABB4011" w:rsidR="00286295" w:rsidRPr="002D2253" w:rsidRDefault="00286295" w:rsidP="00286295">
            <w:pPr>
              <w:spacing w:line="240" w:lineRule="auto"/>
              <w:jc w:val="right"/>
              <w:rPr>
                <w:rFonts w:cs="Arial"/>
                <w:sz w:val="18"/>
                <w:szCs w:val="18"/>
                <w:lang w:eastAsia="en-AU"/>
              </w:rPr>
            </w:pPr>
          </w:p>
        </w:tc>
      </w:tr>
      <w:tr w:rsidR="00286295" w:rsidRPr="00504360" w14:paraId="148E7FF6" w14:textId="307D3981"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6401685D" w14:textId="77779C44" w:rsidR="00286295" w:rsidRPr="0041058E" w:rsidRDefault="00286295" w:rsidP="00286295">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62" w:type="dxa"/>
            <w:tcBorders>
              <w:top w:val="single" w:sz="4" w:space="0" w:color="auto"/>
              <w:left w:val="single" w:sz="4" w:space="0" w:color="auto"/>
              <w:bottom w:val="single" w:sz="4" w:space="0" w:color="auto"/>
              <w:right w:val="single" w:sz="4" w:space="0" w:color="auto"/>
            </w:tcBorders>
            <w:vAlign w:val="center"/>
          </w:tcPr>
          <w:p w14:paraId="4F0743E8" w14:textId="061C97ED" w:rsidR="00286295" w:rsidRPr="002D2253" w:rsidRDefault="00286295" w:rsidP="00286295">
            <w:pPr>
              <w:spacing w:line="240" w:lineRule="auto"/>
              <w:jc w:val="right"/>
              <w:rPr>
                <w:rFonts w:cs="Arial"/>
                <w:sz w:val="18"/>
                <w:szCs w:val="18"/>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4F13D983" w14:textId="5C95AE08" w:rsidR="00286295" w:rsidRPr="002D2253" w:rsidRDefault="00286295" w:rsidP="00286295">
            <w:pPr>
              <w:spacing w:line="240" w:lineRule="auto"/>
              <w:jc w:val="right"/>
              <w:rPr>
                <w:rFonts w:cs="Arial"/>
                <w:sz w:val="18"/>
                <w:szCs w:val="18"/>
              </w:rPr>
            </w:pPr>
          </w:p>
        </w:tc>
      </w:tr>
      <w:tr w:rsidR="00286295" w:rsidRPr="00504360" w14:paraId="71FF2B6B" w14:textId="478C53A7"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3EE9FCD2" w14:textId="20DC563B" w:rsidR="00286295" w:rsidRPr="00B50123" w:rsidRDefault="00286295" w:rsidP="00286295">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62" w:type="dxa"/>
            <w:tcBorders>
              <w:top w:val="single" w:sz="4" w:space="0" w:color="auto"/>
              <w:left w:val="single" w:sz="4" w:space="0" w:color="auto"/>
              <w:bottom w:val="single" w:sz="4" w:space="0" w:color="auto"/>
              <w:right w:val="single" w:sz="4" w:space="0" w:color="auto"/>
            </w:tcBorders>
            <w:vAlign w:val="center"/>
          </w:tcPr>
          <w:p w14:paraId="7685EF31" w14:textId="11FD0B75" w:rsidR="00286295" w:rsidRDefault="00286295" w:rsidP="00286295">
            <w:pPr>
              <w:spacing w:line="240" w:lineRule="auto"/>
              <w:jc w:val="right"/>
              <w:rPr>
                <w:rFonts w:cs="Arial"/>
                <w:sz w:val="18"/>
                <w:szCs w:val="18"/>
              </w:rPr>
            </w:pPr>
            <w:r>
              <w:rPr>
                <w:rFonts w:cs="Arial"/>
                <w:sz w:val="18"/>
                <w:szCs w:val="18"/>
              </w:rPr>
              <w:t>60</w:t>
            </w:r>
          </w:p>
        </w:tc>
        <w:tc>
          <w:tcPr>
            <w:tcW w:w="896" w:type="dxa"/>
            <w:tcBorders>
              <w:top w:val="single" w:sz="4" w:space="0" w:color="auto"/>
              <w:left w:val="single" w:sz="4" w:space="0" w:color="auto"/>
              <w:bottom w:val="single" w:sz="4" w:space="0" w:color="auto"/>
              <w:right w:val="single" w:sz="4" w:space="0" w:color="auto"/>
            </w:tcBorders>
            <w:vAlign w:val="center"/>
          </w:tcPr>
          <w:p w14:paraId="6D71F812" w14:textId="27D9B402" w:rsidR="00286295" w:rsidRDefault="00286295" w:rsidP="00286295">
            <w:pPr>
              <w:spacing w:line="240" w:lineRule="auto"/>
              <w:jc w:val="right"/>
              <w:rPr>
                <w:rFonts w:cs="Arial"/>
                <w:sz w:val="18"/>
                <w:szCs w:val="18"/>
              </w:rPr>
            </w:pPr>
            <w:r>
              <w:rPr>
                <w:rFonts w:cs="Arial"/>
                <w:sz w:val="18"/>
                <w:szCs w:val="18"/>
              </w:rPr>
              <w:t>58</w:t>
            </w:r>
          </w:p>
        </w:tc>
      </w:tr>
      <w:bookmarkEnd w:id="1"/>
      <w:tr w:rsidR="00286295" w:rsidRPr="00504360" w14:paraId="16DEBA40" w14:textId="4846B28A"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556783DE" w14:textId="553E3B1A" w:rsidR="00286295" w:rsidRPr="00B50123" w:rsidRDefault="00286295" w:rsidP="00286295">
            <w:pPr>
              <w:spacing w:line="240" w:lineRule="auto"/>
              <w:rPr>
                <w:rFonts w:cs="Arial"/>
                <w:sz w:val="18"/>
                <w:szCs w:val="18"/>
                <w:lang w:eastAsia="en-AU"/>
              </w:rPr>
            </w:pPr>
            <w:r w:rsidRPr="0003283F">
              <w:rPr>
                <w:rFonts w:cs="Arial"/>
                <w:sz w:val="18"/>
                <w:szCs w:val="18"/>
              </w:rPr>
              <w:t>Voluntary referrals to service providers</w:t>
            </w:r>
          </w:p>
        </w:tc>
        <w:tc>
          <w:tcPr>
            <w:tcW w:w="962" w:type="dxa"/>
            <w:tcBorders>
              <w:top w:val="single" w:sz="4" w:space="0" w:color="auto"/>
              <w:left w:val="single" w:sz="4" w:space="0" w:color="auto"/>
              <w:bottom w:val="single" w:sz="4" w:space="0" w:color="auto"/>
              <w:right w:val="single" w:sz="4" w:space="0" w:color="auto"/>
            </w:tcBorders>
            <w:vAlign w:val="center"/>
          </w:tcPr>
          <w:p w14:paraId="38F9ED14" w14:textId="33AD4F5C" w:rsidR="00286295" w:rsidRDefault="00286295" w:rsidP="00286295">
            <w:pPr>
              <w:spacing w:line="240" w:lineRule="auto"/>
              <w:jc w:val="right"/>
              <w:rPr>
                <w:rFonts w:cs="Arial"/>
                <w:sz w:val="18"/>
                <w:szCs w:val="18"/>
              </w:rPr>
            </w:pPr>
            <w:r>
              <w:rPr>
                <w:rFonts w:cs="Arial"/>
                <w:sz w:val="18"/>
                <w:szCs w:val="18"/>
              </w:rPr>
              <w:t>66</w:t>
            </w:r>
          </w:p>
        </w:tc>
        <w:tc>
          <w:tcPr>
            <w:tcW w:w="896" w:type="dxa"/>
            <w:tcBorders>
              <w:top w:val="single" w:sz="4" w:space="0" w:color="auto"/>
              <w:left w:val="single" w:sz="4" w:space="0" w:color="auto"/>
              <w:bottom w:val="single" w:sz="4" w:space="0" w:color="auto"/>
              <w:right w:val="single" w:sz="4" w:space="0" w:color="auto"/>
            </w:tcBorders>
            <w:vAlign w:val="center"/>
          </w:tcPr>
          <w:p w14:paraId="5B3C3677" w14:textId="65DB7A87" w:rsidR="00286295" w:rsidRDefault="00286295" w:rsidP="00286295">
            <w:pPr>
              <w:spacing w:line="240" w:lineRule="auto"/>
              <w:jc w:val="right"/>
              <w:rPr>
                <w:rFonts w:cs="Arial"/>
                <w:sz w:val="18"/>
                <w:szCs w:val="18"/>
              </w:rPr>
            </w:pPr>
            <w:r>
              <w:rPr>
                <w:rFonts w:cs="Arial"/>
                <w:sz w:val="18"/>
                <w:szCs w:val="18"/>
              </w:rPr>
              <w:t>61</w:t>
            </w:r>
          </w:p>
        </w:tc>
      </w:tr>
      <w:tr w:rsidR="00286295" w:rsidRPr="00504360" w14:paraId="7EB54823" w14:textId="3002675F"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02AF3396" w14:textId="1B7D3A96" w:rsidR="00286295" w:rsidRPr="00B50123" w:rsidRDefault="00286295" w:rsidP="00286295">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5B9BFA3B" w14:textId="1ACA5DAE" w:rsidR="00286295" w:rsidRDefault="00286295" w:rsidP="00286295">
            <w:pPr>
              <w:spacing w:line="240" w:lineRule="auto"/>
              <w:jc w:val="right"/>
              <w:rPr>
                <w:rFonts w:cs="Arial"/>
                <w:sz w:val="18"/>
                <w:szCs w:val="18"/>
              </w:rPr>
            </w:pPr>
            <w:r>
              <w:rPr>
                <w:rFonts w:cs="Arial"/>
                <w:sz w:val="18"/>
                <w:szCs w:val="18"/>
              </w:rPr>
              <w:t>22</w:t>
            </w:r>
          </w:p>
        </w:tc>
        <w:tc>
          <w:tcPr>
            <w:tcW w:w="896" w:type="dxa"/>
            <w:tcBorders>
              <w:top w:val="single" w:sz="4" w:space="0" w:color="auto"/>
              <w:left w:val="single" w:sz="4" w:space="0" w:color="auto"/>
              <w:bottom w:val="single" w:sz="4" w:space="0" w:color="auto"/>
              <w:right w:val="single" w:sz="4" w:space="0" w:color="auto"/>
            </w:tcBorders>
            <w:vAlign w:val="center"/>
          </w:tcPr>
          <w:p w14:paraId="67446FD1" w14:textId="2FF88A06" w:rsidR="00286295" w:rsidRDefault="00286295" w:rsidP="00286295">
            <w:pPr>
              <w:spacing w:line="240" w:lineRule="auto"/>
              <w:jc w:val="right"/>
              <w:rPr>
                <w:rFonts w:cs="Arial"/>
                <w:sz w:val="18"/>
                <w:szCs w:val="18"/>
              </w:rPr>
            </w:pPr>
            <w:r>
              <w:rPr>
                <w:rFonts w:cs="Arial"/>
                <w:sz w:val="18"/>
                <w:szCs w:val="18"/>
              </w:rPr>
              <w:t>33</w:t>
            </w:r>
          </w:p>
        </w:tc>
      </w:tr>
      <w:tr w:rsidR="00286295" w:rsidRPr="00504360" w14:paraId="52C3F0C4" w14:textId="478289A1" w:rsidTr="00286295">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34797DFD" w14:textId="77777777" w:rsidR="00286295" w:rsidRPr="00504360" w:rsidRDefault="00286295" w:rsidP="00286295">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4886A0BA" w14:textId="6078AD35" w:rsidR="00286295" w:rsidRPr="002D2253" w:rsidRDefault="00286295" w:rsidP="00286295">
            <w:pPr>
              <w:spacing w:line="240" w:lineRule="auto"/>
              <w:jc w:val="right"/>
              <w:rPr>
                <w:rFonts w:cs="Arial"/>
                <w:sz w:val="18"/>
                <w:szCs w:val="18"/>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75E6C41F" w14:textId="028C224B" w:rsidR="00286295" w:rsidRPr="002D2253" w:rsidRDefault="00286295" w:rsidP="00286295">
            <w:pPr>
              <w:spacing w:line="240" w:lineRule="auto"/>
              <w:jc w:val="right"/>
              <w:rPr>
                <w:rFonts w:cs="Arial"/>
                <w:sz w:val="18"/>
                <w:szCs w:val="18"/>
              </w:rPr>
            </w:pPr>
          </w:p>
        </w:tc>
      </w:tr>
      <w:tr w:rsidR="00286295" w:rsidRPr="00504360" w14:paraId="6E254E7A" w14:textId="30FEC2E9"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3597A5A4" w14:textId="49EF45A9" w:rsidR="00286295" w:rsidRPr="00E10506" w:rsidRDefault="00286295" w:rsidP="00286295">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39DE0691" w14:textId="1099B1A8" w:rsidR="00286295" w:rsidRPr="002D2253" w:rsidRDefault="00286295" w:rsidP="00286295">
            <w:pPr>
              <w:spacing w:line="240" w:lineRule="auto"/>
              <w:jc w:val="right"/>
              <w:rPr>
                <w:rFonts w:cs="Arial"/>
                <w:sz w:val="18"/>
                <w:szCs w:val="18"/>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388842FB" w14:textId="550C39B6" w:rsidR="00286295" w:rsidRPr="002D2253" w:rsidRDefault="00286295" w:rsidP="00286295">
            <w:pPr>
              <w:spacing w:line="240" w:lineRule="auto"/>
              <w:jc w:val="right"/>
              <w:rPr>
                <w:rFonts w:cs="Arial"/>
                <w:sz w:val="18"/>
                <w:szCs w:val="18"/>
              </w:rPr>
            </w:pPr>
          </w:p>
        </w:tc>
      </w:tr>
      <w:tr w:rsidR="00286295" w:rsidRPr="00504360" w14:paraId="52E0458B" w14:textId="5E7E64F5"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20BF5769" w14:textId="74731ED8" w:rsidR="00286295" w:rsidRDefault="00286295" w:rsidP="00286295">
            <w:pPr>
              <w:spacing w:line="240" w:lineRule="auto"/>
              <w:rPr>
                <w:rFonts w:cs="Arial"/>
                <w:sz w:val="18"/>
                <w:szCs w:val="18"/>
                <w:lang w:eastAsia="en-AU"/>
              </w:rPr>
            </w:pPr>
            <w:r>
              <w:rPr>
                <w:rFonts w:cs="Arial"/>
                <w:sz w:val="18"/>
                <w:szCs w:val="18"/>
                <w:lang w:eastAsia="en-AU"/>
              </w:rPr>
              <w:t>Number of amend/end decisions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6D044CA4" w14:textId="734146FB" w:rsidR="00286295" w:rsidRDefault="00286295" w:rsidP="00286295">
            <w:pPr>
              <w:spacing w:line="240" w:lineRule="auto"/>
              <w:jc w:val="right"/>
              <w:rPr>
                <w:rFonts w:cs="Arial"/>
                <w:sz w:val="18"/>
                <w:szCs w:val="18"/>
              </w:rPr>
            </w:pPr>
            <w:r>
              <w:rPr>
                <w:rFonts w:cs="Arial"/>
                <w:sz w:val="18"/>
                <w:szCs w:val="18"/>
              </w:rPr>
              <w:t>3</w:t>
            </w:r>
          </w:p>
        </w:tc>
        <w:tc>
          <w:tcPr>
            <w:tcW w:w="896" w:type="dxa"/>
            <w:tcBorders>
              <w:top w:val="single" w:sz="4" w:space="0" w:color="auto"/>
              <w:left w:val="single" w:sz="4" w:space="0" w:color="auto"/>
              <w:bottom w:val="single" w:sz="4" w:space="0" w:color="auto"/>
              <w:right w:val="single" w:sz="4" w:space="0" w:color="auto"/>
            </w:tcBorders>
            <w:vAlign w:val="center"/>
          </w:tcPr>
          <w:p w14:paraId="31F3F9AD" w14:textId="2850B9AC" w:rsidR="00286295" w:rsidRDefault="00286295" w:rsidP="00286295">
            <w:pPr>
              <w:spacing w:line="240" w:lineRule="auto"/>
              <w:jc w:val="right"/>
              <w:rPr>
                <w:rFonts w:cs="Arial"/>
                <w:sz w:val="18"/>
                <w:szCs w:val="18"/>
              </w:rPr>
            </w:pPr>
            <w:r>
              <w:rPr>
                <w:rFonts w:cs="Arial"/>
                <w:sz w:val="18"/>
                <w:szCs w:val="18"/>
              </w:rPr>
              <w:t>6</w:t>
            </w:r>
          </w:p>
        </w:tc>
      </w:tr>
      <w:tr w:rsidR="00286295" w:rsidRPr="00504360" w14:paraId="53E5D51F" w14:textId="77BE202F"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62B9F354" w14:textId="63E728CC" w:rsidR="00286295" w:rsidRPr="00504360" w:rsidRDefault="00286295" w:rsidP="00286295">
            <w:pPr>
              <w:spacing w:line="240" w:lineRule="auto"/>
              <w:rPr>
                <w:rFonts w:cs="Arial"/>
                <w:sz w:val="18"/>
                <w:szCs w:val="18"/>
                <w:lang w:eastAsia="en-AU"/>
              </w:rPr>
            </w:pPr>
            <w:r>
              <w:rPr>
                <w:rFonts w:cs="Arial"/>
                <w:sz w:val="18"/>
                <w:szCs w:val="18"/>
                <w:lang w:eastAsia="en-AU"/>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7F731333" w14:textId="2A4CF9EE" w:rsidR="00286295" w:rsidRDefault="00286295" w:rsidP="00286295">
            <w:pPr>
              <w:spacing w:line="240" w:lineRule="auto"/>
              <w:jc w:val="right"/>
              <w:rPr>
                <w:rFonts w:cs="Arial"/>
                <w:sz w:val="18"/>
                <w:szCs w:val="18"/>
              </w:rPr>
            </w:pPr>
            <w:r>
              <w:rPr>
                <w:rFonts w:cs="Arial"/>
                <w:sz w:val="18"/>
                <w:szCs w:val="18"/>
              </w:rPr>
              <w:t>67%</w:t>
            </w:r>
          </w:p>
        </w:tc>
        <w:tc>
          <w:tcPr>
            <w:tcW w:w="896" w:type="dxa"/>
            <w:tcBorders>
              <w:top w:val="single" w:sz="4" w:space="0" w:color="auto"/>
              <w:left w:val="single" w:sz="4" w:space="0" w:color="auto"/>
              <w:bottom w:val="single" w:sz="4" w:space="0" w:color="auto"/>
              <w:right w:val="single" w:sz="4" w:space="0" w:color="auto"/>
            </w:tcBorders>
            <w:vAlign w:val="center"/>
          </w:tcPr>
          <w:p w14:paraId="53E5B012" w14:textId="3BEFC4C4" w:rsidR="00286295" w:rsidRDefault="00286295" w:rsidP="00286295">
            <w:pPr>
              <w:spacing w:line="240" w:lineRule="auto"/>
              <w:jc w:val="right"/>
              <w:rPr>
                <w:rFonts w:cs="Arial"/>
                <w:sz w:val="18"/>
                <w:szCs w:val="18"/>
              </w:rPr>
            </w:pPr>
            <w:r>
              <w:rPr>
                <w:rFonts w:cs="Arial"/>
                <w:sz w:val="18"/>
                <w:szCs w:val="18"/>
              </w:rPr>
              <w:t>83%</w:t>
            </w:r>
          </w:p>
        </w:tc>
      </w:tr>
      <w:tr w:rsidR="00286295" w:rsidRPr="00504360" w14:paraId="4859A3E0" w14:textId="2DA08C44" w:rsidTr="00286295">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286295" w:rsidRDefault="00286295" w:rsidP="00286295">
            <w:pPr>
              <w:spacing w:line="240" w:lineRule="auto"/>
              <w:rPr>
                <w:rFonts w:cs="Arial"/>
                <w:sz w:val="18"/>
                <w:szCs w:val="18"/>
                <w:lang w:eastAsia="en-AU"/>
              </w:rPr>
            </w:pPr>
            <w:r>
              <w:rPr>
                <w:rFonts w:cs="Arial"/>
                <w:sz w:val="18"/>
                <w:szCs w:val="18"/>
                <w:lang w:eastAsia="en-AU"/>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348F8032" w14:textId="661CE4EB" w:rsidR="00286295" w:rsidRDefault="00286295" w:rsidP="00286295">
            <w:pPr>
              <w:spacing w:line="240" w:lineRule="auto"/>
              <w:jc w:val="right"/>
              <w:rPr>
                <w:rFonts w:cs="Arial"/>
                <w:sz w:val="18"/>
                <w:szCs w:val="18"/>
              </w:rPr>
            </w:pPr>
            <w:r>
              <w:rPr>
                <w:rFonts w:cs="Arial"/>
                <w:sz w:val="18"/>
                <w:szCs w:val="18"/>
              </w:rPr>
              <w:t>33%</w:t>
            </w:r>
          </w:p>
        </w:tc>
        <w:tc>
          <w:tcPr>
            <w:tcW w:w="896" w:type="dxa"/>
            <w:tcBorders>
              <w:top w:val="single" w:sz="4" w:space="0" w:color="auto"/>
              <w:left w:val="single" w:sz="4" w:space="0" w:color="auto"/>
              <w:bottom w:val="single" w:sz="4" w:space="0" w:color="auto"/>
              <w:right w:val="single" w:sz="4" w:space="0" w:color="auto"/>
            </w:tcBorders>
            <w:vAlign w:val="center"/>
          </w:tcPr>
          <w:p w14:paraId="0331CB7F" w14:textId="785C5F67" w:rsidR="00286295" w:rsidRDefault="00286295" w:rsidP="00286295">
            <w:pPr>
              <w:spacing w:line="240" w:lineRule="auto"/>
              <w:jc w:val="right"/>
              <w:rPr>
                <w:rFonts w:cs="Arial"/>
                <w:sz w:val="18"/>
                <w:szCs w:val="18"/>
              </w:rPr>
            </w:pPr>
            <w:r>
              <w:rPr>
                <w:rFonts w:cs="Arial"/>
                <w:sz w:val="18"/>
                <w:szCs w:val="18"/>
              </w:rPr>
              <w:t>17%</w:t>
            </w:r>
          </w:p>
        </w:tc>
      </w:tr>
      <w:tr w:rsidR="00286295" w:rsidRPr="00D157E2" w14:paraId="3E643B6D" w14:textId="285882DB" w:rsidTr="00286295">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3CEB0120" w14:textId="77777777" w:rsidR="00286295" w:rsidRPr="00504360" w:rsidRDefault="00286295" w:rsidP="00286295">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2DCBE31B" w14:textId="7D86F3D1" w:rsidR="00286295" w:rsidRPr="002D2253" w:rsidRDefault="00286295" w:rsidP="00286295">
            <w:pPr>
              <w:spacing w:line="240" w:lineRule="auto"/>
              <w:jc w:val="right"/>
              <w:rPr>
                <w:rFonts w:cs="Arial"/>
                <w:sz w:val="18"/>
                <w:szCs w:val="18"/>
                <w:lang w:eastAsia="en-AU"/>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66A0DC7B" w14:textId="6ADFC267" w:rsidR="00286295" w:rsidRPr="002D2253" w:rsidRDefault="00286295" w:rsidP="00286295">
            <w:pPr>
              <w:spacing w:line="240" w:lineRule="auto"/>
              <w:jc w:val="right"/>
              <w:rPr>
                <w:rFonts w:cs="Arial"/>
                <w:sz w:val="18"/>
                <w:szCs w:val="18"/>
                <w:lang w:eastAsia="en-AU"/>
              </w:rPr>
            </w:pPr>
          </w:p>
        </w:tc>
      </w:tr>
      <w:tr w:rsidR="00286295" w:rsidRPr="00504360" w14:paraId="631A24C1" w14:textId="4437521F" w:rsidTr="00286295">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206E5BB6" w14:textId="649C63F5" w:rsidR="00286295" w:rsidRPr="00E10506" w:rsidRDefault="00286295" w:rsidP="00286295">
            <w:pPr>
              <w:spacing w:line="240" w:lineRule="auto"/>
              <w:rPr>
                <w:rFonts w:cs="Arial"/>
                <w:b/>
                <w:bCs/>
                <w:sz w:val="18"/>
                <w:szCs w:val="18"/>
                <w:lang w:eastAsia="en-AU"/>
              </w:rPr>
            </w:pPr>
            <w:r>
              <w:rPr>
                <w:rFonts w:cs="Arial"/>
                <w:b/>
                <w:bCs/>
                <w:sz w:val="18"/>
                <w:szCs w:val="18"/>
                <w:lang w:eastAsia="en-AU"/>
              </w:rPr>
              <w:t>Other activity</w:t>
            </w:r>
          </w:p>
        </w:tc>
        <w:tc>
          <w:tcPr>
            <w:tcW w:w="962" w:type="dxa"/>
            <w:tcBorders>
              <w:top w:val="single" w:sz="4" w:space="0" w:color="auto"/>
              <w:left w:val="single" w:sz="4" w:space="0" w:color="auto"/>
              <w:bottom w:val="single" w:sz="4" w:space="0" w:color="auto"/>
              <w:right w:val="single" w:sz="4" w:space="0" w:color="auto"/>
            </w:tcBorders>
            <w:vAlign w:val="center"/>
          </w:tcPr>
          <w:p w14:paraId="469D9E48" w14:textId="3D44A112" w:rsidR="00286295" w:rsidRPr="002D2253" w:rsidRDefault="00286295" w:rsidP="00286295">
            <w:pPr>
              <w:spacing w:line="240" w:lineRule="auto"/>
              <w:jc w:val="right"/>
              <w:rPr>
                <w:rFonts w:cs="Arial"/>
                <w:sz w:val="18"/>
                <w:szCs w:val="18"/>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19563745" w14:textId="2531D8D7" w:rsidR="00286295" w:rsidRPr="002D2253" w:rsidRDefault="00286295" w:rsidP="00286295">
            <w:pPr>
              <w:spacing w:line="240" w:lineRule="auto"/>
              <w:jc w:val="right"/>
              <w:rPr>
                <w:rFonts w:cs="Arial"/>
                <w:sz w:val="18"/>
                <w:szCs w:val="18"/>
              </w:rPr>
            </w:pPr>
          </w:p>
        </w:tc>
      </w:tr>
      <w:tr w:rsidR="00286295" w:rsidRPr="00504360" w14:paraId="09CC1571" w14:textId="1B931AE6" w:rsidTr="00286295">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4F51FBFA" w:rsidR="00286295" w:rsidRDefault="00286295" w:rsidP="00286295">
            <w:pPr>
              <w:spacing w:line="240" w:lineRule="auto"/>
              <w:rPr>
                <w:rFonts w:cs="Arial"/>
                <w:sz w:val="18"/>
                <w:szCs w:val="18"/>
                <w:lang w:eastAsia="en-AU"/>
              </w:rPr>
            </w:pPr>
            <w:r>
              <w:rPr>
                <w:rFonts w:cs="Arial"/>
                <w:sz w:val="18"/>
                <w:szCs w:val="18"/>
                <w:lang w:eastAsia="en-AU"/>
              </w:rPr>
              <w:t>Applications to Amend or End received</w:t>
            </w:r>
          </w:p>
        </w:tc>
        <w:tc>
          <w:tcPr>
            <w:tcW w:w="962" w:type="dxa"/>
            <w:tcBorders>
              <w:top w:val="single" w:sz="4" w:space="0" w:color="auto"/>
              <w:left w:val="single" w:sz="4" w:space="0" w:color="auto"/>
              <w:bottom w:val="single" w:sz="4" w:space="0" w:color="auto"/>
              <w:right w:val="single" w:sz="4" w:space="0" w:color="auto"/>
            </w:tcBorders>
            <w:vAlign w:val="center"/>
          </w:tcPr>
          <w:p w14:paraId="28454E96" w14:textId="0CE40B08" w:rsidR="00286295" w:rsidRDefault="00286295" w:rsidP="00286295">
            <w:pPr>
              <w:spacing w:line="240" w:lineRule="auto"/>
              <w:jc w:val="right"/>
              <w:rPr>
                <w:rFonts w:cs="Arial"/>
                <w:sz w:val="18"/>
                <w:szCs w:val="18"/>
              </w:rPr>
            </w:pPr>
            <w:r>
              <w:rPr>
                <w:rFonts w:cs="Arial"/>
                <w:sz w:val="18"/>
                <w:szCs w:val="18"/>
              </w:rPr>
              <w:t>6</w:t>
            </w:r>
          </w:p>
        </w:tc>
        <w:tc>
          <w:tcPr>
            <w:tcW w:w="896" w:type="dxa"/>
            <w:tcBorders>
              <w:top w:val="single" w:sz="4" w:space="0" w:color="auto"/>
              <w:left w:val="single" w:sz="4" w:space="0" w:color="auto"/>
              <w:bottom w:val="single" w:sz="4" w:space="0" w:color="auto"/>
              <w:right w:val="single" w:sz="4" w:space="0" w:color="auto"/>
            </w:tcBorders>
            <w:vAlign w:val="center"/>
          </w:tcPr>
          <w:p w14:paraId="757BB24F" w14:textId="331E05A5" w:rsidR="00286295" w:rsidRDefault="00286295" w:rsidP="00286295">
            <w:pPr>
              <w:spacing w:line="240" w:lineRule="auto"/>
              <w:jc w:val="right"/>
              <w:rPr>
                <w:rFonts w:cs="Arial"/>
                <w:sz w:val="18"/>
                <w:szCs w:val="18"/>
              </w:rPr>
            </w:pPr>
            <w:r>
              <w:rPr>
                <w:rFonts w:cs="Arial"/>
                <w:sz w:val="18"/>
                <w:szCs w:val="18"/>
              </w:rPr>
              <w:t>7</w:t>
            </w:r>
          </w:p>
        </w:tc>
      </w:tr>
      <w:tr w:rsidR="00286295" w:rsidRPr="00504360" w14:paraId="51F55746" w14:textId="257468DA" w:rsidTr="00286295">
        <w:trPr>
          <w:trHeight w:val="7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39B09AA6" w14:textId="77777777" w:rsidR="00286295" w:rsidRDefault="00286295" w:rsidP="00286295">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2EB54415" w14:textId="2387DD11" w:rsidR="00286295" w:rsidRPr="002D2253" w:rsidRDefault="00286295" w:rsidP="00286295">
            <w:pPr>
              <w:spacing w:line="240" w:lineRule="auto"/>
              <w:jc w:val="right"/>
              <w:rPr>
                <w:rFonts w:cs="Arial"/>
                <w:sz w:val="18"/>
                <w:szCs w:val="18"/>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7DE73940" w14:textId="4E869613" w:rsidR="00286295" w:rsidRPr="002D2253" w:rsidRDefault="00286295" w:rsidP="00286295">
            <w:pPr>
              <w:spacing w:line="240" w:lineRule="auto"/>
              <w:jc w:val="right"/>
              <w:rPr>
                <w:rFonts w:cs="Arial"/>
                <w:sz w:val="18"/>
                <w:szCs w:val="18"/>
              </w:rPr>
            </w:pPr>
          </w:p>
        </w:tc>
      </w:tr>
      <w:tr w:rsidR="00286295" w:rsidRPr="00504360" w14:paraId="716838D1" w14:textId="2A8C4616" w:rsidTr="00286295">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286295" w:rsidRDefault="00286295" w:rsidP="00286295">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62" w:type="dxa"/>
            <w:tcBorders>
              <w:top w:val="single" w:sz="4" w:space="0" w:color="auto"/>
              <w:left w:val="single" w:sz="4" w:space="0" w:color="auto"/>
              <w:bottom w:val="single" w:sz="4" w:space="0" w:color="auto"/>
              <w:right w:val="single" w:sz="4" w:space="0" w:color="auto"/>
            </w:tcBorders>
            <w:vAlign w:val="center"/>
          </w:tcPr>
          <w:p w14:paraId="06C2A8A5" w14:textId="2E38A0A1" w:rsidR="00286295" w:rsidRPr="002D2253" w:rsidRDefault="00286295" w:rsidP="00286295">
            <w:pPr>
              <w:spacing w:line="240" w:lineRule="auto"/>
              <w:jc w:val="right"/>
              <w:rPr>
                <w:rFonts w:cs="Arial"/>
                <w:sz w:val="18"/>
                <w:szCs w:val="18"/>
              </w:rPr>
            </w:pPr>
            <w:r>
              <w:rPr>
                <w:rFonts w:cs="Arial"/>
                <w:sz w:val="18"/>
                <w:szCs w:val="18"/>
              </w:rPr>
              <w:t> </w:t>
            </w:r>
          </w:p>
        </w:tc>
        <w:tc>
          <w:tcPr>
            <w:tcW w:w="896" w:type="dxa"/>
            <w:tcBorders>
              <w:top w:val="single" w:sz="4" w:space="0" w:color="auto"/>
              <w:left w:val="single" w:sz="4" w:space="0" w:color="auto"/>
              <w:bottom w:val="single" w:sz="4" w:space="0" w:color="auto"/>
              <w:right w:val="single" w:sz="4" w:space="0" w:color="auto"/>
            </w:tcBorders>
            <w:vAlign w:val="center"/>
          </w:tcPr>
          <w:p w14:paraId="62697AF4" w14:textId="1C38402E" w:rsidR="00286295" w:rsidRPr="002D2253" w:rsidRDefault="00286295" w:rsidP="00286295">
            <w:pPr>
              <w:spacing w:line="240" w:lineRule="auto"/>
              <w:jc w:val="right"/>
              <w:rPr>
                <w:rFonts w:cs="Arial"/>
                <w:sz w:val="18"/>
                <w:szCs w:val="18"/>
              </w:rPr>
            </w:pPr>
          </w:p>
        </w:tc>
      </w:tr>
      <w:tr w:rsidR="00286295" w:rsidRPr="00504360" w14:paraId="1562F8F8" w14:textId="039ECEFE" w:rsidTr="00286295">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286295" w:rsidRDefault="00286295" w:rsidP="00286295">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62" w:type="dxa"/>
            <w:tcBorders>
              <w:top w:val="single" w:sz="4" w:space="0" w:color="auto"/>
              <w:left w:val="single" w:sz="4" w:space="0" w:color="auto"/>
              <w:bottom w:val="single" w:sz="4" w:space="0" w:color="auto"/>
              <w:right w:val="single" w:sz="4" w:space="0" w:color="auto"/>
            </w:tcBorders>
            <w:vAlign w:val="center"/>
          </w:tcPr>
          <w:p w14:paraId="659B7AB1" w14:textId="4D7716F4" w:rsidR="00286295" w:rsidRDefault="00286295" w:rsidP="00286295">
            <w:pPr>
              <w:spacing w:line="240" w:lineRule="auto"/>
              <w:jc w:val="right"/>
              <w:rPr>
                <w:rFonts w:cs="Arial"/>
                <w:sz w:val="18"/>
                <w:szCs w:val="18"/>
              </w:rPr>
            </w:pPr>
            <w:r>
              <w:rPr>
                <w:rFonts w:cs="Arial"/>
                <w:sz w:val="18"/>
                <w:szCs w:val="18"/>
              </w:rPr>
              <w:t>196</w:t>
            </w:r>
          </w:p>
        </w:tc>
        <w:tc>
          <w:tcPr>
            <w:tcW w:w="896" w:type="dxa"/>
            <w:tcBorders>
              <w:top w:val="single" w:sz="4" w:space="0" w:color="auto"/>
              <w:left w:val="single" w:sz="4" w:space="0" w:color="auto"/>
              <w:bottom w:val="single" w:sz="4" w:space="0" w:color="auto"/>
              <w:right w:val="single" w:sz="4" w:space="0" w:color="auto"/>
            </w:tcBorders>
            <w:vAlign w:val="center"/>
          </w:tcPr>
          <w:p w14:paraId="7E778C69" w14:textId="152362CB" w:rsidR="00286295" w:rsidRDefault="00286295" w:rsidP="00286295">
            <w:pPr>
              <w:spacing w:line="240" w:lineRule="auto"/>
              <w:jc w:val="right"/>
              <w:rPr>
                <w:rFonts w:cs="Arial"/>
                <w:sz w:val="18"/>
                <w:szCs w:val="18"/>
              </w:rPr>
            </w:pPr>
            <w:r>
              <w:rPr>
                <w:rFonts w:cs="Arial"/>
                <w:sz w:val="18"/>
                <w:szCs w:val="18"/>
              </w:rPr>
              <w:t>175</w:t>
            </w:r>
          </w:p>
        </w:tc>
      </w:tr>
      <w:tr w:rsidR="00286295" w:rsidRPr="00504360" w14:paraId="559E0289" w14:textId="4B528371" w:rsidTr="00286295">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286295" w:rsidRDefault="00286295" w:rsidP="00286295">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62" w:type="dxa"/>
            <w:tcBorders>
              <w:top w:val="single" w:sz="4" w:space="0" w:color="auto"/>
              <w:left w:val="single" w:sz="4" w:space="0" w:color="auto"/>
              <w:bottom w:val="single" w:sz="4" w:space="0" w:color="auto"/>
              <w:right w:val="single" w:sz="4" w:space="0" w:color="auto"/>
            </w:tcBorders>
            <w:vAlign w:val="center"/>
          </w:tcPr>
          <w:p w14:paraId="6ACFB231" w14:textId="6CB88001" w:rsidR="00286295" w:rsidRDefault="00286295" w:rsidP="00286295">
            <w:pPr>
              <w:spacing w:line="240" w:lineRule="auto"/>
              <w:jc w:val="right"/>
              <w:rPr>
                <w:rFonts w:cs="Arial"/>
                <w:sz w:val="18"/>
                <w:szCs w:val="18"/>
              </w:rPr>
            </w:pPr>
            <w:r>
              <w:rPr>
                <w:rFonts w:cs="Arial"/>
                <w:sz w:val="18"/>
                <w:szCs w:val="18"/>
              </w:rPr>
              <w:t>30</w:t>
            </w:r>
          </w:p>
        </w:tc>
        <w:tc>
          <w:tcPr>
            <w:tcW w:w="896" w:type="dxa"/>
            <w:tcBorders>
              <w:top w:val="single" w:sz="4" w:space="0" w:color="auto"/>
              <w:left w:val="single" w:sz="4" w:space="0" w:color="auto"/>
              <w:bottom w:val="single" w:sz="4" w:space="0" w:color="auto"/>
              <w:right w:val="single" w:sz="4" w:space="0" w:color="auto"/>
            </w:tcBorders>
            <w:vAlign w:val="center"/>
          </w:tcPr>
          <w:p w14:paraId="37896416" w14:textId="0991D04E" w:rsidR="00286295" w:rsidRDefault="00286295" w:rsidP="00286295">
            <w:pPr>
              <w:spacing w:line="240" w:lineRule="auto"/>
              <w:jc w:val="right"/>
              <w:rPr>
                <w:rFonts w:cs="Arial"/>
                <w:sz w:val="18"/>
                <w:szCs w:val="18"/>
              </w:rPr>
            </w:pPr>
            <w:r>
              <w:rPr>
                <w:rFonts w:cs="Arial"/>
                <w:sz w:val="18"/>
                <w:szCs w:val="18"/>
              </w:rPr>
              <w:t>13</w:t>
            </w:r>
          </w:p>
        </w:tc>
      </w:tr>
      <w:tr w:rsidR="00286295" w:rsidRPr="00504360" w14:paraId="3D917EA4" w14:textId="2CD17842" w:rsidTr="00286295">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286295" w:rsidRPr="00504360" w:rsidRDefault="00286295" w:rsidP="00286295">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62" w:type="dxa"/>
            <w:tcBorders>
              <w:top w:val="single" w:sz="4" w:space="0" w:color="auto"/>
              <w:left w:val="single" w:sz="4" w:space="0" w:color="auto"/>
              <w:bottom w:val="single" w:sz="4" w:space="0" w:color="auto"/>
              <w:right w:val="single" w:sz="4" w:space="0" w:color="auto"/>
            </w:tcBorders>
            <w:vAlign w:val="center"/>
          </w:tcPr>
          <w:p w14:paraId="740F9F5F" w14:textId="7D139FBE" w:rsidR="00286295" w:rsidRDefault="00286295" w:rsidP="00286295">
            <w:pPr>
              <w:spacing w:line="240" w:lineRule="auto"/>
              <w:jc w:val="right"/>
              <w:rPr>
                <w:rFonts w:cs="Arial"/>
                <w:sz w:val="18"/>
                <w:szCs w:val="18"/>
              </w:rPr>
            </w:pPr>
            <w:r>
              <w:rPr>
                <w:rFonts w:cs="Arial"/>
                <w:sz w:val="18"/>
                <w:szCs w:val="18"/>
              </w:rPr>
              <w:t>61</w:t>
            </w:r>
          </w:p>
        </w:tc>
        <w:tc>
          <w:tcPr>
            <w:tcW w:w="896" w:type="dxa"/>
            <w:tcBorders>
              <w:top w:val="single" w:sz="4" w:space="0" w:color="auto"/>
              <w:left w:val="single" w:sz="4" w:space="0" w:color="auto"/>
              <w:bottom w:val="single" w:sz="4" w:space="0" w:color="auto"/>
              <w:right w:val="single" w:sz="4" w:space="0" w:color="auto"/>
            </w:tcBorders>
            <w:vAlign w:val="center"/>
          </w:tcPr>
          <w:p w14:paraId="7AFF54C3" w14:textId="39F0E98C" w:rsidR="00286295" w:rsidRDefault="00286295" w:rsidP="00286295">
            <w:pPr>
              <w:spacing w:line="240" w:lineRule="auto"/>
              <w:jc w:val="right"/>
              <w:rPr>
                <w:rFonts w:cs="Arial"/>
                <w:sz w:val="18"/>
                <w:szCs w:val="18"/>
              </w:rPr>
            </w:pPr>
            <w:r>
              <w:rPr>
                <w:rFonts w:cs="Arial"/>
                <w:sz w:val="18"/>
                <w:szCs w:val="18"/>
              </w:rPr>
              <w:t>63</w:t>
            </w:r>
          </w:p>
        </w:tc>
      </w:tr>
      <w:bookmarkEnd w:id="0"/>
    </w:tbl>
    <w:p w14:paraId="350C67ED" w14:textId="77777777" w:rsidR="004B60C0" w:rsidRDefault="004B60C0" w:rsidP="00C92D4E">
      <w:pPr>
        <w:ind w:left="-142" w:right="-425"/>
        <w:jc w:val="both"/>
        <w:rPr>
          <w:rFonts w:cs="Arial"/>
        </w:rPr>
      </w:pPr>
    </w:p>
    <w:p w14:paraId="46E11053" w14:textId="15A4D3F7" w:rsidR="00434C44" w:rsidRPr="00B61ECB" w:rsidRDefault="00434C44" w:rsidP="00124DB6">
      <w:pPr>
        <w:pStyle w:val="Heading2"/>
      </w:pPr>
      <w:bookmarkStart w:id="2" w:name="_Hlk143596740"/>
      <w:r w:rsidRPr="00B61ECB">
        <w:t xml:space="preserve">Quarterly </w:t>
      </w:r>
      <w:r w:rsidR="003B2EC9">
        <w:t>t</w:t>
      </w:r>
      <w:r w:rsidRPr="00B61ECB">
        <w:t>rends</w:t>
      </w:r>
    </w:p>
    <w:bookmarkEnd w:id="2"/>
    <w:p w14:paraId="52D0702E" w14:textId="225F3D6B" w:rsidR="007012EF" w:rsidRPr="00CD1D59" w:rsidRDefault="007012EF" w:rsidP="00CD1D59">
      <w:pPr>
        <w:ind w:left="-142" w:right="-425"/>
        <w:jc w:val="both"/>
      </w:pPr>
      <w:r w:rsidRPr="00CD1D59">
        <w:t>In the current reporting period 6</w:t>
      </w:r>
      <w:r w:rsidR="00631570" w:rsidRPr="00CD1D59">
        <w:t>5.7%</w:t>
      </w:r>
      <w:r w:rsidRPr="00CD1D59">
        <w:t xml:space="preserve"> of decisions were made with some form of agreement with the client. This includes those who have self-referred to the FRC for a </w:t>
      </w:r>
      <w:r w:rsidR="00CF1EE2">
        <w:t>Voluntary Case Plan (</w:t>
      </w:r>
      <w:r w:rsidRPr="00CD1D59">
        <w:t>VCP</w:t>
      </w:r>
      <w:r w:rsidR="00CF1EE2">
        <w:t>)</w:t>
      </w:r>
      <w:r w:rsidRPr="00CD1D59">
        <w:t xml:space="preserve"> or a Voluntary Income Management (VIM) agreement, entered into a Family Responsibilities Agreement </w:t>
      </w:r>
      <w:r w:rsidR="00F64158">
        <w:t xml:space="preserve">at conference </w:t>
      </w:r>
      <w:r w:rsidRPr="00CD1D59">
        <w:t xml:space="preserve">or successfully applied to end or amend their decision by order or agreement. As a subset of this group, </w:t>
      </w:r>
      <w:r w:rsidR="00631570" w:rsidRPr="00CD1D59">
        <w:t>53%</w:t>
      </w:r>
      <w:r w:rsidRPr="00CD1D59">
        <w:t xml:space="preserve"> of clients specifically entered into a voluntary agreement.</w:t>
      </w:r>
    </w:p>
    <w:p w14:paraId="29268AF6" w14:textId="77777777" w:rsidR="00AC5FB2" w:rsidRDefault="00AC5FB2" w:rsidP="0080444C">
      <w:pPr>
        <w:ind w:left="-142" w:right="-425"/>
        <w:jc w:val="both"/>
        <w:rPr>
          <w:rFonts w:cs="Arial"/>
        </w:rPr>
      </w:pPr>
    </w:p>
    <w:p w14:paraId="0573402B" w14:textId="275845A6" w:rsidR="0002314A" w:rsidRPr="00224AA8" w:rsidRDefault="00CE1178" w:rsidP="0002314A">
      <w:pPr>
        <w:ind w:left="-142" w:right="-425"/>
        <w:jc w:val="both"/>
      </w:pPr>
      <w:r>
        <w:t>During the quarter t</w:t>
      </w:r>
      <w:r w:rsidR="0002314A" w:rsidRPr="00224AA8">
        <w:t xml:space="preserve">he Commission </w:t>
      </w:r>
      <w:r>
        <w:t xml:space="preserve">continued </w:t>
      </w:r>
      <w:r w:rsidR="0002314A" w:rsidRPr="00224AA8">
        <w:t>its increased focus on interactions with clients outside the conference setting</w:t>
      </w:r>
      <w:r w:rsidR="00A83CCE">
        <w:t xml:space="preserve"> through its Client Engagement (CE) approach, </w:t>
      </w:r>
      <w:r w:rsidR="0002314A" w:rsidRPr="00224AA8">
        <w:t>highlight</w:t>
      </w:r>
      <w:r w:rsidR="00A83CCE">
        <w:t>ing</w:t>
      </w:r>
      <w:r w:rsidR="0002314A" w:rsidRPr="00224AA8">
        <w:t xml:space="preserve"> its emergence as a core service delivery area for the Commission. For the period 1 </w:t>
      </w:r>
      <w:r w:rsidR="00A83CCE">
        <w:t>April</w:t>
      </w:r>
      <w:r w:rsidR="00A83CCE" w:rsidRPr="00224AA8">
        <w:t xml:space="preserve"> </w:t>
      </w:r>
      <w:r w:rsidR="0002314A" w:rsidRPr="00224AA8">
        <w:t xml:space="preserve">2024 to 30 June 2024 there </w:t>
      </w:r>
      <w:r w:rsidR="00F64158">
        <w:t>were</w:t>
      </w:r>
      <w:r w:rsidR="00F64158" w:rsidRPr="00224AA8">
        <w:t xml:space="preserve"> </w:t>
      </w:r>
      <w:r w:rsidR="00A83CCE">
        <w:t>578</w:t>
      </w:r>
      <w:r w:rsidR="00A83CCE" w:rsidRPr="00224AA8">
        <w:t xml:space="preserve"> </w:t>
      </w:r>
      <w:r w:rsidR="0002314A" w:rsidRPr="00224AA8">
        <w:t xml:space="preserve">client engagement activities relating to </w:t>
      </w:r>
      <w:r w:rsidR="00F73065">
        <w:t>288</w:t>
      </w:r>
      <w:r w:rsidR="00A83CCE" w:rsidRPr="00224AA8">
        <w:t xml:space="preserve"> </w:t>
      </w:r>
      <w:r w:rsidR="0002314A" w:rsidRPr="00224AA8">
        <w:t>clients.</w:t>
      </w:r>
    </w:p>
    <w:p w14:paraId="2FE0BE1F" w14:textId="77777777" w:rsidR="00C54C6D" w:rsidRPr="00C075AD" w:rsidRDefault="00C54C6D" w:rsidP="00C54C6D">
      <w:pPr>
        <w:ind w:left="-142" w:right="-425"/>
        <w:jc w:val="both"/>
      </w:pPr>
    </w:p>
    <w:p w14:paraId="75F5BDE7" w14:textId="266BE91F" w:rsidR="0002314A" w:rsidRDefault="0002314A" w:rsidP="0084469E">
      <w:pPr>
        <w:ind w:left="-142" w:right="-425"/>
        <w:jc w:val="both"/>
      </w:pPr>
      <w:r w:rsidRPr="00224AA8">
        <w:t>A noteworthy observation since the introduction of the CE approach outside of the conference setting has been the consistency in engagement between the FRC and clients</w:t>
      </w:r>
      <w:r w:rsidR="0084469E">
        <w:t>. The initiative has enabled</w:t>
      </w:r>
      <w:r w:rsidR="0084469E" w:rsidRPr="00224AA8">
        <w:t xml:space="preserve"> </w:t>
      </w:r>
      <w:r w:rsidR="0084469E">
        <w:t>clients</w:t>
      </w:r>
      <w:r w:rsidR="0084469E" w:rsidRPr="00224AA8">
        <w:t xml:space="preserve"> to access resources and services while maintaining autonomy over their choices</w:t>
      </w:r>
      <w:r w:rsidRPr="00224AA8">
        <w:t xml:space="preserve">, which has empowered clients to exercise their right to self-determination and personal agency. This </w:t>
      </w:r>
      <w:r w:rsidR="0084469E" w:rsidRPr="00224AA8">
        <w:t xml:space="preserve">approach prioritises the needs and preferences of clients, </w:t>
      </w:r>
      <w:r w:rsidRPr="00224AA8">
        <w:t>foster</w:t>
      </w:r>
      <w:r w:rsidR="0084469E">
        <w:t>ing</w:t>
      </w:r>
      <w:r w:rsidRPr="00224AA8">
        <w:t xml:space="preserve"> an environment where clients feel encouraged to seek support and actively participate in the decision-making process regarding the wellbeing of themselves and their families.</w:t>
      </w:r>
    </w:p>
    <w:p w14:paraId="65177024" w14:textId="77777777" w:rsidR="0002314A" w:rsidRPr="00224AA8" w:rsidRDefault="0002314A" w:rsidP="0002314A">
      <w:pPr>
        <w:ind w:left="-142" w:right="-425"/>
        <w:jc w:val="both"/>
      </w:pPr>
    </w:p>
    <w:p w14:paraId="204B5959" w14:textId="77777777" w:rsidR="004F071E" w:rsidRPr="00CA34C2" w:rsidRDefault="004F071E" w:rsidP="00124DB6">
      <w:pPr>
        <w:pStyle w:val="Heading2"/>
      </w:pPr>
      <w:r w:rsidRPr="00CA34C2">
        <w:lastRenderedPageBreak/>
        <w:t>Submission to the Australian Parliamentary Joint Committee on Human Rights Inquiry into Compulsory Income Management</w:t>
      </w:r>
    </w:p>
    <w:p w14:paraId="02EF053B" w14:textId="33AF898A" w:rsidR="0002314A" w:rsidRDefault="0002314A" w:rsidP="0002314A">
      <w:pPr>
        <w:ind w:left="-142" w:right="-425"/>
        <w:jc w:val="both"/>
      </w:pPr>
      <w:r w:rsidRPr="00224AA8">
        <w:t>In May 2024, the FRC made a detailed submission to the P</w:t>
      </w:r>
      <w:r w:rsidR="00ED5285">
        <w:t xml:space="preserve">arliamentary </w:t>
      </w:r>
      <w:r w:rsidRPr="00224AA8">
        <w:t>J</w:t>
      </w:r>
      <w:r w:rsidR="00ED5285">
        <w:t xml:space="preserve">oint </w:t>
      </w:r>
      <w:r w:rsidRPr="00224AA8">
        <w:t>C</w:t>
      </w:r>
      <w:r w:rsidR="00ED5285">
        <w:t xml:space="preserve">ommittee on </w:t>
      </w:r>
      <w:r w:rsidRPr="00224AA8">
        <w:t>H</w:t>
      </w:r>
      <w:r w:rsidR="00ED5285">
        <w:t xml:space="preserve">uman </w:t>
      </w:r>
      <w:r w:rsidRPr="00224AA8">
        <w:t>R</w:t>
      </w:r>
      <w:r w:rsidR="00ED5285">
        <w:t xml:space="preserve">ights </w:t>
      </w:r>
      <w:r w:rsidRPr="00224AA8">
        <w:t>outlining the features of the FRC’s model of income management and submitted that the flexible, client-centred, and nuanced model of income management implemented by the FRC was compatible with human rights.</w:t>
      </w:r>
    </w:p>
    <w:p w14:paraId="033D4559" w14:textId="77777777" w:rsidR="00ED5285" w:rsidRDefault="00ED5285" w:rsidP="0002314A">
      <w:pPr>
        <w:ind w:left="-142" w:right="-425"/>
        <w:jc w:val="both"/>
      </w:pPr>
    </w:p>
    <w:p w14:paraId="756674A4" w14:textId="703C324B" w:rsidR="00ED5285" w:rsidRPr="00224AA8" w:rsidRDefault="00ED5285" w:rsidP="0002314A">
      <w:pPr>
        <w:ind w:left="-142" w:right="-425"/>
        <w:jc w:val="both"/>
      </w:pPr>
      <w:r>
        <w:t>A summary of the submission is included in the Future Directions and Challenges section.</w:t>
      </w:r>
    </w:p>
    <w:p w14:paraId="72B3EB0F" w14:textId="77777777" w:rsidR="004F071E" w:rsidRPr="00001798" w:rsidRDefault="004F071E" w:rsidP="00C54C6D">
      <w:pPr>
        <w:ind w:left="-142" w:right="-425"/>
        <w:jc w:val="both"/>
      </w:pPr>
    </w:p>
    <w:p w14:paraId="5E4AC95B" w14:textId="77777777" w:rsidR="00213984" w:rsidRPr="00213984" w:rsidRDefault="00213984" w:rsidP="00124DB6">
      <w:pPr>
        <w:pStyle w:val="Heading2"/>
      </w:pPr>
      <w:r w:rsidRPr="00213984">
        <w:t>Client Engagement implementation in CRM</w:t>
      </w:r>
    </w:p>
    <w:p w14:paraId="761B833E" w14:textId="0B7CE98F" w:rsidR="00213984" w:rsidRPr="00213984" w:rsidRDefault="00213984" w:rsidP="00213984">
      <w:pPr>
        <w:ind w:left="-142" w:right="-425"/>
        <w:jc w:val="both"/>
      </w:pPr>
      <w:r w:rsidRPr="00213984">
        <w:t>During the quarter, the FRC’s ICT Team implemented client engagement functionality into the Dynamics CRM system, introducing new data sets, a data upload tool, and new workflows. This enhancement links client engagement data to voluntary income management and voluntary case plan records, enabling the FRC to accurately identify and record the number of client engagements that lead to voluntary income management and voluntary case plans.</w:t>
      </w:r>
    </w:p>
    <w:p w14:paraId="02D88C9B" w14:textId="77777777" w:rsidR="00213984" w:rsidRDefault="00213984" w:rsidP="007558D6">
      <w:pPr>
        <w:ind w:left="-142" w:right="-425"/>
        <w:jc w:val="both"/>
      </w:pPr>
    </w:p>
    <w:p w14:paraId="43DF30A3" w14:textId="21C44D5C" w:rsidR="00C54C6D" w:rsidRPr="00D9525D" w:rsidRDefault="00ED5285" w:rsidP="00124DB6">
      <w:pPr>
        <w:pStyle w:val="Heading2"/>
      </w:pPr>
      <w:r>
        <w:t>F</w:t>
      </w:r>
      <w:r w:rsidR="00C41210">
        <w:t xml:space="preserve">arewell to our </w:t>
      </w:r>
      <w:r w:rsidR="00C54C6D" w:rsidRPr="00D9525D">
        <w:t>Registrar</w:t>
      </w:r>
      <w:r w:rsidR="00C41210">
        <w:t xml:space="preserve"> Maxine McLeod</w:t>
      </w:r>
    </w:p>
    <w:p w14:paraId="411A1541" w14:textId="123F3401" w:rsidR="0078329A" w:rsidRPr="00224AA8" w:rsidRDefault="0078329A" w:rsidP="0078329A">
      <w:pPr>
        <w:ind w:left="-142" w:right="-425"/>
        <w:jc w:val="both"/>
      </w:pPr>
      <w:r w:rsidRPr="00224AA8">
        <w:t>At the conclusion of her leave in June 2024 Maxine gave notice of her intention to resign from the Registrar’s position</w:t>
      </w:r>
      <w:r w:rsidR="00C54C6D" w:rsidRPr="00FB51D8">
        <w:t xml:space="preserve">. </w:t>
      </w:r>
      <w:r w:rsidRPr="00224AA8">
        <w:t>The Commission extends sincere thanks to Maxine for her years of service, dedication and commitment to the FRC. As one of the longest serving members of FRC staff Maxine has developed enduring relationships with Local Commissioners, partners and staff and has been an extremely capable steward of the FRC’s operations through periods of instability, allowing the organisation and its staff to flourish.</w:t>
      </w:r>
    </w:p>
    <w:p w14:paraId="19453DE3" w14:textId="77777777" w:rsidR="00C54C6D" w:rsidRDefault="00C54C6D" w:rsidP="0080444C">
      <w:pPr>
        <w:ind w:left="-142" w:right="-425"/>
        <w:jc w:val="both"/>
        <w:rPr>
          <w:rFonts w:cs="Arial"/>
        </w:rPr>
      </w:pPr>
    </w:p>
    <w:p w14:paraId="00DC2296" w14:textId="513A6554" w:rsidR="005C1A88" w:rsidRDefault="005C1A88" w:rsidP="0078329A">
      <w:pPr>
        <w:ind w:left="-142" w:right="-425"/>
        <w:jc w:val="both"/>
      </w:pPr>
      <w:r>
        <w:br w:type="page"/>
      </w:r>
    </w:p>
    <w:p w14:paraId="34EE427F"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4E748AAB" w:rsidR="00F058BE" w:rsidRDefault="000541CA" w:rsidP="00256B52">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3542E6">
        <w:rPr>
          <w:noProof/>
        </w:rPr>
        <w:t>6</w:t>
      </w:r>
      <w:r w:rsidR="00F058BE">
        <w:rPr>
          <w:noProof/>
        </w:rPr>
        <w:fldChar w:fldCharType="end"/>
      </w:r>
    </w:p>
    <w:p w14:paraId="62DF3D4A" w14:textId="461CAE34" w:rsidR="00F058BE" w:rsidRDefault="00F058BE" w:rsidP="00256B52">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3542E6">
        <w:rPr>
          <w:noProof/>
        </w:rPr>
        <w:t>17</w:t>
      </w:r>
      <w:r>
        <w:rPr>
          <w:noProof/>
        </w:rPr>
        <w:fldChar w:fldCharType="end"/>
      </w:r>
    </w:p>
    <w:p w14:paraId="293F38D2" w14:textId="0F5F4E10" w:rsidR="00F058BE" w:rsidRDefault="00F058BE" w:rsidP="00256B52">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3542E6">
        <w:rPr>
          <w:noProof/>
        </w:rPr>
        <w:t>21</w:t>
      </w:r>
      <w:r>
        <w:rPr>
          <w:noProof/>
        </w:rPr>
        <w:fldChar w:fldCharType="end"/>
      </w:r>
    </w:p>
    <w:p w14:paraId="79738A35" w14:textId="4E525471" w:rsidR="00F058BE" w:rsidRDefault="00F058BE" w:rsidP="00256B52">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3542E6">
        <w:rPr>
          <w:noProof/>
        </w:rPr>
        <w:t>22</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6F3893DE"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3</w:t>
      </w:r>
      <w:r w:rsidR="002A5028">
        <w:rPr>
          <w:i/>
          <w:sz w:val="24"/>
          <w:szCs w:val="24"/>
        </w:rPr>
        <w:t xml:space="preserve">0 June </w:t>
      </w:r>
      <w:r w:rsidR="00984BBB">
        <w:rPr>
          <w:i/>
          <w:sz w:val="24"/>
          <w:szCs w:val="24"/>
        </w:rPr>
        <w:t>202</w:t>
      </w:r>
      <w:r w:rsidR="00BC09BB">
        <w:rPr>
          <w:i/>
          <w:sz w:val="24"/>
          <w:szCs w:val="24"/>
        </w:rPr>
        <w:t>4</w:t>
      </w:r>
      <w:r w:rsidRPr="00B04486">
        <w:rPr>
          <w:i/>
          <w:sz w:val="24"/>
          <w:szCs w:val="24"/>
        </w:rPr>
        <w:t>.</w:t>
      </w:r>
    </w:p>
    <w:p w14:paraId="3B63D598" w14:textId="77777777" w:rsidR="005A5B78" w:rsidRPr="00942B2C" w:rsidRDefault="005A5B78" w:rsidP="005A5B78">
      <w:pPr>
        <w:pStyle w:val="Heading1"/>
        <w:ind w:left="-142" w:right="-426"/>
      </w:pPr>
      <w:bookmarkStart w:id="3" w:name="_Toc222226581"/>
      <w:bookmarkStart w:id="4" w:name="_Toc304386230"/>
      <w:bookmarkStart w:id="5" w:name="_Toc304386307"/>
      <w:bookmarkStart w:id="6" w:name="_Toc306011180"/>
      <w:bookmarkStart w:id="7" w:name="_Toc39657991"/>
      <w:r>
        <w:t>1.  Activities and</w:t>
      </w:r>
      <w:r w:rsidRPr="00942B2C">
        <w:t xml:space="preserve"> </w:t>
      </w:r>
      <w:bookmarkEnd w:id="3"/>
      <w:bookmarkEnd w:id="4"/>
      <w:bookmarkEnd w:id="5"/>
      <w:bookmarkEnd w:id="6"/>
      <w:r>
        <w:t>Trends</w:t>
      </w:r>
      <w:bookmarkEnd w:id="7"/>
    </w:p>
    <w:p w14:paraId="2BAF545E" w14:textId="77E156F5" w:rsidR="009B2EF1" w:rsidRPr="00E6690B" w:rsidRDefault="009B2EF1" w:rsidP="00E6690B">
      <w:pPr>
        <w:tabs>
          <w:tab w:val="left" w:pos="1134"/>
        </w:tabs>
        <w:ind w:left="-142" w:right="-425"/>
        <w:jc w:val="both"/>
      </w:pPr>
      <w:bookmarkStart w:id="8" w:name="_Hlk149639732"/>
    </w:p>
    <w:bookmarkEnd w:id="8"/>
    <w:p w14:paraId="3D98B899" w14:textId="7F0B88B2" w:rsidR="00237AB1" w:rsidRPr="003E2C8D" w:rsidRDefault="00237AB1" w:rsidP="00124DB6">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 xml:space="preserve">The Commission delivers services to communities which are culturally unique and geographically remote. Each community is </w:t>
      </w:r>
      <w:proofErr w:type="gramStart"/>
      <w:r>
        <w:t>different,</w:t>
      </w:r>
      <w:proofErr w:type="gramEnd"/>
      <w:r>
        <w:t xml:space="preserve">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1ECCD11E"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BC09BB">
        <w:t>6</w:t>
      </w:r>
      <w:r w:rsidR="00954B8D">
        <w:t>4</w:t>
      </w:r>
      <w:r w:rsidR="005728FA">
        <w:t>,</w:t>
      </w:r>
      <w:r w:rsidR="007B68DE">
        <w:t xml:space="preserve"> </w:t>
      </w:r>
      <w:r w:rsidR="00C1168B">
        <w:t>5</w:t>
      </w:r>
      <w:r w:rsidR="00954B8D">
        <w:t>85</w:t>
      </w:r>
      <w:r w:rsidR="009F0B93">
        <w:t xml:space="preserve"> </w:t>
      </w:r>
      <w:r w:rsidR="006648A1">
        <w:t xml:space="preserve">clients </w:t>
      </w:r>
      <w:r w:rsidR="00FE5409">
        <w:t>(</w:t>
      </w:r>
      <w:r w:rsidR="00D356CC">
        <w:t>8</w:t>
      </w:r>
      <w:r w:rsidR="00954B8D">
        <w:t>8</w:t>
      </w:r>
      <w:r w:rsidR="00DD36DF">
        <w:t>%</w:t>
      </w:r>
      <w:r w:rsidR="006648A1">
        <w:t>)</w:t>
      </w:r>
      <w:r w:rsidR="00FE5409">
        <w:t xml:space="preserve"> were notified to the Commission with only one type of trigger notice</w:t>
      </w:r>
      <w:r w:rsidR="003A48E8">
        <w:t>. T</w:t>
      </w:r>
      <w:r w:rsidR="00FE5409">
        <w:t xml:space="preserve">he remaining </w:t>
      </w:r>
      <w:r w:rsidR="0078063B">
        <w:t>8</w:t>
      </w:r>
      <w:r w:rsidR="00954B8D">
        <w:t>2</w:t>
      </w:r>
      <w:r w:rsidR="0078063B">
        <w:t xml:space="preserve"> </w:t>
      </w:r>
      <w:r w:rsidR="006648A1">
        <w:t xml:space="preserve">clients </w:t>
      </w:r>
      <w:r w:rsidR="00FE5409">
        <w:t>(</w:t>
      </w:r>
      <w:r w:rsidR="00D356CC">
        <w:t>1</w:t>
      </w:r>
      <w:r w:rsidR="00954B8D">
        <w:t>2</w:t>
      </w:r>
      <w:r w:rsidR="00DD36DF">
        <w:t>%</w:t>
      </w:r>
      <w:r w:rsidR="00FE5409">
        <w:t>) received more than one type of trigger notice.</w:t>
      </w:r>
    </w:p>
    <w:p w14:paraId="3B2D50C8" w14:textId="77777777" w:rsidR="00DD432B" w:rsidRDefault="00DD432B" w:rsidP="0024013F">
      <w:pPr>
        <w:tabs>
          <w:tab w:val="left" w:pos="1134"/>
        </w:tabs>
        <w:ind w:left="-142" w:right="-425"/>
        <w:jc w:val="both"/>
      </w:pPr>
    </w:p>
    <w:p w14:paraId="186B821C" w14:textId="0D36D385" w:rsidR="00DD432B" w:rsidRPr="00811A70" w:rsidRDefault="00DD432B" w:rsidP="00DD432B">
      <w:pPr>
        <w:spacing w:after="120" w:line="240" w:lineRule="auto"/>
        <w:ind w:left="794" w:hanging="794"/>
        <w:rPr>
          <w:bCs/>
          <w:sz w:val="16"/>
          <w:szCs w:val="16"/>
        </w:rPr>
      </w:pPr>
      <w:r w:rsidRPr="00DD432B">
        <w:rPr>
          <w:b/>
          <w:sz w:val="16"/>
          <w:szCs w:val="16"/>
        </w:rPr>
        <w:t xml:space="preserve">Table 2: </w:t>
      </w:r>
      <w:r w:rsidRPr="00DD432B">
        <w:rPr>
          <w:bCs/>
          <w:sz w:val="16"/>
          <w:szCs w:val="16"/>
        </w:rPr>
        <w:t xml:space="preserve">Number of clients by number of different types of agency notices received </w:t>
      </w:r>
      <w:r w:rsidR="00241C79">
        <w:rPr>
          <w:bCs/>
          <w:sz w:val="16"/>
          <w:szCs w:val="16"/>
        </w:rPr>
        <w:t xml:space="preserve">1 </w:t>
      </w:r>
      <w:r w:rsidR="00954B8D">
        <w:rPr>
          <w:bCs/>
          <w:sz w:val="16"/>
          <w:szCs w:val="16"/>
        </w:rPr>
        <w:t xml:space="preserve">April </w:t>
      </w:r>
      <w:r w:rsidR="00241C79">
        <w:rPr>
          <w:bCs/>
          <w:sz w:val="16"/>
          <w:szCs w:val="16"/>
        </w:rPr>
        <w:t>202</w:t>
      </w:r>
      <w:r w:rsidR="00BC09BB">
        <w:rPr>
          <w:bCs/>
          <w:sz w:val="16"/>
          <w:szCs w:val="16"/>
        </w:rPr>
        <w:t>4</w:t>
      </w:r>
      <w:r w:rsidR="00241C79">
        <w:rPr>
          <w:bCs/>
          <w:sz w:val="16"/>
          <w:szCs w:val="16"/>
        </w:rPr>
        <w:t xml:space="preserve"> to 3</w:t>
      </w:r>
      <w:r w:rsidR="00954B8D">
        <w:rPr>
          <w:bCs/>
          <w:sz w:val="16"/>
          <w:szCs w:val="16"/>
        </w:rPr>
        <w:t xml:space="preserve">0 June </w:t>
      </w:r>
      <w:r w:rsidR="00BC09BB">
        <w:rPr>
          <w:bCs/>
          <w:sz w:val="16"/>
          <w:szCs w:val="16"/>
        </w:rPr>
        <w:t>2024</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shd w:val="clear" w:color="auto" w:fill="auto"/>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shd w:val="clear" w:color="auto" w:fill="auto"/>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954B8D" w:rsidRPr="00FE5409" w14:paraId="2BC71674" w14:textId="77777777" w:rsidTr="0088566E">
        <w:trPr>
          <w:trHeight w:val="300"/>
        </w:trPr>
        <w:tc>
          <w:tcPr>
            <w:tcW w:w="2200" w:type="dxa"/>
            <w:shd w:val="clear" w:color="auto" w:fill="auto"/>
          </w:tcPr>
          <w:p w14:paraId="35C66FA9" w14:textId="6C9CB49D" w:rsidR="00954B8D" w:rsidRDefault="00954B8D" w:rsidP="00954B8D">
            <w:pPr>
              <w:spacing w:line="240" w:lineRule="auto"/>
              <w:jc w:val="center"/>
              <w:rPr>
                <w:rFonts w:cs="Arial"/>
                <w:color w:val="000000"/>
              </w:rPr>
            </w:pPr>
            <w:r>
              <w:rPr>
                <w:rFonts w:cs="Arial"/>
                <w:color w:val="000000"/>
              </w:rPr>
              <w:t>1</w:t>
            </w:r>
          </w:p>
        </w:tc>
        <w:tc>
          <w:tcPr>
            <w:tcW w:w="1197" w:type="dxa"/>
            <w:shd w:val="clear" w:color="auto" w:fill="auto"/>
          </w:tcPr>
          <w:p w14:paraId="18B67C31" w14:textId="0575739F" w:rsidR="00954B8D" w:rsidRPr="00AA1E6F" w:rsidRDefault="00954B8D" w:rsidP="00954B8D">
            <w:pPr>
              <w:spacing w:line="240" w:lineRule="auto"/>
              <w:jc w:val="right"/>
              <w:rPr>
                <w:rFonts w:cs="Arial"/>
                <w:color w:val="000000"/>
              </w:rPr>
            </w:pPr>
            <w:r w:rsidRPr="00133EE4">
              <w:rPr>
                <w:rFonts w:cs="Arial"/>
              </w:rPr>
              <w:t>585</w:t>
            </w:r>
          </w:p>
        </w:tc>
      </w:tr>
      <w:tr w:rsidR="00954B8D" w:rsidRPr="00FE5409" w14:paraId="1A7DB5C2" w14:textId="77777777" w:rsidTr="0088566E">
        <w:trPr>
          <w:trHeight w:val="300"/>
        </w:trPr>
        <w:tc>
          <w:tcPr>
            <w:tcW w:w="2200" w:type="dxa"/>
            <w:shd w:val="clear" w:color="auto" w:fill="auto"/>
          </w:tcPr>
          <w:p w14:paraId="0FB531E4" w14:textId="04C6BBCA" w:rsidR="00954B8D" w:rsidRDefault="00954B8D" w:rsidP="00954B8D">
            <w:pPr>
              <w:spacing w:line="240" w:lineRule="auto"/>
              <w:jc w:val="center"/>
              <w:rPr>
                <w:rFonts w:cs="Arial"/>
                <w:color w:val="000000"/>
              </w:rPr>
            </w:pPr>
            <w:r>
              <w:rPr>
                <w:rFonts w:cs="Arial"/>
                <w:color w:val="000000"/>
              </w:rPr>
              <w:t>2</w:t>
            </w:r>
          </w:p>
        </w:tc>
        <w:tc>
          <w:tcPr>
            <w:tcW w:w="1197" w:type="dxa"/>
            <w:shd w:val="clear" w:color="auto" w:fill="auto"/>
          </w:tcPr>
          <w:p w14:paraId="3547B1D3" w14:textId="05E15728" w:rsidR="00954B8D" w:rsidRPr="00AA1E6F" w:rsidRDefault="00954B8D" w:rsidP="00954B8D">
            <w:pPr>
              <w:spacing w:line="240" w:lineRule="auto"/>
              <w:jc w:val="right"/>
              <w:rPr>
                <w:rFonts w:cs="Calibri"/>
                <w:color w:val="000000"/>
                <w:lang w:eastAsia="en-AU"/>
              </w:rPr>
            </w:pPr>
            <w:r w:rsidRPr="00133EE4">
              <w:rPr>
                <w:rFonts w:cs="Arial"/>
              </w:rPr>
              <w:t>74</w:t>
            </w:r>
          </w:p>
        </w:tc>
      </w:tr>
      <w:tr w:rsidR="00954B8D" w:rsidRPr="00FE5409" w14:paraId="172CBC7C" w14:textId="77777777" w:rsidTr="0088566E">
        <w:trPr>
          <w:trHeight w:val="300"/>
        </w:trPr>
        <w:tc>
          <w:tcPr>
            <w:tcW w:w="2200" w:type="dxa"/>
            <w:shd w:val="clear" w:color="auto" w:fill="auto"/>
          </w:tcPr>
          <w:p w14:paraId="63B29F9A" w14:textId="295E5F8B" w:rsidR="00954B8D" w:rsidRDefault="00954B8D" w:rsidP="00954B8D">
            <w:pPr>
              <w:spacing w:line="240" w:lineRule="auto"/>
              <w:jc w:val="center"/>
              <w:rPr>
                <w:rFonts w:cs="Arial"/>
                <w:color w:val="000000"/>
              </w:rPr>
            </w:pPr>
            <w:r>
              <w:rPr>
                <w:rFonts w:cs="Arial"/>
                <w:color w:val="000000"/>
              </w:rPr>
              <w:t>3</w:t>
            </w:r>
          </w:p>
        </w:tc>
        <w:tc>
          <w:tcPr>
            <w:tcW w:w="1197" w:type="dxa"/>
            <w:shd w:val="clear" w:color="auto" w:fill="auto"/>
          </w:tcPr>
          <w:p w14:paraId="56A1C5C3" w14:textId="30D95C72" w:rsidR="00954B8D" w:rsidRPr="00AA1E6F" w:rsidRDefault="00954B8D" w:rsidP="00954B8D">
            <w:pPr>
              <w:spacing w:line="240" w:lineRule="auto"/>
              <w:jc w:val="right"/>
              <w:rPr>
                <w:rFonts w:cs="Calibri"/>
                <w:color w:val="000000"/>
                <w:lang w:eastAsia="en-AU"/>
              </w:rPr>
            </w:pPr>
            <w:r w:rsidRPr="00133EE4">
              <w:rPr>
                <w:rFonts w:cs="Arial"/>
              </w:rPr>
              <w:t>8</w:t>
            </w:r>
          </w:p>
        </w:tc>
      </w:tr>
      <w:tr w:rsidR="00954B8D" w:rsidRPr="00FE5409" w14:paraId="5A2EB27F" w14:textId="77777777" w:rsidTr="0088566E">
        <w:trPr>
          <w:trHeight w:val="300"/>
        </w:trPr>
        <w:tc>
          <w:tcPr>
            <w:tcW w:w="2200" w:type="dxa"/>
            <w:shd w:val="clear" w:color="auto" w:fill="auto"/>
          </w:tcPr>
          <w:p w14:paraId="1CA873EF" w14:textId="2882A1C2" w:rsidR="00954B8D" w:rsidRDefault="00954B8D" w:rsidP="00954B8D">
            <w:pPr>
              <w:spacing w:line="240" w:lineRule="auto"/>
              <w:jc w:val="center"/>
              <w:rPr>
                <w:rFonts w:cs="Arial"/>
                <w:color w:val="000000"/>
              </w:rPr>
            </w:pPr>
            <w:r>
              <w:rPr>
                <w:rFonts w:cs="Arial"/>
                <w:color w:val="000000"/>
              </w:rPr>
              <w:t>4</w:t>
            </w:r>
          </w:p>
        </w:tc>
        <w:tc>
          <w:tcPr>
            <w:tcW w:w="1197" w:type="dxa"/>
            <w:shd w:val="clear" w:color="auto" w:fill="auto"/>
          </w:tcPr>
          <w:p w14:paraId="05745006" w14:textId="1DBC3CC2" w:rsidR="00954B8D" w:rsidRPr="00AA1E6F" w:rsidRDefault="00954B8D" w:rsidP="00954B8D">
            <w:pPr>
              <w:spacing w:line="240" w:lineRule="auto"/>
              <w:jc w:val="right"/>
              <w:rPr>
                <w:rFonts w:cs="Calibri"/>
                <w:color w:val="000000"/>
                <w:lang w:eastAsia="en-AU"/>
              </w:rPr>
            </w:pPr>
            <w:r w:rsidRPr="00133EE4">
              <w:rPr>
                <w:rFonts w:cs="Arial"/>
              </w:rPr>
              <w:t>0</w:t>
            </w:r>
          </w:p>
        </w:tc>
      </w:tr>
      <w:tr w:rsidR="00954B8D" w:rsidRPr="00FE5409" w14:paraId="3D8BDCCA" w14:textId="77777777" w:rsidTr="0088566E">
        <w:trPr>
          <w:trHeight w:val="300"/>
        </w:trPr>
        <w:tc>
          <w:tcPr>
            <w:tcW w:w="2200" w:type="dxa"/>
            <w:shd w:val="clear" w:color="auto" w:fill="auto"/>
            <w:hideMark/>
          </w:tcPr>
          <w:p w14:paraId="44CD1767" w14:textId="77777777" w:rsidR="00954B8D" w:rsidRPr="00FE5409" w:rsidRDefault="00954B8D" w:rsidP="00954B8D">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0B07992C" w14:textId="5973B2EB" w:rsidR="00954B8D" w:rsidRPr="00AA1E6F" w:rsidRDefault="00954B8D" w:rsidP="00954B8D">
            <w:pPr>
              <w:spacing w:line="240" w:lineRule="auto"/>
              <w:jc w:val="right"/>
              <w:rPr>
                <w:rFonts w:cs="Calibri"/>
                <w:b/>
                <w:bCs/>
                <w:color w:val="000000"/>
                <w:lang w:eastAsia="en-AU"/>
              </w:rPr>
            </w:pPr>
            <w:r w:rsidRPr="00133EE4">
              <w:rPr>
                <w:rFonts w:cs="Arial"/>
                <w:b/>
                <w:bCs/>
              </w:rPr>
              <w:t>667</w:t>
            </w:r>
          </w:p>
        </w:tc>
      </w:tr>
    </w:tbl>
    <w:p w14:paraId="2969FCB4" w14:textId="77777777" w:rsidR="00DD432B" w:rsidRDefault="00DD432B" w:rsidP="0024013F">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4D2A73B6" w:rsidR="003317A8" w:rsidRPr="002B14E8" w:rsidRDefault="00FB4106" w:rsidP="005C0A9F">
      <w:pPr>
        <w:tabs>
          <w:tab w:val="decimal" w:pos="720"/>
        </w:tabs>
        <w:ind w:left="-142" w:right="-425"/>
        <w:jc w:val="both"/>
      </w:pPr>
      <w:r>
        <w:tab/>
      </w:r>
      <w:r w:rsidR="0078063B">
        <w:t>6</w:t>
      </w:r>
      <w:r w:rsidR="00954B8D">
        <w:t>5</w:t>
      </w:r>
      <w:r w:rsidR="00DD36DF">
        <w:t>%</w:t>
      </w:r>
      <w:r w:rsidR="003317A8" w:rsidRPr="002B14E8">
        <w:t xml:space="preserve"> received a school attendance </w:t>
      </w:r>
      <w:r w:rsidR="00546F72" w:rsidRPr="002B14E8">
        <w:t xml:space="preserve">(EQ) </w:t>
      </w:r>
      <w:r w:rsidR="003317A8" w:rsidRPr="002B14E8">
        <w:t>notice</w:t>
      </w:r>
    </w:p>
    <w:p w14:paraId="148CD9E5" w14:textId="05F02DE7" w:rsidR="003317A8" w:rsidRDefault="00FB4106" w:rsidP="005C0A9F">
      <w:pPr>
        <w:tabs>
          <w:tab w:val="decimal" w:pos="720"/>
        </w:tabs>
        <w:ind w:left="-142" w:right="-425"/>
        <w:jc w:val="both"/>
      </w:pPr>
      <w:r w:rsidRPr="002B14E8">
        <w:tab/>
      </w:r>
      <w:r w:rsidR="00166933">
        <w:t>1</w:t>
      </w:r>
      <w:r w:rsidR="00954B8D">
        <w:t>2</w:t>
      </w:r>
      <w:r w:rsidR="00DD36DF">
        <w:t>%</w:t>
      </w:r>
      <w:r w:rsidR="00FC7C1D" w:rsidRPr="002B14E8">
        <w:t xml:space="preserve"> </w:t>
      </w:r>
      <w:r w:rsidR="00492241" w:rsidRPr="002B14E8">
        <w:t>received a Magistrate</w:t>
      </w:r>
      <w:r w:rsidR="00987C15">
        <w:t>s</w:t>
      </w:r>
      <w:r w:rsidR="00492241" w:rsidRPr="002B14E8">
        <w:t xml:space="preserve"> Co</w:t>
      </w:r>
      <w:r w:rsidR="00E364B4" w:rsidRPr="002B14E8">
        <w:t>u</w:t>
      </w:r>
      <w:r w:rsidR="00492241" w:rsidRPr="002B14E8">
        <w:t xml:space="preserve">rt </w:t>
      </w:r>
      <w:r w:rsidR="00546F72" w:rsidRPr="002B14E8">
        <w:t xml:space="preserve">(MAG) </w:t>
      </w:r>
      <w:r w:rsidR="00492241" w:rsidRPr="002B14E8">
        <w:t>notice</w:t>
      </w:r>
    </w:p>
    <w:p w14:paraId="51C38AAB" w14:textId="4DDD1364" w:rsidR="00D600F7" w:rsidRDefault="000B2FD5" w:rsidP="005D2783">
      <w:pPr>
        <w:tabs>
          <w:tab w:val="decimal" w:pos="720"/>
        </w:tabs>
        <w:ind w:left="-142" w:right="-425"/>
        <w:jc w:val="both"/>
      </w:pPr>
      <w:r w:rsidRPr="002B14E8">
        <w:tab/>
      </w:r>
      <w:r w:rsidR="00954B8D">
        <w:t>6</w:t>
      </w:r>
      <w:r w:rsidR="00DD36DF">
        <w:t>%</w:t>
      </w:r>
      <w:r w:rsidRPr="002B14E8">
        <w:t xml:space="preserve"> received a child safety and welfare (CS) notice</w:t>
      </w:r>
    </w:p>
    <w:p w14:paraId="5E58A3B6" w14:textId="77777777" w:rsidR="00954B8D" w:rsidRDefault="005D2783" w:rsidP="005D2783">
      <w:pPr>
        <w:tabs>
          <w:tab w:val="decimal" w:pos="720"/>
        </w:tabs>
        <w:ind w:left="-142" w:right="-425"/>
        <w:jc w:val="both"/>
      </w:pPr>
      <w:r w:rsidRPr="002B14E8">
        <w:tab/>
      </w:r>
      <w:r w:rsidR="00954B8D">
        <w:t>3</w:t>
      </w:r>
      <w:r w:rsidR="00DD36DF">
        <w:t>%</w:t>
      </w:r>
      <w:r w:rsidRPr="002B14E8">
        <w:t xml:space="preserve"> received a domestic violence order (DVO) notice</w:t>
      </w:r>
    </w:p>
    <w:p w14:paraId="3AD3E09F" w14:textId="439196BD" w:rsidR="00954B8D" w:rsidRDefault="00954B8D" w:rsidP="005D2783">
      <w:pPr>
        <w:tabs>
          <w:tab w:val="decimal" w:pos="720"/>
        </w:tabs>
        <w:ind w:left="-142" w:right="-425"/>
        <w:jc w:val="both"/>
      </w:pPr>
      <w:r>
        <w:tab/>
        <w:t>1% received a District Court (D</w:t>
      </w:r>
      <w:r w:rsidR="00987C15">
        <w:t>IS</w:t>
      </w:r>
      <w:r>
        <w:t>) notice</w:t>
      </w:r>
    </w:p>
    <w:p w14:paraId="6693B532" w14:textId="13913F8D" w:rsidR="00954B8D" w:rsidRDefault="00954B8D" w:rsidP="005D2783">
      <w:pPr>
        <w:tabs>
          <w:tab w:val="decimal" w:pos="720"/>
        </w:tabs>
        <w:ind w:left="-142" w:right="-425"/>
        <w:jc w:val="both"/>
      </w:pPr>
      <w:r>
        <w:tab/>
        <w:t>1% received a domestic violence breach (DVB) not</w:t>
      </w:r>
      <w:r w:rsidR="008C27AC">
        <w:t>ice</w:t>
      </w:r>
    </w:p>
    <w:p w14:paraId="4CC669BB" w14:textId="2A0A4AB5" w:rsidR="005D2783" w:rsidRPr="002B14E8" w:rsidRDefault="00954B8D" w:rsidP="005D2783">
      <w:pPr>
        <w:tabs>
          <w:tab w:val="decimal" w:pos="720"/>
        </w:tabs>
        <w:ind w:left="-142" w:right="-425"/>
        <w:jc w:val="both"/>
      </w:pPr>
      <w:r>
        <w:tab/>
        <w:t>1% received a housing tenancy breach notice</w:t>
      </w:r>
      <w:r w:rsidR="000827CC">
        <w:t>.</w:t>
      </w:r>
    </w:p>
    <w:p w14:paraId="7E950EE4" w14:textId="77777777" w:rsidR="003C0A9A" w:rsidRDefault="003C0A9A" w:rsidP="005C0A9F">
      <w:pPr>
        <w:tabs>
          <w:tab w:val="decimal" w:pos="720"/>
        </w:tabs>
        <w:ind w:left="-142" w:right="-425"/>
        <w:jc w:val="both"/>
      </w:pPr>
    </w:p>
    <w:p w14:paraId="74CFEB98" w14:textId="3471FBC8"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954B8D">
        <w:t>3</w:t>
      </w:r>
      <w:r w:rsidR="000827CC">
        <w:t xml:space="preserve"> clients with a </w:t>
      </w:r>
      <w:r w:rsidR="00954B8D">
        <w:t>school enrolment notice</w:t>
      </w:r>
      <w:r w:rsidR="000827CC">
        <w:t xml:space="preserve"> (</w:t>
      </w:r>
      <w:r w:rsidR="00954B8D">
        <w:t>SEN</w:t>
      </w:r>
      <w:r w:rsidR="000827CC">
        <w:t>).</w:t>
      </w:r>
    </w:p>
    <w:p w14:paraId="45C18E5D" w14:textId="77777777" w:rsidR="00085687" w:rsidRDefault="00085687" w:rsidP="004E36FE">
      <w:pPr>
        <w:tabs>
          <w:tab w:val="left" w:pos="1134"/>
        </w:tabs>
        <w:ind w:left="-142" w:right="-425"/>
        <w:jc w:val="both"/>
      </w:pPr>
    </w:p>
    <w:p w14:paraId="78ABBEEE" w14:textId="7696B688"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received for </w:t>
      </w:r>
      <w:r w:rsidR="00A430B9">
        <w:t xml:space="preserve">the </w:t>
      </w:r>
      <w:r w:rsidR="0078063B">
        <w:t>8</w:t>
      </w:r>
      <w:r w:rsidR="00954B8D">
        <w:t>2</w:t>
      </w:r>
      <w:r w:rsidR="0078063B"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w:t>
      </w:r>
      <w:r w:rsidR="00D87B74" w:rsidRPr="004D45AD">
        <w:t xml:space="preserve">One can see that predominantly </w:t>
      </w:r>
      <w:r w:rsidR="00E451BA" w:rsidRPr="00692906">
        <w:t>there is a nexus between</w:t>
      </w:r>
      <w:r w:rsidR="00266BB4" w:rsidRPr="00692906">
        <w:t xml:space="preserve"> </w:t>
      </w:r>
      <w:r w:rsidR="00D87B74" w:rsidRPr="00692906">
        <w:t xml:space="preserve">Court convictions </w:t>
      </w:r>
      <w:r w:rsidR="00266BB4" w:rsidRPr="00692906">
        <w:t xml:space="preserve">and domestic violence orders/breaches </w:t>
      </w:r>
      <w:r w:rsidR="00E451BA" w:rsidRPr="00692906">
        <w:t>with</w:t>
      </w:r>
      <w:r w:rsidR="00D87B74" w:rsidRPr="00692906">
        <w:t xml:space="preserve"> education </w:t>
      </w:r>
      <w:r w:rsidR="00E451BA" w:rsidRPr="00692906">
        <w:t xml:space="preserve">notices </w:t>
      </w:r>
      <w:r w:rsidR="00D87B74" w:rsidRPr="00692906">
        <w:t>and child safety issues</w:t>
      </w:r>
      <w:r w:rsidR="00A903B1" w:rsidRPr="00692906">
        <w:t xml:space="preserve">, </w:t>
      </w:r>
      <w:proofErr w:type="gramStart"/>
      <w:r w:rsidR="00A903B1" w:rsidRPr="00692906">
        <w:t xml:space="preserve">and </w:t>
      </w:r>
      <w:r w:rsidR="00E451BA" w:rsidRPr="00692906">
        <w:t>also</w:t>
      </w:r>
      <w:proofErr w:type="gramEnd"/>
      <w:r w:rsidR="00E451BA" w:rsidRPr="00692906">
        <w:t xml:space="preserve"> </w:t>
      </w:r>
      <w:r w:rsidR="00A903B1" w:rsidRPr="00692906">
        <w:t>a strong nexus between child safety issues and education notices</w:t>
      </w:r>
      <w:r w:rsidR="00266BB4" w:rsidRPr="00692906">
        <w:t>.</w:t>
      </w:r>
    </w:p>
    <w:p w14:paraId="4DF56508" w14:textId="6FC8AD83" w:rsidR="0030587D" w:rsidRDefault="0030587D" w:rsidP="00106EA8">
      <w:pPr>
        <w:tabs>
          <w:tab w:val="left" w:pos="1134"/>
        </w:tabs>
        <w:ind w:left="-142" w:right="-425"/>
        <w:jc w:val="both"/>
      </w:pPr>
    </w:p>
    <w:p w14:paraId="1F2400EB" w14:textId="77777777" w:rsidR="002522F2" w:rsidRPr="007A56DA" w:rsidRDefault="002522F2">
      <w:pPr>
        <w:spacing w:line="240" w:lineRule="auto"/>
        <w:rPr>
          <w:bCs/>
        </w:rPr>
      </w:pPr>
      <w:r w:rsidRPr="007A56DA">
        <w:rPr>
          <w:bCs/>
        </w:rPr>
        <w:br w:type="page"/>
      </w:r>
    </w:p>
    <w:p w14:paraId="545211AE" w14:textId="40AD242E" w:rsidR="0030587D" w:rsidRPr="00811A70" w:rsidRDefault="0030587D" w:rsidP="00352CA2">
      <w:pPr>
        <w:spacing w:after="120" w:line="240" w:lineRule="auto"/>
        <w:ind w:left="794" w:hanging="794"/>
        <w:rPr>
          <w:bCs/>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241C79">
        <w:rPr>
          <w:bCs/>
          <w:sz w:val="16"/>
          <w:szCs w:val="16"/>
        </w:rPr>
        <w:t xml:space="preserve">1 </w:t>
      </w:r>
      <w:r w:rsidR="00E047B7">
        <w:rPr>
          <w:bCs/>
          <w:sz w:val="16"/>
          <w:szCs w:val="16"/>
        </w:rPr>
        <w:t xml:space="preserve">April </w:t>
      </w:r>
      <w:r w:rsidR="00241C79">
        <w:rPr>
          <w:bCs/>
          <w:sz w:val="16"/>
          <w:szCs w:val="16"/>
        </w:rPr>
        <w:t>202</w:t>
      </w:r>
      <w:r w:rsidR="00BC09BB">
        <w:rPr>
          <w:bCs/>
          <w:sz w:val="16"/>
          <w:szCs w:val="16"/>
        </w:rPr>
        <w:t>4</w:t>
      </w:r>
      <w:r w:rsidR="00241C79">
        <w:rPr>
          <w:bCs/>
          <w:sz w:val="16"/>
          <w:szCs w:val="16"/>
        </w:rPr>
        <w:t xml:space="preserve"> to 3</w:t>
      </w:r>
      <w:r w:rsidR="00E047B7">
        <w:rPr>
          <w:bCs/>
          <w:sz w:val="16"/>
          <w:szCs w:val="16"/>
        </w:rPr>
        <w:t>0 June</w:t>
      </w:r>
      <w:r w:rsidR="00542331">
        <w:rPr>
          <w:bCs/>
          <w:sz w:val="16"/>
          <w:szCs w:val="16"/>
        </w:rPr>
        <w:t xml:space="preserve"> </w:t>
      </w:r>
      <w:r w:rsidR="00BC09BB">
        <w:rPr>
          <w:bCs/>
          <w:sz w:val="16"/>
          <w:szCs w:val="16"/>
        </w:rPr>
        <w:t>2024</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E047B7" w:rsidRPr="00FE5409" w14:paraId="37C0D2CE" w14:textId="77777777" w:rsidTr="000B2FD5">
        <w:trPr>
          <w:trHeight w:val="300"/>
        </w:trPr>
        <w:tc>
          <w:tcPr>
            <w:tcW w:w="2200" w:type="dxa"/>
            <w:shd w:val="clear" w:color="auto" w:fill="auto"/>
            <w:vAlign w:val="bottom"/>
          </w:tcPr>
          <w:p w14:paraId="0B6C9CC2" w14:textId="047E41E3" w:rsidR="00E047B7" w:rsidRPr="00AA1E6F" w:rsidRDefault="00E047B7" w:rsidP="00E047B7">
            <w:pPr>
              <w:spacing w:line="240" w:lineRule="auto"/>
              <w:rPr>
                <w:rFonts w:cs="Arial"/>
                <w:color w:val="000000"/>
              </w:rPr>
            </w:pPr>
            <w:r w:rsidRPr="00133EE4">
              <w:rPr>
                <w:rFonts w:cs="Calibri"/>
              </w:rPr>
              <w:t>CS,DVO</w:t>
            </w:r>
          </w:p>
        </w:tc>
        <w:tc>
          <w:tcPr>
            <w:tcW w:w="1197" w:type="dxa"/>
            <w:shd w:val="clear" w:color="auto" w:fill="auto"/>
            <w:vAlign w:val="bottom"/>
          </w:tcPr>
          <w:p w14:paraId="60C66FED" w14:textId="7AB24E58" w:rsidR="00E047B7" w:rsidRPr="00AA1E6F" w:rsidRDefault="00E047B7" w:rsidP="00E047B7">
            <w:pPr>
              <w:spacing w:line="240" w:lineRule="auto"/>
              <w:jc w:val="right"/>
              <w:rPr>
                <w:rFonts w:cs="Calibri"/>
                <w:color w:val="000000"/>
                <w:lang w:eastAsia="en-AU"/>
              </w:rPr>
            </w:pPr>
            <w:r w:rsidRPr="00133EE4">
              <w:rPr>
                <w:rFonts w:cs="Arial"/>
              </w:rPr>
              <w:t>5</w:t>
            </w:r>
          </w:p>
        </w:tc>
      </w:tr>
      <w:tr w:rsidR="00E047B7" w:rsidRPr="00FE5409" w14:paraId="492A9CC8" w14:textId="77777777" w:rsidTr="000B2FD5">
        <w:trPr>
          <w:trHeight w:val="300"/>
        </w:trPr>
        <w:tc>
          <w:tcPr>
            <w:tcW w:w="2200" w:type="dxa"/>
            <w:shd w:val="clear" w:color="auto" w:fill="auto"/>
            <w:vAlign w:val="bottom"/>
          </w:tcPr>
          <w:p w14:paraId="13AE3B26" w14:textId="25747E9B" w:rsidR="00E047B7" w:rsidRPr="00AA1E6F" w:rsidRDefault="00E047B7" w:rsidP="00E047B7">
            <w:pPr>
              <w:spacing w:line="240" w:lineRule="auto"/>
              <w:rPr>
                <w:rFonts w:cs="Calibri"/>
                <w:color w:val="000000"/>
                <w:lang w:eastAsia="en-AU"/>
              </w:rPr>
            </w:pPr>
            <w:r w:rsidRPr="00133EE4">
              <w:rPr>
                <w:rFonts w:cs="Calibri"/>
              </w:rPr>
              <w:t>CS,DVO,MAG</w:t>
            </w:r>
          </w:p>
        </w:tc>
        <w:tc>
          <w:tcPr>
            <w:tcW w:w="1197" w:type="dxa"/>
            <w:shd w:val="clear" w:color="auto" w:fill="auto"/>
            <w:vAlign w:val="bottom"/>
          </w:tcPr>
          <w:p w14:paraId="1E1FE897" w14:textId="0129C4DF" w:rsidR="00E047B7" w:rsidRPr="00AA1E6F" w:rsidRDefault="00E047B7" w:rsidP="00E047B7">
            <w:pPr>
              <w:spacing w:line="240" w:lineRule="auto"/>
              <w:jc w:val="right"/>
              <w:rPr>
                <w:rFonts w:cs="Calibri"/>
                <w:color w:val="000000"/>
                <w:lang w:eastAsia="en-AU"/>
              </w:rPr>
            </w:pPr>
            <w:r w:rsidRPr="00133EE4">
              <w:rPr>
                <w:rFonts w:cs="Arial"/>
              </w:rPr>
              <w:t>1</w:t>
            </w:r>
          </w:p>
        </w:tc>
      </w:tr>
      <w:tr w:rsidR="00E047B7" w:rsidRPr="00FE5409" w14:paraId="5DD4E31E" w14:textId="77777777" w:rsidTr="000B2FD5">
        <w:trPr>
          <w:trHeight w:val="300"/>
        </w:trPr>
        <w:tc>
          <w:tcPr>
            <w:tcW w:w="2200" w:type="dxa"/>
            <w:shd w:val="clear" w:color="auto" w:fill="auto"/>
            <w:vAlign w:val="bottom"/>
          </w:tcPr>
          <w:p w14:paraId="4CAD65B0" w14:textId="3A725A35" w:rsidR="00E047B7" w:rsidRPr="00AA1E6F" w:rsidRDefault="00E047B7" w:rsidP="00E047B7">
            <w:pPr>
              <w:spacing w:line="240" w:lineRule="auto"/>
              <w:rPr>
                <w:rFonts w:cs="Calibri"/>
                <w:color w:val="000000"/>
              </w:rPr>
            </w:pPr>
            <w:r w:rsidRPr="00133EE4">
              <w:rPr>
                <w:rFonts w:cs="Calibri"/>
              </w:rPr>
              <w:t>CS,EQ</w:t>
            </w:r>
          </w:p>
        </w:tc>
        <w:tc>
          <w:tcPr>
            <w:tcW w:w="1197" w:type="dxa"/>
            <w:shd w:val="clear" w:color="auto" w:fill="auto"/>
            <w:vAlign w:val="bottom"/>
          </w:tcPr>
          <w:p w14:paraId="3322EC6D" w14:textId="4FFB69C3" w:rsidR="00E047B7" w:rsidRPr="00AA1E6F" w:rsidRDefault="00E047B7" w:rsidP="00E047B7">
            <w:pPr>
              <w:spacing w:line="240" w:lineRule="auto"/>
              <w:jc w:val="right"/>
              <w:rPr>
                <w:rFonts w:cs="Calibri"/>
                <w:color w:val="000000"/>
                <w:lang w:eastAsia="en-AU"/>
              </w:rPr>
            </w:pPr>
            <w:r w:rsidRPr="00133EE4">
              <w:rPr>
                <w:rFonts w:cs="Arial"/>
              </w:rPr>
              <w:t>19</w:t>
            </w:r>
          </w:p>
        </w:tc>
      </w:tr>
      <w:tr w:rsidR="00E047B7" w:rsidRPr="00FE5409" w14:paraId="6FF59BF7" w14:textId="77777777" w:rsidTr="000B2FD5">
        <w:trPr>
          <w:trHeight w:val="300"/>
        </w:trPr>
        <w:tc>
          <w:tcPr>
            <w:tcW w:w="2200" w:type="dxa"/>
            <w:shd w:val="clear" w:color="auto" w:fill="auto"/>
            <w:vAlign w:val="bottom"/>
          </w:tcPr>
          <w:p w14:paraId="46C178A4" w14:textId="7B154038" w:rsidR="00E047B7" w:rsidRPr="00AA1E6F" w:rsidRDefault="00E047B7" w:rsidP="00E047B7">
            <w:pPr>
              <w:spacing w:line="240" w:lineRule="auto"/>
              <w:rPr>
                <w:rFonts w:cs="Calibri"/>
                <w:color w:val="000000"/>
                <w:lang w:eastAsia="en-AU"/>
              </w:rPr>
            </w:pPr>
            <w:r w:rsidRPr="00133EE4">
              <w:rPr>
                <w:rFonts w:cs="Calibri"/>
              </w:rPr>
              <w:t>CS,MAG</w:t>
            </w:r>
          </w:p>
        </w:tc>
        <w:tc>
          <w:tcPr>
            <w:tcW w:w="1197" w:type="dxa"/>
            <w:shd w:val="clear" w:color="auto" w:fill="auto"/>
            <w:vAlign w:val="bottom"/>
          </w:tcPr>
          <w:p w14:paraId="073DFBE8" w14:textId="794D9123" w:rsidR="00E047B7" w:rsidRPr="00AA1E6F" w:rsidRDefault="00E047B7" w:rsidP="00E047B7">
            <w:pPr>
              <w:spacing w:line="240" w:lineRule="auto"/>
              <w:jc w:val="right"/>
              <w:rPr>
                <w:rFonts w:cs="Calibri"/>
                <w:color w:val="000000"/>
                <w:lang w:eastAsia="en-AU"/>
              </w:rPr>
            </w:pPr>
            <w:r w:rsidRPr="00133EE4">
              <w:rPr>
                <w:rFonts w:cs="Arial"/>
              </w:rPr>
              <w:t>7</w:t>
            </w:r>
          </w:p>
        </w:tc>
      </w:tr>
      <w:tr w:rsidR="00E047B7" w:rsidRPr="00FE5409" w14:paraId="1F7BFD3E" w14:textId="77777777" w:rsidTr="000B2FD5">
        <w:trPr>
          <w:trHeight w:val="300"/>
        </w:trPr>
        <w:tc>
          <w:tcPr>
            <w:tcW w:w="2200" w:type="dxa"/>
            <w:shd w:val="clear" w:color="auto" w:fill="auto"/>
            <w:vAlign w:val="bottom"/>
          </w:tcPr>
          <w:p w14:paraId="7F0F7750" w14:textId="36708DB1" w:rsidR="00E047B7" w:rsidRPr="00AA1E6F" w:rsidRDefault="00E047B7" w:rsidP="00E047B7">
            <w:pPr>
              <w:spacing w:line="240" w:lineRule="auto"/>
              <w:rPr>
                <w:rFonts w:cs="Calibri"/>
                <w:color w:val="000000"/>
                <w:lang w:eastAsia="en-AU"/>
              </w:rPr>
            </w:pPr>
            <w:r w:rsidRPr="00133EE4">
              <w:rPr>
                <w:rFonts w:cs="Calibri"/>
              </w:rPr>
              <w:t>DIS,DVB</w:t>
            </w:r>
          </w:p>
        </w:tc>
        <w:tc>
          <w:tcPr>
            <w:tcW w:w="1197" w:type="dxa"/>
            <w:shd w:val="clear" w:color="auto" w:fill="auto"/>
            <w:vAlign w:val="bottom"/>
          </w:tcPr>
          <w:p w14:paraId="0F6136B2" w14:textId="16F87E51" w:rsidR="00E047B7" w:rsidRPr="00AA1E6F" w:rsidRDefault="00E047B7" w:rsidP="00E047B7">
            <w:pPr>
              <w:spacing w:line="240" w:lineRule="auto"/>
              <w:jc w:val="right"/>
              <w:rPr>
                <w:rFonts w:cs="Calibri"/>
                <w:color w:val="000000"/>
                <w:lang w:eastAsia="en-AU"/>
              </w:rPr>
            </w:pPr>
            <w:r w:rsidRPr="00133EE4">
              <w:rPr>
                <w:rFonts w:cs="Arial"/>
              </w:rPr>
              <w:t>1</w:t>
            </w:r>
          </w:p>
        </w:tc>
      </w:tr>
      <w:tr w:rsidR="00E047B7" w:rsidRPr="00FE5409" w14:paraId="1787C4F7" w14:textId="77777777" w:rsidTr="000B2FD5">
        <w:trPr>
          <w:trHeight w:val="300"/>
        </w:trPr>
        <w:tc>
          <w:tcPr>
            <w:tcW w:w="2200" w:type="dxa"/>
            <w:shd w:val="clear" w:color="auto" w:fill="auto"/>
            <w:vAlign w:val="bottom"/>
          </w:tcPr>
          <w:p w14:paraId="4FDE344B" w14:textId="5612BA0C" w:rsidR="00E047B7" w:rsidRPr="00AA1E6F" w:rsidRDefault="00E047B7" w:rsidP="00E047B7">
            <w:pPr>
              <w:spacing w:line="240" w:lineRule="auto"/>
              <w:rPr>
                <w:rFonts w:cs="Calibri"/>
                <w:color w:val="000000"/>
                <w:lang w:eastAsia="en-AU"/>
              </w:rPr>
            </w:pPr>
            <w:r w:rsidRPr="00133EE4">
              <w:rPr>
                <w:rFonts w:cs="Calibri"/>
              </w:rPr>
              <w:t>DIS,MAG</w:t>
            </w:r>
          </w:p>
        </w:tc>
        <w:tc>
          <w:tcPr>
            <w:tcW w:w="1197" w:type="dxa"/>
            <w:shd w:val="clear" w:color="auto" w:fill="auto"/>
            <w:vAlign w:val="bottom"/>
          </w:tcPr>
          <w:p w14:paraId="1A891217" w14:textId="27784949" w:rsidR="00E047B7" w:rsidRPr="00AA1E6F" w:rsidRDefault="00E047B7" w:rsidP="00E047B7">
            <w:pPr>
              <w:spacing w:line="240" w:lineRule="auto"/>
              <w:jc w:val="right"/>
              <w:rPr>
                <w:rFonts w:cs="Calibri"/>
                <w:color w:val="000000"/>
                <w:lang w:eastAsia="en-AU"/>
              </w:rPr>
            </w:pPr>
            <w:r w:rsidRPr="00133EE4">
              <w:rPr>
                <w:rFonts w:cs="Arial"/>
              </w:rPr>
              <w:t>1</w:t>
            </w:r>
          </w:p>
        </w:tc>
      </w:tr>
      <w:tr w:rsidR="00E047B7" w:rsidRPr="00FE5409" w14:paraId="3B5DB2AE" w14:textId="77777777" w:rsidTr="000B2FD5">
        <w:trPr>
          <w:trHeight w:val="300"/>
        </w:trPr>
        <w:tc>
          <w:tcPr>
            <w:tcW w:w="2200" w:type="dxa"/>
            <w:shd w:val="clear" w:color="auto" w:fill="auto"/>
            <w:vAlign w:val="bottom"/>
          </w:tcPr>
          <w:p w14:paraId="5AFBBD46" w14:textId="2D6E9AD4" w:rsidR="00E047B7" w:rsidRPr="00AA1E6F" w:rsidRDefault="00E047B7" w:rsidP="00E047B7">
            <w:pPr>
              <w:spacing w:line="240" w:lineRule="auto"/>
              <w:rPr>
                <w:rFonts w:cs="Arial"/>
                <w:color w:val="000000"/>
              </w:rPr>
            </w:pPr>
            <w:r w:rsidRPr="00133EE4">
              <w:rPr>
                <w:rFonts w:cs="Calibri"/>
              </w:rPr>
              <w:t>DVB,DVO</w:t>
            </w:r>
          </w:p>
        </w:tc>
        <w:tc>
          <w:tcPr>
            <w:tcW w:w="1197" w:type="dxa"/>
            <w:shd w:val="clear" w:color="auto" w:fill="auto"/>
            <w:vAlign w:val="bottom"/>
          </w:tcPr>
          <w:p w14:paraId="06991F98" w14:textId="07368578" w:rsidR="00E047B7" w:rsidRPr="00AA1E6F" w:rsidRDefault="00E047B7" w:rsidP="00E047B7">
            <w:pPr>
              <w:spacing w:line="240" w:lineRule="auto"/>
              <w:jc w:val="right"/>
              <w:rPr>
                <w:rFonts w:cs="Arial"/>
                <w:color w:val="000000"/>
              </w:rPr>
            </w:pPr>
            <w:r w:rsidRPr="00133EE4">
              <w:rPr>
                <w:rFonts w:cs="Arial"/>
              </w:rPr>
              <w:t>3</w:t>
            </w:r>
          </w:p>
        </w:tc>
      </w:tr>
      <w:tr w:rsidR="00E047B7" w:rsidRPr="00FE5409" w14:paraId="1CA3553C" w14:textId="77777777" w:rsidTr="000B2FD5">
        <w:trPr>
          <w:trHeight w:val="300"/>
        </w:trPr>
        <w:tc>
          <w:tcPr>
            <w:tcW w:w="2200" w:type="dxa"/>
            <w:shd w:val="clear" w:color="auto" w:fill="auto"/>
            <w:vAlign w:val="bottom"/>
          </w:tcPr>
          <w:p w14:paraId="2F839C82" w14:textId="51AB06E3" w:rsidR="00E047B7" w:rsidRPr="00AA1E6F" w:rsidRDefault="00E047B7" w:rsidP="00E047B7">
            <w:pPr>
              <w:spacing w:line="240" w:lineRule="auto"/>
              <w:rPr>
                <w:rFonts w:cs="Arial"/>
                <w:lang w:eastAsia="en-AU"/>
              </w:rPr>
            </w:pPr>
            <w:r w:rsidRPr="00133EE4">
              <w:rPr>
                <w:rFonts w:cs="Calibri"/>
              </w:rPr>
              <w:t>DVB,DVO,MAG</w:t>
            </w:r>
          </w:p>
        </w:tc>
        <w:tc>
          <w:tcPr>
            <w:tcW w:w="1197" w:type="dxa"/>
            <w:shd w:val="clear" w:color="auto" w:fill="auto"/>
            <w:vAlign w:val="bottom"/>
          </w:tcPr>
          <w:p w14:paraId="6717F1C7" w14:textId="29341872" w:rsidR="00E047B7" w:rsidRPr="00AA1E6F" w:rsidRDefault="00E047B7" w:rsidP="00E047B7">
            <w:pPr>
              <w:spacing w:line="240" w:lineRule="auto"/>
              <w:jc w:val="right"/>
              <w:rPr>
                <w:rFonts w:cs="Calibri"/>
                <w:color w:val="000000"/>
                <w:lang w:eastAsia="en-AU"/>
              </w:rPr>
            </w:pPr>
            <w:r w:rsidRPr="00133EE4">
              <w:rPr>
                <w:rFonts w:cs="Arial"/>
              </w:rPr>
              <w:t>4</w:t>
            </w:r>
          </w:p>
        </w:tc>
      </w:tr>
      <w:tr w:rsidR="00E047B7" w:rsidRPr="00FE5409" w14:paraId="353B90B4" w14:textId="77777777" w:rsidTr="000B2FD5">
        <w:trPr>
          <w:trHeight w:val="300"/>
        </w:trPr>
        <w:tc>
          <w:tcPr>
            <w:tcW w:w="2200" w:type="dxa"/>
            <w:shd w:val="clear" w:color="auto" w:fill="auto"/>
            <w:vAlign w:val="bottom"/>
          </w:tcPr>
          <w:p w14:paraId="7288BB57" w14:textId="4E9A890E" w:rsidR="00E047B7" w:rsidRPr="00AA1E6F" w:rsidRDefault="00E047B7" w:rsidP="00E047B7">
            <w:pPr>
              <w:spacing w:line="240" w:lineRule="auto"/>
              <w:rPr>
                <w:rFonts w:cs="Arial"/>
              </w:rPr>
            </w:pPr>
            <w:r w:rsidRPr="00133EE4">
              <w:rPr>
                <w:rFonts w:cs="Calibri"/>
              </w:rPr>
              <w:t>DVB,EQ,MAG</w:t>
            </w:r>
          </w:p>
        </w:tc>
        <w:tc>
          <w:tcPr>
            <w:tcW w:w="1197" w:type="dxa"/>
            <w:shd w:val="clear" w:color="auto" w:fill="auto"/>
            <w:vAlign w:val="bottom"/>
          </w:tcPr>
          <w:p w14:paraId="0287F7D6" w14:textId="1988CE68" w:rsidR="00E047B7" w:rsidRPr="00AA1E6F" w:rsidRDefault="00E047B7" w:rsidP="00E047B7">
            <w:pPr>
              <w:spacing w:line="240" w:lineRule="auto"/>
              <w:jc w:val="right"/>
              <w:rPr>
                <w:rFonts w:cs="Calibri"/>
                <w:color w:val="000000"/>
                <w:lang w:eastAsia="en-AU"/>
              </w:rPr>
            </w:pPr>
            <w:r w:rsidRPr="00133EE4">
              <w:rPr>
                <w:rFonts w:cs="Arial"/>
              </w:rPr>
              <w:t>1</w:t>
            </w:r>
          </w:p>
        </w:tc>
      </w:tr>
      <w:tr w:rsidR="00E047B7" w:rsidRPr="00FE5409" w14:paraId="10193DEB" w14:textId="77777777" w:rsidTr="000B2FD5">
        <w:trPr>
          <w:trHeight w:val="300"/>
        </w:trPr>
        <w:tc>
          <w:tcPr>
            <w:tcW w:w="2200" w:type="dxa"/>
            <w:shd w:val="clear" w:color="auto" w:fill="auto"/>
            <w:vAlign w:val="bottom"/>
          </w:tcPr>
          <w:p w14:paraId="5630A823" w14:textId="306329F9" w:rsidR="00E047B7" w:rsidRPr="00AA1E6F" w:rsidRDefault="00E047B7" w:rsidP="00E047B7">
            <w:pPr>
              <w:spacing w:line="240" w:lineRule="auto"/>
              <w:rPr>
                <w:rFonts w:cs="Arial"/>
              </w:rPr>
            </w:pPr>
            <w:r w:rsidRPr="00133EE4">
              <w:rPr>
                <w:rFonts w:cs="Calibri"/>
              </w:rPr>
              <w:t>DVB,MAG</w:t>
            </w:r>
          </w:p>
        </w:tc>
        <w:tc>
          <w:tcPr>
            <w:tcW w:w="1197" w:type="dxa"/>
            <w:shd w:val="clear" w:color="auto" w:fill="auto"/>
            <w:vAlign w:val="bottom"/>
          </w:tcPr>
          <w:p w14:paraId="23AF1DDC" w14:textId="674E0627" w:rsidR="00E047B7" w:rsidRPr="00AA1E6F" w:rsidRDefault="00E047B7" w:rsidP="00E047B7">
            <w:pPr>
              <w:spacing w:line="240" w:lineRule="auto"/>
              <w:jc w:val="right"/>
              <w:rPr>
                <w:rFonts w:cs="Calibri"/>
                <w:color w:val="000000"/>
                <w:lang w:eastAsia="en-AU"/>
              </w:rPr>
            </w:pPr>
            <w:r w:rsidRPr="00133EE4">
              <w:rPr>
                <w:rFonts w:cs="Arial"/>
              </w:rPr>
              <w:t>6</w:t>
            </w:r>
          </w:p>
        </w:tc>
      </w:tr>
      <w:tr w:rsidR="00E047B7" w:rsidRPr="00FE5409" w14:paraId="36587FC3" w14:textId="77777777" w:rsidTr="000B2FD5">
        <w:trPr>
          <w:trHeight w:val="300"/>
        </w:trPr>
        <w:tc>
          <w:tcPr>
            <w:tcW w:w="2200" w:type="dxa"/>
            <w:shd w:val="clear" w:color="auto" w:fill="auto"/>
            <w:vAlign w:val="bottom"/>
          </w:tcPr>
          <w:p w14:paraId="1955039C" w14:textId="6FECAF58" w:rsidR="00E047B7" w:rsidRPr="00AA1E6F" w:rsidRDefault="00E047B7" w:rsidP="00E047B7">
            <w:pPr>
              <w:spacing w:line="240" w:lineRule="auto"/>
              <w:rPr>
                <w:rFonts w:cs="Arial"/>
              </w:rPr>
            </w:pPr>
            <w:r w:rsidRPr="00133EE4">
              <w:rPr>
                <w:rFonts w:cs="Calibri"/>
              </w:rPr>
              <w:t>DVO,EQ</w:t>
            </w:r>
          </w:p>
        </w:tc>
        <w:tc>
          <w:tcPr>
            <w:tcW w:w="1197" w:type="dxa"/>
            <w:shd w:val="clear" w:color="auto" w:fill="auto"/>
            <w:vAlign w:val="bottom"/>
          </w:tcPr>
          <w:p w14:paraId="6D782CB8" w14:textId="660FBCE0" w:rsidR="00E047B7" w:rsidRPr="00AA1E6F" w:rsidRDefault="00E047B7" w:rsidP="00E047B7">
            <w:pPr>
              <w:spacing w:line="240" w:lineRule="auto"/>
              <w:jc w:val="right"/>
              <w:rPr>
                <w:rFonts w:cs="Calibri"/>
                <w:color w:val="000000"/>
                <w:lang w:eastAsia="en-AU"/>
              </w:rPr>
            </w:pPr>
            <w:r w:rsidRPr="00133EE4">
              <w:rPr>
                <w:rFonts w:cs="Arial"/>
              </w:rPr>
              <w:t>3</w:t>
            </w:r>
          </w:p>
        </w:tc>
      </w:tr>
      <w:tr w:rsidR="00E047B7" w:rsidRPr="00FE5409" w14:paraId="2FA5C5A3" w14:textId="77777777" w:rsidTr="000B2FD5">
        <w:trPr>
          <w:trHeight w:val="300"/>
        </w:trPr>
        <w:tc>
          <w:tcPr>
            <w:tcW w:w="2200" w:type="dxa"/>
            <w:shd w:val="clear" w:color="auto" w:fill="auto"/>
            <w:vAlign w:val="bottom"/>
          </w:tcPr>
          <w:p w14:paraId="0785F122" w14:textId="04CDCB99" w:rsidR="00E047B7" w:rsidRPr="00AA1E6F" w:rsidRDefault="00E047B7" w:rsidP="00E047B7">
            <w:pPr>
              <w:spacing w:line="240" w:lineRule="auto"/>
              <w:rPr>
                <w:rFonts w:cs="Arial"/>
              </w:rPr>
            </w:pPr>
            <w:r w:rsidRPr="00133EE4">
              <w:rPr>
                <w:rFonts w:cs="Calibri"/>
              </w:rPr>
              <w:t>DVO,EQ,MAG</w:t>
            </w:r>
          </w:p>
        </w:tc>
        <w:tc>
          <w:tcPr>
            <w:tcW w:w="1197" w:type="dxa"/>
            <w:shd w:val="clear" w:color="auto" w:fill="auto"/>
            <w:vAlign w:val="bottom"/>
          </w:tcPr>
          <w:p w14:paraId="38805E13" w14:textId="66086779" w:rsidR="00E047B7" w:rsidRPr="00AA1E6F" w:rsidRDefault="00E047B7" w:rsidP="00E047B7">
            <w:pPr>
              <w:spacing w:line="240" w:lineRule="auto"/>
              <w:jc w:val="right"/>
              <w:rPr>
                <w:rFonts w:cs="Calibri"/>
                <w:color w:val="000000"/>
                <w:lang w:eastAsia="en-AU"/>
              </w:rPr>
            </w:pPr>
            <w:r w:rsidRPr="00133EE4">
              <w:rPr>
                <w:rFonts w:cs="Arial"/>
              </w:rPr>
              <w:t>2</w:t>
            </w:r>
          </w:p>
        </w:tc>
      </w:tr>
      <w:tr w:rsidR="00E047B7" w:rsidRPr="00FE5409" w14:paraId="65E2217A" w14:textId="77777777" w:rsidTr="000B2FD5">
        <w:trPr>
          <w:trHeight w:val="300"/>
        </w:trPr>
        <w:tc>
          <w:tcPr>
            <w:tcW w:w="2200" w:type="dxa"/>
            <w:shd w:val="clear" w:color="auto" w:fill="auto"/>
            <w:vAlign w:val="bottom"/>
          </w:tcPr>
          <w:p w14:paraId="1C28C580" w14:textId="6B768451" w:rsidR="00E047B7" w:rsidRPr="00AA1E6F" w:rsidRDefault="00E047B7" w:rsidP="00E047B7">
            <w:pPr>
              <w:spacing w:line="240" w:lineRule="auto"/>
              <w:rPr>
                <w:rFonts w:cs="Arial"/>
              </w:rPr>
            </w:pPr>
            <w:r w:rsidRPr="00133EE4">
              <w:rPr>
                <w:rFonts w:cs="Calibri"/>
              </w:rPr>
              <w:t>DVO,MAG</w:t>
            </w:r>
          </w:p>
        </w:tc>
        <w:tc>
          <w:tcPr>
            <w:tcW w:w="1197" w:type="dxa"/>
            <w:shd w:val="clear" w:color="auto" w:fill="auto"/>
            <w:vAlign w:val="bottom"/>
          </w:tcPr>
          <w:p w14:paraId="632D8F5F" w14:textId="3CBEFED4" w:rsidR="00E047B7" w:rsidRPr="00AA1E6F" w:rsidRDefault="00E047B7" w:rsidP="00E047B7">
            <w:pPr>
              <w:spacing w:line="240" w:lineRule="auto"/>
              <w:jc w:val="right"/>
              <w:rPr>
                <w:rFonts w:cs="Calibri"/>
                <w:color w:val="000000"/>
                <w:lang w:eastAsia="en-AU"/>
              </w:rPr>
            </w:pPr>
            <w:r w:rsidRPr="00133EE4">
              <w:rPr>
                <w:rFonts w:cs="Arial"/>
              </w:rPr>
              <w:t>7</w:t>
            </w:r>
          </w:p>
        </w:tc>
      </w:tr>
      <w:tr w:rsidR="00E047B7" w:rsidRPr="00FE5409" w14:paraId="450E55BB" w14:textId="77777777" w:rsidTr="000B2FD5">
        <w:trPr>
          <w:trHeight w:val="300"/>
        </w:trPr>
        <w:tc>
          <w:tcPr>
            <w:tcW w:w="2200" w:type="dxa"/>
            <w:shd w:val="clear" w:color="auto" w:fill="auto"/>
            <w:vAlign w:val="bottom"/>
          </w:tcPr>
          <w:p w14:paraId="09A892C8" w14:textId="1265C6A2" w:rsidR="00E047B7" w:rsidRPr="00AA1E6F" w:rsidRDefault="00E047B7" w:rsidP="00E047B7">
            <w:pPr>
              <w:spacing w:line="240" w:lineRule="auto"/>
              <w:rPr>
                <w:rFonts w:cs="Calibri"/>
              </w:rPr>
            </w:pPr>
            <w:r w:rsidRPr="00133EE4">
              <w:rPr>
                <w:rFonts w:cs="Calibri"/>
              </w:rPr>
              <w:t>EQ,MAG</w:t>
            </w:r>
          </w:p>
        </w:tc>
        <w:tc>
          <w:tcPr>
            <w:tcW w:w="1197" w:type="dxa"/>
            <w:shd w:val="clear" w:color="auto" w:fill="auto"/>
            <w:vAlign w:val="bottom"/>
          </w:tcPr>
          <w:p w14:paraId="2313AE31" w14:textId="6581E900" w:rsidR="00E047B7" w:rsidRPr="00AA1E6F" w:rsidRDefault="00E047B7" w:rsidP="00E047B7">
            <w:pPr>
              <w:spacing w:line="240" w:lineRule="auto"/>
              <w:jc w:val="right"/>
              <w:rPr>
                <w:rFonts w:cs="Calibri"/>
                <w:color w:val="000000"/>
                <w:lang w:eastAsia="en-AU"/>
              </w:rPr>
            </w:pPr>
            <w:r w:rsidRPr="00133EE4">
              <w:rPr>
                <w:rFonts w:cs="Arial"/>
              </w:rPr>
              <w:t>19</w:t>
            </w:r>
          </w:p>
        </w:tc>
      </w:tr>
      <w:tr w:rsidR="00E047B7" w:rsidRPr="00FE5409" w14:paraId="136D6DC0" w14:textId="77777777" w:rsidTr="000B2FD5">
        <w:trPr>
          <w:trHeight w:val="300"/>
        </w:trPr>
        <w:tc>
          <w:tcPr>
            <w:tcW w:w="2200" w:type="dxa"/>
            <w:shd w:val="clear" w:color="auto" w:fill="auto"/>
            <w:vAlign w:val="bottom"/>
          </w:tcPr>
          <w:p w14:paraId="628A89EF" w14:textId="43D48F06" w:rsidR="00E047B7" w:rsidRPr="00AA1E6F" w:rsidRDefault="00E047B7" w:rsidP="00E047B7">
            <w:pPr>
              <w:spacing w:line="240" w:lineRule="auto"/>
              <w:rPr>
                <w:rFonts w:cs="Calibri"/>
              </w:rPr>
            </w:pPr>
            <w:r w:rsidRPr="00133EE4">
              <w:rPr>
                <w:rFonts w:cs="Calibri"/>
              </w:rPr>
              <w:t>EQ,SEN</w:t>
            </w:r>
          </w:p>
        </w:tc>
        <w:tc>
          <w:tcPr>
            <w:tcW w:w="1197" w:type="dxa"/>
            <w:shd w:val="clear" w:color="auto" w:fill="auto"/>
            <w:vAlign w:val="bottom"/>
          </w:tcPr>
          <w:p w14:paraId="77DA7953" w14:textId="4C7FB3D8" w:rsidR="00E047B7" w:rsidRPr="00AA1E6F" w:rsidRDefault="00E047B7" w:rsidP="00E047B7">
            <w:pPr>
              <w:spacing w:line="240" w:lineRule="auto"/>
              <w:jc w:val="right"/>
              <w:rPr>
                <w:rFonts w:cs="Calibri"/>
                <w:color w:val="000000"/>
                <w:lang w:eastAsia="en-AU"/>
              </w:rPr>
            </w:pPr>
            <w:r w:rsidRPr="00133EE4">
              <w:rPr>
                <w:rFonts w:cs="Arial"/>
              </w:rPr>
              <w:t>2</w:t>
            </w:r>
          </w:p>
        </w:tc>
      </w:tr>
      <w:tr w:rsidR="00E047B7" w:rsidRPr="00FE5409" w14:paraId="77C143CF" w14:textId="77777777" w:rsidTr="000B2FD5">
        <w:trPr>
          <w:trHeight w:val="300"/>
        </w:trPr>
        <w:tc>
          <w:tcPr>
            <w:tcW w:w="2200" w:type="dxa"/>
            <w:shd w:val="clear" w:color="auto" w:fill="auto"/>
            <w:vAlign w:val="bottom"/>
          </w:tcPr>
          <w:p w14:paraId="612E5056" w14:textId="05D73C9C" w:rsidR="00E047B7" w:rsidRPr="00AA1E6F" w:rsidRDefault="00E047B7" w:rsidP="00E047B7">
            <w:pPr>
              <w:spacing w:line="240" w:lineRule="auto"/>
              <w:rPr>
                <w:rFonts w:cs="Calibri"/>
              </w:rPr>
            </w:pPr>
            <w:r w:rsidRPr="00133EE4">
              <w:rPr>
                <w:rFonts w:cs="Calibri"/>
              </w:rPr>
              <w:t>MAG,SEN</w:t>
            </w:r>
          </w:p>
        </w:tc>
        <w:tc>
          <w:tcPr>
            <w:tcW w:w="1197" w:type="dxa"/>
            <w:shd w:val="clear" w:color="auto" w:fill="auto"/>
            <w:vAlign w:val="bottom"/>
          </w:tcPr>
          <w:p w14:paraId="48CCE6DB" w14:textId="2D3CD56F" w:rsidR="00E047B7" w:rsidRPr="00AA1E6F" w:rsidRDefault="00E047B7" w:rsidP="00E047B7">
            <w:pPr>
              <w:spacing w:line="240" w:lineRule="auto"/>
              <w:jc w:val="right"/>
              <w:rPr>
                <w:rFonts w:cs="Calibri"/>
                <w:color w:val="000000"/>
                <w:lang w:eastAsia="en-AU"/>
              </w:rPr>
            </w:pPr>
            <w:r w:rsidRPr="00133EE4">
              <w:rPr>
                <w:rFonts w:cs="Arial"/>
              </w:rPr>
              <w:t>1</w:t>
            </w:r>
          </w:p>
        </w:tc>
      </w:tr>
      <w:tr w:rsidR="00277E4B" w:rsidRPr="00FE5409" w14:paraId="50E20029" w14:textId="77777777" w:rsidTr="000B2FD5">
        <w:trPr>
          <w:trHeight w:val="300"/>
        </w:trPr>
        <w:tc>
          <w:tcPr>
            <w:tcW w:w="2200" w:type="dxa"/>
            <w:shd w:val="clear" w:color="auto" w:fill="auto"/>
          </w:tcPr>
          <w:p w14:paraId="53704947" w14:textId="1D769966" w:rsidR="00277E4B" w:rsidRPr="001B1927" w:rsidRDefault="000827CC" w:rsidP="00277E4B">
            <w:pPr>
              <w:spacing w:line="240" w:lineRule="auto"/>
              <w:rPr>
                <w:rFonts w:cs="Calibri"/>
                <w:b/>
                <w:bCs/>
                <w:color w:val="000000"/>
                <w:lang w:eastAsia="en-AU"/>
              </w:rPr>
            </w:pPr>
            <w:r w:rsidRPr="001B1927">
              <w:rPr>
                <w:rFonts w:cs="Calibri"/>
                <w:b/>
                <w:bCs/>
                <w:color w:val="000000"/>
                <w:lang w:eastAsia="en-AU"/>
              </w:rPr>
              <w:t>Total</w:t>
            </w:r>
          </w:p>
        </w:tc>
        <w:tc>
          <w:tcPr>
            <w:tcW w:w="1197" w:type="dxa"/>
            <w:shd w:val="clear" w:color="auto" w:fill="auto"/>
          </w:tcPr>
          <w:p w14:paraId="15B80D46" w14:textId="57954A88" w:rsidR="00277E4B" w:rsidRPr="001B1927" w:rsidRDefault="00E047B7" w:rsidP="00277E4B">
            <w:pPr>
              <w:spacing w:line="240" w:lineRule="auto"/>
              <w:jc w:val="right"/>
              <w:rPr>
                <w:rFonts w:cs="Calibri"/>
                <w:b/>
                <w:bCs/>
                <w:color w:val="000000"/>
                <w:lang w:eastAsia="en-AU"/>
              </w:rPr>
            </w:pPr>
            <w:r>
              <w:rPr>
                <w:rFonts w:cs="Calibri"/>
                <w:b/>
                <w:bCs/>
                <w:color w:val="000000"/>
                <w:lang w:eastAsia="en-AU"/>
              </w:rPr>
              <w:t>82</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proofErr w:type="gramStart"/>
      <w:r w:rsidR="00DA38EC">
        <w:rPr>
          <w:rFonts w:cs="Arial"/>
        </w:rPr>
        <w:t xml:space="preserve">making </w:t>
      </w:r>
      <w:r w:rsidR="00342EBC">
        <w:rPr>
          <w:rFonts w:cs="Arial"/>
        </w:rPr>
        <w:t>a determination</w:t>
      </w:r>
      <w:proofErr w:type="gramEnd"/>
      <w:r w:rsidR="00881438">
        <w:rPr>
          <w:rFonts w:cs="Arial"/>
        </w:rPr>
        <w:t>.</w:t>
      </w:r>
    </w:p>
    <w:p w14:paraId="33BB1B04" w14:textId="2C083555" w:rsidR="002D75CB" w:rsidRDefault="002D75CB" w:rsidP="00C16F20">
      <w:pPr>
        <w:ind w:left="-142" w:right="-425"/>
        <w:jc w:val="both"/>
        <w:rPr>
          <w:rFonts w:cs="Arial"/>
        </w:rPr>
      </w:pPr>
    </w:p>
    <w:p w14:paraId="68A169AC" w14:textId="3A6E8E3A"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xml:space="preserve">. </w:t>
      </w:r>
      <w:r w:rsidR="000F5D44">
        <w:t>Progressively throughout the 16-year</w:t>
      </w:r>
      <w:r w:rsidR="00984CFA">
        <w:t>s of Commission</w:t>
      </w:r>
      <w:r w:rsidR="000F5D44">
        <w:t xml:space="preserve"> operations</w:t>
      </w:r>
      <w:r w:rsidR="00984CFA">
        <w:t>,</w:t>
      </w:r>
      <w:r w:rsidR="000F5D44">
        <w:t xml:space="preserve"> most clients </w:t>
      </w:r>
      <w:r>
        <w:t>ar</w:t>
      </w:r>
      <w:r w:rsidR="00343112">
        <w:t>e showing a willingness</w:t>
      </w:r>
      <w:r>
        <w:t xml:space="preserve"> to accept support and demonstrate a degree of insight into their behaviours</w:t>
      </w:r>
      <w:r w:rsidR="000F5D44">
        <w:t>.</w:t>
      </w:r>
    </w:p>
    <w:p w14:paraId="51F2BF4A" w14:textId="77777777" w:rsidR="002D75CB" w:rsidRDefault="002D75CB" w:rsidP="00C16F20">
      <w:pPr>
        <w:ind w:left="-142" w:right="-425"/>
        <w:jc w:val="both"/>
        <w:rPr>
          <w:rFonts w:cs="Arial"/>
        </w:rPr>
      </w:pPr>
    </w:p>
    <w:p w14:paraId="65D3405D" w14:textId="18401284" w:rsidR="00237AB1" w:rsidRDefault="00696B4E" w:rsidP="0091685B">
      <w:pPr>
        <w:ind w:left="-142" w:right="-425"/>
        <w:jc w:val="both"/>
        <w:rPr>
          <w:rFonts w:cs="Arial"/>
        </w:rPr>
      </w:pPr>
      <w:r>
        <w:rPr>
          <w:rFonts w:cs="Arial"/>
        </w:rPr>
        <w:t>Show</w:t>
      </w:r>
      <w:r w:rsidR="00F305F2">
        <w:rPr>
          <w:rFonts w:cs="Arial"/>
        </w:rPr>
        <w:t>n</w:t>
      </w:r>
      <w:r>
        <w:rPr>
          <w:rFonts w:cs="Arial"/>
        </w:rPr>
        <w:t xml:space="preserve"> </w:t>
      </w:r>
      <w:r w:rsidR="00E25138">
        <w:rPr>
          <w:rFonts w:cs="Arial"/>
        </w:rPr>
        <w:t xml:space="preserve">on the next page </w:t>
      </w:r>
      <w:r>
        <w:rPr>
          <w:rFonts w:cs="Arial"/>
        </w:rPr>
        <w:t>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 xml:space="preserve">The Commission is still seeing </w:t>
      </w:r>
      <w:proofErr w:type="gramStart"/>
      <w:r w:rsidR="0030673F" w:rsidRPr="00BD03F1">
        <w:rPr>
          <w:rFonts w:cs="Arial"/>
        </w:rPr>
        <w:t>a number</w:t>
      </w:r>
      <w:r w:rsidR="00237AB1" w:rsidRPr="00BD03F1">
        <w:rPr>
          <w:rFonts w:cs="Arial"/>
        </w:rPr>
        <w:t xml:space="preserve"> of</w:t>
      </w:r>
      <w:proofErr w:type="gramEnd"/>
      <w:r w:rsidR="00237AB1" w:rsidRPr="00BD03F1">
        <w:rPr>
          <w:rFonts w:cs="Arial"/>
        </w:rPr>
        <w:t xml:space="preserve">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w:t>
      </w:r>
      <w:proofErr w:type="gramStart"/>
      <w:r w:rsidR="00B23523" w:rsidRPr="00BD03F1">
        <w:rPr>
          <w:rFonts w:cs="Arial"/>
        </w:rPr>
        <w:t xml:space="preserve">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w:t>
      </w:r>
      <w:proofErr w:type="gramEnd"/>
      <w:r w:rsidR="00237AB1" w:rsidRPr="00BD03F1">
        <w:rPr>
          <w:rFonts w:cs="Arial"/>
        </w:rPr>
        <w:t xml:space="preserve"> a positive indication that community members are demonstrating early insight into the </w:t>
      </w:r>
      <w:r w:rsidR="008D0261">
        <w:rPr>
          <w:rFonts w:cs="Arial"/>
        </w:rPr>
        <w:t>a</w:t>
      </w:r>
      <w:r w:rsidR="00237AB1" w:rsidRPr="00BD03F1">
        <w:rPr>
          <w:rFonts w:cs="Arial"/>
        </w:rPr>
        <w:t>ffect those actions have on others.</w:t>
      </w:r>
    </w:p>
    <w:p w14:paraId="3A601116" w14:textId="77777777" w:rsidR="008436DC" w:rsidRDefault="008436DC" w:rsidP="0091685B">
      <w:pPr>
        <w:ind w:left="-142" w:right="-425"/>
        <w:jc w:val="both"/>
        <w:rPr>
          <w:rFonts w:cs="Arial"/>
        </w:rPr>
      </w:pPr>
    </w:p>
    <w:p w14:paraId="19233629" w14:textId="67426049" w:rsidR="00237AB1" w:rsidRPr="0092015D" w:rsidRDefault="00237AB1" w:rsidP="00237AB1">
      <w:pPr>
        <w:spacing w:after="120" w:line="240" w:lineRule="auto"/>
        <w:ind w:left="794" w:hanging="794"/>
      </w:pPr>
      <w:r w:rsidRPr="006C6A65">
        <w:rPr>
          <w:b/>
          <w:sz w:val="16"/>
          <w:szCs w:val="16"/>
        </w:rPr>
        <w:lastRenderedPageBreak/>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9"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9"/>
      <w:proofErr w:type="gramStart"/>
      <w:r w:rsidRPr="00656C56">
        <w:rPr>
          <w:sz w:val="16"/>
          <w:szCs w:val="16"/>
        </w:rPr>
        <w:t>entered into</w:t>
      </w:r>
      <w:proofErr w:type="gramEnd"/>
      <w:r>
        <w:rPr>
          <w:sz w:val="16"/>
          <w:szCs w:val="16"/>
        </w:rPr>
        <w:t xml:space="preserve"> </w:t>
      </w:r>
      <w:r w:rsidR="00397BFC">
        <w:rPr>
          <w:sz w:val="16"/>
          <w:szCs w:val="16"/>
        </w:rPr>
        <w:t xml:space="preserve">from </w:t>
      </w:r>
      <w:bookmarkStart w:id="10" w:name="_Ref74754019"/>
      <w:r w:rsidR="00241C79">
        <w:rPr>
          <w:sz w:val="16"/>
          <w:szCs w:val="16"/>
        </w:rPr>
        <w:t xml:space="preserve">1 </w:t>
      </w:r>
      <w:r w:rsidR="00E047B7">
        <w:rPr>
          <w:sz w:val="16"/>
          <w:szCs w:val="16"/>
        </w:rPr>
        <w:t xml:space="preserve">April </w:t>
      </w:r>
      <w:r w:rsidR="00241C79">
        <w:rPr>
          <w:sz w:val="16"/>
          <w:szCs w:val="16"/>
        </w:rPr>
        <w:t>202</w:t>
      </w:r>
      <w:r w:rsidR="00BC09BB">
        <w:rPr>
          <w:sz w:val="16"/>
          <w:szCs w:val="16"/>
        </w:rPr>
        <w:t>4</w:t>
      </w:r>
      <w:r w:rsidR="00241C79">
        <w:rPr>
          <w:sz w:val="16"/>
          <w:szCs w:val="16"/>
        </w:rPr>
        <w:t xml:space="preserve"> to 3</w:t>
      </w:r>
      <w:r w:rsidR="00E047B7">
        <w:rPr>
          <w:sz w:val="16"/>
          <w:szCs w:val="16"/>
        </w:rPr>
        <w:t xml:space="preserve">0 June </w:t>
      </w:r>
      <w:r w:rsidR="00241C79">
        <w:rPr>
          <w:sz w:val="16"/>
          <w:szCs w:val="16"/>
        </w:rPr>
        <w:t>202</w:t>
      </w:r>
      <w:r w:rsidR="00BC09BB">
        <w:rPr>
          <w:sz w:val="16"/>
          <w:szCs w:val="16"/>
        </w:rPr>
        <w:t>4</w:t>
      </w:r>
      <w:r w:rsidR="00604429" w:rsidRPr="008F6888">
        <w:rPr>
          <w:rStyle w:val="FootnoteReference"/>
          <w:sz w:val="16"/>
          <w:szCs w:val="16"/>
        </w:rPr>
        <w:footnoteReference w:id="6"/>
      </w:r>
      <w:bookmarkEnd w:id="10"/>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ED5D13" w:rsidRPr="00776C26" w14:paraId="23E8C631" w14:textId="77777777" w:rsidTr="0034073B">
        <w:tc>
          <w:tcPr>
            <w:tcW w:w="1555" w:type="dxa"/>
          </w:tcPr>
          <w:p w14:paraId="08DA178D" w14:textId="77777777" w:rsidR="00ED5D13" w:rsidRPr="00776C26" w:rsidRDefault="00ED5D13" w:rsidP="00ED5D13">
            <w:pPr>
              <w:ind w:right="-425"/>
              <w:jc w:val="both"/>
              <w:rPr>
                <w:rFonts w:cs="Arial"/>
                <w:b/>
                <w:bCs/>
              </w:rPr>
            </w:pPr>
            <w:r w:rsidRPr="00776C26">
              <w:rPr>
                <w:rFonts w:cs="Arial"/>
                <w:b/>
                <w:bCs/>
              </w:rPr>
              <w:t>Total</w:t>
            </w:r>
          </w:p>
        </w:tc>
        <w:tc>
          <w:tcPr>
            <w:tcW w:w="992" w:type="dxa"/>
            <w:vAlign w:val="bottom"/>
          </w:tcPr>
          <w:p w14:paraId="31C63D09" w14:textId="0B9DF287" w:rsidR="00ED5D13" w:rsidRPr="00776C26" w:rsidRDefault="00914499" w:rsidP="00ED5D13">
            <w:pPr>
              <w:jc w:val="right"/>
              <w:rPr>
                <w:b/>
                <w:bCs/>
              </w:rPr>
            </w:pPr>
            <w:r>
              <w:rPr>
                <w:b/>
                <w:bCs/>
              </w:rPr>
              <w:t>58</w:t>
            </w:r>
          </w:p>
        </w:tc>
        <w:tc>
          <w:tcPr>
            <w:tcW w:w="1134" w:type="dxa"/>
            <w:vAlign w:val="bottom"/>
          </w:tcPr>
          <w:p w14:paraId="1D2060AE" w14:textId="6B9BBADA" w:rsidR="00ED5D13" w:rsidRPr="00776C26" w:rsidRDefault="00914499" w:rsidP="00ED5D13">
            <w:pPr>
              <w:jc w:val="right"/>
              <w:rPr>
                <w:b/>
                <w:bCs/>
              </w:rPr>
            </w:pPr>
            <w:r>
              <w:rPr>
                <w:b/>
                <w:bCs/>
              </w:rPr>
              <w:t>33</w:t>
            </w:r>
          </w:p>
        </w:tc>
        <w:tc>
          <w:tcPr>
            <w:tcW w:w="992" w:type="dxa"/>
            <w:vAlign w:val="bottom"/>
          </w:tcPr>
          <w:p w14:paraId="7E29C7F4" w14:textId="2B3C3AFB" w:rsidR="00ED5D13" w:rsidRPr="00776C26" w:rsidRDefault="00914499" w:rsidP="00ED5D13">
            <w:pPr>
              <w:jc w:val="right"/>
              <w:rPr>
                <w:b/>
                <w:bCs/>
              </w:rPr>
            </w:pPr>
            <w:r>
              <w:rPr>
                <w:b/>
                <w:bCs/>
              </w:rPr>
              <w:t>91</w:t>
            </w:r>
          </w:p>
        </w:tc>
      </w:tr>
    </w:tbl>
    <w:p w14:paraId="340804AB" w14:textId="2011C4C9" w:rsidR="00C64787" w:rsidRDefault="00C64787" w:rsidP="00237AB1">
      <w:pPr>
        <w:ind w:left="-142" w:right="-425"/>
        <w:jc w:val="both"/>
        <w:rPr>
          <w:rFonts w:cs="Arial"/>
        </w:rPr>
      </w:pPr>
    </w:p>
    <w:p w14:paraId="32A7D6CF" w14:textId="5DDA9BFC"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2"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2"/>
      <w:proofErr w:type="gramStart"/>
      <w:r w:rsidRPr="00656C56">
        <w:rPr>
          <w:sz w:val="16"/>
          <w:szCs w:val="16"/>
        </w:rPr>
        <w:t>entered into</w:t>
      </w:r>
      <w:proofErr w:type="gramEnd"/>
      <w:r>
        <w:rPr>
          <w:sz w:val="16"/>
          <w:szCs w:val="16"/>
        </w:rPr>
        <w:t xml:space="preserve"> </w:t>
      </w:r>
      <w:r w:rsidR="00397BFC">
        <w:rPr>
          <w:sz w:val="16"/>
          <w:szCs w:val="16"/>
        </w:rPr>
        <w:t xml:space="preserve">from </w:t>
      </w:r>
      <w:r w:rsidR="00241C79">
        <w:rPr>
          <w:sz w:val="16"/>
          <w:szCs w:val="16"/>
        </w:rPr>
        <w:t xml:space="preserve">1 </w:t>
      </w:r>
      <w:r w:rsidR="00E047B7">
        <w:rPr>
          <w:sz w:val="16"/>
          <w:szCs w:val="16"/>
        </w:rPr>
        <w:t xml:space="preserve">April </w:t>
      </w:r>
      <w:r w:rsidR="00241C79">
        <w:rPr>
          <w:sz w:val="16"/>
          <w:szCs w:val="16"/>
        </w:rPr>
        <w:t>202</w:t>
      </w:r>
      <w:r w:rsidR="00BC09BB">
        <w:rPr>
          <w:sz w:val="16"/>
          <w:szCs w:val="16"/>
        </w:rPr>
        <w:t>4</w:t>
      </w:r>
      <w:r w:rsidR="00241C79">
        <w:rPr>
          <w:sz w:val="16"/>
          <w:szCs w:val="16"/>
        </w:rPr>
        <w:t xml:space="preserve"> to 3</w:t>
      </w:r>
      <w:r w:rsidR="00E047B7">
        <w:rPr>
          <w:sz w:val="16"/>
          <w:szCs w:val="16"/>
        </w:rPr>
        <w:t xml:space="preserve">0 June </w:t>
      </w:r>
      <w:r w:rsidR="00241C79">
        <w:rPr>
          <w:sz w:val="16"/>
          <w:szCs w:val="16"/>
        </w:rPr>
        <w:t>202</w:t>
      </w:r>
      <w:r w:rsidR="00BC09BB">
        <w:rPr>
          <w:sz w:val="16"/>
          <w:szCs w:val="16"/>
        </w:rPr>
        <w:t>4</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3542E6">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914499" w14:paraId="604BDE97" w14:textId="77777777" w:rsidTr="00237AB1">
        <w:tc>
          <w:tcPr>
            <w:tcW w:w="1555" w:type="dxa"/>
          </w:tcPr>
          <w:p w14:paraId="16D39C9C" w14:textId="77777777" w:rsidR="00914499" w:rsidRPr="00490B40" w:rsidRDefault="00914499" w:rsidP="00914499">
            <w:pPr>
              <w:ind w:right="-425"/>
              <w:jc w:val="both"/>
              <w:rPr>
                <w:rFonts w:cs="Arial"/>
              </w:rPr>
            </w:pPr>
            <w:r w:rsidRPr="00490B40">
              <w:rPr>
                <w:rFonts w:cs="Arial"/>
              </w:rPr>
              <w:t>AU</w:t>
            </w:r>
          </w:p>
        </w:tc>
        <w:tc>
          <w:tcPr>
            <w:tcW w:w="992" w:type="dxa"/>
            <w:vAlign w:val="bottom"/>
          </w:tcPr>
          <w:p w14:paraId="4F2BC6E4" w14:textId="2B5F4FCA" w:rsidR="00914499" w:rsidRPr="00900EA0" w:rsidRDefault="00914499" w:rsidP="00914499">
            <w:pPr>
              <w:jc w:val="right"/>
            </w:pPr>
            <w:r>
              <w:rPr>
                <w:rFonts w:cs="Arial"/>
              </w:rPr>
              <w:t>45</w:t>
            </w:r>
          </w:p>
        </w:tc>
        <w:tc>
          <w:tcPr>
            <w:tcW w:w="1134" w:type="dxa"/>
            <w:vAlign w:val="bottom"/>
          </w:tcPr>
          <w:p w14:paraId="5D79F7D6" w14:textId="0284B30E" w:rsidR="00914499" w:rsidRPr="00900EA0" w:rsidRDefault="00914499" w:rsidP="00914499">
            <w:pPr>
              <w:jc w:val="right"/>
            </w:pPr>
            <w:r>
              <w:rPr>
                <w:rFonts w:cs="Arial"/>
              </w:rPr>
              <w:t>0</w:t>
            </w:r>
          </w:p>
        </w:tc>
        <w:tc>
          <w:tcPr>
            <w:tcW w:w="992" w:type="dxa"/>
            <w:vAlign w:val="bottom"/>
          </w:tcPr>
          <w:p w14:paraId="2B25B2DF" w14:textId="37D5DC2E" w:rsidR="00914499" w:rsidRPr="00900EA0" w:rsidRDefault="00914499" w:rsidP="00914499">
            <w:pPr>
              <w:jc w:val="right"/>
              <w:rPr>
                <w:b/>
                <w:bCs/>
              </w:rPr>
            </w:pPr>
            <w:r>
              <w:rPr>
                <w:rFonts w:cs="Arial"/>
                <w:b/>
                <w:bCs/>
              </w:rPr>
              <w:t>45</w:t>
            </w:r>
          </w:p>
        </w:tc>
      </w:tr>
      <w:tr w:rsidR="00914499" w14:paraId="1A905600" w14:textId="77777777" w:rsidTr="00237AB1">
        <w:tc>
          <w:tcPr>
            <w:tcW w:w="1555" w:type="dxa"/>
          </w:tcPr>
          <w:p w14:paraId="59A72EEE" w14:textId="77777777" w:rsidR="00914499" w:rsidRPr="00490B40" w:rsidRDefault="00914499" w:rsidP="00914499">
            <w:pPr>
              <w:ind w:right="-425"/>
              <w:jc w:val="both"/>
              <w:rPr>
                <w:rFonts w:cs="Arial"/>
              </w:rPr>
            </w:pPr>
            <w:r w:rsidRPr="00490B40">
              <w:rPr>
                <w:rFonts w:cs="Arial"/>
              </w:rPr>
              <w:t>CO</w:t>
            </w:r>
          </w:p>
        </w:tc>
        <w:tc>
          <w:tcPr>
            <w:tcW w:w="992" w:type="dxa"/>
            <w:vAlign w:val="bottom"/>
          </w:tcPr>
          <w:p w14:paraId="7DC045C3" w14:textId="226C9E1E" w:rsidR="00914499" w:rsidRPr="00900EA0" w:rsidRDefault="00914499" w:rsidP="00914499">
            <w:pPr>
              <w:jc w:val="right"/>
            </w:pPr>
            <w:r>
              <w:rPr>
                <w:rFonts w:cs="Arial"/>
              </w:rPr>
              <w:t>2</w:t>
            </w:r>
          </w:p>
        </w:tc>
        <w:tc>
          <w:tcPr>
            <w:tcW w:w="1134" w:type="dxa"/>
            <w:vAlign w:val="bottom"/>
          </w:tcPr>
          <w:p w14:paraId="544139DB" w14:textId="3BFAA15E" w:rsidR="00914499" w:rsidRPr="00900EA0" w:rsidRDefault="00914499" w:rsidP="00914499">
            <w:pPr>
              <w:jc w:val="right"/>
            </w:pPr>
            <w:r>
              <w:rPr>
                <w:rFonts w:cs="Arial"/>
              </w:rPr>
              <w:t>0</w:t>
            </w:r>
          </w:p>
        </w:tc>
        <w:tc>
          <w:tcPr>
            <w:tcW w:w="992" w:type="dxa"/>
            <w:vAlign w:val="bottom"/>
          </w:tcPr>
          <w:p w14:paraId="655575AD" w14:textId="190D5D08" w:rsidR="00914499" w:rsidRPr="00900EA0" w:rsidRDefault="00914499" w:rsidP="00914499">
            <w:pPr>
              <w:jc w:val="right"/>
              <w:rPr>
                <w:b/>
                <w:bCs/>
              </w:rPr>
            </w:pPr>
            <w:r>
              <w:rPr>
                <w:rFonts w:cs="Arial"/>
                <w:b/>
                <w:bCs/>
              </w:rPr>
              <w:t>2</w:t>
            </w:r>
          </w:p>
        </w:tc>
      </w:tr>
      <w:tr w:rsidR="00914499" w14:paraId="577F7E12" w14:textId="77777777" w:rsidTr="00237AB1">
        <w:tc>
          <w:tcPr>
            <w:tcW w:w="1555" w:type="dxa"/>
          </w:tcPr>
          <w:p w14:paraId="2E4003E9" w14:textId="77777777" w:rsidR="00914499" w:rsidRPr="00490B40" w:rsidRDefault="00914499" w:rsidP="00914499">
            <w:pPr>
              <w:ind w:right="-425"/>
              <w:jc w:val="both"/>
              <w:rPr>
                <w:rFonts w:cs="Arial"/>
              </w:rPr>
            </w:pPr>
            <w:r w:rsidRPr="00490B40">
              <w:rPr>
                <w:rFonts w:cs="Arial"/>
              </w:rPr>
              <w:t>DM</w:t>
            </w:r>
          </w:p>
        </w:tc>
        <w:tc>
          <w:tcPr>
            <w:tcW w:w="992" w:type="dxa"/>
            <w:vAlign w:val="bottom"/>
          </w:tcPr>
          <w:p w14:paraId="68E2C72D" w14:textId="30B6B321" w:rsidR="00914499" w:rsidRPr="00900EA0" w:rsidRDefault="00914499" w:rsidP="00914499">
            <w:pPr>
              <w:jc w:val="right"/>
            </w:pPr>
            <w:r>
              <w:rPr>
                <w:rFonts w:cs="Arial"/>
              </w:rPr>
              <w:t>13</w:t>
            </w:r>
          </w:p>
        </w:tc>
        <w:tc>
          <w:tcPr>
            <w:tcW w:w="1134" w:type="dxa"/>
            <w:vAlign w:val="bottom"/>
          </w:tcPr>
          <w:p w14:paraId="5EFFF8C4" w14:textId="6C02CDCE" w:rsidR="00914499" w:rsidRPr="00900EA0" w:rsidRDefault="00914499" w:rsidP="00914499">
            <w:pPr>
              <w:jc w:val="right"/>
            </w:pPr>
            <w:r>
              <w:rPr>
                <w:rFonts w:cs="Arial"/>
              </w:rPr>
              <w:t>0</w:t>
            </w:r>
          </w:p>
        </w:tc>
        <w:tc>
          <w:tcPr>
            <w:tcW w:w="992" w:type="dxa"/>
            <w:vAlign w:val="bottom"/>
          </w:tcPr>
          <w:p w14:paraId="1CF754DE" w14:textId="429E495A" w:rsidR="00914499" w:rsidRPr="00900EA0" w:rsidRDefault="00914499" w:rsidP="00914499">
            <w:pPr>
              <w:jc w:val="right"/>
              <w:rPr>
                <w:b/>
                <w:bCs/>
              </w:rPr>
            </w:pPr>
            <w:r>
              <w:rPr>
                <w:rFonts w:cs="Arial"/>
                <w:b/>
                <w:bCs/>
              </w:rPr>
              <w:t>13</w:t>
            </w:r>
          </w:p>
        </w:tc>
      </w:tr>
      <w:tr w:rsidR="00914499" w14:paraId="55AC2A32" w14:textId="77777777" w:rsidTr="00237AB1">
        <w:tc>
          <w:tcPr>
            <w:tcW w:w="1555" w:type="dxa"/>
          </w:tcPr>
          <w:p w14:paraId="511465EF" w14:textId="77777777" w:rsidR="00914499" w:rsidRPr="00490B40" w:rsidRDefault="00914499" w:rsidP="00914499">
            <w:pPr>
              <w:ind w:right="-425"/>
              <w:jc w:val="both"/>
              <w:rPr>
                <w:rFonts w:cs="Arial"/>
              </w:rPr>
            </w:pPr>
            <w:r w:rsidRPr="00490B40">
              <w:rPr>
                <w:rFonts w:cs="Arial"/>
              </w:rPr>
              <w:t>HV</w:t>
            </w:r>
          </w:p>
        </w:tc>
        <w:tc>
          <w:tcPr>
            <w:tcW w:w="992" w:type="dxa"/>
            <w:vAlign w:val="bottom"/>
          </w:tcPr>
          <w:p w14:paraId="16976329" w14:textId="4D70E2BA" w:rsidR="00914499" w:rsidRPr="00900EA0" w:rsidRDefault="00914499" w:rsidP="00914499">
            <w:pPr>
              <w:jc w:val="right"/>
            </w:pPr>
            <w:r>
              <w:rPr>
                <w:rFonts w:cs="Arial"/>
              </w:rPr>
              <w:t>3</w:t>
            </w:r>
          </w:p>
        </w:tc>
        <w:tc>
          <w:tcPr>
            <w:tcW w:w="1134" w:type="dxa"/>
            <w:vAlign w:val="bottom"/>
          </w:tcPr>
          <w:p w14:paraId="48C3CD7F" w14:textId="7EB6DC06" w:rsidR="00914499" w:rsidRPr="00900EA0" w:rsidRDefault="00914499" w:rsidP="00914499">
            <w:pPr>
              <w:jc w:val="right"/>
            </w:pPr>
            <w:r>
              <w:rPr>
                <w:rFonts w:cs="Arial"/>
              </w:rPr>
              <w:t>0</w:t>
            </w:r>
          </w:p>
        </w:tc>
        <w:tc>
          <w:tcPr>
            <w:tcW w:w="992" w:type="dxa"/>
            <w:vAlign w:val="bottom"/>
          </w:tcPr>
          <w:p w14:paraId="1AAF646B" w14:textId="4823C5F2" w:rsidR="00914499" w:rsidRPr="00900EA0" w:rsidRDefault="00914499" w:rsidP="00914499">
            <w:pPr>
              <w:jc w:val="right"/>
              <w:rPr>
                <w:b/>
                <w:bCs/>
              </w:rPr>
            </w:pPr>
            <w:r>
              <w:rPr>
                <w:rFonts w:cs="Arial"/>
                <w:b/>
                <w:bCs/>
              </w:rPr>
              <w:t>3</w:t>
            </w:r>
          </w:p>
        </w:tc>
      </w:tr>
      <w:tr w:rsidR="00914499" w14:paraId="50F69E1F" w14:textId="77777777" w:rsidTr="00237AB1">
        <w:tc>
          <w:tcPr>
            <w:tcW w:w="1555" w:type="dxa"/>
          </w:tcPr>
          <w:p w14:paraId="48DBAB63" w14:textId="77777777" w:rsidR="00914499" w:rsidRPr="00490B40" w:rsidRDefault="00914499" w:rsidP="00914499">
            <w:pPr>
              <w:ind w:right="-425"/>
              <w:jc w:val="both"/>
              <w:rPr>
                <w:rFonts w:cs="Arial"/>
              </w:rPr>
            </w:pPr>
            <w:r w:rsidRPr="00490B40">
              <w:rPr>
                <w:rFonts w:cs="Arial"/>
              </w:rPr>
              <w:t>MG</w:t>
            </w:r>
          </w:p>
        </w:tc>
        <w:tc>
          <w:tcPr>
            <w:tcW w:w="992" w:type="dxa"/>
            <w:vAlign w:val="bottom"/>
          </w:tcPr>
          <w:p w14:paraId="2E4ACC08" w14:textId="1F6DA0D2" w:rsidR="00914499" w:rsidRPr="00900EA0" w:rsidRDefault="00914499" w:rsidP="00914499">
            <w:pPr>
              <w:jc w:val="right"/>
            </w:pPr>
            <w:r>
              <w:rPr>
                <w:rFonts w:cs="Arial"/>
              </w:rPr>
              <w:t>1</w:t>
            </w:r>
          </w:p>
        </w:tc>
        <w:tc>
          <w:tcPr>
            <w:tcW w:w="1134" w:type="dxa"/>
            <w:vAlign w:val="bottom"/>
          </w:tcPr>
          <w:p w14:paraId="06822B4C" w14:textId="4BBF4BD7" w:rsidR="00914499" w:rsidRPr="00900EA0" w:rsidRDefault="00914499" w:rsidP="00914499">
            <w:pPr>
              <w:jc w:val="right"/>
            </w:pPr>
            <w:r>
              <w:rPr>
                <w:rFonts w:cs="Arial"/>
              </w:rPr>
              <w:t>0</w:t>
            </w:r>
          </w:p>
        </w:tc>
        <w:tc>
          <w:tcPr>
            <w:tcW w:w="992" w:type="dxa"/>
            <w:vAlign w:val="bottom"/>
          </w:tcPr>
          <w:p w14:paraId="4AC3B4A9" w14:textId="04CD4FC0" w:rsidR="00914499" w:rsidRPr="00900EA0" w:rsidRDefault="00914499" w:rsidP="00914499">
            <w:pPr>
              <w:jc w:val="right"/>
              <w:rPr>
                <w:b/>
                <w:bCs/>
              </w:rPr>
            </w:pPr>
            <w:r>
              <w:rPr>
                <w:rFonts w:cs="Arial"/>
                <w:b/>
                <w:bCs/>
              </w:rPr>
              <w:t>1</w:t>
            </w:r>
          </w:p>
        </w:tc>
      </w:tr>
      <w:tr w:rsidR="00914499" w14:paraId="7BC56D75" w14:textId="77777777" w:rsidTr="00237AB1">
        <w:tc>
          <w:tcPr>
            <w:tcW w:w="1555" w:type="dxa"/>
          </w:tcPr>
          <w:p w14:paraId="201CE63A" w14:textId="77777777" w:rsidR="00914499" w:rsidRPr="00776C26" w:rsidRDefault="00914499" w:rsidP="00914499">
            <w:pPr>
              <w:ind w:right="-425"/>
              <w:jc w:val="both"/>
              <w:rPr>
                <w:rFonts w:cs="Arial"/>
                <w:b/>
                <w:bCs/>
              </w:rPr>
            </w:pPr>
            <w:r w:rsidRPr="00776C26">
              <w:rPr>
                <w:rFonts w:cs="Arial"/>
                <w:b/>
                <w:bCs/>
              </w:rPr>
              <w:t>Total</w:t>
            </w:r>
          </w:p>
        </w:tc>
        <w:tc>
          <w:tcPr>
            <w:tcW w:w="992" w:type="dxa"/>
            <w:vAlign w:val="bottom"/>
          </w:tcPr>
          <w:p w14:paraId="0FB9062E" w14:textId="537927A7" w:rsidR="00914499" w:rsidRPr="00900EA0" w:rsidRDefault="00914499" w:rsidP="00914499">
            <w:pPr>
              <w:jc w:val="right"/>
              <w:rPr>
                <w:b/>
                <w:bCs/>
              </w:rPr>
            </w:pPr>
            <w:r>
              <w:rPr>
                <w:rFonts w:cs="Arial"/>
                <w:b/>
                <w:bCs/>
              </w:rPr>
              <w:t>64</w:t>
            </w:r>
          </w:p>
        </w:tc>
        <w:tc>
          <w:tcPr>
            <w:tcW w:w="1134" w:type="dxa"/>
            <w:vAlign w:val="bottom"/>
          </w:tcPr>
          <w:p w14:paraId="482ED4A6" w14:textId="69F326A1" w:rsidR="00914499" w:rsidRPr="00900EA0" w:rsidRDefault="00914499" w:rsidP="00914499">
            <w:pPr>
              <w:jc w:val="right"/>
              <w:rPr>
                <w:b/>
                <w:bCs/>
              </w:rPr>
            </w:pPr>
            <w:r>
              <w:rPr>
                <w:rFonts w:cs="Arial"/>
                <w:b/>
                <w:bCs/>
              </w:rPr>
              <w:t>0</w:t>
            </w:r>
          </w:p>
        </w:tc>
        <w:tc>
          <w:tcPr>
            <w:tcW w:w="992" w:type="dxa"/>
            <w:vAlign w:val="bottom"/>
          </w:tcPr>
          <w:p w14:paraId="47A0B826" w14:textId="301DDD15" w:rsidR="00914499" w:rsidRPr="00900EA0" w:rsidRDefault="00914499" w:rsidP="00914499">
            <w:pPr>
              <w:jc w:val="right"/>
              <w:rPr>
                <w:b/>
                <w:bCs/>
              </w:rPr>
            </w:pPr>
            <w:r>
              <w:rPr>
                <w:rFonts w:cs="Arial"/>
                <w:b/>
                <w:bCs/>
              </w:rPr>
              <w:t>64</w:t>
            </w:r>
          </w:p>
        </w:tc>
      </w:tr>
    </w:tbl>
    <w:p w14:paraId="600511AC" w14:textId="77777777" w:rsidR="00237AB1" w:rsidRDefault="00237AB1" w:rsidP="00237AB1">
      <w:pPr>
        <w:ind w:left="-142" w:right="-425"/>
        <w:jc w:val="both"/>
        <w:rPr>
          <w:rFonts w:cs="Arial"/>
        </w:rPr>
      </w:pPr>
    </w:p>
    <w:p w14:paraId="07242880" w14:textId="3EADAC49" w:rsidR="00237AB1" w:rsidRPr="00811A70" w:rsidRDefault="00237AB1" w:rsidP="0002195A">
      <w:pPr>
        <w:spacing w:after="120" w:line="240" w:lineRule="auto"/>
        <w:ind w:left="794" w:hanging="794"/>
        <w:rPr>
          <w:bCs/>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3"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3"/>
      <w:r w:rsidRPr="0002195A">
        <w:rPr>
          <w:bCs/>
          <w:sz w:val="16"/>
          <w:szCs w:val="16"/>
        </w:rPr>
        <w:t xml:space="preserve">from </w:t>
      </w:r>
      <w:r w:rsidR="00241C79">
        <w:rPr>
          <w:bCs/>
          <w:sz w:val="16"/>
          <w:szCs w:val="16"/>
        </w:rPr>
        <w:t xml:space="preserve">1 </w:t>
      </w:r>
      <w:r w:rsidR="00E047B7">
        <w:rPr>
          <w:bCs/>
          <w:sz w:val="16"/>
          <w:szCs w:val="16"/>
        </w:rPr>
        <w:t xml:space="preserve">April </w:t>
      </w:r>
      <w:r w:rsidR="00241C79">
        <w:rPr>
          <w:bCs/>
          <w:sz w:val="16"/>
          <w:szCs w:val="16"/>
        </w:rPr>
        <w:t>202</w:t>
      </w:r>
      <w:r w:rsidR="00BC09BB">
        <w:rPr>
          <w:bCs/>
          <w:sz w:val="16"/>
          <w:szCs w:val="16"/>
        </w:rPr>
        <w:t>4</w:t>
      </w:r>
      <w:r w:rsidR="00241C79">
        <w:rPr>
          <w:bCs/>
          <w:sz w:val="16"/>
          <w:szCs w:val="16"/>
        </w:rPr>
        <w:t xml:space="preserve"> to 3</w:t>
      </w:r>
      <w:r w:rsidR="00E047B7">
        <w:rPr>
          <w:bCs/>
          <w:sz w:val="16"/>
          <w:szCs w:val="16"/>
        </w:rPr>
        <w:t xml:space="preserve">0 June </w:t>
      </w:r>
      <w:r w:rsidR="00241C79">
        <w:rPr>
          <w:bCs/>
          <w:sz w:val="16"/>
          <w:szCs w:val="16"/>
        </w:rPr>
        <w:t>202</w:t>
      </w:r>
      <w:r w:rsidR="00BC09BB">
        <w:rPr>
          <w:bCs/>
          <w:sz w:val="16"/>
          <w:szCs w:val="16"/>
        </w:rPr>
        <w:t>4</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3542E6">
        <w:rPr>
          <w:sz w:val="16"/>
          <w:szCs w:val="16"/>
          <w:vertAlign w:val="superscript"/>
        </w:rPr>
        <w:t>5</w:t>
      </w:r>
      <w:r w:rsidR="0002195A" w:rsidRPr="00152D32">
        <w:rPr>
          <w:sz w:val="16"/>
          <w:szCs w:val="16"/>
          <w:vertAlign w:val="superscript"/>
        </w:rPr>
        <w:fldChar w:fldCharType="end"/>
      </w:r>
    </w:p>
    <w:tbl>
      <w:tblPr>
        <w:tblStyle w:val="TableGrid"/>
        <w:tblW w:w="9951" w:type="dxa"/>
        <w:tblInd w:w="108" w:type="dxa"/>
        <w:tblLayout w:type="fixed"/>
        <w:tblLook w:val="04A0" w:firstRow="1" w:lastRow="0" w:firstColumn="1" w:lastColumn="0" w:noHBand="0" w:noVBand="1"/>
      </w:tblPr>
      <w:tblGrid>
        <w:gridCol w:w="1241"/>
        <w:gridCol w:w="773"/>
        <w:gridCol w:w="1417"/>
        <w:gridCol w:w="992"/>
        <w:gridCol w:w="850"/>
        <w:gridCol w:w="1276"/>
        <w:gridCol w:w="1418"/>
        <w:gridCol w:w="1275"/>
        <w:gridCol w:w="709"/>
      </w:tblGrid>
      <w:tr w:rsidR="00DE035D" w:rsidRPr="00FD5669" w14:paraId="00D64F33" w14:textId="77777777" w:rsidTr="00DE035D">
        <w:tc>
          <w:tcPr>
            <w:tcW w:w="1241" w:type="dxa"/>
          </w:tcPr>
          <w:p w14:paraId="4D5DE928" w14:textId="77777777" w:rsidR="00DE035D" w:rsidRPr="005721E7" w:rsidRDefault="00DE035D" w:rsidP="005721E7">
            <w:pPr>
              <w:ind w:right="-425"/>
              <w:jc w:val="both"/>
              <w:rPr>
                <w:rFonts w:cs="Arial"/>
                <w:b/>
                <w:bCs/>
                <w:sz w:val="16"/>
                <w:szCs w:val="16"/>
              </w:rPr>
            </w:pPr>
            <w:r w:rsidRPr="005721E7">
              <w:rPr>
                <w:rFonts w:cs="Arial"/>
                <w:b/>
                <w:bCs/>
                <w:sz w:val="16"/>
                <w:szCs w:val="16"/>
              </w:rPr>
              <w:t>Community</w:t>
            </w:r>
          </w:p>
        </w:tc>
        <w:tc>
          <w:tcPr>
            <w:tcW w:w="773" w:type="dxa"/>
          </w:tcPr>
          <w:p w14:paraId="26C6768E" w14:textId="38839D85" w:rsidR="00DE035D" w:rsidRPr="005721E7" w:rsidRDefault="00DE035D" w:rsidP="005721E7">
            <w:pPr>
              <w:jc w:val="center"/>
              <w:rPr>
                <w:rFonts w:cs="Arial"/>
                <w:b/>
                <w:bCs/>
                <w:sz w:val="16"/>
                <w:szCs w:val="16"/>
              </w:rPr>
            </w:pPr>
            <w:r w:rsidRPr="005721E7">
              <w:rPr>
                <w:rFonts w:cs="Arial"/>
                <w:b/>
                <w:bCs/>
                <w:sz w:val="16"/>
                <w:szCs w:val="16"/>
              </w:rPr>
              <w:t>CCP</w:t>
            </w:r>
          </w:p>
        </w:tc>
        <w:tc>
          <w:tcPr>
            <w:tcW w:w="1417" w:type="dxa"/>
          </w:tcPr>
          <w:p w14:paraId="26BEE2F4" w14:textId="2C3EC3D2" w:rsidR="00DE035D" w:rsidRPr="005721E7" w:rsidRDefault="00DE035D" w:rsidP="005721E7">
            <w:pPr>
              <w:jc w:val="center"/>
              <w:rPr>
                <w:rFonts w:cs="Arial"/>
                <w:b/>
                <w:bCs/>
                <w:sz w:val="16"/>
                <w:szCs w:val="16"/>
              </w:rPr>
            </w:pPr>
            <w:r w:rsidRPr="005721E7">
              <w:rPr>
                <w:rFonts w:cs="Arial"/>
                <w:b/>
                <w:bCs/>
                <w:sz w:val="16"/>
                <w:szCs w:val="16"/>
              </w:rPr>
              <w:t>CCP &amp; CIM Concurrently</w:t>
            </w:r>
          </w:p>
        </w:tc>
        <w:tc>
          <w:tcPr>
            <w:tcW w:w="992" w:type="dxa"/>
          </w:tcPr>
          <w:p w14:paraId="53C5694C" w14:textId="3ECE715A" w:rsidR="00DE035D" w:rsidRPr="005721E7" w:rsidRDefault="00DE035D" w:rsidP="005721E7">
            <w:pPr>
              <w:jc w:val="center"/>
              <w:rPr>
                <w:rFonts w:cs="Arial"/>
                <w:b/>
                <w:bCs/>
                <w:sz w:val="16"/>
                <w:szCs w:val="16"/>
              </w:rPr>
            </w:pPr>
            <w:r w:rsidRPr="00DE035D">
              <w:rPr>
                <w:rFonts w:cs="Arial"/>
                <w:b/>
                <w:bCs/>
                <w:sz w:val="16"/>
                <w:szCs w:val="16"/>
              </w:rPr>
              <w:t>CCP, Rescheduled</w:t>
            </w:r>
          </w:p>
        </w:tc>
        <w:tc>
          <w:tcPr>
            <w:tcW w:w="850" w:type="dxa"/>
          </w:tcPr>
          <w:p w14:paraId="20680178" w14:textId="2F225937" w:rsidR="00DE035D" w:rsidRPr="005721E7" w:rsidRDefault="00DE035D" w:rsidP="005721E7">
            <w:pPr>
              <w:jc w:val="center"/>
              <w:rPr>
                <w:rFonts w:cs="Arial"/>
                <w:b/>
                <w:bCs/>
                <w:sz w:val="16"/>
                <w:szCs w:val="16"/>
              </w:rPr>
            </w:pPr>
            <w:r w:rsidRPr="005721E7">
              <w:rPr>
                <w:rFonts w:cs="Arial"/>
                <w:b/>
                <w:bCs/>
                <w:sz w:val="16"/>
                <w:szCs w:val="16"/>
              </w:rPr>
              <w:t>CIM</w:t>
            </w:r>
          </w:p>
        </w:tc>
        <w:tc>
          <w:tcPr>
            <w:tcW w:w="1276" w:type="dxa"/>
          </w:tcPr>
          <w:p w14:paraId="5E156BEA" w14:textId="6A7D5A79" w:rsidR="00DE035D" w:rsidRPr="005721E7" w:rsidRDefault="00DE035D" w:rsidP="005721E7">
            <w:pPr>
              <w:jc w:val="right"/>
              <w:rPr>
                <w:rFonts w:cs="Arial"/>
                <w:b/>
                <w:bCs/>
                <w:sz w:val="16"/>
                <w:szCs w:val="16"/>
              </w:rPr>
            </w:pPr>
            <w:r w:rsidRPr="005721E7">
              <w:rPr>
                <w:rFonts w:cs="Arial"/>
                <w:b/>
                <w:bCs/>
                <w:sz w:val="16"/>
                <w:szCs w:val="16"/>
              </w:rPr>
              <w:t>No Further Action</w:t>
            </w:r>
          </w:p>
        </w:tc>
        <w:tc>
          <w:tcPr>
            <w:tcW w:w="1418" w:type="dxa"/>
          </w:tcPr>
          <w:p w14:paraId="2F640541" w14:textId="2F5D48BF" w:rsidR="00DE035D" w:rsidRPr="005721E7" w:rsidRDefault="00DE035D" w:rsidP="005721E7">
            <w:pPr>
              <w:jc w:val="right"/>
              <w:rPr>
                <w:rFonts w:cs="Arial"/>
                <w:b/>
                <w:bCs/>
                <w:sz w:val="16"/>
                <w:szCs w:val="16"/>
              </w:rPr>
            </w:pPr>
            <w:r w:rsidRPr="005721E7">
              <w:rPr>
                <w:rFonts w:cs="Arial"/>
                <w:b/>
                <w:bCs/>
                <w:sz w:val="16"/>
                <w:szCs w:val="16"/>
              </w:rPr>
              <w:t>Recommend Support Service</w:t>
            </w:r>
          </w:p>
        </w:tc>
        <w:tc>
          <w:tcPr>
            <w:tcW w:w="1275" w:type="dxa"/>
          </w:tcPr>
          <w:p w14:paraId="733FB272" w14:textId="28BC897A" w:rsidR="00DE035D" w:rsidRPr="005721E7" w:rsidRDefault="00DE035D" w:rsidP="005721E7">
            <w:pPr>
              <w:jc w:val="right"/>
              <w:rPr>
                <w:rFonts w:cs="Arial"/>
                <w:b/>
                <w:bCs/>
                <w:sz w:val="16"/>
                <w:szCs w:val="16"/>
              </w:rPr>
            </w:pPr>
            <w:r w:rsidRPr="005721E7">
              <w:rPr>
                <w:rFonts w:cs="Arial"/>
                <w:b/>
                <w:bCs/>
                <w:sz w:val="16"/>
                <w:szCs w:val="16"/>
              </w:rPr>
              <w:t>Reprimand</w:t>
            </w:r>
          </w:p>
        </w:tc>
        <w:tc>
          <w:tcPr>
            <w:tcW w:w="709" w:type="dxa"/>
          </w:tcPr>
          <w:p w14:paraId="510D2877" w14:textId="34D89101" w:rsidR="00DE035D" w:rsidRPr="005721E7" w:rsidRDefault="00DE035D" w:rsidP="005721E7">
            <w:pPr>
              <w:jc w:val="right"/>
              <w:rPr>
                <w:rFonts w:cs="Arial"/>
                <w:b/>
                <w:bCs/>
                <w:sz w:val="16"/>
                <w:szCs w:val="16"/>
              </w:rPr>
            </w:pPr>
            <w:r w:rsidRPr="005721E7">
              <w:rPr>
                <w:rFonts w:cs="Arial"/>
                <w:b/>
                <w:bCs/>
                <w:sz w:val="16"/>
                <w:szCs w:val="16"/>
              </w:rPr>
              <w:t>Total</w:t>
            </w:r>
          </w:p>
        </w:tc>
      </w:tr>
      <w:tr w:rsidR="00DE035D" w:rsidRPr="00FD5669" w14:paraId="1020AB47" w14:textId="77777777" w:rsidTr="00DE035D">
        <w:tc>
          <w:tcPr>
            <w:tcW w:w="1241" w:type="dxa"/>
          </w:tcPr>
          <w:p w14:paraId="38A91592" w14:textId="77777777" w:rsidR="00DE035D" w:rsidRPr="005721E7" w:rsidRDefault="00DE035D" w:rsidP="0078063B">
            <w:pPr>
              <w:ind w:right="-425"/>
              <w:jc w:val="both"/>
              <w:rPr>
                <w:rFonts w:cs="Arial"/>
                <w:sz w:val="16"/>
                <w:szCs w:val="16"/>
              </w:rPr>
            </w:pPr>
            <w:r w:rsidRPr="005721E7">
              <w:rPr>
                <w:rFonts w:cs="Arial"/>
                <w:sz w:val="16"/>
                <w:szCs w:val="16"/>
              </w:rPr>
              <w:t>AU</w:t>
            </w:r>
          </w:p>
        </w:tc>
        <w:tc>
          <w:tcPr>
            <w:tcW w:w="773" w:type="dxa"/>
          </w:tcPr>
          <w:p w14:paraId="49AD44CD" w14:textId="6F91AA50" w:rsidR="00DE035D" w:rsidRPr="00AA1E6F" w:rsidRDefault="00914499" w:rsidP="0078063B">
            <w:pPr>
              <w:jc w:val="right"/>
              <w:rPr>
                <w:sz w:val="16"/>
                <w:szCs w:val="16"/>
              </w:rPr>
            </w:pPr>
            <w:r w:rsidRPr="00AA1E6F">
              <w:rPr>
                <w:sz w:val="16"/>
                <w:szCs w:val="16"/>
              </w:rPr>
              <w:t>1</w:t>
            </w:r>
          </w:p>
        </w:tc>
        <w:tc>
          <w:tcPr>
            <w:tcW w:w="1417" w:type="dxa"/>
          </w:tcPr>
          <w:p w14:paraId="17354BB6" w14:textId="51F16B2F" w:rsidR="00DE035D" w:rsidRPr="00AA1E6F" w:rsidRDefault="00914499" w:rsidP="0078063B">
            <w:pPr>
              <w:jc w:val="right"/>
              <w:rPr>
                <w:sz w:val="16"/>
                <w:szCs w:val="16"/>
              </w:rPr>
            </w:pPr>
            <w:r w:rsidRPr="00AA1E6F">
              <w:rPr>
                <w:sz w:val="16"/>
                <w:szCs w:val="16"/>
              </w:rPr>
              <w:t>0</w:t>
            </w:r>
          </w:p>
        </w:tc>
        <w:tc>
          <w:tcPr>
            <w:tcW w:w="992" w:type="dxa"/>
          </w:tcPr>
          <w:p w14:paraId="68EE96E5" w14:textId="313AFF34" w:rsidR="00DE035D" w:rsidRPr="00133EE4" w:rsidRDefault="00914499" w:rsidP="0078063B">
            <w:pPr>
              <w:jc w:val="right"/>
              <w:rPr>
                <w:rFonts w:cs="Arial"/>
                <w:color w:val="000000"/>
                <w:sz w:val="16"/>
                <w:szCs w:val="16"/>
              </w:rPr>
            </w:pPr>
            <w:r w:rsidRPr="00133EE4">
              <w:rPr>
                <w:rFonts w:cs="Arial"/>
                <w:color w:val="000000"/>
                <w:sz w:val="16"/>
                <w:szCs w:val="16"/>
              </w:rPr>
              <w:t>0</w:t>
            </w:r>
          </w:p>
        </w:tc>
        <w:tc>
          <w:tcPr>
            <w:tcW w:w="850" w:type="dxa"/>
          </w:tcPr>
          <w:p w14:paraId="515C5886" w14:textId="1F7FD598" w:rsidR="00DE035D" w:rsidRPr="00AA1E6F" w:rsidRDefault="00914499" w:rsidP="0078063B">
            <w:pPr>
              <w:jc w:val="right"/>
              <w:rPr>
                <w:sz w:val="16"/>
                <w:szCs w:val="16"/>
              </w:rPr>
            </w:pPr>
            <w:r w:rsidRPr="00AA1E6F">
              <w:rPr>
                <w:sz w:val="16"/>
                <w:szCs w:val="16"/>
              </w:rPr>
              <w:t>1</w:t>
            </w:r>
          </w:p>
        </w:tc>
        <w:tc>
          <w:tcPr>
            <w:tcW w:w="1276" w:type="dxa"/>
          </w:tcPr>
          <w:p w14:paraId="1EDEBBF3" w14:textId="1E402090" w:rsidR="00DE035D" w:rsidRPr="00AA1E6F" w:rsidRDefault="00914499" w:rsidP="0078063B">
            <w:pPr>
              <w:jc w:val="right"/>
              <w:rPr>
                <w:sz w:val="16"/>
                <w:szCs w:val="16"/>
              </w:rPr>
            </w:pPr>
            <w:r w:rsidRPr="00AA1E6F">
              <w:rPr>
                <w:sz w:val="16"/>
                <w:szCs w:val="16"/>
              </w:rPr>
              <w:t>7</w:t>
            </w:r>
          </w:p>
        </w:tc>
        <w:tc>
          <w:tcPr>
            <w:tcW w:w="1418" w:type="dxa"/>
          </w:tcPr>
          <w:p w14:paraId="148E8079" w14:textId="12E49629" w:rsidR="00DE035D" w:rsidRPr="00AA1E6F" w:rsidRDefault="00914499" w:rsidP="0078063B">
            <w:pPr>
              <w:jc w:val="right"/>
              <w:rPr>
                <w:sz w:val="16"/>
                <w:szCs w:val="16"/>
              </w:rPr>
            </w:pPr>
            <w:r w:rsidRPr="00AA1E6F">
              <w:rPr>
                <w:sz w:val="16"/>
                <w:szCs w:val="16"/>
              </w:rPr>
              <w:t>1</w:t>
            </w:r>
          </w:p>
        </w:tc>
        <w:tc>
          <w:tcPr>
            <w:tcW w:w="1275" w:type="dxa"/>
          </w:tcPr>
          <w:p w14:paraId="3ABFE30D" w14:textId="3EDAD1C9" w:rsidR="00DE035D" w:rsidRPr="00AA1E6F" w:rsidRDefault="00914499" w:rsidP="0078063B">
            <w:pPr>
              <w:jc w:val="right"/>
              <w:rPr>
                <w:sz w:val="16"/>
                <w:szCs w:val="16"/>
              </w:rPr>
            </w:pPr>
            <w:r w:rsidRPr="00AA1E6F">
              <w:rPr>
                <w:sz w:val="16"/>
                <w:szCs w:val="16"/>
              </w:rPr>
              <w:t>2</w:t>
            </w:r>
          </w:p>
        </w:tc>
        <w:tc>
          <w:tcPr>
            <w:tcW w:w="709" w:type="dxa"/>
            <w:vAlign w:val="bottom"/>
          </w:tcPr>
          <w:p w14:paraId="5EBCE817" w14:textId="6E60B032" w:rsidR="00DE035D" w:rsidRPr="00AA1E6F" w:rsidRDefault="00914499" w:rsidP="0078063B">
            <w:pPr>
              <w:jc w:val="right"/>
              <w:rPr>
                <w:b/>
                <w:bCs/>
                <w:sz w:val="16"/>
                <w:szCs w:val="16"/>
              </w:rPr>
            </w:pPr>
            <w:r w:rsidRPr="00AA1E6F">
              <w:rPr>
                <w:b/>
                <w:bCs/>
                <w:sz w:val="16"/>
                <w:szCs w:val="16"/>
              </w:rPr>
              <w:t>12</w:t>
            </w:r>
          </w:p>
        </w:tc>
      </w:tr>
      <w:tr w:rsidR="00DE035D" w:rsidRPr="00FD5669" w14:paraId="301C6385" w14:textId="77777777" w:rsidTr="00DE035D">
        <w:tc>
          <w:tcPr>
            <w:tcW w:w="1241" w:type="dxa"/>
          </w:tcPr>
          <w:p w14:paraId="50576C01" w14:textId="77777777" w:rsidR="00DE035D" w:rsidRPr="005721E7" w:rsidRDefault="00DE035D" w:rsidP="0078063B">
            <w:pPr>
              <w:ind w:right="-425"/>
              <w:jc w:val="both"/>
              <w:rPr>
                <w:rFonts w:cs="Arial"/>
                <w:sz w:val="16"/>
                <w:szCs w:val="16"/>
              </w:rPr>
            </w:pPr>
            <w:r w:rsidRPr="005721E7">
              <w:rPr>
                <w:rFonts w:cs="Arial"/>
                <w:sz w:val="16"/>
                <w:szCs w:val="16"/>
              </w:rPr>
              <w:t>CO</w:t>
            </w:r>
          </w:p>
        </w:tc>
        <w:tc>
          <w:tcPr>
            <w:tcW w:w="773" w:type="dxa"/>
          </w:tcPr>
          <w:p w14:paraId="44D73875" w14:textId="5ABF9BA8" w:rsidR="00DE035D" w:rsidRPr="00AA1E6F" w:rsidRDefault="00914499" w:rsidP="0078063B">
            <w:pPr>
              <w:jc w:val="right"/>
              <w:rPr>
                <w:sz w:val="16"/>
                <w:szCs w:val="16"/>
              </w:rPr>
            </w:pPr>
            <w:r w:rsidRPr="00AA1E6F">
              <w:rPr>
                <w:sz w:val="16"/>
                <w:szCs w:val="16"/>
              </w:rPr>
              <w:t>0</w:t>
            </w:r>
          </w:p>
        </w:tc>
        <w:tc>
          <w:tcPr>
            <w:tcW w:w="1417" w:type="dxa"/>
          </w:tcPr>
          <w:p w14:paraId="0F9DAF08" w14:textId="16D22B24" w:rsidR="00DE035D" w:rsidRPr="00AA1E6F" w:rsidRDefault="00914499" w:rsidP="0078063B">
            <w:pPr>
              <w:jc w:val="right"/>
              <w:rPr>
                <w:sz w:val="16"/>
                <w:szCs w:val="16"/>
              </w:rPr>
            </w:pPr>
            <w:r w:rsidRPr="00AA1E6F">
              <w:rPr>
                <w:sz w:val="16"/>
                <w:szCs w:val="16"/>
              </w:rPr>
              <w:t>0</w:t>
            </w:r>
          </w:p>
        </w:tc>
        <w:tc>
          <w:tcPr>
            <w:tcW w:w="992" w:type="dxa"/>
          </w:tcPr>
          <w:p w14:paraId="6F0319CC" w14:textId="7260D43D" w:rsidR="00DE035D" w:rsidRPr="00133EE4" w:rsidRDefault="00914499" w:rsidP="0078063B">
            <w:pPr>
              <w:jc w:val="right"/>
              <w:rPr>
                <w:rFonts w:cs="Arial"/>
                <w:color w:val="000000"/>
                <w:sz w:val="16"/>
                <w:szCs w:val="16"/>
              </w:rPr>
            </w:pPr>
            <w:r w:rsidRPr="00133EE4">
              <w:rPr>
                <w:rFonts w:cs="Arial"/>
                <w:color w:val="000000"/>
                <w:sz w:val="16"/>
                <w:szCs w:val="16"/>
              </w:rPr>
              <w:t>1</w:t>
            </w:r>
          </w:p>
        </w:tc>
        <w:tc>
          <w:tcPr>
            <w:tcW w:w="850" w:type="dxa"/>
          </w:tcPr>
          <w:p w14:paraId="2433CFD3" w14:textId="70F4673D" w:rsidR="00DE035D" w:rsidRPr="00AA1E6F" w:rsidRDefault="00914499" w:rsidP="0078063B">
            <w:pPr>
              <w:jc w:val="right"/>
              <w:rPr>
                <w:sz w:val="16"/>
                <w:szCs w:val="16"/>
              </w:rPr>
            </w:pPr>
            <w:r w:rsidRPr="00AA1E6F">
              <w:rPr>
                <w:sz w:val="16"/>
                <w:szCs w:val="16"/>
              </w:rPr>
              <w:t>0</w:t>
            </w:r>
          </w:p>
        </w:tc>
        <w:tc>
          <w:tcPr>
            <w:tcW w:w="1276" w:type="dxa"/>
          </w:tcPr>
          <w:p w14:paraId="7CBCE60D" w14:textId="3444972D" w:rsidR="00DE035D" w:rsidRPr="00AA1E6F" w:rsidRDefault="00914499" w:rsidP="0078063B">
            <w:pPr>
              <w:jc w:val="right"/>
              <w:rPr>
                <w:sz w:val="16"/>
                <w:szCs w:val="16"/>
              </w:rPr>
            </w:pPr>
            <w:r w:rsidRPr="00AA1E6F">
              <w:rPr>
                <w:sz w:val="16"/>
                <w:szCs w:val="16"/>
              </w:rPr>
              <w:t>0</w:t>
            </w:r>
          </w:p>
        </w:tc>
        <w:tc>
          <w:tcPr>
            <w:tcW w:w="1418" w:type="dxa"/>
          </w:tcPr>
          <w:p w14:paraId="607C9E91" w14:textId="59DF09C8" w:rsidR="00DE035D" w:rsidRPr="00AA1E6F" w:rsidRDefault="00914499" w:rsidP="0078063B">
            <w:pPr>
              <w:jc w:val="right"/>
              <w:rPr>
                <w:sz w:val="16"/>
                <w:szCs w:val="16"/>
              </w:rPr>
            </w:pPr>
            <w:r w:rsidRPr="00AA1E6F">
              <w:rPr>
                <w:sz w:val="16"/>
                <w:szCs w:val="16"/>
              </w:rPr>
              <w:t>3</w:t>
            </w:r>
          </w:p>
        </w:tc>
        <w:tc>
          <w:tcPr>
            <w:tcW w:w="1275" w:type="dxa"/>
          </w:tcPr>
          <w:p w14:paraId="467E65DA" w14:textId="7994E25D" w:rsidR="00DE035D" w:rsidRPr="00AA1E6F" w:rsidRDefault="00914499" w:rsidP="0078063B">
            <w:pPr>
              <w:jc w:val="right"/>
              <w:rPr>
                <w:sz w:val="16"/>
                <w:szCs w:val="16"/>
              </w:rPr>
            </w:pPr>
            <w:r w:rsidRPr="00AA1E6F">
              <w:rPr>
                <w:sz w:val="16"/>
                <w:szCs w:val="16"/>
              </w:rPr>
              <w:t>1</w:t>
            </w:r>
          </w:p>
        </w:tc>
        <w:tc>
          <w:tcPr>
            <w:tcW w:w="709" w:type="dxa"/>
            <w:vAlign w:val="bottom"/>
          </w:tcPr>
          <w:p w14:paraId="72B8A199" w14:textId="25338DD9" w:rsidR="00DE035D" w:rsidRPr="00AA1E6F" w:rsidRDefault="00914499" w:rsidP="0078063B">
            <w:pPr>
              <w:jc w:val="right"/>
              <w:rPr>
                <w:b/>
                <w:bCs/>
                <w:sz w:val="16"/>
                <w:szCs w:val="16"/>
              </w:rPr>
            </w:pPr>
            <w:r w:rsidRPr="00AA1E6F">
              <w:rPr>
                <w:b/>
                <w:bCs/>
                <w:sz w:val="16"/>
                <w:szCs w:val="16"/>
              </w:rPr>
              <w:t>5</w:t>
            </w:r>
          </w:p>
        </w:tc>
      </w:tr>
      <w:tr w:rsidR="00DE035D" w:rsidRPr="00FD5669" w14:paraId="1AF88ED4" w14:textId="77777777" w:rsidTr="00DE035D">
        <w:tc>
          <w:tcPr>
            <w:tcW w:w="1241" w:type="dxa"/>
          </w:tcPr>
          <w:p w14:paraId="4C229F63" w14:textId="77777777" w:rsidR="00DE035D" w:rsidRPr="005721E7" w:rsidRDefault="00DE035D" w:rsidP="0078063B">
            <w:pPr>
              <w:ind w:right="-425"/>
              <w:jc w:val="both"/>
              <w:rPr>
                <w:rFonts w:cs="Arial"/>
                <w:sz w:val="16"/>
                <w:szCs w:val="16"/>
              </w:rPr>
            </w:pPr>
            <w:r w:rsidRPr="005721E7">
              <w:rPr>
                <w:rFonts w:cs="Arial"/>
                <w:sz w:val="16"/>
                <w:szCs w:val="16"/>
              </w:rPr>
              <w:t>DM</w:t>
            </w:r>
          </w:p>
        </w:tc>
        <w:tc>
          <w:tcPr>
            <w:tcW w:w="773" w:type="dxa"/>
          </w:tcPr>
          <w:p w14:paraId="67496A09" w14:textId="05DFC0A8" w:rsidR="00DE035D" w:rsidRPr="00AA1E6F" w:rsidRDefault="00914499" w:rsidP="0078063B">
            <w:pPr>
              <w:jc w:val="right"/>
              <w:rPr>
                <w:sz w:val="16"/>
                <w:szCs w:val="16"/>
              </w:rPr>
            </w:pPr>
            <w:r w:rsidRPr="00AA1E6F">
              <w:rPr>
                <w:sz w:val="16"/>
                <w:szCs w:val="16"/>
              </w:rPr>
              <w:t>11</w:t>
            </w:r>
          </w:p>
        </w:tc>
        <w:tc>
          <w:tcPr>
            <w:tcW w:w="1417" w:type="dxa"/>
          </w:tcPr>
          <w:p w14:paraId="0675C9A5" w14:textId="0F37B15A" w:rsidR="00DE035D" w:rsidRPr="00AA1E6F" w:rsidRDefault="00914499" w:rsidP="0078063B">
            <w:pPr>
              <w:jc w:val="right"/>
              <w:rPr>
                <w:sz w:val="16"/>
                <w:szCs w:val="16"/>
              </w:rPr>
            </w:pPr>
            <w:r w:rsidRPr="00AA1E6F">
              <w:rPr>
                <w:sz w:val="16"/>
                <w:szCs w:val="16"/>
              </w:rPr>
              <w:t>0</w:t>
            </w:r>
          </w:p>
        </w:tc>
        <w:tc>
          <w:tcPr>
            <w:tcW w:w="992" w:type="dxa"/>
          </w:tcPr>
          <w:p w14:paraId="0AD00193" w14:textId="647D4C87" w:rsidR="00DE035D" w:rsidRPr="00133EE4" w:rsidRDefault="00914499" w:rsidP="0078063B">
            <w:pPr>
              <w:jc w:val="right"/>
              <w:rPr>
                <w:rFonts w:cs="Arial"/>
                <w:color w:val="000000"/>
                <w:sz w:val="16"/>
                <w:szCs w:val="16"/>
              </w:rPr>
            </w:pPr>
            <w:r w:rsidRPr="00133EE4">
              <w:rPr>
                <w:rFonts w:cs="Arial"/>
                <w:color w:val="000000"/>
                <w:sz w:val="16"/>
                <w:szCs w:val="16"/>
              </w:rPr>
              <w:t>2</w:t>
            </w:r>
          </w:p>
        </w:tc>
        <w:tc>
          <w:tcPr>
            <w:tcW w:w="850" w:type="dxa"/>
          </w:tcPr>
          <w:p w14:paraId="2BF4D189" w14:textId="64DD280F" w:rsidR="00DE035D" w:rsidRPr="00AA1E6F" w:rsidRDefault="00914499" w:rsidP="0078063B">
            <w:pPr>
              <w:jc w:val="right"/>
              <w:rPr>
                <w:sz w:val="16"/>
                <w:szCs w:val="16"/>
              </w:rPr>
            </w:pPr>
            <w:r w:rsidRPr="00AA1E6F">
              <w:rPr>
                <w:sz w:val="16"/>
                <w:szCs w:val="16"/>
              </w:rPr>
              <w:t>1</w:t>
            </w:r>
          </w:p>
        </w:tc>
        <w:tc>
          <w:tcPr>
            <w:tcW w:w="1276" w:type="dxa"/>
          </w:tcPr>
          <w:p w14:paraId="27C5948E" w14:textId="2142477C" w:rsidR="00DE035D" w:rsidRPr="00AA1E6F" w:rsidRDefault="00914499" w:rsidP="0078063B">
            <w:pPr>
              <w:jc w:val="right"/>
              <w:rPr>
                <w:sz w:val="16"/>
                <w:szCs w:val="16"/>
              </w:rPr>
            </w:pPr>
            <w:r w:rsidRPr="00AA1E6F">
              <w:rPr>
                <w:sz w:val="16"/>
                <w:szCs w:val="16"/>
              </w:rPr>
              <w:t>11</w:t>
            </w:r>
          </w:p>
        </w:tc>
        <w:tc>
          <w:tcPr>
            <w:tcW w:w="1418" w:type="dxa"/>
          </w:tcPr>
          <w:p w14:paraId="3CCA6FC4" w14:textId="156694E6" w:rsidR="00DE035D" w:rsidRPr="00AA1E6F" w:rsidRDefault="00914499" w:rsidP="0078063B">
            <w:pPr>
              <w:jc w:val="right"/>
              <w:rPr>
                <w:sz w:val="16"/>
                <w:szCs w:val="16"/>
              </w:rPr>
            </w:pPr>
            <w:r w:rsidRPr="00AA1E6F">
              <w:rPr>
                <w:sz w:val="16"/>
                <w:szCs w:val="16"/>
              </w:rPr>
              <w:t>15</w:t>
            </w:r>
          </w:p>
        </w:tc>
        <w:tc>
          <w:tcPr>
            <w:tcW w:w="1275" w:type="dxa"/>
          </w:tcPr>
          <w:p w14:paraId="40C7CD15" w14:textId="6C82D58E" w:rsidR="00DE035D" w:rsidRPr="00AA1E6F" w:rsidRDefault="00914499" w:rsidP="0078063B">
            <w:pPr>
              <w:jc w:val="right"/>
              <w:rPr>
                <w:sz w:val="16"/>
                <w:szCs w:val="16"/>
              </w:rPr>
            </w:pPr>
            <w:r w:rsidRPr="00AA1E6F">
              <w:rPr>
                <w:sz w:val="16"/>
                <w:szCs w:val="16"/>
              </w:rPr>
              <w:t>0</w:t>
            </w:r>
          </w:p>
        </w:tc>
        <w:tc>
          <w:tcPr>
            <w:tcW w:w="709" w:type="dxa"/>
            <w:vAlign w:val="bottom"/>
          </w:tcPr>
          <w:p w14:paraId="6A174D2C" w14:textId="57725C17" w:rsidR="00DE035D" w:rsidRPr="00AA1E6F" w:rsidRDefault="00914499" w:rsidP="0078063B">
            <w:pPr>
              <w:jc w:val="right"/>
              <w:rPr>
                <w:b/>
                <w:bCs/>
                <w:sz w:val="16"/>
                <w:szCs w:val="16"/>
              </w:rPr>
            </w:pPr>
            <w:r w:rsidRPr="00AA1E6F">
              <w:rPr>
                <w:b/>
                <w:bCs/>
                <w:sz w:val="16"/>
                <w:szCs w:val="16"/>
              </w:rPr>
              <w:t>40</w:t>
            </w:r>
          </w:p>
        </w:tc>
      </w:tr>
      <w:tr w:rsidR="00DE035D" w:rsidRPr="00FD5669" w14:paraId="0B079D3E" w14:textId="77777777" w:rsidTr="00DE035D">
        <w:tc>
          <w:tcPr>
            <w:tcW w:w="1241" w:type="dxa"/>
          </w:tcPr>
          <w:p w14:paraId="4C8C2425" w14:textId="77777777" w:rsidR="00DE035D" w:rsidRPr="005721E7" w:rsidRDefault="00DE035D" w:rsidP="0078063B">
            <w:pPr>
              <w:ind w:right="-425"/>
              <w:jc w:val="both"/>
              <w:rPr>
                <w:rFonts w:cs="Arial"/>
                <w:sz w:val="16"/>
                <w:szCs w:val="16"/>
              </w:rPr>
            </w:pPr>
            <w:r w:rsidRPr="005721E7">
              <w:rPr>
                <w:rFonts w:cs="Arial"/>
                <w:sz w:val="16"/>
                <w:szCs w:val="16"/>
              </w:rPr>
              <w:t>HV</w:t>
            </w:r>
          </w:p>
        </w:tc>
        <w:tc>
          <w:tcPr>
            <w:tcW w:w="773" w:type="dxa"/>
          </w:tcPr>
          <w:p w14:paraId="37538412" w14:textId="5065C592" w:rsidR="00DE035D" w:rsidRPr="00AA1E6F" w:rsidRDefault="00914499" w:rsidP="0078063B">
            <w:pPr>
              <w:jc w:val="right"/>
              <w:rPr>
                <w:sz w:val="16"/>
                <w:szCs w:val="16"/>
              </w:rPr>
            </w:pPr>
            <w:r w:rsidRPr="00AA1E6F">
              <w:rPr>
                <w:sz w:val="16"/>
                <w:szCs w:val="16"/>
              </w:rPr>
              <w:t>2</w:t>
            </w:r>
          </w:p>
        </w:tc>
        <w:tc>
          <w:tcPr>
            <w:tcW w:w="1417" w:type="dxa"/>
          </w:tcPr>
          <w:p w14:paraId="19FE7E35" w14:textId="54DD6D75" w:rsidR="00DE035D" w:rsidRPr="00AA1E6F" w:rsidRDefault="00914499" w:rsidP="0078063B">
            <w:pPr>
              <w:jc w:val="right"/>
              <w:rPr>
                <w:sz w:val="16"/>
                <w:szCs w:val="16"/>
              </w:rPr>
            </w:pPr>
            <w:r w:rsidRPr="00AA1E6F">
              <w:rPr>
                <w:sz w:val="16"/>
                <w:szCs w:val="16"/>
              </w:rPr>
              <w:t>1</w:t>
            </w:r>
          </w:p>
        </w:tc>
        <w:tc>
          <w:tcPr>
            <w:tcW w:w="992" w:type="dxa"/>
          </w:tcPr>
          <w:p w14:paraId="693F9DE3" w14:textId="01DF9796" w:rsidR="00DE035D" w:rsidRPr="00133EE4" w:rsidRDefault="00914499" w:rsidP="0078063B">
            <w:pPr>
              <w:jc w:val="right"/>
              <w:rPr>
                <w:rFonts w:cs="Arial"/>
                <w:color w:val="000000"/>
                <w:sz w:val="16"/>
                <w:szCs w:val="16"/>
              </w:rPr>
            </w:pPr>
            <w:r w:rsidRPr="00133EE4">
              <w:rPr>
                <w:rFonts w:cs="Arial"/>
                <w:color w:val="000000"/>
                <w:sz w:val="16"/>
                <w:szCs w:val="16"/>
              </w:rPr>
              <w:t>0</w:t>
            </w:r>
          </w:p>
        </w:tc>
        <w:tc>
          <w:tcPr>
            <w:tcW w:w="850" w:type="dxa"/>
          </w:tcPr>
          <w:p w14:paraId="5329BF30" w14:textId="7CACD4E5" w:rsidR="00DE035D" w:rsidRPr="00AA1E6F" w:rsidRDefault="00914499" w:rsidP="0078063B">
            <w:pPr>
              <w:jc w:val="right"/>
              <w:rPr>
                <w:sz w:val="16"/>
                <w:szCs w:val="16"/>
              </w:rPr>
            </w:pPr>
            <w:r w:rsidRPr="00AA1E6F">
              <w:rPr>
                <w:sz w:val="16"/>
                <w:szCs w:val="16"/>
              </w:rPr>
              <w:t>1</w:t>
            </w:r>
          </w:p>
        </w:tc>
        <w:tc>
          <w:tcPr>
            <w:tcW w:w="1276" w:type="dxa"/>
          </w:tcPr>
          <w:p w14:paraId="069E5406" w14:textId="4CC4AA10" w:rsidR="00DE035D" w:rsidRPr="00AA1E6F" w:rsidRDefault="00914499" w:rsidP="0078063B">
            <w:pPr>
              <w:jc w:val="right"/>
              <w:rPr>
                <w:sz w:val="16"/>
                <w:szCs w:val="16"/>
              </w:rPr>
            </w:pPr>
            <w:r w:rsidRPr="00AA1E6F">
              <w:rPr>
                <w:sz w:val="16"/>
                <w:szCs w:val="16"/>
              </w:rPr>
              <w:t>6</w:t>
            </w:r>
          </w:p>
        </w:tc>
        <w:tc>
          <w:tcPr>
            <w:tcW w:w="1418" w:type="dxa"/>
          </w:tcPr>
          <w:p w14:paraId="3A7239B1" w14:textId="301032D2" w:rsidR="00DE035D" w:rsidRPr="00AA1E6F" w:rsidRDefault="00914499" w:rsidP="0078063B">
            <w:pPr>
              <w:jc w:val="right"/>
              <w:rPr>
                <w:sz w:val="16"/>
                <w:szCs w:val="16"/>
              </w:rPr>
            </w:pPr>
            <w:r w:rsidRPr="00AA1E6F">
              <w:rPr>
                <w:sz w:val="16"/>
                <w:szCs w:val="16"/>
              </w:rPr>
              <w:t>1</w:t>
            </w:r>
          </w:p>
        </w:tc>
        <w:tc>
          <w:tcPr>
            <w:tcW w:w="1275" w:type="dxa"/>
          </w:tcPr>
          <w:p w14:paraId="1EBA0B08" w14:textId="09B29668" w:rsidR="00DE035D" w:rsidRPr="00AA1E6F" w:rsidRDefault="00914499" w:rsidP="0078063B">
            <w:pPr>
              <w:jc w:val="right"/>
              <w:rPr>
                <w:sz w:val="16"/>
                <w:szCs w:val="16"/>
              </w:rPr>
            </w:pPr>
            <w:r w:rsidRPr="00AA1E6F">
              <w:rPr>
                <w:sz w:val="16"/>
                <w:szCs w:val="16"/>
              </w:rPr>
              <w:t>1</w:t>
            </w:r>
          </w:p>
        </w:tc>
        <w:tc>
          <w:tcPr>
            <w:tcW w:w="709" w:type="dxa"/>
            <w:vAlign w:val="bottom"/>
          </w:tcPr>
          <w:p w14:paraId="03987686" w14:textId="16D8CAE4" w:rsidR="00DE035D" w:rsidRPr="00AA1E6F" w:rsidRDefault="00914499" w:rsidP="0078063B">
            <w:pPr>
              <w:jc w:val="right"/>
              <w:rPr>
                <w:b/>
                <w:bCs/>
                <w:sz w:val="16"/>
                <w:szCs w:val="16"/>
              </w:rPr>
            </w:pPr>
            <w:r w:rsidRPr="00AA1E6F">
              <w:rPr>
                <w:b/>
                <w:bCs/>
                <w:sz w:val="16"/>
                <w:szCs w:val="16"/>
              </w:rPr>
              <w:t>12</w:t>
            </w:r>
          </w:p>
        </w:tc>
      </w:tr>
      <w:tr w:rsidR="00DE035D" w:rsidRPr="00FD5669" w14:paraId="1A110982" w14:textId="77777777" w:rsidTr="00DE035D">
        <w:tc>
          <w:tcPr>
            <w:tcW w:w="1241" w:type="dxa"/>
          </w:tcPr>
          <w:p w14:paraId="3E280D98" w14:textId="77777777" w:rsidR="00DE035D" w:rsidRPr="005721E7" w:rsidRDefault="00DE035D" w:rsidP="0078063B">
            <w:pPr>
              <w:ind w:right="-425"/>
              <w:jc w:val="both"/>
              <w:rPr>
                <w:rFonts w:cs="Arial"/>
                <w:sz w:val="16"/>
                <w:szCs w:val="16"/>
              </w:rPr>
            </w:pPr>
            <w:r w:rsidRPr="005721E7">
              <w:rPr>
                <w:rFonts w:cs="Arial"/>
                <w:sz w:val="16"/>
                <w:szCs w:val="16"/>
              </w:rPr>
              <w:t>MG</w:t>
            </w:r>
          </w:p>
        </w:tc>
        <w:tc>
          <w:tcPr>
            <w:tcW w:w="773" w:type="dxa"/>
          </w:tcPr>
          <w:p w14:paraId="219E514B" w14:textId="304662BF" w:rsidR="00DE035D" w:rsidRPr="00AA1E6F" w:rsidRDefault="00914499" w:rsidP="0078063B">
            <w:pPr>
              <w:jc w:val="right"/>
              <w:rPr>
                <w:sz w:val="16"/>
                <w:szCs w:val="16"/>
              </w:rPr>
            </w:pPr>
            <w:r w:rsidRPr="00AA1E6F">
              <w:rPr>
                <w:sz w:val="16"/>
                <w:szCs w:val="16"/>
              </w:rPr>
              <w:t>1</w:t>
            </w:r>
          </w:p>
        </w:tc>
        <w:tc>
          <w:tcPr>
            <w:tcW w:w="1417" w:type="dxa"/>
          </w:tcPr>
          <w:p w14:paraId="51A17240" w14:textId="047EFFE3" w:rsidR="00DE035D" w:rsidRPr="00AA1E6F" w:rsidRDefault="00914499" w:rsidP="0078063B">
            <w:pPr>
              <w:jc w:val="right"/>
              <w:rPr>
                <w:sz w:val="16"/>
                <w:szCs w:val="16"/>
              </w:rPr>
            </w:pPr>
            <w:r w:rsidRPr="00AA1E6F">
              <w:rPr>
                <w:sz w:val="16"/>
                <w:szCs w:val="16"/>
              </w:rPr>
              <w:t>0</w:t>
            </w:r>
          </w:p>
        </w:tc>
        <w:tc>
          <w:tcPr>
            <w:tcW w:w="992" w:type="dxa"/>
          </w:tcPr>
          <w:p w14:paraId="2DCBC30D" w14:textId="7E992906" w:rsidR="00DE035D" w:rsidRPr="00133EE4" w:rsidRDefault="00914499" w:rsidP="0078063B">
            <w:pPr>
              <w:jc w:val="right"/>
              <w:rPr>
                <w:rFonts w:cs="Arial"/>
                <w:color w:val="000000"/>
                <w:sz w:val="16"/>
                <w:szCs w:val="16"/>
              </w:rPr>
            </w:pPr>
            <w:r w:rsidRPr="00133EE4">
              <w:rPr>
                <w:rFonts w:cs="Arial"/>
                <w:color w:val="000000"/>
                <w:sz w:val="16"/>
                <w:szCs w:val="16"/>
              </w:rPr>
              <w:t>0</w:t>
            </w:r>
          </w:p>
        </w:tc>
        <w:tc>
          <w:tcPr>
            <w:tcW w:w="850" w:type="dxa"/>
          </w:tcPr>
          <w:p w14:paraId="358DC4D7" w14:textId="66188F2F" w:rsidR="00DE035D" w:rsidRPr="00AA1E6F" w:rsidRDefault="00914499" w:rsidP="0078063B">
            <w:pPr>
              <w:jc w:val="right"/>
              <w:rPr>
                <w:sz w:val="16"/>
                <w:szCs w:val="16"/>
              </w:rPr>
            </w:pPr>
            <w:r w:rsidRPr="00AA1E6F">
              <w:rPr>
                <w:sz w:val="16"/>
                <w:szCs w:val="16"/>
              </w:rPr>
              <w:t>0</w:t>
            </w:r>
          </w:p>
        </w:tc>
        <w:tc>
          <w:tcPr>
            <w:tcW w:w="1276" w:type="dxa"/>
          </w:tcPr>
          <w:p w14:paraId="33ED210D" w14:textId="782CB58A" w:rsidR="00DE035D" w:rsidRPr="00AA1E6F" w:rsidRDefault="00914499" w:rsidP="0078063B">
            <w:pPr>
              <w:jc w:val="right"/>
              <w:rPr>
                <w:sz w:val="16"/>
                <w:szCs w:val="16"/>
              </w:rPr>
            </w:pPr>
            <w:r w:rsidRPr="00AA1E6F">
              <w:rPr>
                <w:sz w:val="16"/>
                <w:szCs w:val="16"/>
              </w:rPr>
              <w:t>0</w:t>
            </w:r>
          </w:p>
        </w:tc>
        <w:tc>
          <w:tcPr>
            <w:tcW w:w="1418" w:type="dxa"/>
          </w:tcPr>
          <w:p w14:paraId="0CEB7435" w14:textId="48EB8599" w:rsidR="00DE035D" w:rsidRPr="00AA1E6F" w:rsidRDefault="00914499" w:rsidP="0078063B">
            <w:pPr>
              <w:jc w:val="right"/>
              <w:rPr>
                <w:sz w:val="16"/>
                <w:szCs w:val="16"/>
              </w:rPr>
            </w:pPr>
            <w:r w:rsidRPr="00AA1E6F">
              <w:rPr>
                <w:sz w:val="16"/>
                <w:szCs w:val="16"/>
              </w:rPr>
              <w:t>2</w:t>
            </w:r>
          </w:p>
        </w:tc>
        <w:tc>
          <w:tcPr>
            <w:tcW w:w="1275" w:type="dxa"/>
          </w:tcPr>
          <w:p w14:paraId="3088DABD" w14:textId="700A57A8" w:rsidR="00DE035D" w:rsidRPr="00AA1E6F" w:rsidRDefault="00914499" w:rsidP="0078063B">
            <w:pPr>
              <w:jc w:val="right"/>
              <w:rPr>
                <w:sz w:val="16"/>
                <w:szCs w:val="16"/>
              </w:rPr>
            </w:pPr>
            <w:r w:rsidRPr="00AA1E6F">
              <w:rPr>
                <w:sz w:val="16"/>
                <w:szCs w:val="16"/>
              </w:rPr>
              <w:t>0</w:t>
            </w:r>
          </w:p>
        </w:tc>
        <w:tc>
          <w:tcPr>
            <w:tcW w:w="709" w:type="dxa"/>
            <w:vAlign w:val="bottom"/>
          </w:tcPr>
          <w:p w14:paraId="1AC531B7" w14:textId="56564ECE" w:rsidR="00DE035D" w:rsidRPr="00AA1E6F" w:rsidRDefault="00914499" w:rsidP="0078063B">
            <w:pPr>
              <w:jc w:val="right"/>
              <w:rPr>
                <w:b/>
                <w:bCs/>
                <w:sz w:val="16"/>
                <w:szCs w:val="16"/>
              </w:rPr>
            </w:pPr>
            <w:r w:rsidRPr="00AA1E6F">
              <w:rPr>
                <w:b/>
                <w:bCs/>
                <w:sz w:val="16"/>
                <w:szCs w:val="16"/>
              </w:rPr>
              <w:t>3</w:t>
            </w:r>
          </w:p>
        </w:tc>
      </w:tr>
      <w:tr w:rsidR="00DE035D" w:rsidRPr="00FD5669" w14:paraId="7D295E1A" w14:textId="77777777" w:rsidTr="00DE035D">
        <w:tc>
          <w:tcPr>
            <w:tcW w:w="1241" w:type="dxa"/>
          </w:tcPr>
          <w:p w14:paraId="1AA67368" w14:textId="77777777" w:rsidR="00DE035D" w:rsidRPr="005721E7" w:rsidRDefault="00DE035D" w:rsidP="0078063B">
            <w:pPr>
              <w:ind w:right="-425"/>
              <w:jc w:val="both"/>
              <w:rPr>
                <w:rFonts w:cs="Arial"/>
                <w:b/>
                <w:bCs/>
                <w:sz w:val="16"/>
                <w:szCs w:val="16"/>
              </w:rPr>
            </w:pPr>
            <w:r w:rsidRPr="005721E7">
              <w:rPr>
                <w:rFonts w:cs="Arial"/>
                <w:b/>
                <w:bCs/>
                <w:sz w:val="16"/>
                <w:szCs w:val="16"/>
              </w:rPr>
              <w:t>Total</w:t>
            </w:r>
          </w:p>
        </w:tc>
        <w:tc>
          <w:tcPr>
            <w:tcW w:w="773" w:type="dxa"/>
            <w:vAlign w:val="bottom"/>
          </w:tcPr>
          <w:p w14:paraId="7EA61294" w14:textId="777DFA58" w:rsidR="00DE035D" w:rsidRPr="00AA1E6F" w:rsidRDefault="00914499" w:rsidP="0078063B">
            <w:pPr>
              <w:jc w:val="right"/>
              <w:rPr>
                <w:b/>
                <w:bCs/>
                <w:sz w:val="16"/>
                <w:szCs w:val="16"/>
              </w:rPr>
            </w:pPr>
            <w:r w:rsidRPr="00AA1E6F">
              <w:rPr>
                <w:b/>
                <w:bCs/>
                <w:sz w:val="16"/>
                <w:szCs w:val="16"/>
              </w:rPr>
              <w:t>15</w:t>
            </w:r>
          </w:p>
        </w:tc>
        <w:tc>
          <w:tcPr>
            <w:tcW w:w="1417" w:type="dxa"/>
            <w:vAlign w:val="bottom"/>
          </w:tcPr>
          <w:p w14:paraId="4423A1A4" w14:textId="3081A35D" w:rsidR="00DE035D" w:rsidRPr="00AA1E6F" w:rsidRDefault="00914499" w:rsidP="0078063B">
            <w:pPr>
              <w:jc w:val="right"/>
              <w:rPr>
                <w:b/>
                <w:bCs/>
                <w:sz w:val="16"/>
                <w:szCs w:val="16"/>
              </w:rPr>
            </w:pPr>
            <w:r w:rsidRPr="00AA1E6F">
              <w:rPr>
                <w:b/>
                <w:bCs/>
                <w:sz w:val="16"/>
                <w:szCs w:val="16"/>
              </w:rPr>
              <w:t>1</w:t>
            </w:r>
          </w:p>
        </w:tc>
        <w:tc>
          <w:tcPr>
            <w:tcW w:w="992" w:type="dxa"/>
          </w:tcPr>
          <w:p w14:paraId="011CCFBE" w14:textId="15102721" w:rsidR="00DE035D" w:rsidRPr="00133EE4" w:rsidRDefault="00914499" w:rsidP="0078063B">
            <w:pPr>
              <w:jc w:val="right"/>
              <w:rPr>
                <w:rFonts w:cs="Arial"/>
                <w:b/>
                <w:bCs/>
                <w:sz w:val="16"/>
                <w:szCs w:val="16"/>
              </w:rPr>
            </w:pPr>
            <w:r w:rsidRPr="00133EE4">
              <w:rPr>
                <w:rFonts w:cs="Arial"/>
                <w:b/>
                <w:bCs/>
                <w:sz w:val="16"/>
                <w:szCs w:val="16"/>
              </w:rPr>
              <w:t>3</w:t>
            </w:r>
          </w:p>
        </w:tc>
        <w:tc>
          <w:tcPr>
            <w:tcW w:w="850" w:type="dxa"/>
            <w:vAlign w:val="bottom"/>
          </w:tcPr>
          <w:p w14:paraId="2793E47C" w14:textId="39340B16" w:rsidR="00DE035D" w:rsidRPr="00AA1E6F" w:rsidRDefault="00914499" w:rsidP="0078063B">
            <w:pPr>
              <w:jc w:val="right"/>
              <w:rPr>
                <w:b/>
                <w:bCs/>
                <w:sz w:val="16"/>
                <w:szCs w:val="16"/>
              </w:rPr>
            </w:pPr>
            <w:r w:rsidRPr="00AA1E6F">
              <w:rPr>
                <w:b/>
                <w:bCs/>
                <w:sz w:val="16"/>
                <w:szCs w:val="16"/>
              </w:rPr>
              <w:t>3</w:t>
            </w:r>
          </w:p>
        </w:tc>
        <w:tc>
          <w:tcPr>
            <w:tcW w:w="1276" w:type="dxa"/>
            <w:vAlign w:val="bottom"/>
          </w:tcPr>
          <w:p w14:paraId="1795BF25" w14:textId="5560925F" w:rsidR="00DE035D" w:rsidRPr="00AA1E6F" w:rsidRDefault="00914499" w:rsidP="0078063B">
            <w:pPr>
              <w:jc w:val="right"/>
              <w:rPr>
                <w:b/>
                <w:bCs/>
                <w:sz w:val="16"/>
                <w:szCs w:val="16"/>
              </w:rPr>
            </w:pPr>
            <w:r w:rsidRPr="00AA1E6F">
              <w:rPr>
                <w:b/>
                <w:bCs/>
                <w:sz w:val="16"/>
                <w:szCs w:val="16"/>
              </w:rPr>
              <w:t>24</w:t>
            </w:r>
          </w:p>
        </w:tc>
        <w:tc>
          <w:tcPr>
            <w:tcW w:w="1418" w:type="dxa"/>
            <w:vAlign w:val="bottom"/>
          </w:tcPr>
          <w:p w14:paraId="0554D8B3" w14:textId="4C29D107" w:rsidR="00DE035D" w:rsidRPr="00AA1E6F" w:rsidRDefault="00914499" w:rsidP="0078063B">
            <w:pPr>
              <w:jc w:val="right"/>
              <w:rPr>
                <w:b/>
                <w:bCs/>
                <w:sz w:val="16"/>
                <w:szCs w:val="16"/>
              </w:rPr>
            </w:pPr>
            <w:r w:rsidRPr="00AA1E6F">
              <w:rPr>
                <w:b/>
                <w:bCs/>
                <w:sz w:val="16"/>
                <w:szCs w:val="16"/>
              </w:rPr>
              <w:t>22</w:t>
            </w:r>
          </w:p>
        </w:tc>
        <w:tc>
          <w:tcPr>
            <w:tcW w:w="1275" w:type="dxa"/>
            <w:vAlign w:val="bottom"/>
          </w:tcPr>
          <w:p w14:paraId="5CC64B6B" w14:textId="12E664FB" w:rsidR="00DE035D" w:rsidRPr="00AA1E6F" w:rsidRDefault="00914499" w:rsidP="0078063B">
            <w:pPr>
              <w:jc w:val="right"/>
              <w:rPr>
                <w:b/>
                <w:bCs/>
                <w:sz w:val="16"/>
                <w:szCs w:val="16"/>
              </w:rPr>
            </w:pPr>
            <w:r w:rsidRPr="00AA1E6F">
              <w:rPr>
                <w:b/>
                <w:bCs/>
                <w:sz w:val="16"/>
                <w:szCs w:val="16"/>
              </w:rPr>
              <w:t>4</w:t>
            </w:r>
          </w:p>
        </w:tc>
        <w:tc>
          <w:tcPr>
            <w:tcW w:w="709" w:type="dxa"/>
            <w:vAlign w:val="bottom"/>
          </w:tcPr>
          <w:p w14:paraId="6FB13ACB" w14:textId="6B398F37" w:rsidR="00DE035D" w:rsidRPr="00AA1E6F" w:rsidRDefault="00914499" w:rsidP="0078063B">
            <w:pPr>
              <w:jc w:val="right"/>
              <w:rPr>
                <w:b/>
                <w:bCs/>
                <w:sz w:val="16"/>
                <w:szCs w:val="16"/>
              </w:rPr>
            </w:pPr>
            <w:r w:rsidRPr="00AA1E6F">
              <w:rPr>
                <w:b/>
                <w:bCs/>
                <w:sz w:val="16"/>
                <w:szCs w:val="16"/>
              </w:rPr>
              <w:t>72</w:t>
            </w:r>
          </w:p>
        </w:tc>
      </w:tr>
    </w:tbl>
    <w:p w14:paraId="370BFC10" w14:textId="6394BA5A" w:rsidR="00D505F2" w:rsidRDefault="00D505F2" w:rsidP="00237AB1">
      <w:pPr>
        <w:ind w:left="-142" w:right="-425"/>
        <w:jc w:val="both"/>
        <w:rPr>
          <w:rFonts w:cs="Arial"/>
        </w:rPr>
      </w:pPr>
    </w:p>
    <w:p w14:paraId="1C006F71" w14:textId="3D244851"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4"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4"/>
      <w:r w:rsidRPr="004B6F52">
        <w:rPr>
          <w:sz w:val="16"/>
          <w:szCs w:val="16"/>
        </w:rPr>
        <w:t xml:space="preserve">from </w:t>
      </w:r>
      <w:r w:rsidR="00241C79">
        <w:rPr>
          <w:sz w:val="16"/>
          <w:szCs w:val="16"/>
        </w:rPr>
        <w:t xml:space="preserve">1 </w:t>
      </w:r>
      <w:r w:rsidR="00E047B7">
        <w:rPr>
          <w:sz w:val="16"/>
          <w:szCs w:val="16"/>
        </w:rPr>
        <w:t xml:space="preserve">April </w:t>
      </w:r>
      <w:r w:rsidR="00241C79">
        <w:rPr>
          <w:sz w:val="16"/>
          <w:szCs w:val="16"/>
        </w:rPr>
        <w:t>202</w:t>
      </w:r>
      <w:r w:rsidR="00BC09BB">
        <w:rPr>
          <w:sz w:val="16"/>
          <w:szCs w:val="16"/>
        </w:rPr>
        <w:t>4</w:t>
      </w:r>
      <w:r w:rsidR="00241C79">
        <w:rPr>
          <w:sz w:val="16"/>
          <w:szCs w:val="16"/>
        </w:rPr>
        <w:t xml:space="preserve"> to 3</w:t>
      </w:r>
      <w:r w:rsidR="00E047B7">
        <w:rPr>
          <w:sz w:val="16"/>
          <w:szCs w:val="16"/>
        </w:rPr>
        <w:t>0 June</w:t>
      </w:r>
      <w:r w:rsidR="00987C15">
        <w:rPr>
          <w:sz w:val="16"/>
          <w:szCs w:val="16"/>
        </w:rPr>
        <w:t xml:space="preserve"> </w:t>
      </w:r>
      <w:r w:rsidR="00241C79">
        <w:rPr>
          <w:sz w:val="16"/>
          <w:szCs w:val="16"/>
        </w:rPr>
        <w:t>202</w:t>
      </w:r>
      <w:r w:rsidR="00BC09BB">
        <w:rPr>
          <w:sz w:val="16"/>
          <w:szCs w:val="16"/>
        </w:rPr>
        <w:t>4</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3542E6">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1967E1" w14:paraId="5A3BBB23" w14:textId="77777777" w:rsidTr="00BD03F1">
        <w:trPr>
          <w:trHeight w:val="222"/>
        </w:trPr>
        <w:tc>
          <w:tcPr>
            <w:tcW w:w="1588" w:type="dxa"/>
          </w:tcPr>
          <w:p w14:paraId="0687FF23" w14:textId="77777777" w:rsidR="001967E1" w:rsidRPr="00294D17" w:rsidRDefault="001967E1" w:rsidP="001967E1">
            <w:pPr>
              <w:ind w:right="-425"/>
              <w:jc w:val="both"/>
              <w:rPr>
                <w:rFonts w:cs="Arial"/>
                <w:b/>
                <w:bCs/>
              </w:rPr>
            </w:pPr>
            <w:r w:rsidRPr="00294D17">
              <w:rPr>
                <w:rFonts w:cs="Arial"/>
                <w:b/>
                <w:bCs/>
              </w:rPr>
              <w:t>Total</w:t>
            </w:r>
          </w:p>
        </w:tc>
        <w:tc>
          <w:tcPr>
            <w:tcW w:w="992" w:type="dxa"/>
            <w:vAlign w:val="bottom"/>
          </w:tcPr>
          <w:p w14:paraId="5B6FF504" w14:textId="6494BF7B" w:rsidR="001967E1" w:rsidRPr="008742B2" w:rsidRDefault="0066491F" w:rsidP="001967E1">
            <w:pPr>
              <w:jc w:val="right"/>
              <w:rPr>
                <w:b/>
                <w:bCs/>
              </w:rPr>
            </w:pPr>
            <w:r>
              <w:rPr>
                <w:b/>
                <w:bCs/>
              </w:rPr>
              <w:t>0</w:t>
            </w:r>
          </w:p>
        </w:tc>
        <w:tc>
          <w:tcPr>
            <w:tcW w:w="1418" w:type="dxa"/>
            <w:vAlign w:val="bottom"/>
          </w:tcPr>
          <w:p w14:paraId="2A53915F" w14:textId="2D0B9E0F" w:rsidR="001967E1" w:rsidRPr="008742B2" w:rsidRDefault="0066491F" w:rsidP="001967E1">
            <w:pPr>
              <w:jc w:val="right"/>
              <w:rPr>
                <w:b/>
                <w:bCs/>
              </w:rPr>
            </w:pPr>
            <w:r>
              <w:rPr>
                <w:b/>
                <w:bCs/>
              </w:rPr>
              <w:t>0</w:t>
            </w:r>
          </w:p>
        </w:tc>
        <w:tc>
          <w:tcPr>
            <w:tcW w:w="1134" w:type="dxa"/>
            <w:vAlign w:val="bottom"/>
          </w:tcPr>
          <w:p w14:paraId="62FCB111" w14:textId="7FD6EFA6" w:rsidR="001967E1" w:rsidRPr="008742B2" w:rsidRDefault="0066491F" w:rsidP="001967E1">
            <w:pPr>
              <w:jc w:val="right"/>
              <w:rPr>
                <w:b/>
                <w:bCs/>
              </w:rPr>
            </w:pPr>
            <w:r>
              <w:rPr>
                <w:b/>
                <w:bCs/>
              </w:rPr>
              <w:t>0</w:t>
            </w:r>
          </w:p>
        </w:tc>
        <w:tc>
          <w:tcPr>
            <w:tcW w:w="850" w:type="dxa"/>
            <w:vAlign w:val="bottom"/>
          </w:tcPr>
          <w:p w14:paraId="1321C4ED" w14:textId="260A4921" w:rsidR="001967E1" w:rsidRPr="008742B2" w:rsidRDefault="0066491F" w:rsidP="001967E1">
            <w:pPr>
              <w:jc w:val="right"/>
              <w:rPr>
                <w:b/>
                <w:bCs/>
              </w:rPr>
            </w:pPr>
            <w:r>
              <w:rPr>
                <w:b/>
                <w:bCs/>
              </w:rPr>
              <w:t>0</w:t>
            </w:r>
          </w:p>
        </w:tc>
        <w:tc>
          <w:tcPr>
            <w:tcW w:w="1276" w:type="dxa"/>
            <w:vAlign w:val="bottom"/>
          </w:tcPr>
          <w:p w14:paraId="70642BB8" w14:textId="5C1A153B" w:rsidR="001967E1" w:rsidRPr="008742B2" w:rsidRDefault="0066491F" w:rsidP="001967E1">
            <w:pPr>
              <w:jc w:val="right"/>
              <w:rPr>
                <w:b/>
                <w:bCs/>
              </w:rPr>
            </w:pPr>
            <w:r>
              <w:rPr>
                <w:b/>
                <w:bCs/>
              </w:rPr>
              <w:t>0</w:t>
            </w:r>
          </w:p>
        </w:tc>
        <w:tc>
          <w:tcPr>
            <w:tcW w:w="851" w:type="dxa"/>
            <w:vAlign w:val="bottom"/>
          </w:tcPr>
          <w:p w14:paraId="542CEAE2" w14:textId="47097C6B" w:rsidR="001967E1" w:rsidRPr="008742B2" w:rsidRDefault="0066491F" w:rsidP="001967E1">
            <w:pPr>
              <w:jc w:val="right"/>
              <w:rPr>
                <w:b/>
                <w:bCs/>
              </w:rPr>
            </w:pPr>
            <w:r>
              <w:rPr>
                <w:b/>
                <w:bCs/>
              </w:rPr>
              <w:t>0</w:t>
            </w:r>
          </w:p>
        </w:tc>
      </w:tr>
    </w:tbl>
    <w:p w14:paraId="5681D27B" w14:textId="77777777" w:rsidR="00B23CEA" w:rsidRDefault="00B23CEA" w:rsidP="00CA7C48">
      <w:pPr>
        <w:spacing w:after="120" w:line="240" w:lineRule="auto"/>
        <w:ind w:left="794" w:hanging="794"/>
        <w:rPr>
          <w:b/>
          <w:sz w:val="16"/>
          <w:szCs w:val="16"/>
        </w:rPr>
      </w:pPr>
      <w:bookmarkStart w:id="15" w:name="_Hlk69483860"/>
    </w:p>
    <w:p w14:paraId="1B8999AA" w14:textId="0A3F4EB4"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241C79">
        <w:rPr>
          <w:sz w:val="16"/>
          <w:szCs w:val="16"/>
        </w:rPr>
        <w:t xml:space="preserve">1 </w:t>
      </w:r>
      <w:r w:rsidR="00E047B7">
        <w:rPr>
          <w:sz w:val="16"/>
          <w:szCs w:val="16"/>
        </w:rPr>
        <w:t xml:space="preserve">April </w:t>
      </w:r>
      <w:r w:rsidR="00241C79">
        <w:rPr>
          <w:sz w:val="16"/>
          <w:szCs w:val="16"/>
        </w:rPr>
        <w:t>202</w:t>
      </w:r>
      <w:r w:rsidR="00BC09BB">
        <w:rPr>
          <w:sz w:val="16"/>
          <w:szCs w:val="16"/>
        </w:rPr>
        <w:t>4</w:t>
      </w:r>
      <w:r w:rsidR="00241C79">
        <w:rPr>
          <w:sz w:val="16"/>
          <w:szCs w:val="16"/>
        </w:rPr>
        <w:t xml:space="preserve"> to 3</w:t>
      </w:r>
      <w:r w:rsidR="00E047B7">
        <w:rPr>
          <w:sz w:val="16"/>
          <w:szCs w:val="16"/>
        </w:rPr>
        <w:t xml:space="preserve">0 June </w:t>
      </w:r>
      <w:r w:rsidR="00241C79">
        <w:rPr>
          <w:sz w:val="16"/>
          <w:szCs w:val="16"/>
        </w:rPr>
        <w:t>202</w:t>
      </w:r>
      <w:r w:rsidR="00BC09BB">
        <w:rPr>
          <w:sz w:val="16"/>
          <w:szCs w:val="16"/>
        </w:rPr>
        <w:t>4</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1967E1" w14:paraId="16A64130" w14:textId="77777777" w:rsidTr="00E65E47">
        <w:tc>
          <w:tcPr>
            <w:tcW w:w="1496" w:type="dxa"/>
          </w:tcPr>
          <w:p w14:paraId="11A0DFEF" w14:textId="77777777" w:rsidR="001967E1" w:rsidRPr="00294D17" w:rsidRDefault="001967E1" w:rsidP="001967E1">
            <w:pPr>
              <w:ind w:right="-425"/>
              <w:jc w:val="both"/>
              <w:rPr>
                <w:rFonts w:cs="Arial"/>
                <w:b/>
                <w:bCs/>
              </w:rPr>
            </w:pPr>
            <w:r w:rsidRPr="00294D17">
              <w:rPr>
                <w:rFonts w:cs="Arial"/>
                <w:b/>
                <w:bCs/>
              </w:rPr>
              <w:t>Total</w:t>
            </w:r>
          </w:p>
        </w:tc>
        <w:tc>
          <w:tcPr>
            <w:tcW w:w="1793" w:type="dxa"/>
            <w:vAlign w:val="bottom"/>
          </w:tcPr>
          <w:p w14:paraId="171714C6" w14:textId="03954D66" w:rsidR="001967E1" w:rsidRPr="00900EA0" w:rsidRDefault="0066491F" w:rsidP="001967E1">
            <w:pPr>
              <w:jc w:val="right"/>
              <w:rPr>
                <w:b/>
                <w:bCs/>
              </w:rPr>
            </w:pPr>
            <w:r>
              <w:rPr>
                <w:b/>
                <w:bCs/>
              </w:rPr>
              <w:t>2</w:t>
            </w:r>
          </w:p>
        </w:tc>
        <w:tc>
          <w:tcPr>
            <w:tcW w:w="1227" w:type="dxa"/>
            <w:vAlign w:val="bottom"/>
          </w:tcPr>
          <w:p w14:paraId="3DCD9CB4" w14:textId="59CB5A58" w:rsidR="001967E1" w:rsidRPr="00900EA0" w:rsidRDefault="0066491F" w:rsidP="001967E1">
            <w:pPr>
              <w:jc w:val="right"/>
              <w:rPr>
                <w:b/>
                <w:bCs/>
              </w:rPr>
            </w:pPr>
            <w:r>
              <w:rPr>
                <w:b/>
                <w:bCs/>
              </w:rPr>
              <w:t>3</w:t>
            </w:r>
          </w:p>
        </w:tc>
        <w:tc>
          <w:tcPr>
            <w:tcW w:w="2742" w:type="dxa"/>
            <w:vAlign w:val="bottom"/>
          </w:tcPr>
          <w:p w14:paraId="1EDA8F9D" w14:textId="4E866E9E" w:rsidR="001967E1" w:rsidRPr="00900EA0" w:rsidRDefault="0066491F" w:rsidP="001967E1">
            <w:pPr>
              <w:jc w:val="right"/>
              <w:rPr>
                <w:b/>
                <w:bCs/>
              </w:rPr>
            </w:pPr>
            <w:r>
              <w:rPr>
                <w:b/>
                <w:bCs/>
              </w:rPr>
              <w:t>1</w:t>
            </w:r>
          </w:p>
        </w:tc>
        <w:tc>
          <w:tcPr>
            <w:tcW w:w="851" w:type="dxa"/>
            <w:vAlign w:val="bottom"/>
          </w:tcPr>
          <w:p w14:paraId="14017305" w14:textId="278181C5" w:rsidR="001967E1" w:rsidRPr="00900EA0" w:rsidRDefault="0066491F" w:rsidP="001967E1">
            <w:pPr>
              <w:jc w:val="right"/>
              <w:rPr>
                <w:b/>
                <w:bCs/>
              </w:rPr>
            </w:pPr>
            <w:r>
              <w:rPr>
                <w:b/>
                <w:bCs/>
              </w:rPr>
              <w:t>6</w:t>
            </w:r>
          </w:p>
        </w:tc>
      </w:tr>
    </w:tbl>
    <w:p w14:paraId="466F9F6E" w14:textId="77777777" w:rsidR="002522F2" w:rsidRDefault="002522F2" w:rsidP="00A42818">
      <w:pPr>
        <w:ind w:left="-142" w:right="-425"/>
        <w:jc w:val="both"/>
        <w:rPr>
          <w:rFonts w:cs="Arial"/>
        </w:rPr>
      </w:pPr>
    </w:p>
    <w:p w14:paraId="27F37C5D" w14:textId="7A093561" w:rsidR="00152C1E" w:rsidRDefault="00237AB1" w:rsidP="00A42818">
      <w:pPr>
        <w:ind w:left="-142" w:right="-425"/>
        <w:jc w:val="both"/>
        <w:rPr>
          <w:rFonts w:cs="Arial"/>
        </w:rPr>
      </w:pPr>
      <w:r w:rsidRPr="00CE1294">
        <w:rPr>
          <w:rFonts w:cs="Arial"/>
        </w:rPr>
        <w:t xml:space="preserve">During quarter </w:t>
      </w:r>
      <w:r w:rsidR="00BC09BB">
        <w:rPr>
          <w:rFonts w:cs="Arial"/>
        </w:rPr>
        <w:t>6</w:t>
      </w:r>
      <w:r w:rsidR="00E047B7">
        <w:rPr>
          <w:rFonts w:cs="Arial"/>
        </w:rPr>
        <w:t>4</w:t>
      </w:r>
      <w:r w:rsidR="00CE7CB6" w:rsidRPr="00CE1294">
        <w:rPr>
          <w:rFonts w:cs="Arial"/>
        </w:rPr>
        <w:t xml:space="preserve"> </w:t>
      </w:r>
      <w:r w:rsidRPr="00CE1294">
        <w:rPr>
          <w:rFonts w:cs="Arial"/>
        </w:rPr>
        <w:t xml:space="preserve">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747AA6">
        <w:rPr>
          <w:rFonts w:cs="Arial"/>
        </w:rPr>
        <w:t>2</w:t>
      </w:r>
      <w:r w:rsidR="00AA1E6F">
        <w:rPr>
          <w:rFonts w:cs="Arial"/>
        </w:rPr>
        <w:t>04</w:t>
      </w:r>
      <w:r w:rsidR="00747AA6" w:rsidRPr="00EF268C">
        <w:rPr>
          <w:rFonts w:cs="Arial"/>
        </w:rPr>
        <w:t xml:space="preserve"> </w:t>
      </w:r>
      <w:r w:rsidRPr="00EF268C">
        <w:rPr>
          <w:rFonts w:cs="Arial"/>
        </w:rPr>
        <w:t>clients (</w:t>
      </w:r>
      <w:r w:rsidR="005D3898">
        <w:rPr>
          <w:rFonts w:cs="Arial"/>
        </w:rPr>
        <w:t>1</w:t>
      </w:r>
      <w:r w:rsidR="00AA1E6F">
        <w:rPr>
          <w:rFonts w:cs="Arial"/>
        </w:rPr>
        <w:t>36</w:t>
      </w:r>
      <w:r w:rsidR="005D3898" w:rsidRPr="00EF268C">
        <w:rPr>
          <w:rFonts w:cs="Arial"/>
        </w:rPr>
        <w:t xml:space="preserve"> </w:t>
      </w:r>
      <w:r w:rsidRPr="00EF268C">
        <w:rPr>
          <w:rFonts w:cs="Arial"/>
        </w:rPr>
        <w:t xml:space="preserve">female and </w:t>
      </w:r>
      <w:r w:rsidR="00AA1E6F">
        <w:rPr>
          <w:rFonts w:cs="Arial"/>
        </w:rPr>
        <w:t>68</w:t>
      </w:r>
      <w:r w:rsidR="005D3898"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0B21D53E"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lastRenderedPageBreak/>
        <w:t>A</w:t>
      </w:r>
      <w:r w:rsidR="00A42818" w:rsidRPr="00B106D4">
        <w:rPr>
          <w:rFonts w:ascii="Verdana" w:hAnsi="Verdana" w:cs="Arial"/>
          <w:sz w:val="20"/>
          <w:szCs w:val="20"/>
        </w:rPr>
        <w:t xml:space="preserve"> client may be placed on a CIM order </w:t>
      </w:r>
      <w:r w:rsidR="00454E1A">
        <w:rPr>
          <w:rFonts w:ascii="Verdana" w:hAnsi="Verdana" w:cs="Arial"/>
          <w:sz w:val="20"/>
          <w:szCs w:val="20"/>
        </w:rPr>
        <w:t>quarantining</w:t>
      </w:r>
      <w:r w:rsidR="00A42818" w:rsidRPr="00B106D4">
        <w:rPr>
          <w:rFonts w:ascii="Verdana" w:hAnsi="Verdana" w:cs="Arial"/>
          <w:sz w:val="20"/>
          <w:szCs w:val="20"/>
        </w:rPr>
        <w:t xml:space="preserve"> 60%, 75% or 90% </w:t>
      </w:r>
      <w:r w:rsidR="00454E1A" w:rsidRPr="00454E1A">
        <w:rPr>
          <w:rFonts w:ascii="Verdana" w:hAnsi="Verdana" w:cs="Arial"/>
          <w:sz w:val="20"/>
          <w:szCs w:val="20"/>
        </w:rPr>
        <w:t xml:space="preserve">of </w:t>
      </w:r>
      <w:r w:rsidR="00454E1A">
        <w:rPr>
          <w:rFonts w:ascii="Verdana" w:hAnsi="Verdana" w:cs="Arial"/>
          <w:sz w:val="20"/>
          <w:szCs w:val="20"/>
        </w:rPr>
        <w:t xml:space="preserve">their </w:t>
      </w:r>
      <w:r w:rsidR="00454E1A" w:rsidRPr="00454E1A">
        <w:rPr>
          <w:rFonts w:ascii="Verdana" w:hAnsi="Verdana" w:cs="Arial"/>
          <w:sz w:val="20"/>
          <w:szCs w:val="20"/>
        </w:rPr>
        <w:t>welfare payments</w:t>
      </w:r>
      <w:r w:rsidR="00454E1A">
        <w:rPr>
          <w:rFonts w:cs="Arial"/>
        </w:rPr>
        <w:t xml:space="preserve">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291FC153" w:rsidR="00B9722A" w:rsidRPr="001B0466" w:rsidRDefault="00B9722A" w:rsidP="00C34899">
      <w:pPr>
        <w:tabs>
          <w:tab w:val="left" w:pos="1134"/>
        </w:tabs>
        <w:ind w:left="-142" w:right="-425"/>
        <w:jc w:val="both"/>
      </w:pPr>
      <w:r w:rsidRPr="001B0466">
        <w:t xml:space="preserve">The types of client interactions evident during quarter </w:t>
      </w:r>
      <w:r w:rsidR="00BC09BB">
        <w:t>6</w:t>
      </w:r>
      <w:r w:rsidR="00AA1E6F">
        <w:t>4</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BC09BB">
        <w:t xml:space="preserve">1 </w:t>
      </w:r>
      <w:r w:rsidR="00AA1E6F">
        <w:t xml:space="preserve">April </w:t>
      </w:r>
      <w:r w:rsidR="00BC09BB">
        <w:t>2024 to 3</w:t>
      </w:r>
      <w:r w:rsidR="00AA1E6F">
        <w:t xml:space="preserve">0 June </w:t>
      </w:r>
      <w:r w:rsidR="00BC09BB">
        <w:t>2024</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2875271E" w:rsidR="00B9722A" w:rsidRPr="001B0466" w:rsidRDefault="00AE6C9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6</w:t>
      </w:r>
      <w:r w:rsidR="00AA1E6F">
        <w:rPr>
          <w:rFonts w:ascii="Verdana" w:hAnsi="Verdana" w:cs="Arial"/>
          <w:sz w:val="20"/>
          <w:szCs w:val="20"/>
        </w:rPr>
        <w:t>5.7</w:t>
      </w:r>
      <w:r w:rsidR="00DD36DF">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w:t>
      </w:r>
      <w:proofErr w:type="gramStart"/>
      <w:r w:rsidR="00DE0E94" w:rsidRPr="000F203E">
        <w:rPr>
          <w:rFonts w:ascii="Verdana" w:hAnsi="Verdana" w:cs="Arial"/>
          <w:sz w:val="20"/>
          <w:szCs w:val="20"/>
        </w:rPr>
        <w:t>a</w:t>
      </w:r>
      <w:r w:rsidR="002A33C4" w:rsidRPr="000F203E">
        <w:rPr>
          <w:rFonts w:ascii="Verdana" w:hAnsi="Verdana" w:cs="Arial"/>
          <w:sz w:val="20"/>
          <w:szCs w:val="20"/>
        </w:rPr>
        <w:t>greement</w:t>
      </w:r>
      <w:r w:rsidR="00C34899" w:rsidRPr="000F203E">
        <w:rPr>
          <w:rFonts w:ascii="Verdana" w:hAnsi="Verdana" w:cs="Arial"/>
          <w:sz w:val="20"/>
          <w:szCs w:val="20"/>
        </w:rPr>
        <w:t>;</w:t>
      </w:r>
      <w:proofErr w:type="gramEnd"/>
    </w:p>
    <w:p w14:paraId="0B6EF2B3" w14:textId="6AFBEA19"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AA1E6F">
        <w:rPr>
          <w:rFonts w:ascii="Verdana" w:hAnsi="Verdana" w:cs="Arial"/>
          <w:sz w:val="20"/>
          <w:szCs w:val="20"/>
        </w:rPr>
        <w:t>53</w:t>
      </w:r>
      <w:r w:rsidR="00DD36D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proofErr w:type="gramStart"/>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roofErr w:type="gramEnd"/>
    </w:p>
    <w:p w14:paraId="3A616BEF" w14:textId="7F7D4AB2" w:rsidR="00B9722A" w:rsidRPr="001B0466" w:rsidRDefault="00AA1E6F"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19</w:t>
      </w:r>
      <w:r w:rsidR="00AE6C9A">
        <w:rPr>
          <w:rFonts w:ascii="Verdana" w:hAnsi="Verdana" w:cs="Arial"/>
          <w:sz w:val="20"/>
          <w:szCs w:val="20"/>
        </w:rPr>
        <w:t>.6</w:t>
      </w:r>
      <w:r w:rsidR="00DD36D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w:t>
      </w:r>
      <w:proofErr w:type="gramStart"/>
      <w:r w:rsidR="00E6519A" w:rsidRPr="001B0466">
        <w:rPr>
          <w:rFonts w:ascii="Verdana" w:hAnsi="Verdana" w:cs="Arial"/>
          <w:sz w:val="20"/>
          <w:szCs w:val="20"/>
        </w:rPr>
        <w:t>types</w:t>
      </w:r>
      <w:r w:rsidR="00C34899" w:rsidRPr="001B0466">
        <w:rPr>
          <w:rFonts w:ascii="Verdana" w:hAnsi="Verdana" w:cs="Arial"/>
          <w:sz w:val="20"/>
          <w:szCs w:val="20"/>
        </w:rPr>
        <w:t>;</w:t>
      </w:r>
      <w:proofErr w:type="gramEnd"/>
    </w:p>
    <w:p w14:paraId="46767E6D" w14:textId="307CDBF4" w:rsidR="00B9722A" w:rsidRPr="001B0466" w:rsidRDefault="00AA1E6F"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2.0</w:t>
      </w:r>
      <w:r w:rsidR="00DD36D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64E98188" w14:textId="74DE8F2D" w:rsidR="00C014C9" w:rsidRDefault="00106839" w:rsidP="002522F2">
      <w:pPr>
        <w:tabs>
          <w:tab w:val="decimal" w:pos="284"/>
        </w:tabs>
        <w:ind w:left="-142" w:right="-425"/>
        <w:jc w:val="both"/>
      </w:pPr>
      <w:bookmarkStart w:id="16" w:name="_Hlk97302962"/>
      <w:r w:rsidRPr="001B0466">
        <w:rPr>
          <w:rFonts w:cs="Arial"/>
        </w:rPr>
        <w:t xml:space="preserve">There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6"/>
    </w:p>
    <w:p w14:paraId="769147B7" w14:textId="77777777" w:rsidR="00EE4468" w:rsidRDefault="00EE4468" w:rsidP="00C014C9">
      <w:pPr>
        <w:tabs>
          <w:tab w:val="decimal" w:pos="284"/>
        </w:tabs>
        <w:ind w:left="-142" w:right="-425"/>
        <w:jc w:val="both"/>
      </w:pPr>
    </w:p>
    <w:p w14:paraId="78EF6562" w14:textId="59C85C7F" w:rsidR="00240AAF" w:rsidRDefault="00CD0A5A" w:rsidP="00C014C9">
      <w:pPr>
        <w:tabs>
          <w:tab w:val="decimal" w:pos="284"/>
        </w:tabs>
        <w:ind w:left="-142" w:right="-425"/>
        <w:jc w:val="both"/>
        <w:rPr>
          <w:rFonts w:cs="Arial"/>
        </w:rPr>
      </w:pPr>
      <w:r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C014C9" w:rsidRPr="001B0466">
        <w:rPr>
          <w:rFonts w:cs="Arial"/>
        </w:rPr>
        <w:t>th</w:t>
      </w:r>
      <w:r w:rsidR="00C014C9">
        <w:rPr>
          <w:rFonts w:cs="Arial"/>
        </w:rPr>
        <w:t>is cohort of clients:</w:t>
      </w:r>
    </w:p>
    <w:p w14:paraId="431EED9F" w14:textId="640D8C03" w:rsidR="007B1F5A" w:rsidRPr="000479CF" w:rsidRDefault="00AA1E6F"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8.8</w:t>
      </w:r>
      <w:r w:rsidR="00DD36DF" w:rsidRPr="000479CF">
        <w:rPr>
          <w:rFonts w:ascii="Verdana" w:hAnsi="Verdana" w:cs="Arial"/>
          <w:sz w:val="20"/>
          <w:szCs w:val="20"/>
        </w:rPr>
        <w:t>%</w:t>
      </w:r>
      <w:r w:rsidR="007B1F5A" w:rsidRPr="000479CF">
        <w:rPr>
          <w:rFonts w:ascii="Verdana" w:hAnsi="Verdana" w:cs="Arial"/>
          <w:sz w:val="20"/>
          <w:szCs w:val="20"/>
        </w:rPr>
        <w:t xml:space="preserve"> of clients were ordered to attend a support service under a case </w:t>
      </w:r>
      <w:proofErr w:type="gramStart"/>
      <w:r w:rsidR="007B1F5A" w:rsidRPr="000479CF">
        <w:rPr>
          <w:rFonts w:ascii="Verdana" w:hAnsi="Verdana" w:cs="Arial"/>
          <w:sz w:val="20"/>
          <w:szCs w:val="20"/>
        </w:rPr>
        <w:t>plan;</w:t>
      </w:r>
      <w:proofErr w:type="gramEnd"/>
    </w:p>
    <w:p w14:paraId="039AEB9E" w14:textId="1E369FA4" w:rsidR="00EB52B2" w:rsidRPr="000479CF" w:rsidRDefault="00AA1E6F"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1.5</w:t>
      </w:r>
      <w:r w:rsidR="00DD36DF" w:rsidRPr="000479CF">
        <w:rPr>
          <w:rFonts w:ascii="Verdana" w:hAnsi="Verdana" w:cs="Arial"/>
          <w:sz w:val="20"/>
          <w:szCs w:val="20"/>
        </w:rPr>
        <w:t>%</w:t>
      </w:r>
      <w:r w:rsidR="00EB52B2" w:rsidRPr="000479CF">
        <w:rPr>
          <w:rFonts w:ascii="Verdana" w:hAnsi="Verdana" w:cs="Arial"/>
          <w:sz w:val="20"/>
          <w:szCs w:val="20"/>
        </w:rPr>
        <w:t xml:space="preserve"> of clients were placed on a CIM </w:t>
      </w:r>
      <w:proofErr w:type="gramStart"/>
      <w:r w:rsidR="00EB52B2" w:rsidRPr="000479CF">
        <w:rPr>
          <w:rFonts w:ascii="Verdana" w:hAnsi="Verdana" w:cs="Arial"/>
          <w:sz w:val="20"/>
          <w:szCs w:val="20"/>
        </w:rPr>
        <w:t>order;</w:t>
      </w:r>
      <w:proofErr w:type="gramEnd"/>
    </w:p>
    <w:p w14:paraId="19F8E19F" w14:textId="2A866254" w:rsidR="00334048" w:rsidRPr="000479CF" w:rsidRDefault="00AE6C9A" w:rsidP="000479CF">
      <w:pPr>
        <w:pStyle w:val="ListParagraph"/>
        <w:numPr>
          <w:ilvl w:val="0"/>
          <w:numId w:val="8"/>
        </w:numPr>
        <w:spacing w:line="288" w:lineRule="auto"/>
        <w:ind w:left="567" w:right="-425" w:hanging="283"/>
        <w:jc w:val="both"/>
        <w:rPr>
          <w:rFonts w:ascii="Verdana" w:hAnsi="Verdana" w:cs="Arial"/>
          <w:sz w:val="20"/>
          <w:szCs w:val="20"/>
        </w:rPr>
      </w:pPr>
      <w:r w:rsidRPr="000479CF">
        <w:rPr>
          <w:rFonts w:ascii="Verdana" w:hAnsi="Verdana" w:cs="Arial"/>
          <w:sz w:val="20"/>
          <w:szCs w:val="20"/>
        </w:rPr>
        <w:t>0.</w:t>
      </w:r>
      <w:r w:rsidR="00AA1E6F">
        <w:rPr>
          <w:rFonts w:ascii="Verdana" w:hAnsi="Verdana" w:cs="Arial"/>
          <w:sz w:val="20"/>
          <w:szCs w:val="20"/>
        </w:rPr>
        <w:t>5</w:t>
      </w:r>
      <w:r w:rsidR="00DD36DF" w:rsidRPr="000479CF">
        <w:rPr>
          <w:rFonts w:ascii="Verdana" w:hAnsi="Verdana" w:cs="Arial"/>
          <w:sz w:val="20"/>
          <w:szCs w:val="20"/>
        </w:rPr>
        <w:t>%</w:t>
      </w:r>
      <w:r w:rsidR="00334048" w:rsidRPr="000479CF">
        <w:rPr>
          <w:rFonts w:ascii="Verdana" w:hAnsi="Verdana" w:cs="Arial"/>
          <w:sz w:val="20"/>
          <w:szCs w:val="20"/>
        </w:rPr>
        <w:t xml:space="preserve"> of clients were placed on a CIM order and ordered to attend a support service</w:t>
      </w:r>
      <w:r w:rsidR="00B43DA5" w:rsidRPr="000479CF">
        <w:rPr>
          <w:rFonts w:ascii="Verdana" w:hAnsi="Verdana" w:cs="Arial"/>
          <w:sz w:val="20"/>
          <w:szCs w:val="20"/>
        </w:rPr>
        <w:t>.</w:t>
      </w:r>
    </w:p>
    <w:bookmarkEnd w:id="15"/>
    <w:p w14:paraId="3CB0752E" w14:textId="77777777" w:rsidR="00AE6C9A" w:rsidRPr="00AE6C9A" w:rsidRDefault="00AE6C9A" w:rsidP="00AE6C9A">
      <w:pPr>
        <w:tabs>
          <w:tab w:val="decimal" w:pos="284"/>
        </w:tabs>
        <w:ind w:left="-142" w:right="-425"/>
        <w:jc w:val="both"/>
        <w:rPr>
          <w:rFonts w:cs="Arial"/>
        </w:rPr>
      </w:pPr>
    </w:p>
    <w:p w14:paraId="011C5F55" w14:textId="77777777" w:rsidR="00EE4468" w:rsidRPr="00EE4468" w:rsidRDefault="00EE4468" w:rsidP="00EE4468">
      <w:pPr>
        <w:tabs>
          <w:tab w:val="decimal" w:pos="284"/>
        </w:tabs>
        <w:ind w:left="-142" w:right="-425"/>
        <w:jc w:val="both"/>
        <w:rPr>
          <w:rFonts w:cs="Arial"/>
        </w:rPr>
      </w:pPr>
      <w:r w:rsidRPr="00EE4468">
        <w:rPr>
          <w:rFonts w:cs="Arial"/>
        </w:rPr>
        <w:br w:type="page"/>
      </w:r>
    </w:p>
    <w:p w14:paraId="01840B62" w14:textId="00C0D79D" w:rsidR="00986092" w:rsidRPr="00143FBB" w:rsidRDefault="00986092" w:rsidP="00124DB6">
      <w:pPr>
        <w:pStyle w:val="Heading2"/>
      </w:pPr>
      <w:r w:rsidRPr="00143FBB">
        <w:lastRenderedPageBreak/>
        <w:t>Notices</w:t>
      </w:r>
    </w:p>
    <w:p w14:paraId="41B569DF" w14:textId="11CE7CA0"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8C05DB">
        <w:rPr>
          <w:rFonts w:cs="Arial"/>
        </w:rPr>
        <w:t>6</w:t>
      </w:r>
      <w:r w:rsidR="00AA1E6F">
        <w:rPr>
          <w:rFonts w:cs="Arial"/>
        </w:rPr>
        <w:t>4</w:t>
      </w:r>
      <w:r w:rsidR="004748B3"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AC5811">
        <w:rPr>
          <w:rFonts w:cs="Arial"/>
        </w:rPr>
        <w:t>1,</w:t>
      </w:r>
      <w:r w:rsidR="00AA1E6F">
        <w:rPr>
          <w:rFonts w:cs="Arial"/>
        </w:rPr>
        <w:t>872</w:t>
      </w:r>
      <w:r w:rsidR="000E7C1E"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AA1E6F">
        <w:rPr>
          <w:rFonts w:cs="Arial"/>
        </w:rPr>
        <w:t>280</w:t>
      </w:r>
      <w:r w:rsidR="005174DF" w:rsidRPr="006042AF">
        <w:rPr>
          <w:rFonts w:cs="Arial"/>
        </w:rPr>
        <w:t xml:space="preserve"> </w:t>
      </w:r>
      <w:r w:rsidRPr="006042AF">
        <w:rPr>
          <w:rFonts w:cs="Arial"/>
        </w:rPr>
        <w:t>notices (</w:t>
      </w:r>
      <w:r w:rsidR="000E7C1E">
        <w:rPr>
          <w:rFonts w:cs="Arial"/>
        </w:rPr>
        <w:t>6</w:t>
      </w:r>
      <w:r w:rsidR="00AA1E6F">
        <w:rPr>
          <w:rFonts w:cs="Arial"/>
        </w:rPr>
        <w:t>8</w:t>
      </w:r>
      <w:r w:rsidR="00DD36DF">
        <w:rPr>
          <w:rFonts w:cs="Arial"/>
        </w:rPr>
        <w:t>%</w:t>
      </w:r>
      <w:r w:rsidRPr="006042AF">
        <w:rPr>
          <w:rFonts w:cs="Arial"/>
        </w:rPr>
        <w:t>)</w:t>
      </w:r>
      <w:r w:rsidR="00F257B3" w:rsidRPr="006042AF">
        <w:rPr>
          <w:rFonts w:cs="Arial"/>
        </w:rPr>
        <w:t xml:space="preserve"> relating to </w:t>
      </w:r>
      <w:r w:rsidR="00AA1E6F">
        <w:rPr>
          <w:rFonts w:cs="Arial"/>
        </w:rPr>
        <w:t>667</w:t>
      </w:r>
      <w:r w:rsidR="00AA1E6F"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AA1E6F">
        <w:rPr>
          <w:rFonts w:cs="Arial"/>
        </w:rPr>
        <w:t xml:space="preserve">592 </w:t>
      </w:r>
      <w:r w:rsidRPr="006042AF">
        <w:rPr>
          <w:rFonts w:cs="Arial"/>
        </w:rPr>
        <w:t>notices (</w:t>
      </w:r>
      <w:r w:rsidR="000E7C1E">
        <w:rPr>
          <w:rFonts w:cs="Arial"/>
        </w:rPr>
        <w:t>3</w:t>
      </w:r>
      <w:r w:rsidR="00AA1E6F">
        <w:rPr>
          <w:rFonts w:cs="Arial"/>
        </w:rPr>
        <w:t>2</w:t>
      </w:r>
      <w:r w:rsidR="00DD36DF">
        <w:rPr>
          <w:rFonts w:cs="Arial"/>
        </w:rPr>
        <w: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091E06F0" w:rsidR="005A5B78" w:rsidRPr="00241C79" w:rsidRDefault="00C7128D" w:rsidP="00C7128D">
      <w:pPr>
        <w:spacing w:after="120" w:line="240" w:lineRule="auto"/>
        <w:ind w:right="-425"/>
        <w:rPr>
          <w:rFonts w:cs="Arial"/>
          <w:bCs/>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BC09BB">
        <w:rPr>
          <w:sz w:val="16"/>
          <w:szCs w:val="16"/>
        </w:rPr>
        <w:t xml:space="preserve">1 </w:t>
      </w:r>
      <w:r w:rsidR="00AA1E6F">
        <w:rPr>
          <w:sz w:val="16"/>
          <w:szCs w:val="16"/>
        </w:rPr>
        <w:t xml:space="preserve">April </w:t>
      </w:r>
      <w:r w:rsidR="00BC09BB">
        <w:rPr>
          <w:sz w:val="16"/>
          <w:szCs w:val="16"/>
        </w:rPr>
        <w:t>2024 to 3</w:t>
      </w:r>
      <w:r w:rsidR="00AA1E6F">
        <w:rPr>
          <w:sz w:val="16"/>
          <w:szCs w:val="16"/>
        </w:rPr>
        <w:t xml:space="preserve">0 June </w:t>
      </w:r>
      <w:r w:rsidR="00BC09BB">
        <w:rPr>
          <w:sz w:val="16"/>
          <w:szCs w:val="16"/>
        </w:rPr>
        <w:t>2024</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AA1E6F" w:rsidRDefault="00557E24" w:rsidP="00557E24">
            <w:pPr>
              <w:spacing w:line="240" w:lineRule="auto"/>
              <w:jc w:val="center"/>
              <w:rPr>
                <w:rFonts w:cs="Arial"/>
                <w:b/>
                <w:bCs/>
                <w:lang w:eastAsia="en-AU"/>
              </w:rPr>
            </w:pPr>
            <w:r w:rsidRPr="00AA1E6F">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AA1E6F" w:rsidRDefault="00557E24" w:rsidP="00557E24">
            <w:pPr>
              <w:spacing w:line="240" w:lineRule="auto"/>
              <w:jc w:val="center"/>
              <w:rPr>
                <w:rFonts w:cs="Arial"/>
                <w:b/>
                <w:bCs/>
                <w:lang w:eastAsia="en-AU"/>
              </w:rPr>
            </w:pPr>
            <w:r w:rsidRPr="00AA1E6F">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AA1E6F" w:rsidRDefault="00557E24" w:rsidP="00557E24">
            <w:pPr>
              <w:spacing w:line="240" w:lineRule="auto"/>
              <w:jc w:val="center"/>
              <w:rPr>
                <w:rFonts w:cs="Arial"/>
                <w:b/>
                <w:bCs/>
                <w:lang w:eastAsia="en-AU"/>
              </w:rPr>
            </w:pPr>
            <w:r w:rsidRPr="00AA1E6F">
              <w:rPr>
                <w:rFonts w:cs="Arial"/>
                <w:b/>
                <w:bCs/>
                <w:lang w:eastAsia="en-AU"/>
              </w:rPr>
              <w:t>DM</w:t>
            </w:r>
            <w:r w:rsidR="0049342A" w:rsidRPr="00AA1E6F">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AA1E6F" w:rsidRDefault="00557E24" w:rsidP="00557E24">
            <w:pPr>
              <w:spacing w:line="240" w:lineRule="auto"/>
              <w:jc w:val="center"/>
              <w:rPr>
                <w:rFonts w:cs="Arial"/>
                <w:b/>
                <w:bCs/>
                <w:lang w:eastAsia="en-AU"/>
              </w:rPr>
            </w:pPr>
            <w:r w:rsidRPr="00AA1E6F">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AA1E6F" w:rsidRDefault="00557E24" w:rsidP="00557E24">
            <w:pPr>
              <w:spacing w:line="240" w:lineRule="auto"/>
              <w:jc w:val="center"/>
              <w:rPr>
                <w:rFonts w:cs="Arial"/>
                <w:b/>
                <w:bCs/>
                <w:lang w:eastAsia="en-AU"/>
              </w:rPr>
            </w:pPr>
            <w:r w:rsidRPr="00AA1E6F">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AA1E6F" w:rsidRDefault="00557E24" w:rsidP="00557E24">
            <w:pPr>
              <w:spacing w:line="240" w:lineRule="auto"/>
              <w:jc w:val="center"/>
              <w:rPr>
                <w:rFonts w:cs="Arial"/>
                <w:b/>
                <w:bCs/>
                <w:lang w:eastAsia="en-AU"/>
              </w:rPr>
            </w:pPr>
            <w:r w:rsidRPr="00AA1E6F">
              <w:rPr>
                <w:rFonts w:cs="Arial"/>
                <w:b/>
                <w:bCs/>
                <w:lang w:eastAsia="en-AU"/>
              </w:rPr>
              <w:t>Total</w:t>
            </w:r>
          </w:p>
        </w:tc>
      </w:tr>
      <w:tr w:rsidR="00AA1E6F" w:rsidRPr="00650B45" w14:paraId="34AFEA3C"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AA1E6F" w:rsidRPr="005E0531" w:rsidRDefault="00AA1E6F" w:rsidP="00AA1E6F">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79FA84A3" w:rsidR="00AA1E6F" w:rsidRPr="00AA1E6F" w:rsidRDefault="00AA1E6F" w:rsidP="00AA1E6F">
            <w:pPr>
              <w:spacing w:line="240" w:lineRule="auto"/>
              <w:jc w:val="right"/>
              <w:rPr>
                <w:rFonts w:cs="Arial"/>
              </w:rPr>
            </w:pPr>
            <w:r w:rsidRPr="00AA1E6F">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1ABF6491" w:rsidR="00AA1E6F" w:rsidRPr="00AA1E6F" w:rsidRDefault="00AA1E6F" w:rsidP="00AA1E6F">
            <w:pPr>
              <w:spacing w:line="240" w:lineRule="auto"/>
              <w:jc w:val="right"/>
              <w:rPr>
                <w:rFonts w:cs="Arial"/>
              </w:rPr>
            </w:pPr>
            <w:r w:rsidRPr="00AA1E6F">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3B81D230" w:rsidR="00AA1E6F" w:rsidRPr="00AA1E6F" w:rsidRDefault="00AA1E6F" w:rsidP="00AA1E6F">
            <w:pPr>
              <w:spacing w:line="240" w:lineRule="auto"/>
              <w:jc w:val="right"/>
              <w:rPr>
                <w:rFonts w:cs="Arial"/>
              </w:rPr>
            </w:pPr>
            <w:r w:rsidRPr="00AA1E6F">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7E694829" w:rsidR="00AA1E6F" w:rsidRPr="00AA1E6F" w:rsidRDefault="00AA1E6F" w:rsidP="00AA1E6F">
            <w:pPr>
              <w:spacing w:line="240" w:lineRule="auto"/>
              <w:jc w:val="right"/>
              <w:rPr>
                <w:rFonts w:cs="Arial"/>
              </w:rPr>
            </w:pPr>
            <w:r w:rsidRPr="00AA1E6F">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28024D19" w:rsidR="00AA1E6F" w:rsidRPr="00AA1E6F" w:rsidRDefault="00AA1E6F" w:rsidP="00AA1E6F">
            <w:pPr>
              <w:spacing w:line="240" w:lineRule="auto"/>
              <w:jc w:val="right"/>
              <w:rPr>
                <w:rFonts w:cs="Arial"/>
              </w:rPr>
            </w:pPr>
            <w:r w:rsidRPr="00AA1E6F">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7B5489D3" w:rsidR="00AA1E6F" w:rsidRPr="00AA1E6F" w:rsidRDefault="00AA1E6F" w:rsidP="00AA1E6F">
            <w:pPr>
              <w:spacing w:line="240" w:lineRule="auto"/>
              <w:jc w:val="right"/>
              <w:rPr>
                <w:rFonts w:cs="Arial"/>
                <w:b/>
                <w:bCs/>
                <w:lang w:eastAsia="en-AU"/>
              </w:rPr>
            </w:pPr>
            <w:r w:rsidRPr="00AA1E6F">
              <w:rPr>
                <w:rFonts w:cs="Arial"/>
                <w:b/>
                <w:bCs/>
              </w:rPr>
              <w:t>0</w:t>
            </w:r>
          </w:p>
        </w:tc>
      </w:tr>
      <w:tr w:rsidR="00AA1E6F" w:rsidRPr="00650B45" w14:paraId="440532E3"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AA1E6F" w:rsidRPr="0040594D" w:rsidRDefault="00AA1E6F" w:rsidP="00AA1E6F">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75386A5F" w:rsidR="00AA1E6F" w:rsidRPr="00AA1E6F" w:rsidRDefault="00AA1E6F" w:rsidP="00AA1E6F">
            <w:pPr>
              <w:spacing w:line="240" w:lineRule="auto"/>
              <w:jc w:val="right"/>
              <w:rPr>
                <w:rFonts w:cs="Arial"/>
                <w:lang w:eastAsia="en-AU"/>
              </w:rPr>
            </w:pPr>
            <w:r w:rsidRPr="00AA1E6F">
              <w:rPr>
                <w:rFonts w:cs="Arial"/>
              </w:rPr>
              <w:t>15</w:t>
            </w:r>
          </w:p>
        </w:tc>
        <w:tc>
          <w:tcPr>
            <w:tcW w:w="850" w:type="dxa"/>
            <w:tcBorders>
              <w:top w:val="nil"/>
              <w:left w:val="nil"/>
              <w:bottom w:val="single" w:sz="4" w:space="0" w:color="auto"/>
              <w:right w:val="single" w:sz="4" w:space="0" w:color="auto"/>
            </w:tcBorders>
            <w:shd w:val="clear" w:color="auto" w:fill="auto"/>
            <w:vAlign w:val="center"/>
          </w:tcPr>
          <w:p w14:paraId="2545D481" w14:textId="1055AF22" w:rsidR="00AA1E6F" w:rsidRPr="00AA1E6F" w:rsidRDefault="00AA1E6F" w:rsidP="00AA1E6F">
            <w:pPr>
              <w:spacing w:line="240" w:lineRule="auto"/>
              <w:jc w:val="right"/>
              <w:rPr>
                <w:rFonts w:cs="Arial"/>
                <w:lang w:eastAsia="en-AU"/>
              </w:rPr>
            </w:pPr>
            <w:r w:rsidRPr="00AA1E6F">
              <w:rPr>
                <w:rFonts w:cs="Arial"/>
              </w:rPr>
              <w:t>0</w:t>
            </w:r>
          </w:p>
        </w:tc>
        <w:tc>
          <w:tcPr>
            <w:tcW w:w="779" w:type="dxa"/>
            <w:tcBorders>
              <w:top w:val="nil"/>
              <w:left w:val="nil"/>
              <w:bottom w:val="single" w:sz="4" w:space="0" w:color="auto"/>
              <w:right w:val="single" w:sz="4" w:space="0" w:color="auto"/>
            </w:tcBorders>
            <w:vAlign w:val="center"/>
          </w:tcPr>
          <w:p w14:paraId="02F60FDE" w14:textId="422C5F21" w:rsidR="00AA1E6F" w:rsidRPr="00AA1E6F" w:rsidRDefault="00AA1E6F" w:rsidP="00AA1E6F">
            <w:pPr>
              <w:spacing w:line="240" w:lineRule="auto"/>
              <w:jc w:val="right"/>
              <w:rPr>
                <w:rFonts w:cs="Arial"/>
                <w:lang w:eastAsia="en-AU"/>
              </w:rPr>
            </w:pPr>
            <w:r w:rsidRPr="00AA1E6F">
              <w:rPr>
                <w:rFonts w:cs="Arial"/>
              </w:rPr>
              <w:t>0</w:t>
            </w:r>
          </w:p>
        </w:tc>
        <w:tc>
          <w:tcPr>
            <w:tcW w:w="643" w:type="dxa"/>
            <w:tcBorders>
              <w:top w:val="nil"/>
              <w:left w:val="nil"/>
              <w:bottom w:val="single" w:sz="4" w:space="0" w:color="auto"/>
              <w:right w:val="single" w:sz="4" w:space="0" w:color="auto"/>
            </w:tcBorders>
            <w:vAlign w:val="center"/>
          </w:tcPr>
          <w:p w14:paraId="34CB5F06" w14:textId="3B4A3C2C" w:rsidR="00AA1E6F" w:rsidRPr="00AA1E6F" w:rsidRDefault="00AA1E6F" w:rsidP="00AA1E6F">
            <w:pPr>
              <w:spacing w:line="240" w:lineRule="auto"/>
              <w:jc w:val="right"/>
              <w:rPr>
                <w:rFonts w:cs="Arial"/>
                <w:lang w:eastAsia="en-AU"/>
              </w:rPr>
            </w:pPr>
            <w:r w:rsidRPr="00AA1E6F">
              <w:rPr>
                <w:rFonts w:cs="Arial"/>
              </w:rPr>
              <w:t>0</w:t>
            </w:r>
          </w:p>
        </w:tc>
        <w:tc>
          <w:tcPr>
            <w:tcW w:w="706" w:type="dxa"/>
            <w:tcBorders>
              <w:top w:val="nil"/>
              <w:left w:val="nil"/>
              <w:bottom w:val="single" w:sz="4" w:space="0" w:color="auto"/>
              <w:right w:val="single" w:sz="4" w:space="0" w:color="auto"/>
            </w:tcBorders>
            <w:vAlign w:val="center"/>
          </w:tcPr>
          <w:p w14:paraId="7909412F" w14:textId="29F32CE4" w:rsidR="00AA1E6F" w:rsidRPr="00AA1E6F" w:rsidRDefault="00AA1E6F" w:rsidP="00AA1E6F">
            <w:pPr>
              <w:spacing w:line="240" w:lineRule="auto"/>
              <w:jc w:val="right"/>
              <w:rPr>
                <w:rFonts w:cs="Arial"/>
                <w:lang w:eastAsia="en-AU"/>
              </w:rPr>
            </w:pPr>
            <w:r w:rsidRPr="00AA1E6F">
              <w:rPr>
                <w:rFonts w:cs="Arial"/>
              </w:rPr>
              <w:t>1</w:t>
            </w:r>
          </w:p>
        </w:tc>
        <w:tc>
          <w:tcPr>
            <w:tcW w:w="849" w:type="dxa"/>
            <w:tcBorders>
              <w:top w:val="nil"/>
              <w:left w:val="nil"/>
              <w:bottom w:val="single" w:sz="4" w:space="0" w:color="auto"/>
              <w:right w:val="single" w:sz="4" w:space="0" w:color="auto"/>
            </w:tcBorders>
            <w:vAlign w:val="center"/>
          </w:tcPr>
          <w:p w14:paraId="731692A8" w14:textId="710DF68D" w:rsidR="00AA1E6F" w:rsidRPr="00AA1E6F" w:rsidRDefault="00AA1E6F" w:rsidP="00AA1E6F">
            <w:pPr>
              <w:spacing w:line="240" w:lineRule="auto"/>
              <w:jc w:val="right"/>
              <w:rPr>
                <w:rFonts w:cs="Arial"/>
                <w:b/>
                <w:lang w:eastAsia="en-AU"/>
              </w:rPr>
            </w:pPr>
            <w:r w:rsidRPr="00AA1E6F">
              <w:rPr>
                <w:rFonts w:cs="Arial"/>
                <w:b/>
                <w:bCs/>
              </w:rPr>
              <w:t>16</w:t>
            </w:r>
          </w:p>
        </w:tc>
      </w:tr>
      <w:tr w:rsidR="00AA1E6F" w:rsidRPr="00650B45" w14:paraId="606D952D"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AA1E6F" w:rsidRDefault="00AA1E6F" w:rsidP="00AA1E6F">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3FB86341" w:rsidR="00AA1E6F" w:rsidRPr="00AA1E6F" w:rsidRDefault="00AA1E6F" w:rsidP="00AA1E6F">
            <w:pPr>
              <w:spacing w:line="240" w:lineRule="auto"/>
              <w:jc w:val="right"/>
              <w:rPr>
                <w:rFonts w:cs="Arial"/>
                <w:lang w:eastAsia="en-AU"/>
              </w:rPr>
            </w:pPr>
            <w:r w:rsidRPr="00AA1E6F">
              <w:rPr>
                <w:rFonts w:cs="Arial"/>
              </w:rPr>
              <w:t>335</w:t>
            </w:r>
          </w:p>
        </w:tc>
        <w:tc>
          <w:tcPr>
            <w:tcW w:w="850" w:type="dxa"/>
            <w:tcBorders>
              <w:top w:val="nil"/>
              <w:left w:val="nil"/>
              <w:bottom w:val="single" w:sz="4" w:space="0" w:color="auto"/>
              <w:right w:val="single" w:sz="4" w:space="0" w:color="auto"/>
            </w:tcBorders>
            <w:shd w:val="clear" w:color="auto" w:fill="auto"/>
            <w:vAlign w:val="center"/>
          </w:tcPr>
          <w:p w14:paraId="42DE6DE7" w14:textId="1FC47AF9" w:rsidR="00AA1E6F" w:rsidRPr="00AA1E6F" w:rsidRDefault="00AA1E6F" w:rsidP="00AA1E6F">
            <w:pPr>
              <w:spacing w:line="240" w:lineRule="auto"/>
              <w:jc w:val="right"/>
              <w:rPr>
                <w:rFonts w:cs="Arial"/>
                <w:lang w:eastAsia="en-AU"/>
              </w:rPr>
            </w:pPr>
            <w:r w:rsidRPr="00AA1E6F">
              <w:rPr>
                <w:rFonts w:cs="Arial"/>
              </w:rPr>
              <w:t>6</w:t>
            </w:r>
          </w:p>
        </w:tc>
        <w:tc>
          <w:tcPr>
            <w:tcW w:w="779" w:type="dxa"/>
            <w:tcBorders>
              <w:top w:val="nil"/>
              <w:left w:val="nil"/>
              <w:bottom w:val="single" w:sz="4" w:space="0" w:color="auto"/>
              <w:right w:val="single" w:sz="4" w:space="0" w:color="auto"/>
            </w:tcBorders>
            <w:vAlign w:val="center"/>
          </w:tcPr>
          <w:p w14:paraId="6A2B0F8E" w14:textId="4FAE6B70" w:rsidR="00AA1E6F" w:rsidRPr="00AA1E6F" w:rsidRDefault="00AA1E6F" w:rsidP="00AA1E6F">
            <w:pPr>
              <w:spacing w:line="240" w:lineRule="auto"/>
              <w:jc w:val="right"/>
              <w:rPr>
                <w:rFonts w:cs="Arial"/>
                <w:lang w:eastAsia="en-AU"/>
              </w:rPr>
            </w:pPr>
            <w:r w:rsidRPr="00AA1E6F">
              <w:rPr>
                <w:rFonts w:cs="Arial"/>
              </w:rPr>
              <w:t>0</w:t>
            </w:r>
          </w:p>
        </w:tc>
        <w:tc>
          <w:tcPr>
            <w:tcW w:w="643" w:type="dxa"/>
            <w:tcBorders>
              <w:top w:val="nil"/>
              <w:left w:val="nil"/>
              <w:bottom w:val="single" w:sz="4" w:space="0" w:color="auto"/>
              <w:right w:val="single" w:sz="4" w:space="0" w:color="auto"/>
            </w:tcBorders>
            <w:vAlign w:val="center"/>
          </w:tcPr>
          <w:p w14:paraId="1100B639" w14:textId="715C7E60" w:rsidR="00AA1E6F" w:rsidRPr="00AA1E6F" w:rsidRDefault="00AA1E6F" w:rsidP="00AA1E6F">
            <w:pPr>
              <w:spacing w:line="240" w:lineRule="auto"/>
              <w:jc w:val="right"/>
              <w:rPr>
                <w:rFonts w:cs="Arial"/>
                <w:lang w:eastAsia="en-AU"/>
              </w:rPr>
            </w:pPr>
            <w:r w:rsidRPr="00AA1E6F">
              <w:rPr>
                <w:rFonts w:cs="Arial"/>
              </w:rPr>
              <w:t>37</w:t>
            </w:r>
          </w:p>
        </w:tc>
        <w:tc>
          <w:tcPr>
            <w:tcW w:w="706" w:type="dxa"/>
            <w:tcBorders>
              <w:top w:val="nil"/>
              <w:left w:val="nil"/>
              <w:bottom w:val="single" w:sz="4" w:space="0" w:color="auto"/>
              <w:right w:val="single" w:sz="4" w:space="0" w:color="auto"/>
            </w:tcBorders>
            <w:vAlign w:val="center"/>
          </w:tcPr>
          <w:p w14:paraId="635B50F1" w14:textId="04692F27" w:rsidR="00AA1E6F" w:rsidRPr="00AA1E6F" w:rsidRDefault="00AA1E6F" w:rsidP="00AA1E6F">
            <w:pPr>
              <w:spacing w:line="240" w:lineRule="auto"/>
              <w:jc w:val="right"/>
              <w:rPr>
                <w:rFonts w:cs="Arial"/>
                <w:lang w:eastAsia="en-AU"/>
              </w:rPr>
            </w:pPr>
            <w:r w:rsidRPr="00AA1E6F">
              <w:rPr>
                <w:rFonts w:cs="Arial"/>
              </w:rPr>
              <w:t>7</w:t>
            </w:r>
          </w:p>
        </w:tc>
        <w:tc>
          <w:tcPr>
            <w:tcW w:w="849" w:type="dxa"/>
            <w:tcBorders>
              <w:top w:val="nil"/>
              <w:left w:val="nil"/>
              <w:bottom w:val="single" w:sz="4" w:space="0" w:color="auto"/>
              <w:right w:val="single" w:sz="4" w:space="0" w:color="auto"/>
            </w:tcBorders>
            <w:vAlign w:val="center"/>
          </w:tcPr>
          <w:p w14:paraId="413D1C25" w14:textId="52428B76" w:rsidR="00AA1E6F" w:rsidRPr="00AA1E6F" w:rsidRDefault="00AA1E6F" w:rsidP="00AA1E6F">
            <w:pPr>
              <w:spacing w:line="240" w:lineRule="auto"/>
              <w:jc w:val="right"/>
              <w:rPr>
                <w:rFonts w:cs="Arial"/>
                <w:b/>
                <w:lang w:eastAsia="en-AU"/>
              </w:rPr>
            </w:pPr>
            <w:r w:rsidRPr="00AA1E6F">
              <w:rPr>
                <w:rFonts w:cs="Arial"/>
                <w:b/>
                <w:bCs/>
              </w:rPr>
              <w:t>385</w:t>
            </w:r>
          </w:p>
        </w:tc>
      </w:tr>
      <w:tr w:rsidR="00AA1E6F" w:rsidRPr="00650B45" w14:paraId="326E9032"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AA1E6F" w:rsidRDefault="00AA1E6F" w:rsidP="00AA1E6F">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5DED12B8" w:rsidR="00AA1E6F" w:rsidRPr="00AA1E6F" w:rsidRDefault="00AA1E6F" w:rsidP="00AA1E6F">
            <w:pPr>
              <w:spacing w:line="240" w:lineRule="auto"/>
              <w:jc w:val="right"/>
              <w:rPr>
                <w:rFonts w:cs="Arial"/>
                <w:lang w:eastAsia="en-AU"/>
              </w:rPr>
            </w:pPr>
            <w:r w:rsidRPr="00AA1E6F">
              <w:rPr>
                <w:rFonts w:cs="Arial"/>
              </w:rPr>
              <w:t>12</w:t>
            </w:r>
          </w:p>
        </w:tc>
        <w:tc>
          <w:tcPr>
            <w:tcW w:w="850" w:type="dxa"/>
            <w:tcBorders>
              <w:top w:val="nil"/>
              <w:left w:val="nil"/>
              <w:bottom w:val="single" w:sz="4" w:space="0" w:color="auto"/>
              <w:right w:val="single" w:sz="4" w:space="0" w:color="auto"/>
            </w:tcBorders>
            <w:shd w:val="clear" w:color="auto" w:fill="auto"/>
            <w:vAlign w:val="center"/>
          </w:tcPr>
          <w:p w14:paraId="1BA99C8E" w14:textId="6AF4096A" w:rsidR="00AA1E6F" w:rsidRPr="00AA1E6F" w:rsidRDefault="00AA1E6F" w:rsidP="00AA1E6F">
            <w:pPr>
              <w:spacing w:line="240" w:lineRule="auto"/>
              <w:jc w:val="right"/>
              <w:rPr>
                <w:rFonts w:cs="Arial"/>
                <w:lang w:eastAsia="en-AU"/>
              </w:rPr>
            </w:pPr>
            <w:r w:rsidRPr="00AA1E6F">
              <w:rPr>
                <w:rFonts w:cs="Arial"/>
              </w:rPr>
              <w:t>1</w:t>
            </w:r>
          </w:p>
        </w:tc>
        <w:tc>
          <w:tcPr>
            <w:tcW w:w="779" w:type="dxa"/>
            <w:tcBorders>
              <w:top w:val="nil"/>
              <w:left w:val="nil"/>
              <w:bottom w:val="single" w:sz="4" w:space="0" w:color="auto"/>
              <w:right w:val="single" w:sz="4" w:space="0" w:color="auto"/>
            </w:tcBorders>
            <w:vAlign w:val="center"/>
          </w:tcPr>
          <w:p w14:paraId="54E7A1AA" w14:textId="2F1A08EA" w:rsidR="00AA1E6F" w:rsidRPr="00AA1E6F" w:rsidRDefault="00AA1E6F" w:rsidP="00AA1E6F">
            <w:pPr>
              <w:spacing w:line="240" w:lineRule="auto"/>
              <w:jc w:val="right"/>
              <w:rPr>
                <w:rFonts w:cs="Arial"/>
                <w:lang w:eastAsia="en-AU"/>
              </w:rPr>
            </w:pPr>
            <w:r w:rsidRPr="00AA1E6F">
              <w:rPr>
                <w:rFonts w:cs="Arial"/>
              </w:rPr>
              <w:t>0</w:t>
            </w:r>
          </w:p>
        </w:tc>
        <w:tc>
          <w:tcPr>
            <w:tcW w:w="643" w:type="dxa"/>
            <w:tcBorders>
              <w:top w:val="nil"/>
              <w:left w:val="nil"/>
              <w:bottom w:val="single" w:sz="4" w:space="0" w:color="auto"/>
              <w:right w:val="single" w:sz="4" w:space="0" w:color="auto"/>
            </w:tcBorders>
            <w:vAlign w:val="center"/>
          </w:tcPr>
          <w:p w14:paraId="5531EBCB" w14:textId="14D4D7F2" w:rsidR="00AA1E6F" w:rsidRPr="00AA1E6F" w:rsidRDefault="00AA1E6F" w:rsidP="00AA1E6F">
            <w:pPr>
              <w:spacing w:line="240" w:lineRule="auto"/>
              <w:jc w:val="right"/>
              <w:rPr>
                <w:rFonts w:cs="Arial"/>
                <w:lang w:eastAsia="en-AU"/>
              </w:rPr>
            </w:pPr>
            <w:r w:rsidRPr="00AA1E6F">
              <w:rPr>
                <w:rFonts w:cs="Arial"/>
              </w:rPr>
              <w:t>4</w:t>
            </w:r>
          </w:p>
        </w:tc>
        <w:tc>
          <w:tcPr>
            <w:tcW w:w="706" w:type="dxa"/>
            <w:tcBorders>
              <w:top w:val="nil"/>
              <w:left w:val="nil"/>
              <w:bottom w:val="single" w:sz="4" w:space="0" w:color="auto"/>
              <w:right w:val="single" w:sz="4" w:space="0" w:color="auto"/>
            </w:tcBorders>
            <w:vAlign w:val="center"/>
          </w:tcPr>
          <w:p w14:paraId="772FC04E" w14:textId="446D17B6" w:rsidR="00AA1E6F" w:rsidRPr="00AA1E6F" w:rsidRDefault="00AA1E6F" w:rsidP="00AA1E6F">
            <w:pPr>
              <w:spacing w:line="240" w:lineRule="auto"/>
              <w:jc w:val="right"/>
              <w:rPr>
                <w:rFonts w:cs="Arial"/>
                <w:lang w:eastAsia="en-AU"/>
              </w:rPr>
            </w:pPr>
            <w:r w:rsidRPr="00AA1E6F">
              <w:rPr>
                <w:rFonts w:cs="Arial"/>
              </w:rPr>
              <w:t>4</w:t>
            </w:r>
          </w:p>
        </w:tc>
        <w:tc>
          <w:tcPr>
            <w:tcW w:w="849" w:type="dxa"/>
            <w:tcBorders>
              <w:top w:val="nil"/>
              <w:left w:val="nil"/>
              <w:bottom w:val="single" w:sz="4" w:space="0" w:color="auto"/>
              <w:right w:val="single" w:sz="4" w:space="0" w:color="auto"/>
            </w:tcBorders>
            <w:vAlign w:val="center"/>
          </w:tcPr>
          <w:p w14:paraId="7DF1704F" w14:textId="28336ED2" w:rsidR="00AA1E6F" w:rsidRPr="00AA1E6F" w:rsidRDefault="00AA1E6F" w:rsidP="00AA1E6F">
            <w:pPr>
              <w:spacing w:line="240" w:lineRule="auto"/>
              <w:jc w:val="right"/>
              <w:rPr>
                <w:rFonts w:cs="Arial"/>
                <w:b/>
                <w:lang w:eastAsia="en-AU"/>
              </w:rPr>
            </w:pPr>
            <w:r w:rsidRPr="00AA1E6F">
              <w:rPr>
                <w:rFonts w:cs="Arial"/>
                <w:b/>
                <w:bCs/>
              </w:rPr>
              <w:t>21</w:t>
            </w:r>
          </w:p>
        </w:tc>
      </w:tr>
      <w:tr w:rsidR="00AA1E6F" w:rsidRPr="00650B45" w14:paraId="4D04E998"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AA1E6F" w:rsidRDefault="00AA1E6F" w:rsidP="00AA1E6F">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582F2FA0" w:rsidR="00AA1E6F" w:rsidRPr="00AA1E6F" w:rsidRDefault="00AA1E6F" w:rsidP="00AA1E6F">
            <w:pPr>
              <w:spacing w:line="240" w:lineRule="auto"/>
              <w:jc w:val="right"/>
              <w:rPr>
                <w:rFonts w:cs="Arial"/>
                <w:lang w:eastAsia="en-AU"/>
              </w:rPr>
            </w:pPr>
            <w:r w:rsidRPr="00AA1E6F">
              <w:rPr>
                <w:rFonts w:cs="Arial"/>
              </w:rPr>
              <w:t>33</w:t>
            </w:r>
          </w:p>
        </w:tc>
        <w:tc>
          <w:tcPr>
            <w:tcW w:w="850" w:type="dxa"/>
            <w:tcBorders>
              <w:top w:val="nil"/>
              <w:left w:val="nil"/>
              <w:bottom w:val="single" w:sz="4" w:space="0" w:color="auto"/>
              <w:right w:val="single" w:sz="4" w:space="0" w:color="auto"/>
            </w:tcBorders>
            <w:shd w:val="clear" w:color="auto" w:fill="auto"/>
            <w:vAlign w:val="center"/>
          </w:tcPr>
          <w:p w14:paraId="375C9925" w14:textId="2542F5F4" w:rsidR="00AA1E6F" w:rsidRPr="00AA1E6F" w:rsidRDefault="00AA1E6F" w:rsidP="00AA1E6F">
            <w:pPr>
              <w:spacing w:line="240" w:lineRule="auto"/>
              <w:jc w:val="right"/>
              <w:rPr>
                <w:rFonts w:cs="Arial"/>
                <w:lang w:eastAsia="en-AU"/>
              </w:rPr>
            </w:pPr>
            <w:r w:rsidRPr="00AA1E6F">
              <w:rPr>
                <w:rFonts w:cs="Arial"/>
              </w:rPr>
              <w:t>4</w:t>
            </w:r>
          </w:p>
        </w:tc>
        <w:tc>
          <w:tcPr>
            <w:tcW w:w="779" w:type="dxa"/>
            <w:tcBorders>
              <w:top w:val="nil"/>
              <w:left w:val="nil"/>
              <w:bottom w:val="single" w:sz="4" w:space="0" w:color="auto"/>
              <w:right w:val="single" w:sz="4" w:space="0" w:color="auto"/>
            </w:tcBorders>
            <w:vAlign w:val="center"/>
          </w:tcPr>
          <w:p w14:paraId="766C043E" w14:textId="14E2498A" w:rsidR="00AA1E6F" w:rsidRPr="00AA1E6F" w:rsidRDefault="00AA1E6F" w:rsidP="00AA1E6F">
            <w:pPr>
              <w:spacing w:line="240" w:lineRule="auto"/>
              <w:jc w:val="right"/>
              <w:rPr>
                <w:rFonts w:cs="Arial"/>
                <w:lang w:eastAsia="en-AU"/>
              </w:rPr>
            </w:pPr>
            <w:r w:rsidRPr="00AA1E6F">
              <w:rPr>
                <w:rFonts w:cs="Arial"/>
              </w:rPr>
              <w:t>0</w:t>
            </w:r>
          </w:p>
        </w:tc>
        <w:tc>
          <w:tcPr>
            <w:tcW w:w="643" w:type="dxa"/>
            <w:tcBorders>
              <w:top w:val="nil"/>
              <w:left w:val="nil"/>
              <w:bottom w:val="single" w:sz="4" w:space="0" w:color="auto"/>
              <w:right w:val="single" w:sz="4" w:space="0" w:color="auto"/>
            </w:tcBorders>
            <w:vAlign w:val="center"/>
          </w:tcPr>
          <w:p w14:paraId="28EBBCA1" w14:textId="482BF9F1" w:rsidR="00AA1E6F" w:rsidRPr="00AA1E6F" w:rsidRDefault="00AA1E6F" w:rsidP="00AA1E6F">
            <w:pPr>
              <w:spacing w:line="240" w:lineRule="auto"/>
              <w:jc w:val="right"/>
              <w:rPr>
                <w:rFonts w:cs="Arial"/>
                <w:lang w:eastAsia="en-AU"/>
              </w:rPr>
            </w:pPr>
            <w:r w:rsidRPr="00AA1E6F">
              <w:rPr>
                <w:rFonts w:cs="Arial"/>
              </w:rPr>
              <w:t>10</w:t>
            </w:r>
          </w:p>
        </w:tc>
        <w:tc>
          <w:tcPr>
            <w:tcW w:w="706" w:type="dxa"/>
            <w:tcBorders>
              <w:top w:val="nil"/>
              <w:left w:val="nil"/>
              <w:bottom w:val="single" w:sz="4" w:space="0" w:color="auto"/>
              <w:right w:val="single" w:sz="4" w:space="0" w:color="auto"/>
            </w:tcBorders>
            <w:vAlign w:val="center"/>
          </w:tcPr>
          <w:p w14:paraId="76B03AEF" w14:textId="5A205EFA" w:rsidR="00AA1E6F" w:rsidRPr="00AA1E6F" w:rsidRDefault="00AA1E6F" w:rsidP="00AA1E6F">
            <w:pPr>
              <w:spacing w:line="240" w:lineRule="auto"/>
              <w:jc w:val="right"/>
              <w:rPr>
                <w:rFonts w:cs="Arial"/>
                <w:lang w:eastAsia="en-AU"/>
              </w:rPr>
            </w:pPr>
            <w:r w:rsidRPr="00AA1E6F">
              <w:rPr>
                <w:rFonts w:cs="Arial"/>
              </w:rPr>
              <w:t>3</w:t>
            </w:r>
          </w:p>
        </w:tc>
        <w:tc>
          <w:tcPr>
            <w:tcW w:w="849" w:type="dxa"/>
            <w:tcBorders>
              <w:top w:val="nil"/>
              <w:left w:val="nil"/>
              <w:bottom w:val="single" w:sz="4" w:space="0" w:color="auto"/>
              <w:right w:val="single" w:sz="4" w:space="0" w:color="auto"/>
            </w:tcBorders>
            <w:vAlign w:val="center"/>
          </w:tcPr>
          <w:p w14:paraId="61D1E9D8" w14:textId="26E88127" w:rsidR="00AA1E6F" w:rsidRPr="00AA1E6F" w:rsidRDefault="00AA1E6F" w:rsidP="00AA1E6F">
            <w:pPr>
              <w:spacing w:line="240" w:lineRule="auto"/>
              <w:jc w:val="right"/>
              <w:rPr>
                <w:rFonts w:cs="Arial"/>
                <w:b/>
                <w:lang w:eastAsia="en-AU"/>
              </w:rPr>
            </w:pPr>
            <w:r w:rsidRPr="00AA1E6F">
              <w:rPr>
                <w:rFonts w:cs="Arial"/>
                <w:b/>
                <w:bCs/>
              </w:rPr>
              <w:t>50</w:t>
            </w:r>
          </w:p>
        </w:tc>
      </w:tr>
      <w:tr w:rsidR="00AA1E6F" w:rsidRPr="00650B45" w14:paraId="725BA5E1"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AA1E6F" w:rsidRPr="0040594D" w:rsidRDefault="00AA1E6F" w:rsidP="00AA1E6F">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40AF70F6" w:rsidR="00AA1E6F" w:rsidRPr="00AA1E6F" w:rsidRDefault="00AA1E6F" w:rsidP="00AA1E6F">
            <w:pPr>
              <w:spacing w:line="240" w:lineRule="auto"/>
              <w:jc w:val="right"/>
              <w:rPr>
                <w:rFonts w:cs="Arial"/>
                <w:lang w:eastAsia="en-AU"/>
              </w:rPr>
            </w:pPr>
            <w:r w:rsidRPr="00AA1E6F">
              <w:rPr>
                <w:rFonts w:cs="Arial"/>
              </w:rPr>
              <w:t>190</w:t>
            </w:r>
          </w:p>
        </w:tc>
        <w:tc>
          <w:tcPr>
            <w:tcW w:w="850" w:type="dxa"/>
            <w:tcBorders>
              <w:top w:val="nil"/>
              <w:left w:val="nil"/>
              <w:bottom w:val="single" w:sz="4" w:space="0" w:color="auto"/>
              <w:right w:val="single" w:sz="4" w:space="0" w:color="auto"/>
            </w:tcBorders>
            <w:shd w:val="clear" w:color="auto" w:fill="auto"/>
            <w:vAlign w:val="center"/>
          </w:tcPr>
          <w:p w14:paraId="5D2BA765" w14:textId="258D6543" w:rsidR="00AA1E6F" w:rsidRPr="00AA1E6F" w:rsidRDefault="00AA1E6F" w:rsidP="00AA1E6F">
            <w:pPr>
              <w:spacing w:line="240" w:lineRule="auto"/>
              <w:jc w:val="right"/>
              <w:rPr>
                <w:rFonts w:cs="Arial"/>
                <w:lang w:eastAsia="en-AU"/>
              </w:rPr>
            </w:pPr>
            <w:r w:rsidRPr="00AA1E6F">
              <w:rPr>
                <w:rFonts w:cs="Arial"/>
              </w:rPr>
              <w:t>10</w:t>
            </w:r>
          </w:p>
        </w:tc>
        <w:tc>
          <w:tcPr>
            <w:tcW w:w="779" w:type="dxa"/>
            <w:tcBorders>
              <w:top w:val="nil"/>
              <w:left w:val="nil"/>
              <w:bottom w:val="single" w:sz="4" w:space="0" w:color="auto"/>
              <w:right w:val="single" w:sz="4" w:space="0" w:color="auto"/>
            </w:tcBorders>
            <w:vAlign w:val="center"/>
          </w:tcPr>
          <w:p w14:paraId="6EC1BDB5" w14:textId="3C72714A" w:rsidR="00AA1E6F" w:rsidRPr="00AA1E6F" w:rsidRDefault="00AA1E6F" w:rsidP="00AA1E6F">
            <w:pPr>
              <w:spacing w:line="240" w:lineRule="auto"/>
              <w:jc w:val="right"/>
              <w:rPr>
                <w:rFonts w:cs="Arial"/>
                <w:lang w:eastAsia="en-AU"/>
              </w:rPr>
            </w:pPr>
            <w:r w:rsidRPr="00AA1E6F">
              <w:rPr>
                <w:rFonts w:cs="Arial"/>
              </w:rPr>
              <w:t>349</w:t>
            </w:r>
          </w:p>
        </w:tc>
        <w:tc>
          <w:tcPr>
            <w:tcW w:w="643" w:type="dxa"/>
            <w:tcBorders>
              <w:top w:val="nil"/>
              <w:left w:val="nil"/>
              <w:bottom w:val="single" w:sz="4" w:space="0" w:color="auto"/>
              <w:right w:val="single" w:sz="4" w:space="0" w:color="auto"/>
            </w:tcBorders>
            <w:vAlign w:val="center"/>
          </w:tcPr>
          <w:p w14:paraId="1997B7CD" w14:textId="0D70F555" w:rsidR="00AA1E6F" w:rsidRPr="00AA1E6F" w:rsidRDefault="00AA1E6F" w:rsidP="00AA1E6F">
            <w:pPr>
              <w:spacing w:line="240" w:lineRule="auto"/>
              <w:jc w:val="right"/>
              <w:rPr>
                <w:rFonts w:cs="Arial"/>
                <w:lang w:eastAsia="en-AU"/>
              </w:rPr>
            </w:pPr>
            <w:r w:rsidRPr="00AA1E6F">
              <w:rPr>
                <w:rFonts w:cs="Arial"/>
              </w:rPr>
              <w:t>142</w:t>
            </w:r>
          </w:p>
        </w:tc>
        <w:tc>
          <w:tcPr>
            <w:tcW w:w="706" w:type="dxa"/>
            <w:tcBorders>
              <w:top w:val="nil"/>
              <w:left w:val="nil"/>
              <w:bottom w:val="single" w:sz="4" w:space="0" w:color="auto"/>
              <w:right w:val="single" w:sz="4" w:space="0" w:color="auto"/>
            </w:tcBorders>
            <w:vAlign w:val="center"/>
          </w:tcPr>
          <w:p w14:paraId="6C72EE70" w14:textId="4180825D" w:rsidR="00AA1E6F" w:rsidRPr="00AA1E6F" w:rsidRDefault="00AA1E6F" w:rsidP="00AA1E6F">
            <w:pPr>
              <w:spacing w:line="240" w:lineRule="auto"/>
              <w:jc w:val="right"/>
              <w:rPr>
                <w:rFonts w:cs="Arial"/>
                <w:lang w:eastAsia="en-AU"/>
              </w:rPr>
            </w:pPr>
            <w:r w:rsidRPr="00AA1E6F">
              <w:rPr>
                <w:rFonts w:cs="Arial"/>
              </w:rPr>
              <w:t>29</w:t>
            </w:r>
          </w:p>
        </w:tc>
        <w:tc>
          <w:tcPr>
            <w:tcW w:w="849" w:type="dxa"/>
            <w:tcBorders>
              <w:top w:val="nil"/>
              <w:left w:val="nil"/>
              <w:bottom w:val="single" w:sz="4" w:space="0" w:color="auto"/>
              <w:right w:val="single" w:sz="4" w:space="0" w:color="auto"/>
            </w:tcBorders>
            <w:vAlign w:val="center"/>
          </w:tcPr>
          <w:p w14:paraId="10323D05" w14:textId="7A16045F" w:rsidR="00AA1E6F" w:rsidRPr="00AA1E6F" w:rsidRDefault="00AA1E6F" w:rsidP="00AA1E6F">
            <w:pPr>
              <w:spacing w:line="240" w:lineRule="auto"/>
              <w:jc w:val="right"/>
              <w:rPr>
                <w:rFonts w:cs="Arial"/>
                <w:b/>
                <w:lang w:eastAsia="en-AU"/>
              </w:rPr>
            </w:pPr>
            <w:r w:rsidRPr="00AA1E6F">
              <w:rPr>
                <w:rFonts w:cs="Arial"/>
                <w:b/>
                <w:bCs/>
              </w:rPr>
              <w:t>720</w:t>
            </w:r>
          </w:p>
        </w:tc>
      </w:tr>
      <w:tr w:rsidR="00AA1E6F" w:rsidRPr="00650B45" w14:paraId="427883C4"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AA1E6F" w:rsidRPr="0040594D" w:rsidRDefault="00AA1E6F" w:rsidP="00AA1E6F">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39B2A181" w:rsidR="00AA1E6F" w:rsidRPr="00AA1E6F" w:rsidRDefault="00AA1E6F" w:rsidP="00AA1E6F">
            <w:pPr>
              <w:spacing w:line="240" w:lineRule="auto"/>
              <w:jc w:val="right"/>
              <w:rPr>
                <w:rFonts w:cs="Arial"/>
                <w:lang w:eastAsia="en-AU"/>
              </w:rPr>
            </w:pPr>
            <w:r w:rsidRPr="00AA1E6F">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14EAA869" w:rsidR="00AA1E6F" w:rsidRPr="00AA1E6F" w:rsidRDefault="00AA1E6F" w:rsidP="00AA1E6F">
            <w:pPr>
              <w:spacing w:line="240" w:lineRule="auto"/>
              <w:jc w:val="right"/>
              <w:rPr>
                <w:rFonts w:cs="Arial"/>
                <w:lang w:eastAsia="en-AU"/>
              </w:rPr>
            </w:pPr>
            <w:r w:rsidRPr="00AA1E6F">
              <w:rPr>
                <w:rFonts w:cs="Arial"/>
              </w:rPr>
              <w:t>0</w:t>
            </w:r>
          </w:p>
        </w:tc>
        <w:tc>
          <w:tcPr>
            <w:tcW w:w="779" w:type="dxa"/>
            <w:tcBorders>
              <w:top w:val="nil"/>
              <w:left w:val="nil"/>
              <w:bottom w:val="single" w:sz="4" w:space="0" w:color="auto"/>
              <w:right w:val="single" w:sz="4" w:space="0" w:color="auto"/>
            </w:tcBorders>
            <w:vAlign w:val="center"/>
          </w:tcPr>
          <w:p w14:paraId="3CD99817" w14:textId="094B6FC2" w:rsidR="00AA1E6F" w:rsidRPr="00AA1E6F" w:rsidRDefault="00AA1E6F" w:rsidP="00AA1E6F">
            <w:pPr>
              <w:spacing w:line="240" w:lineRule="auto"/>
              <w:jc w:val="right"/>
              <w:rPr>
                <w:rFonts w:cs="Arial"/>
                <w:lang w:eastAsia="en-AU"/>
              </w:rPr>
            </w:pPr>
            <w:r w:rsidRPr="00AA1E6F">
              <w:rPr>
                <w:rFonts w:cs="Arial"/>
              </w:rPr>
              <w:t>1</w:t>
            </w:r>
          </w:p>
        </w:tc>
        <w:tc>
          <w:tcPr>
            <w:tcW w:w="643" w:type="dxa"/>
            <w:tcBorders>
              <w:top w:val="nil"/>
              <w:left w:val="nil"/>
              <w:bottom w:val="single" w:sz="4" w:space="0" w:color="auto"/>
              <w:right w:val="single" w:sz="4" w:space="0" w:color="auto"/>
            </w:tcBorders>
            <w:vAlign w:val="center"/>
          </w:tcPr>
          <w:p w14:paraId="02AC8E9D" w14:textId="2E0B0E04" w:rsidR="00AA1E6F" w:rsidRPr="00AA1E6F" w:rsidRDefault="00AA1E6F" w:rsidP="00AA1E6F">
            <w:pPr>
              <w:spacing w:line="240" w:lineRule="auto"/>
              <w:jc w:val="right"/>
              <w:rPr>
                <w:rFonts w:cs="Arial"/>
                <w:lang w:eastAsia="en-AU"/>
              </w:rPr>
            </w:pPr>
            <w:r w:rsidRPr="00AA1E6F">
              <w:rPr>
                <w:rFonts w:cs="Arial"/>
              </w:rPr>
              <w:t>5</w:t>
            </w:r>
          </w:p>
        </w:tc>
        <w:tc>
          <w:tcPr>
            <w:tcW w:w="706" w:type="dxa"/>
            <w:tcBorders>
              <w:top w:val="nil"/>
              <w:left w:val="nil"/>
              <w:bottom w:val="single" w:sz="4" w:space="0" w:color="auto"/>
              <w:right w:val="single" w:sz="4" w:space="0" w:color="auto"/>
            </w:tcBorders>
            <w:vAlign w:val="center"/>
          </w:tcPr>
          <w:p w14:paraId="30E7D1DC" w14:textId="79256D31" w:rsidR="00AA1E6F" w:rsidRPr="00AA1E6F" w:rsidRDefault="00AA1E6F" w:rsidP="00AA1E6F">
            <w:pPr>
              <w:spacing w:line="240" w:lineRule="auto"/>
              <w:jc w:val="right"/>
              <w:rPr>
                <w:rFonts w:cs="Arial"/>
                <w:lang w:eastAsia="en-AU"/>
              </w:rPr>
            </w:pPr>
            <w:r w:rsidRPr="00AA1E6F">
              <w:rPr>
                <w:rFonts w:cs="Arial"/>
              </w:rPr>
              <w:t>0</w:t>
            </w:r>
          </w:p>
        </w:tc>
        <w:tc>
          <w:tcPr>
            <w:tcW w:w="849" w:type="dxa"/>
            <w:tcBorders>
              <w:top w:val="nil"/>
              <w:left w:val="nil"/>
              <w:bottom w:val="single" w:sz="4" w:space="0" w:color="auto"/>
              <w:right w:val="single" w:sz="4" w:space="0" w:color="auto"/>
            </w:tcBorders>
            <w:vAlign w:val="center"/>
          </w:tcPr>
          <w:p w14:paraId="486AC0F0" w14:textId="2BDAE46B" w:rsidR="00AA1E6F" w:rsidRPr="00AA1E6F" w:rsidRDefault="00AA1E6F" w:rsidP="00AA1E6F">
            <w:pPr>
              <w:spacing w:line="240" w:lineRule="auto"/>
              <w:jc w:val="right"/>
              <w:rPr>
                <w:rFonts w:cs="Arial"/>
                <w:b/>
                <w:lang w:eastAsia="en-AU"/>
              </w:rPr>
            </w:pPr>
            <w:r w:rsidRPr="00AA1E6F">
              <w:rPr>
                <w:rFonts w:cs="Arial"/>
                <w:b/>
                <w:bCs/>
              </w:rPr>
              <w:t>6</w:t>
            </w:r>
          </w:p>
        </w:tc>
      </w:tr>
      <w:tr w:rsidR="00AA1E6F"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AA1E6F" w:rsidRPr="00371BE2" w:rsidRDefault="00AA1E6F" w:rsidP="00AA1E6F">
            <w:pPr>
              <w:spacing w:line="240" w:lineRule="auto"/>
              <w:rPr>
                <w:rFonts w:cs="Arial"/>
                <w:lang w:eastAsia="en-AU"/>
              </w:rPr>
            </w:pPr>
            <w:bookmarkStart w:id="17"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07799AD7" w:rsidR="00AA1E6F" w:rsidRPr="00AA1E6F" w:rsidRDefault="00AA1E6F" w:rsidP="00AA1E6F">
            <w:pPr>
              <w:spacing w:line="240" w:lineRule="auto"/>
              <w:jc w:val="right"/>
              <w:rPr>
                <w:rFonts w:cs="Arial"/>
                <w:lang w:eastAsia="en-AU"/>
              </w:rPr>
            </w:pPr>
            <w:r w:rsidRPr="00AA1E6F">
              <w:rPr>
                <w:rFonts w:cs="Arial"/>
              </w:rPr>
              <w:t> </w:t>
            </w:r>
          </w:p>
        </w:tc>
        <w:tc>
          <w:tcPr>
            <w:tcW w:w="850" w:type="dxa"/>
            <w:tcBorders>
              <w:top w:val="nil"/>
              <w:left w:val="nil"/>
              <w:bottom w:val="single" w:sz="4" w:space="0" w:color="auto"/>
              <w:right w:val="single" w:sz="4" w:space="0" w:color="auto"/>
            </w:tcBorders>
            <w:shd w:val="clear" w:color="auto" w:fill="auto"/>
            <w:vAlign w:val="center"/>
          </w:tcPr>
          <w:p w14:paraId="68D714D8" w14:textId="5F35E5E6" w:rsidR="00AA1E6F" w:rsidRPr="00AA1E6F" w:rsidRDefault="00AA1E6F" w:rsidP="00AA1E6F">
            <w:pPr>
              <w:spacing w:line="240" w:lineRule="auto"/>
              <w:jc w:val="right"/>
              <w:rPr>
                <w:rFonts w:cs="Arial"/>
                <w:lang w:eastAsia="en-AU"/>
              </w:rPr>
            </w:pPr>
            <w:r w:rsidRPr="00AA1E6F">
              <w:rPr>
                <w:rFonts w:cs="Arial"/>
              </w:rPr>
              <w:t> </w:t>
            </w:r>
          </w:p>
        </w:tc>
        <w:tc>
          <w:tcPr>
            <w:tcW w:w="779" w:type="dxa"/>
            <w:tcBorders>
              <w:top w:val="nil"/>
              <w:left w:val="nil"/>
              <w:bottom w:val="single" w:sz="4" w:space="0" w:color="auto"/>
              <w:right w:val="single" w:sz="4" w:space="0" w:color="auto"/>
            </w:tcBorders>
            <w:vAlign w:val="center"/>
          </w:tcPr>
          <w:p w14:paraId="1E479E1A" w14:textId="31C18072" w:rsidR="00AA1E6F" w:rsidRPr="00AA1E6F" w:rsidRDefault="00AA1E6F" w:rsidP="00AA1E6F">
            <w:pPr>
              <w:spacing w:line="240" w:lineRule="auto"/>
              <w:jc w:val="right"/>
              <w:rPr>
                <w:rFonts w:cs="Arial"/>
                <w:lang w:eastAsia="en-AU"/>
              </w:rPr>
            </w:pPr>
            <w:r w:rsidRPr="00AA1E6F">
              <w:rPr>
                <w:rFonts w:cs="Arial"/>
              </w:rPr>
              <w:t> </w:t>
            </w:r>
          </w:p>
        </w:tc>
        <w:tc>
          <w:tcPr>
            <w:tcW w:w="643" w:type="dxa"/>
            <w:tcBorders>
              <w:top w:val="nil"/>
              <w:left w:val="nil"/>
              <w:bottom w:val="single" w:sz="4" w:space="0" w:color="auto"/>
              <w:right w:val="single" w:sz="4" w:space="0" w:color="auto"/>
            </w:tcBorders>
            <w:vAlign w:val="center"/>
          </w:tcPr>
          <w:p w14:paraId="3C891A0C" w14:textId="676971B9" w:rsidR="00AA1E6F" w:rsidRPr="00AA1E6F" w:rsidRDefault="00AA1E6F" w:rsidP="00AA1E6F">
            <w:pPr>
              <w:spacing w:line="240" w:lineRule="auto"/>
              <w:jc w:val="right"/>
              <w:rPr>
                <w:rFonts w:cs="Arial"/>
                <w:lang w:eastAsia="en-AU"/>
              </w:rPr>
            </w:pPr>
            <w:r w:rsidRPr="00AA1E6F">
              <w:rPr>
                <w:rFonts w:cs="Arial"/>
              </w:rPr>
              <w:t> </w:t>
            </w:r>
          </w:p>
        </w:tc>
        <w:tc>
          <w:tcPr>
            <w:tcW w:w="706" w:type="dxa"/>
            <w:tcBorders>
              <w:top w:val="nil"/>
              <w:left w:val="nil"/>
              <w:bottom w:val="single" w:sz="4" w:space="0" w:color="auto"/>
              <w:right w:val="single" w:sz="4" w:space="0" w:color="auto"/>
            </w:tcBorders>
            <w:vAlign w:val="center"/>
          </w:tcPr>
          <w:p w14:paraId="72B90696" w14:textId="533CBE04" w:rsidR="00AA1E6F" w:rsidRPr="00AA1E6F" w:rsidRDefault="00AA1E6F" w:rsidP="00AA1E6F">
            <w:pPr>
              <w:spacing w:line="240" w:lineRule="auto"/>
              <w:jc w:val="right"/>
              <w:rPr>
                <w:rFonts w:cs="Arial"/>
                <w:lang w:eastAsia="en-AU"/>
              </w:rPr>
            </w:pPr>
            <w:r w:rsidRPr="00AA1E6F">
              <w:rPr>
                <w:rFonts w:cs="Arial"/>
              </w:rPr>
              <w:t> </w:t>
            </w:r>
          </w:p>
        </w:tc>
        <w:tc>
          <w:tcPr>
            <w:tcW w:w="849" w:type="dxa"/>
            <w:tcBorders>
              <w:top w:val="nil"/>
              <w:left w:val="nil"/>
              <w:bottom w:val="single" w:sz="4" w:space="0" w:color="auto"/>
              <w:right w:val="single" w:sz="4" w:space="0" w:color="auto"/>
            </w:tcBorders>
            <w:vAlign w:val="center"/>
          </w:tcPr>
          <w:p w14:paraId="3F3EAC97" w14:textId="5C528A4D" w:rsidR="00AA1E6F" w:rsidRPr="00AA1E6F" w:rsidRDefault="00AA1E6F" w:rsidP="00AA1E6F">
            <w:pPr>
              <w:spacing w:line="240" w:lineRule="auto"/>
              <w:jc w:val="right"/>
              <w:rPr>
                <w:rFonts w:cs="Arial"/>
                <w:b/>
                <w:lang w:eastAsia="en-AU"/>
              </w:rPr>
            </w:pPr>
            <w:r w:rsidRPr="00AA1E6F">
              <w:rPr>
                <w:rFonts w:cs="Arial"/>
                <w:b/>
                <w:bCs/>
              </w:rPr>
              <w:t> </w:t>
            </w:r>
          </w:p>
        </w:tc>
      </w:tr>
      <w:bookmarkEnd w:id="17"/>
      <w:tr w:rsidR="00AA1E6F" w:rsidRPr="00650B45" w14:paraId="1804ED43"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AA1E6F" w:rsidRPr="00371BE2" w:rsidRDefault="00AA1E6F" w:rsidP="00AA1E6F">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6590868F" w:rsidR="00AA1E6F" w:rsidRPr="00AA1E6F" w:rsidRDefault="00AA1E6F" w:rsidP="00AA1E6F">
            <w:pPr>
              <w:spacing w:line="240" w:lineRule="auto"/>
              <w:jc w:val="right"/>
              <w:rPr>
                <w:rFonts w:cs="Arial"/>
              </w:rPr>
            </w:pPr>
            <w:r w:rsidRPr="00AA1E6F">
              <w:rPr>
                <w:rFonts w:cs="Arial"/>
              </w:rPr>
              <w:t>32</w:t>
            </w:r>
          </w:p>
        </w:tc>
        <w:tc>
          <w:tcPr>
            <w:tcW w:w="850" w:type="dxa"/>
            <w:tcBorders>
              <w:top w:val="nil"/>
              <w:left w:val="nil"/>
              <w:bottom w:val="single" w:sz="4" w:space="0" w:color="auto"/>
              <w:right w:val="single" w:sz="4" w:space="0" w:color="auto"/>
            </w:tcBorders>
            <w:shd w:val="clear" w:color="auto" w:fill="auto"/>
            <w:vAlign w:val="center"/>
          </w:tcPr>
          <w:p w14:paraId="503CD381" w14:textId="74870CF0" w:rsidR="00AA1E6F" w:rsidRPr="00AA1E6F" w:rsidRDefault="00AA1E6F" w:rsidP="00AA1E6F">
            <w:pPr>
              <w:spacing w:line="240" w:lineRule="auto"/>
              <w:jc w:val="right"/>
              <w:rPr>
                <w:rFonts w:cs="Arial"/>
              </w:rPr>
            </w:pPr>
            <w:r w:rsidRPr="00AA1E6F">
              <w:rPr>
                <w:rFonts w:cs="Arial"/>
              </w:rPr>
              <w:t>5</w:t>
            </w:r>
          </w:p>
        </w:tc>
        <w:tc>
          <w:tcPr>
            <w:tcW w:w="779" w:type="dxa"/>
            <w:tcBorders>
              <w:top w:val="nil"/>
              <w:left w:val="nil"/>
              <w:bottom w:val="single" w:sz="4" w:space="0" w:color="auto"/>
              <w:right w:val="single" w:sz="4" w:space="0" w:color="auto"/>
            </w:tcBorders>
            <w:vAlign w:val="center"/>
          </w:tcPr>
          <w:p w14:paraId="488ACCDC" w14:textId="7C085017" w:rsidR="00AA1E6F" w:rsidRPr="00AA1E6F" w:rsidRDefault="00AA1E6F" w:rsidP="00AA1E6F">
            <w:pPr>
              <w:spacing w:line="240" w:lineRule="auto"/>
              <w:jc w:val="right"/>
              <w:rPr>
                <w:rFonts w:cs="Arial"/>
              </w:rPr>
            </w:pPr>
            <w:r w:rsidRPr="00AA1E6F">
              <w:rPr>
                <w:rFonts w:cs="Arial"/>
              </w:rPr>
              <w:t>11</w:t>
            </w:r>
          </w:p>
        </w:tc>
        <w:tc>
          <w:tcPr>
            <w:tcW w:w="643" w:type="dxa"/>
            <w:tcBorders>
              <w:top w:val="nil"/>
              <w:left w:val="nil"/>
              <w:bottom w:val="single" w:sz="4" w:space="0" w:color="auto"/>
              <w:right w:val="single" w:sz="4" w:space="0" w:color="auto"/>
            </w:tcBorders>
            <w:vAlign w:val="center"/>
          </w:tcPr>
          <w:p w14:paraId="0FE1FB54" w14:textId="65F57AC3" w:rsidR="00AA1E6F" w:rsidRPr="00AA1E6F" w:rsidRDefault="00AA1E6F" w:rsidP="00AA1E6F">
            <w:pPr>
              <w:spacing w:line="240" w:lineRule="auto"/>
              <w:jc w:val="right"/>
              <w:rPr>
                <w:rFonts w:cs="Arial"/>
              </w:rPr>
            </w:pPr>
            <w:r w:rsidRPr="00AA1E6F">
              <w:rPr>
                <w:rFonts w:cs="Arial"/>
              </w:rPr>
              <w:t>15</w:t>
            </w:r>
          </w:p>
        </w:tc>
        <w:tc>
          <w:tcPr>
            <w:tcW w:w="706" w:type="dxa"/>
            <w:tcBorders>
              <w:top w:val="nil"/>
              <w:left w:val="nil"/>
              <w:bottom w:val="single" w:sz="4" w:space="0" w:color="auto"/>
              <w:right w:val="single" w:sz="4" w:space="0" w:color="auto"/>
            </w:tcBorders>
            <w:vAlign w:val="center"/>
          </w:tcPr>
          <w:p w14:paraId="6B736C1A" w14:textId="15738726" w:rsidR="00AA1E6F" w:rsidRPr="00AA1E6F" w:rsidRDefault="00AA1E6F" w:rsidP="00AA1E6F">
            <w:pPr>
              <w:spacing w:line="240" w:lineRule="auto"/>
              <w:jc w:val="right"/>
              <w:rPr>
                <w:rFonts w:cs="Arial"/>
              </w:rPr>
            </w:pPr>
            <w:r w:rsidRPr="00AA1E6F">
              <w:rPr>
                <w:rFonts w:cs="Arial"/>
              </w:rPr>
              <w:t>2</w:t>
            </w:r>
          </w:p>
        </w:tc>
        <w:tc>
          <w:tcPr>
            <w:tcW w:w="849" w:type="dxa"/>
            <w:tcBorders>
              <w:top w:val="nil"/>
              <w:left w:val="nil"/>
              <w:bottom w:val="single" w:sz="4" w:space="0" w:color="auto"/>
              <w:right w:val="single" w:sz="4" w:space="0" w:color="auto"/>
            </w:tcBorders>
            <w:vAlign w:val="center"/>
          </w:tcPr>
          <w:p w14:paraId="46071030" w14:textId="0C147D65" w:rsidR="00AA1E6F" w:rsidRPr="00AA1E6F" w:rsidRDefault="00AA1E6F" w:rsidP="00AA1E6F">
            <w:pPr>
              <w:spacing w:line="240" w:lineRule="auto"/>
              <w:jc w:val="right"/>
              <w:rPr>
                <w:rFonts w:cs="Arial"/>
                <w:b/>
                <w:bCs/>
              </w:rPr>
            </w:pPr>
            <w:r w:rsidRPr="00AA1E6F">
              <w:rPr>
                <w:rFonts w:cs="Arial"/>
                <w:b/>
                <w:bCs/>
              </w:rPr>
              <w:t>65</w:t>
            </w:r>
          </w:p>
        </w:tc>
      </w:tr>
      <w:tr w:rsidR="00AA1E6F" w:rsidRPr="00650B45" w14:paraId="2A2A6B6B"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AA1E6F" w:rsidRPr="00371BE2" w:rsidRDefault="00AA1E6F" w:rsidP="00AA1E6F">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091B5533" w:rsidR="00AA1E6F" w:rsidRPr="00AA1E6F" w:rsidRDefault="00AA1E6F" w:rsidP="00AA1E6F">
            <w:pPr>
              <w:spacing w:line="240" w:lineRule="auto"/>
              <w:jc w:val="right"/>
              <w:rPr>
                <w:rFonts w:cs="Arial"/>
              </w:rPr>
            </w:pPr>
            <w:r w:rsidRPr="00AA1E6F">
              <w:rPr>
                <w:rFonts w:cs="Arial"/>
              </w:rPr>
              <w:t>12</w:t>
            </w:r>
          </w:p>
        </w:tc>
        <w:tc>
          <w:tcPr>
            <w:tcW w:w="850" w:type="dxa"/>
            <w:tcBorders>
              <w:top w:val="nil"/>
              <w:left w:val="nil"/>
              <w:bottom w:val="single" w:sz="4" w:space="0" w:color="auto"/>
              <w:right w:val="single" w:sz="4" w:space="0" w:color="auto"/>
            </w:tcBorders>
            <w:shd w:val="clear" w:color="auto" w:fill="auto"/>
            <w:vAlign w:val="center"/>
          </w:tcPr>
          <w:p w14:paraId="0611116F" w14:textId="78A04045" w:rsidR="00AA1E6F" w:rsidRPr="00AA1E6F" w:rsidRDefault="00AA1E6F" w:rsidP="00AA1E6F">
            <w:pPr>
              <w:spacing w:line="240" w:lineRule="auto"/>
              <w:jc w:val="right"/>
              <w:rPr>
                <w:rFonts w:cs="Arial"/>
              </w:rPr>
            </w:pPr>
            <w:r w:rsidRPr="00AA1E6F">
              <w:rPr>
                <w:rFonts w:cs="Arial"/>
              </w:rPr>
              <w:t>0</w:t>
            </w:r>
          </w:p>
        </w:tc>
        <w:tc>
          <w:tcPr>
            <w:tcW w:w="779" w:type="dxa"/>
            <w:tcBorders>
              <w:top w:val="nil"/>
              <w:left w:val="nil"/>
              <w:bottom w:val="single" w:sz="4" w:space="0" w:color="auto"/>
              <w:right w:val="single" w:sz="4" w:space="0" w:color="auto"/>
            </w:tcBorders>
            <w:vAlign w:val="center"/>
          </w:tcPr>
          <w:p w14:paraId="57D695C1" w14:textId="36CE807E" w:rsidR="00AA1E6F" w:rsidRPr="00AA1E6F" w:rsidRDefault="00AA1E6F" w:rsidP="00AA1E6F">
            <w:pPr>
              <w:spacing w:line="240" w:lineRule="auto"/>
              <w:jc w:val="right"/>
              <w:rPr>
                <w:rFonts w:cs="Arial"/>
              </w:rPr>
            </w:pPr>
            <w:r w:rsidRPr="00AA1E6F">
              <w:rPr>
                <w:rFonts w:cs="Arial"/>
              </w:rPr>
              <w:t>0</w:t>
            </w:r>
          </w:p>
        </w:tc>
        <w:tc>
          <w:tcPr>
            <w:tcW w:w="643" w:type="dxa"/>
            <w:tcBorders>
              <w:top w:val="nil"/>
              <w:left w:val="nil"/>
              <w:bottom w:val="single" w:sz="4" w:space="0" w:color="auto"/>
              <w:right w:val="single" w:sz="4" w:space="0" w:color="auto"/>
            </w:tcBorders>
            <w:vAlign w:val="center"/>
          </w:tcPr>
          <w:p w14:paraId="5E3C036C" w14:textId="2B242B21" w:rsidR="00AA1E6F" w:rsidRPr="00AA1E6F" w:rsidRDefault="00AA1E6F" w:rsidP="00AA1E6F">
            <w:pPr>
              <w:spacing w:line="240" w:lineRule="auto"/>
              <w:jc w:val="right"/>
              <w:rPr>
                <w:rFonts w:cs="Arial"/>
              </w:rPr>
            </w:pPr>
            <w:r w:rsidRPr="00AA1E6F">
              <w:rPr>
                <w:rFonts w:cs="Arial"/>
              </w:rPr>
              <w:t>0</w:t>
            </w:r>
          </w:p>
        </w:tc>
        <w:tc>
          <w:tcPr>
            <w:tcW w:w="706" w:type="dxa"/>
            <w:tcBorders>
              <w:top w:val="nil"/>
              <w:left w:val="nil"/>
              <w:bottom w:val="single" w:sz="4" w:space="0" w:color="auto"/>
              <w:right w:val="single" w:sz="4" w:space="0" w:color="auto"/>
            </w:tcBorders>
            <w:vAlign w:val="center"/>
          </w:tcPr>
          <w:p w14:paraId="3F5C3F2B" w14:textId="25976429" w:rsidR="00AA1E6F" w:rsidRPr="00AA1E6F" w:rsidRDefault="00AA1E6F" w:rsidP="00AA1E6F">
            <w:pPr>
              <w:spacing w:line="240" w:lineRule="auto"/>
              <w:jc w:val="right"/>
              <w:rPr>
                <w:rFonts w:cs="Arial"/>
              </w:rPr>
            </w:pPr>
            <w:r w:rsidRPr="00AA1E6F">
              <w:rPr>
                <w:rFonts w:cs="Arial"/>
              </w:rPr>
              <w:t>0</w:t>
            </w:r>
          </w:p>
        </w:tc>
        <w:tc>
          <w:tcPr>
            <w:tcW w:w="849" w:type="dxa"/>
            <w:tcBorders>
              <w:top w:val="nil"/>
              <w:left w:val="nil"/>
              <w:bottom w:val="single" w:sz="4" w:space="0" w:color="auto"/>
              <w:right w:val="single" w:sz="4" w:space="0" w:color="auto"/>
            </w:tcBorders>
            <w:vAlign w:val="center"/>
          </w:tcPr>
          <w:p w14:paraId="50F034E7" w14:textId="3BEA4433" w:rsidR="00AA1E6F" w:rsidRPr="00AA1E6F" w:rsidRDefault="00AA1E6F" w:rsidP="00AA1E6F">
            <w:pPr>
              <w:spacing w:line="240" w:lineRule="auto"/>
              <w:jc w:val="right"/>
              <w:rPr>
                <w:rFonts w:cs="Arial"/>
                <w:b/>
                <w:bCs/>
              </w:rPr>
            </w:pPr>
            <w:r w:rsidRPr="00AA1E6F">
              <w:rPr>
                <w:rFonts w:cs="Arial"/>
                <w:b/>
                <w:bCs/>
              </w:rPr>
              <w:t>12</w:t>
            </w:r>
          </w:p>
        </w:tc>
      </w:tr>
      <w:tr w:rsidR="00AA1E6F" w:rsidRPr="00650B45" w14:paraId="4C455349"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AA1E6F" w:rsidRPr="00371BE2" w:rsidRDefault="00AA1E6F" w:rsidP="00AA1E6F">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2547210F" w:rsidR="00AA1E6F" w:rsidRPr="00AA1E6F" w:rsidRDefault="00AA1E6F" w:rsidP="00AA1E6F">
            <w:pPr>
              <w:spacing w:line="240" w:lineRule="auto"/>
              <w:jc w:val="right"/>
              <w:rPr>
                <w:rFonts w:cs="Arial"/>
                <w:lang w:eastAsia="en-AU"/>
              </w:rPr>
            </w:pPr>
            <w:r w:rsidRPr="00AA1E6F">
              <w:rPr>
                <w:rFonts w:cs="Arial"/>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34CC0FB2" w:rsidR="00AA1E6F" w:rsidRPr="00AA1E6F" w:rsidRDefault="00AA1E6F" w:rsidP="00AA1E6F">
            <w:pPr>
              <w:spacing w:line="240" w:lineRule="auto"/>
              <w:jc w:val="right"/>
              <w:rPr>
                <w:rFonts w:cs="Arial"/>
                <w:lang w:eastAsia="en-AU"/>
              </w:rPr>
            </w:pPr>
            <w:r w:rsidRPr="00AA1E6F">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1382F1F0" w:rsidR="00AA1E6F" w:rsidRPr="00AA1E6F" w:rsidRDefault="00AA1E6F" w:rsidP="00AA1E6F">
            <w:pPr>
              <w:spacing w:line="240" w:lineRule="auto"/>
              <w:jc w:val="right"/>
              <w:rPr>
                <w:rFonts w:cs="Arial"/>
                <w:lang w:eastAsia="en-AU"/>
              </w:rPr>
            </w:pPr>
            <w:r w:rsidRPr="00AA1E6F">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21884899" w:rsidR="00AA1E6F" w:rsidRPr="00AA1E6F" w:rsidRDefault="00AA1E6F" w:rsidP="00AA1E6F">
            <w:pPr>
              <w:spacing w:line="240" w:lineRule="auto"/>
              <w:jc w:val="right"/>
              <w:rPr>
                <w:rFonts w:cs="Arial"/>
                <w:lang w:eastAsia="en-AU"/>
              </w:rPr>
            </w:pPr>
            <w:r w:rsidRPr="00AA1E6F">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0455E935" w:rsidR="00AA1E6F" w:rsidRPr="00AA1E6F" w:rsidRDefault="00AA1E6F" w:rsidP="00AA1E6F">
            <w:pPr>
              <w:spacing w:line="240" w:lineRule="auto"/>
              <w:jc w:val="right"/>
              <w:rPr>
                <w:rFonts w:cs="Arial"/>
                <w:lang w:eastAsia="en-AU"/>
              </w:rPr>
            </w:pPr>
            <w:r w:rsidRPr="00AA1E6F">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6EE03EA3" w:rsidR="00AA1E6F" w:rsidRPr="00AA1E6F" w:rsidRDefault="00AA1E6F" w:rsidP="00AA1E6F">
            <w:pPr>
              <w:spacing w:line="240" w:lineRule="auto"/>
              <w:jc w:val="right"/>
              <w:rPr>
                <w:rFonts w:cs="Arial"/>
                <w:b/>
                <w:lang w:eastAsia="en-AU"/>
              </w:rPr>
            </w:pPr>
            <w:r w:rsidRPr="00AA1E6F">
              <w:rPr>
                <w:rFonts w:cs="Arial"/>
                <w:b/>
                <w:bCs/>
              </w:rPr>
              <w:t>5</w:t>
            </w:r>
          </w:p>
        </w:tc>
      </w:tr>
      <w:tr w:rsidR="00AA1E6F" w:rsidRPr="00557E24" w14:paraId="3F20CE90"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AA1E6F" w:rsidRPr="00371BE2" w:rsidRDefault="00AA1E6F" w:rsidP="00AA1E6F">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2BCFEFBF" w:rsidR="00AA1E6F" w:rsidRPr="00AA1E6F" w:rsidRDefault="00AA1E6F" w:rsidP="00AA1E6F">
            <w:pPr>
              <w:spacing w:line="240" w:lineRule="auto"/>
              <w:jc w:val="right"/>
              <w:rPr>
                <w:rFonts w:cs="Arial"/>
                <w:b/>
                <w:bCs/>
                <w:lang w:eastAsia="en-AU"/>
              </w:rPr>
            </w:pPr>
            <w:r w:rsidRPr="00AA1E6F">
              <w:rPr>
                <w:rFonts w:cs="Arial"/>
                <w:b/>
                <w:bCs/>
              </w:rPr>
              <w:t>634</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632D4807" w:rsidR="00AA1E6F" w:rsidRPr="00AA1E6F" w:rsidRDefault="00AA1E6F" w:rsidP="00AA1E6F">
            <w:pPr>
              <w:spacing w:line="240" w:lineRule="auto"/>
              <w:jc w:val="right"/>
              <w:rPr>
                <w:rFonts w:cs="Arial"/>
                <w:b/>
                <w:bCs/>
                <w:lang w:eastAsia="en-AU"/>
              </w:rPr>
            </w:pPr>
            <w:r w:rsidRPr="00AA1E6F">
              <w:rPr>
                <w:rFonts w:cs="Arial"/>
                <w:b/>
                <w:bCs/>
              </w:rPr>
              <w:t>26</w:t>
            </w:r>
          </w:p>
        </w:tc>
        <w:tc>
          <w:tcPr>
            <w:tcW w:w="779" w:type="dxa"/>
            <w:tcBorders>
              <w:top w:val="single" w:sz="4" w:space="0" w:color="auto"/>
              <w:left w:val="nil"/>
              <w:bottom w:val="single" w:sz="4" w:space="0" w:color="auto"/>
              <w:right w:val="single" w:sz="4" w:space="0" w:color="auto"/>
            </w:tcBorders>
            <w:vAlign w:val="center"/>
          </w:tcPr>
          <w:p w14:paraId="4ECA5E82" w14:textId="5B3125FC" w:rsidR="00AA1E6F" w:rsidRPr="00AA1E6F" w:rsidRDefault="00AA1E6F" w:rsidP="00AA1E6F">
            <w:pPr>
              <w:spacing w:line="240" w:lineRule="auto"/>
              <w:jc w:val="right"/>
              <w:rPr>
                <w:rFonts w:cs="Arial"/>
                <w:b/>
                <w:bCs/>
                <w:lang w:eastAsia="en-AU"/>
              </w:rPr>
            </w:pPr>
            <w:r w:rsidRPr="00AA1E6F">
              <w:rPr>
                <w:rFonts w:cs="Arial"/>
                <w:b/>
                <w:bCs/>
              </w:rPr>
              <w:t>361</w:t>
            </w:r>
          </w:p>
        </w:tc>
        <w:tc>
          <w:tcPr>
            <w:tcW w:w="643" w:type="dxa"/>
            <w:tcBorders>
              <w:top w:val="single" w:sz="4" w:space="0" w:color="auto"/>
              <w:left w:val="nil"/>
              <w:bottom w:val="single" w:sz="4" w:space="0" w:color="auto"/>
              <w:right w:val="single" w:sz="4" w:space="0" w:color="auto"/>
            </w:tcBorders>
            <w:vAlign w:val="center"/>
          </w:tcPr>
          <w:p w14:paraId="4498767F" w14:textId="078B0E8A" w:rsidR="00AA1E6F" w:rsidRPr="00AA1E6F" w:rsidRDefault="00AA1E6F" w:rsidP="00AA1E6F">
            <w:pPr>
              <w:spacing w:line="240" w:lineRule="auto"/>
              <w:jc w:val="right"/>
              <w:rPr>
                <w:rFonts w:cs="Arial"/>
                <w:b/>
                <w:bCs/>
                <w:lang w:eastAsia="en-AU"/>
              </w:rPr>
            </w:pPr>
            <w:r w:rsidRPr="00AA1E6F">
              <w:rPr>
                <w:rFonts w:cs="Arial"/>
                <w:b/>
                <w:bCs/>
              </w:rPr>
              <w:t>213</w:t>
            </w:r>
          </w:p>
        </w:tc>
        <w:tc>
          <w:tcPr>
            <w:tcW w:w="706" w:type="dxa"/>
            <w:tcBorders>
              <w:top w:val="single" w:sz="4" w:space="0" w:color="auto"/>
              <w:left w:val="nil"/>
              <w:bottom w:val="single" w:sz="4" w:space="0" w:color="auto"/>
              <w:right w:val="single" w:sz="4" w:space="0" w:color="auto"/>
            </w:tcBorders>
            <w:vAlign w:val="center"/>
          </w:tcPr>
          <w:p w14:paraId="2806B4BD" w14:textId="7CB97D60" w:rsidR="00AA1E6F" w:rsidRPr="00AA1E6F" w:rsidRDefault="00AA1E6F" w:rsidP="00AA1E6F">
            <w:pPr>
              <w:spacing w:line="240" w:lineRule="auto"/>
              <w:jc w:val="right"/>
              <w:rPr>
                <w:rFonts w:cs="Arial"/>
                <w:b/>
                <w:bCs/>
                <w:lang w:eastAsia="en-AU"/>
              </w:rPr>
            </w:pPr>
            <w:r w:rsidRPr="00AA1E6F">
              <w:rPr>
                <w:rFonts w:cs="Arial"/>
                <w:b/>
                <w:bCs/>
              </w:rPr>
              <w:t>46</w:t>
            </w:r>
          </w:p>
        </w:tc>
        <w:tc>
          <w:tcPr>
            <w:tcW w:w="849" w:type="dxa"/>
            <w:tcBorders>
              <w:top w:val="single" w:sz="4" w:space="0" w:color="auto"/>
              <w:left w:val="nil"/>
              <w:bottom w:val="single" w:sz="4" w:space="0" w:color="auto"/>
              <w:right w:val="single" w:sz="4" w:space="0" w:color="auto"/>
            </w:tcBorders>
            <w:vAlign w:val="center"/>
          </w:tcPr>
          <w:p w14:paraId="24507EE5" w14:textId="730BC362" w:rsidR="00AA1E6F" w:rsidRPr="00AA1E6F" w:rsidRDefault="00AA1E6F" w:rsidP="00AA1E6F">
            <w:pPr>
              <w:spacing w:line="240" w:lineRule="auto"/>
              <w:jc w:val="right"/>
              <w:rPr>
                <w:rFonts w:cs="Arial"/>
                <w:b/>
                <w:lang w:eastAsia="en-AU"/>
              </w:rPr>
            </w:pPr>
            <w:r w:rsidRPr="00AA1E6F">
              <w:rPr>
                <w:rFonts w:cs="Arial"/>
                <w:b/>
                <w:bCs/>
              </w:rPr>
              <w:t>1280</w:t>
            </w:r>
          </w:p>
        </w:tc>
      </w:tr>
    </w:tbl>
    <w:p w14:paraId="68A14D11" w14:textId="77777777" w:rsidR="00557E24" w:rsidRPr="00811A70" w:rsidRDefault="00557E24" w:rsidP="008D3D27">
      <w:pPr>
        <w:spacing w:line="240" w:lineRule="auto"/>
        <w:ind w:left="-142" w:right="-425"/>
        <w:rPr>
          <w:rFonts w:cs="Arial"/>
          <w:bCs/>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796B96C4"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465E1B">
        <w:rPr>
          <w:rFonts w:ascii="Verdana" w:hAnsi="Verdana" w:cs="Arial"/>
          <w:sz w:val="20"/>
          <w:szCs w:val="20"/>
        </w:rPr>
        <w:t>634</w:t>
      </w:r>
      <w:r w:rsidR="00465E1B"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3E5925">
        <w:rPr>
          <w:rFonts w:ascii="Verdana" w:hAnsi="Verdana" w:cs="Arial"/>
          <w:sz w:val="20"/>
          <w:szCs w:val="20"/>
        </w:rPr>
        <w:t>2</w:t>
      </w:r>
      <w:r w:rsidR="00465E1B">
        <w:rPr>
          <w:rFonts w:ascii="Verdana" w:hAnsi="Verdana" w:cs="Arial"/>
          <w:sz w:val="20"/>
          <w:szCs w:val="20"/>
        </w:rPr>
        <w:t>61</w:t>
      </w:r>
      <w:r w:rsidR="003E5925"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3E5925">
        <w:rPr>
          <w:rFonts w:ascii="Verdana" w:hAnsi="Verdana" w:cs="Arial"/>
          <w:sz w:val="20"/>
          <w:szCs w:val="20"/>
        </w:rPr>
        <w:t>16</w:t>
      </w:r>
      <w:r w:rsidR="00465E1B">
        <w:rPr>
          <w:rFonts w:ascii="Verdana" w:hAnsi="Verdana" w:cs="Arial"/>
          <w:sz w:val="20"/>
          <w:szCs w:val="20"/>
        </w:rPr>
        <w:t>1</w:t>
      </w:r>
      <w:r w:rsidR="003E5925"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465E1B">
        <w:rPr>
          <w:rFonts w:ascii="Verdana" w:hAnsi="Verdana" w:cs="Arial"/>
          <w:sz w:val="20"/>
          <w:szCs w:val="20"/>
        </w:rPr>
        <w:t>100</w:t>
      </w:r>
      <w:r w:rsidR="00465E1B"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4D35975C"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AC5811">
        <w:rPr>
          <w:rFonts w:ascii="Verdana" w:hAnsi="Verdana" w:cs="Arial"/>
          <w:sz w:val="20"/>
          <w:szCs w:val="20"/>
        </w:rPr>
        <w:t>2</w:t>
      </w:r>
      <w:r w:rsidR="00465E1B">
        <w:rPr>
          <w:rFonts w:ascii="Verdana" w:hAnsi="Verdana" w:cs="Arial"/>
          <w:sz w:val="20"/>
          <w:szCs w:val="20"/>
        </w:rPr>
        <w:t>6</w:t>
      </w:r>
      <w:r w:rsidR="00AC5811"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EA44F8">
        <w:rPr>
          <w:rFonts w:ascii="Verdana" w:hAnsi="Verdana" w:cs="Arial"/>
          <w:sz w:val="20"/>
          <w:szCs w:val="20"/>
        </w:rPr>
        <w:t>20</w:t>
      </w:r>
      <w:r w:rsidR="00AC581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A44F8">
        <w:rPr>
          <w:rFonts w:ascii="Verdana" w:hAnsi="Verdana" w:cs="Arial"/>
          <w:sz w:val="20"/>
          <w:szCs w:val="20"/>
        </w:rPr>
        <w:t>11</w:t>
      </w:r>
      <w:r w:rsidR="00763792"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EA44F8">
        <w:rPr>
          <w:rFonts w:ascii="Verdana" w:hAnsi="Verdana" w:cs="Arial"/>
          <w:sz w:val="20"/>
          <w:szCs w:val="20"/>
        </w:rPr>
        <w:t>9</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59398501"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465E1B">
        <w:rPr>
          <w:rFonts w:ascii="Verdana" w:hAnsi="Verdana" w:cs="Arial"/>
          <w:sz w:val="20"/>
          <w:szCs w:val="20"/>
        </w:rPr>
        <w:t>361</w:t>
      </w:r>
      <w:r w:rsidR="00465E1B"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EA44F8">
        <w:rPr>
          <w:rFonts w:ascii="Verdana" w:hAnsi="Verdana" w:cs="Arial"/>
          <w:sz w:val="20"/>
          <w:szCs w:val="20"/>
        </w:rPr>
        <w:t>221</w:t>
      </w:r>
      <w:r w:rsidR="00EA44F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A44F8">
        <w:rPr>
          <w:rFonts w:ascii="Verdana" w:hAnsi="Verdana" w:cs="Arial"/>
          <w:sz w:val="20"/>
          <w:szCs w:val="20"/>
        </w:rPr>
        <w:t>163</w:t>
      </w:r>
      <w:r w:rsidR="00EA44F8"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3E5925">
        <w:rPr>
          <w:rFonts w:ascii="Verdana" w:hAnsi="Verdana" w:cs="Arial"/>
          <w:sz w:val="20"/>
          <w:szCs w:val="20"/>
        </w:rPr>
        <w:t>5</w:t>
      </w:r>
      <w:r w:rsidR="00EA44F8">
        <w:rPr>
          <w:rFonts w:ascii="Verdana" w:hAnsi="Verdana" w:cs="Arial"/>
          <w:sz w:val="20"/>
          <w:szCs w:val="20"/>
        </w:rPr>
        <w:t>8</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50D8A750"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465E1B">
        <w:rPr>
          <w:rFonts w:ascii="Verdana" w:hAnsi="Verdana" w:cs="Arial"/>
          <w:sz w:val="20"/>
          <w:szCs w:val="20"/>
        </w:rPr>
        <w:t>213</w:t>
      </w:r>
      <w:r w:rsidR="00465E1B"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3E5925">
        <w:rPr>
          <w:rFonts w:ascii="Verdana" w:hAnsi="Verdana" w:cs="Arial"/>
          <w:sz w:val="20"/>
          <w:szCs w:val="20"/>
        </w:rPr>
        <w:t>1</w:t>
      </w:r>
      <w:r w:rsidR="00EA44F8">
        <w:rPr>
          <w:rFonts w:ascii="Verdana" w:hAnsi="Verdana" w:cs="Arial"/>
          <w:sz w:val="20"/>
          <w:szCs w:val="20"/>
        </w:rPr>
        <w:t>39</w:t>
      </w:r>
      <w:r w:rsidR="003E592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A44F8">
        <w:rPr>
          <w:rFonts w:ascii="Verdana" w:hAnsi="Verdana" w:cs="Arial"/>
          <w:sz w:val="20"/>
          <w:szCs w:val="20"/>
        </w:rPr>
        <w:t>8</w:t>
      </w:r>
      <w:r w:rsidR="003E5925">
        <w:rPr>
          <w:rFonts w:ascii="Verdana" w:hAnsi="Verdana" w:cs="Arial"/>
          <w:sz w:val="20"/>
          <w:szCs w:val="20"/>
        </w:rPr>
        <w:t>5</w:t>
      </w:r>
      <w:r w:rsidR="00AC581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EA44F8">
        <w:rPr>
          <w:rFonts w:ascii="Verdana" w:hAnsi="Verdana" w:cs="Arial"/>
          <w:sz w:val="20"/>
          <w:szCs w:val="20"/>
        </w:rPr>
        <w:t>54</w:t>
      </w:r>
      <w:r w:rsidR="00EA44F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6C307E85" w:rsidR="00F80FC4" w:rsidRPr="00811A70"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811A70">
        <w:rPr>
          <w:rFonts w:ascii="Verdana" w:hAnsi="Verdana" w:cs="Arial"/>
          <w:sz w:val="20"/>
          <w:szCs w:val="20"/>
        </w:rPr>
        <w:t>Mossman Gorge</w:t>
      </w:r>
      <w:r w:rsidR="00322C7B" w:rsidRPr="00811A70">
        <w:rPr>
          <w:rFonts w:ascii="Verdana" w:hAnsi="Verdana" w:cs="Arial"/>
          <w:sz w:val="20"/>
          <w:szCs w:val="20"/>
        </w:rPr>
        <w:t xml:space="preserve"> received </w:t>
      </w:r>
      <w:r w:rsidR="00465E1B">
        <w:rPr>
          <w:rFonts w:ascii="Verdana" w:hAnsi="Verdana" w:cs="Arial"/>
          <w:sz w:val="20"/>
          <w:szCs w:val="20"/>
        </w:rPr>
        <w:t>46</w:t>
      </w:r>
      <w:r w:rsidR="00465E1B" w:rsidRPr="00811A70">
        <w:rPr>
          <w:rFonts w:ascii="Verdana" w:hAnsi="Verdana" w:cs="Arial"/>
          <w:sz w:val="20"/>
          <w:szCs w:val="20"/>
        </w:rPr>
        <w:t xml:space="preserve"> </w:t>
      </w:r>
      <w:r w:rsidRPr="00811A70">
        <w:rPr>
          <w:rFonts w:ascii="Verdana" w:hAnsi="Verdana" w:cs="Arial"/>
          <w:sz w:val="20"/>
          <w:szCs w:val="20"/>
        </w:rPr>
        <w:t>notices</w:t>
      </w:r>
      <w:r w:rsidR="00F64B95" w:rsidRPr="00811A70">
        <w:rPr>
          <w:rFonts w:ascii="Verdana" w:hAnsi="Verdana" w:cs="Arial"/>
          <w:sz w:val="20"/>
          <w:szCs w:val="20"/>
        </w:rPr>
        <w:t xml:space="preserve"> relating to </w:t>
      </w:r>
      <w:r w:rsidR="00AC5811" w:rsidRPr="00811A70">
        <w:rPr>
          <w:rFonts w:ascii="Verdana" w:hAnsi="Verdana" w:cs="Arial"/>
          <w:sz w:val="20"/>
          <w:szCs w:val="20"/>
        </w:rPr>
        <w:t>2</w:t>
      </w:r>
      <w:r w:rsidR="00EA44F8">
        <w:rPr>
          <w:rFonts w:ascii="Verdana" w:hAnsi="Verdana" w:cs="Arial"/>
          <w:sz w:val="20"/>
          <w:szCs w:val="20"/>
        </w:rPr>
        <w:t>6</w:t>
      </w:r>
      <w:r w:rsidR="00AC5811" w:rsidRPr="00811A70">
        <w:rPr>
          <w:rFonts w:ascii="Verdana" w:hAnsi="Verdana" w:cs="Arial"/>
          <w:sz w:val="20"/>
          <w:szCs w:val="20"/>
        </w:rPr>
        <w:t xml:space="preserve"> </w:t>
      </w:r>
      <w:r w:rsidR="00F64B95" w:rsidRPr="00811A70">
        <w:rPr>
          <w:rFonts w:ascii="Verdana" w:hAnsi="Verdana" w:cs="Arial"/>
          <w:sz w:val="20"/>
          <w:szCs w:val="20"/>
        </w:rPr>
        <w:t>clients</w:t>
      </w:r>
      <w:r w:rsidR="00490D4B" w:rsidRPr="00811A70">
        <w:rPr>
          <w:rFonts w:ascii="Verdana" w:hAnsi="Verdana" w:cs="Arial"/>
          <w:sz w:val="20"/>
          <w:szCs w:val="20"/>
        </w:rPr>
        <w:t xml:space="preserve"> </w:t>
      </w:r>
      <w:r w:rsidR="004D1D23" w:rsidRPr="00811A70">
        <w:rPr>
          <w:rFonts w:ascii="Verdana" w:hAnsi="Verdana" w:cs="Arial"/>
          <w:sz w:val="20"/>
          <w:szCs w:val="20"/>
        </w:rPr>
        <w:t>(</w:t>
      </w:r>
      <w:r w:rsidR="00EA44F8">
        <w:rPr>
          <w:rFonts w:ascii="Verdana" w:hAnsi="Verdana" w:cs="Arial"/>
          <w:sz w:val="20"/>
          <w:szCs w:val="20"/>
        </w:rPr>
        <w:t>14</w:t>
      </w:r>
      <w:r w:rsidR="00AC5811" w:rsidRPr="00811A70">
        <w:rPr>
          <w:rFonts w:ascii="Verdana" w:hAnsi="Verdana" w:cs="Arial"/>
          <w:sz w:val="20"/>
          <w:szCs w:val="20"/>
        </w:rPr>
        <w:t xml:space="preserve"> </w:t>
      </w:r>
      <w:r w:rsidR="00081AA0" w:rsidRPr="00811A70">
        <w:rPr>
          <w:rFonts w:ascii="Verdana" w:hAnsi="Verdana" w:cs="Arial"/>
          <w:sz w:val="20"/>
          <w:szCs w:val="20"/>
        </w:rPr>
        <w:t>female</w:t>
      </w:r>
      <w:r w:rsidR="004D219E" w:rsidRPr="00811A70">
        <w:rPr>
          <w:rFonts w:ascii="Verdana" w:hAnsi="Verdana" w:cs="Arial"/>
          <w:sz w:val="20"/>
          <w:szCs w:val="20"/>
        </w:rPr>
        <w:t xml:space="preserve"> and </w:t>
      </w:r>
      <w:r w:rsidR="000E5FE8" w:rsidRPr="00811A70">
        <w:rPr>
          <w:rFonts w:ascii="Verdana" w:hAnsi="Verdana" w:cs="Arial"/>
          <w:sz w:val="20"/>
          <w:szCs w:val="20"/>
        </w:rPr>
        <w:t>1</w:t>
      </w:r>
      <w:r w:rsidR="00EA44F8">
        <w:rPr>
          <w:rFonts w:ascii="Verdana" w:hAnsi="Verdana" w:cs="Arial"/>
          <w:sz w:val="20"/>
          <w:szCs w:val="20"/>
        </w:rPr>
        <w:t>2</w:t>
      </w:r>
      <w:r w:rsidR="005A3341" w:rsidRPr="00811A70">
        <w:rPr>
          <w:rFonts w:ascii="Verdana" w:hAnsi="Verdana" w:cs="Arial"/>
          <w:sz w:val="20"/>
          <w:szCs w:val="20"/>
        </w:rPr>
        <w:t xml:space="preserve"> </w:t>
      </w:r>
      <w:r w:rsidR="004D219E" w:rsidRPr="00811A70">
        <w:rPr>
          <w:rFonts w:ascii="Verdana" w:hAnsi="Verdana" w:cs="Arial"/>
          <w:sz w:val="20"/>
          <w:szCs w:val="20"/>
        </w:rPr>
        <w:t>male</w:t>
      </w:r>
      <w:r w:rsidR="004D1D23" w:rsidRPr="00811A70">
        <w:rPr>
          <w:rFonts w:ascii="Verdana" w:hAnsi="Verdana" w:cs="Arial"/>
          <w:sz w:val="20"/>
          <w:szCs w:val="20"/>
        </w:rPr>
        <w:t>)</w:t>
      </w:r>
      <w:r w:rsidR="00490D4B" w:rsidRPr="00811A70">
        <w:rPr>
          <w:rFonts w:ascii="Verdana" w:hAnsi="Verdana" w:cs="Arial"/>
          <w:sz w:val="20"/>
          <w:szCs w:val="20"/>
        </w:rPr>
        <w:t>.</w:t>
      </w:r>
    </w:p>
    <w:p w14:paraId="48607A65" w14:textId="77777777" w:rsidR="00322A26" w:rsidRDefault="00322A26" w:rsidP="005A5B78">
      <w:pPr>
        <w:ind w:left="-142" w:right="-425"/>
        <w:jc w:val="both"/>
        <w:rPr>
          <w:rFonts w:cs="Arial"/>
        </w:rPr>
      </w:pPr>
    </w:p>
    <w:p w14:paraId="5E52C06C" w14:textId="7C154C1D" w:rsidR="00893877" w:rsidRDefault="00893877" w:rsidP="00893877">
      <w:pPr>
        <w:ind w:left="-142" w:right="-425"/>
        <w:jc w:val="both"/>
        <w:rPr>
          <w:rFonts w:cs="Arial"/>
        </w:rPr>
      </w:pPr>
      <w:r>
        <w:rPr>
          <w:rFonts w:cs="Arial"/>
        </w:rPr>
        <w:t xml:space="preserve">For quarter </w:t>
      </w:r>
      <w:r w:rsidR="00BC09BB">
        <w:rPr>
          <w:rFonts w:cs="Arial"/>
        </w:rPr>
        <w:t>6</w:t>
      </w:r>
      <w:r w:rsidR="00EA44F8">
        <w:rPr>
          <w:rFonts w:cs="Arial"/>
        </w:rPr>
        <w:t>4</w:t>
      </w:r>
      <w:r>
        <w:rPr>
          <w:rFonts w:cs="Arial"/>
        </w:rPr>
        <w:t>, 4</w:t>
      </w:r>
      <w:r w:rsidR="00EA44F8">
        <w:rPr>
          <w:rFonts w:cs="Arial"/>
        </w:rPr>
        <w:t>4</w:t>
      </w:r>
      <w:r w:rsidR="00DD36DF">
        <w:rPr>
          <w:rFonts w:cs="Arial"/>
        </w:rPr>
        <w:t>%</w:t>
      </w:r>
      <w:r>
        <w:rPr>
          <w:rFonts w:cs="Arial"/>
        </w:rPr>
        <w:t xml:space="preserve"> </w:t>
      </w:r>
      <w:r w:rsidRPr="004A208F">
        <w:rPr>
          <w:rFonts w:cs="Arial"/>
        </w:rPr>
        <w:t xml:space="preserve">of clients received more than one notice. Frequently this illustrates multiple child school absences for the one family, or multiple Magistrates Court notices relating to one incident. </w:t>
      </w:r>
      <w:r>
        <w:rPr>
          <w:rFonts w:cs="Arial"/>
        </w:rPr>
        <w:t xml:space="preserve">This may also be suggestive of the complexity of behaviours experienced by a significant proportion of our clients. </w:t>
      </w:r>
      <w:r w:rsidRPr="004A208F">
        <w:rPr>
          <w:rFonts w:cs="Arial"/>
        </w:rPr>
        <w:t xml:space="preserve">Conversely, </w:t>
      </w:r>
      <w:r>
        <w:rPr>
          <w:rFonts w:cs="Arial"/>
        </w:rPr>
        <w:t>it is important to note the majority of FRC clients (5</w:t>
      </w:r>
      <w:r w:rsidR="00EA44F8">
        <w:rPr>
          <w:rFonts w:cs="Arial"/>
        </w:rPr>
        <w:t>6</w:t>
      </w:r>
      <w:r w:rsidR="00DD36DF">
        <w:rPr>
          <w:rFonts w:cs="Arial"/>
        </w:rPr>
        <w:t>%</w:t>
      </w:r>
      <w:r>
        <w:rPr>
          <w:rFonts w:cs="Arial"/>
        </w:rPr>
        <w:t>)</w:t>
      </w:r>
      <w:r w:rsidRPr="004A208F">
        <w:rPr>
          <w:rFonts w:cs="Arial"/>
        </w:rPr>
        <w:t xml:space="preserve"> have received only one notice</w:t>
      </w:r>
      <w:r>
        <w:rPr>
          <w:rFonts w:cs="Arial"/>
        </w:rPr>
        <w:t xml:space="preserve"> during the reporting period. </w:t>
      </w:r>
      <w:r w:rsidR="00EA44F8">
        <w:rPr>
          <w:rFonts w:cs="Arial"/>
        </w:rPr>
        <w:t xml:space="preserve">Twenty-three </w:t>
      </w:r>
      <w:r w:rsidRPr="00626560">
        <w:rPr>
          <w:rFonts w:cs="Arial"/>
        </w:rPr>
        <w:t>new</w:t>
      </w:r>
      <w:r>
        <w:rPr>
          <w:rFonts w:cs="Arial"/>
        </w:rPr>
        <w:t xml:space="preserve"> clients were added to the Commission’s database during the quarter.</w:t>
      </w:r>
    </w:p>
    <w:p w14:paraId="6F3409A8" w14:textId="77777777" w:rsidR="00124DB6" w:rsidRDefault="00124DB6" w:rsidP="00893877">
      <w:pPr>
        <w:ind w:left="-142" w:right="-425"/>
        <w:jc w:val="both"/>
        <w:rPr>
          <w:rFonts w:cs="Arial"/>
        </w:rPr>
      </w:pPr>
    </w:p>
    <w:p w14:paraId="3FC71DA6" w14:textId="25F492D7" w:rsidR="00124DB6" w:rsidRDefault="00124DB6">
      <w:pPr>
        <w:spacing w:line="240" w:lineRule="auto"/>
        <w:rPr>
          <w:rFonts w:cs="Arial"/>
        </w:rPr>
      </w:pPr>
      <w:r>
        <w:rPr>
          <w:rFonts w:cs="Arial"/>
        </w:rPr>
        <w:br w:type="page"/>
      </w:r>
    </w:p>
    <w:p w14:paraId="47172A41" w14:textId="1E238D90" w:rsidR="00124DB6" w:rsidRPr="0071779E" w:rsidRDefault="00124DB6" w:rsidP="00124DB6">
      <w:pPr>
        <w:spacing w:after="120" w:line="240" w:lineRule="auto"/>
        <w:ind w:left="-142" w:right="-425"/>
        <w:rPr>
          <w:bCs/>
          <w:sz w:val="16"/>
          <w:szCs w:val="16"/>
        </w:rPr>
      </w:pPr>
      <w:r w:rsidRPr="003362C2">
        <w:rPr>
          <w:b/>
          <w:sz w:val="16"/>
          <w:szCs w:val="16"/>
        </w:rPr>
        <w:lastRenderedPageBreak/>
        <w:t xml:space="preserve">Table 10: </w:t>
      </w:r>
      <w:r w:rsidRPr="0071779E">
        <w:rPr>
          <w:bCs/>
          <w:sz w:val="16"/>
          <w:szCs w:val="16"/>
        </w:rPr>
        <w:t xml:space="preserve">Notices in jurisdiction by type and quarter 1 </w:t>
      </w:r>
      <w:r>
        <w:rPr>
          <w:bCs/>
          <w:sz w:val="16"/>
          <w:szCs w:val="16"/>
        </w:rPr>
        <w:t>April</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0 June </w:t>
      </w:r>
      <w:r w:rsidRPr="0071779E">
        <w:rPr>
          <w:bCs/>
          <w:sz w:val="16"/>
          <w:szCs w:val="16"/>
        </w:rPr>
        <w:t>202</w:t>
      </w:r>
      <w:r>
        <w:rPr>
          <w:bCs/>
          <w:sz w:val="16"/>
          <w:szCs w:val="16"/>
        </w:rPr>
        <w:t>4</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124DB6" w:rsidRPr="0093030B" w14:paraId="0F774AE5" w14:textId="77777777" w:rsidTr="00D744B8">
        <w:trPr>
          <w:trHeight w:val="480"/>
        </w:trPr>
        <w:tc>
          <w:tcPr>
            <w:tcW w:w="3460" w:type="dxa"/>
            <w:tcBorders>
              <w:top w:val="single" w:sz="4" w:space="0" w:color="auto"/>
              <w:left w:val="single" w:sz="4" w:space="0" w:color="auto"/>
              <w:bottom w:val="single" w:sz="4" w:space="0" w:color="auto"/>
              <w:right w:val="single" w:sz="4" w:space="0" w:color="auto"/>
            </w:tcBorders>
            <w:hideMark/>
          </w:tcPr>
          <w:p w14:paraId="5EBCDBD0" w14:textId="77777777" w:rsidR="00124DB6" w:rsidRPr="0093030B" w:rsidRDefault="00124DB6" w:rsidP="00124DB6">
            <w:pPr>
              <w:pStyle w:val="TableText"/>
              <w:ind w:left="49"/>
              <w:rPr>
                <w:b/>
                <w:lang w:eastAsia="en-AU"/>
              </w:rPr>
            </w:pPr>
            <w:bookmarkStart w:id="18"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0E4994C8" w14:textId="15A696EA" w:rsidR="00124DB6" w:rsidRDefault="00124DB6" w:rsidP="00124DB6">
            <w:pPr>
              <w:pStyle w:val="TableText"/>
              <w:jc w:val="right"/>
              <w:rPr>
                <w:b/>
                <w:lang w:eastAsia="en-AU"/>
              </w:rPr>
            </w:pPr>
            <w:r>
              <w:rPr>
                <w:b/>
                <w:lang w:eastAsia="en-AU"/>
              </w:rPr>
              <w:t>Qtr 60</w:t>
            </w:r>
          </w:p>
        </w:tc>
        <w:tc>
          <w:tcPr>
            <w:tcW w:w="1012" w:type="dxa"/>
            <w:tcBorders>
              <w:top w:val="single" w:sz="4" w:space="0" w:color="auto"/>
              <w:left w:val="nil"/>
              <w:bottom w:val="single" w:sz="4" w:space="0" w:color="auto"/>
              <w:right w:val="single" w:sz="4" w:space="0" w:color="auto"/>
            </w:tcBorders>
          </w:tcPr>
          <w:p w14:paraId="37DD6472" w14:textId="79D35870" w:rsidR="00124DB6" w:rsidRDefault="00124DB6" w:rsidP="00124DB6">
            <w:pPr>
              <w:pStyle w:val="TableText"/>
              <w:jc w:val="right"/>
              <w:rPr>
                <w:b/>
                <w:lang w:eastAsia="en-AU"/>
              </w:rPr>
            </w:pPr>
            <w:r>
              <w:rPr>
                <w:rFonts w:cs="Arial"/>
                <w:b/>
                <w:bCs/>
              </w:rPr>
              <w:t>Qtr 61</w:t>
            </w:r>
          </w:p>
        </w:tc>
        <w:tc>
          <w:tcPr>
            <w:tcW w:w="1012" w:type="dxa"/>
            <w:tcBorders>
              <w:top w:val="single" w:sz="4" w:space="0" w:color="auto"/>
              <w:left w:val="nil"/>
              <w:bottom w:val="single" w:sz="4" w:space="0" w:color="auto"/>
              <w:right w:val="single" w:sz="4" w:space="0" w:color="auto"/>
            </w:tcBorders>
          </w:tcPr>
          <w:p w14:paraId="43632E33" w14:textId="383F7513" w:rsidR="00124DB6" w:rsidRDefault="00124DB6" w:rsidP="00124DB6">
            <w:pPr>
              <w:pStyle w:val="TableText"/>
              <w:jc w:val="right"/>
              <w:rPr>
                <w:b/>
                <w:lang w:eastAsia="en-AU"/>
              </w:rPr>
            </w:pPr>
            <w:r>
              <w:rPr>
                <w:rFonts w:cs="Arial"/>
                <w:b/>
                <w:bCs/>
              </w:rPr>
              <w:t>Qtr 62</w:t>
            </w:r>
          </w:p>
        </w:tc>
        <w:tc>
          <w:tcPr>
            <w:tcW w:w="1012" w:type="dxa"/>
            <w:tcBorders>
              <w:top w:val="single" w:sz="4" w:space="0" w:color="auto"/>
              <w:left w:val="nil"/>
              <w:bottom w:val="single" w:sz="4" w:space="0" w:color="auto"/>
              <w:right w:val="single" w:sz="4" w:space="0" w:color="auto"/>
            </w:tcBorders>
          </w:tcPr>
          <w:p w14:paraId="4EF02AA0" w14:textId="1223B5B5" w:rsidR="00124DB6" w:rsidRDefault="00124DB6" w:rsidP="00124DB6">
            <w:pPr>
              <w:pStyle w:val="TableText"/>
              <w:jc w:val="right"/>
              <w:rPr>
                <w:b/>
                <w:lang w:eastAsia="en-AU"/>
              </w:rPr>
            </w:pPr>
            <w:r>
              <w:rPr>
                <w:rFonts w:cs="Arial"/>
                <w:b/>
                <w:bCs/>
              </w:rPr>
              <w:t>Qtr 63</w:t>
            </w:r>
          </w:p>
        </w:tc>
        <w:tc>
          <w:tcPr>
            <w:tcW w:w="1012" w:type="dxa"/>
            <w:tcBorders>
              <w:top w:val="single" w:sz="4" w:space="0" w:color="auto"/>
              <w:left w:val="nil"/>
              <w:bottom w:val="single" w:sz="4" w:space="0" w:color="auto"/>
              <w:right w:val="single" w:sz="4" w:space="0" w:color="auto"/>
            </w:tcBorders>
          </w:tcPr>
          <w:p w14:paraId="6EA01CA1" w14:textId="6847EF17" w:rsidR="00124DB6" w:rsidRDefault="00124DB6" w:rsidP="00124DB6">
            <w:pPr>
              <w:pStyle w:val="TableText"/>
              <w:jc w:val="right"/>
              <w:rPr>
                <w:b/>
                <w:lang w:eastAsia="en-AU"/>
              </w:rPr>
            </w:pPr>
            <w:r>
              <w:rPr>
                <w:rFonts w:cs="Arial"/>
                <w:b/>
                <w:bCs/>
              </w:rPr>
              <w:t>Qtr 6</w:t>
            </w:r>
            <w:r>
              <w:rPr>
                <w:rFonts w:cs="Arial"/>
                <w:b/>
                <w:bCs/>
              </w:rPr>
              <w:t>4</w:t>
            </w:r>
          </w:p>
        </w:tc>
      </w:tr>
      <w:tr w:rsidR="0033503B" w:rsidRPr="0093030B" w14:paraId="7C4F2397"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6E80F726" w14:textId="77777777" w:rsidR="0033503B" w:rsidRDefault="0033503B" w:rsidP="0033503B">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64966357" w14:textId="0960D7E6" w:rsidR="0033503B" w:rsidRDefault="0033503B" w:rsidP="0033503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86DE83A" w14:textId="427E59BF" w:rsidR="0033503B" w:rsidRDefault="0033503B" w:rsidP="0033503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B73014B" w14:textId="071C00B1" w:rsidR="0033503B" w:rsidRDefault="0033503B" w:rsidP="0033503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6055669" w14:textId="0BE7D873" w:rsidR="0033503B" w:rsidRDefault="0033503B" w:rsidP="0033503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5D0F4E1" w14:textId="0BE8F980" w:rsidR="0033503B" w:rsidRDefault="0033503B" w:rsidP="0033503B">
            <w:pPr>
              <w:jc w:val="right"/>
              <w:rPr>
                <w:rFonts w:cs="Arial"/>
              </w:rPr>
            </w:pPr>
            <w:r>
              <w:rPr>
                <w:rFonts w:cs="Arial"/>
              </w:rPr>
              <w:t>0</w:t>
            </w:r>
          </w:p>
        </w:tc>
      </w:tr>
      <w:tr w:rsidR="0033503B" w:rsidRPr="0093030B" w14:paraId="2299B4F0"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03155F7B" w14:textId="77777777" w:rsidR="0033503B" w:rsidRPr="0093030B" w:rsidRDefault="0033503B" w:rsidP="0033503B">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65FC9C77" w14:textId="1527154D" w:rsidR="0033503B" w:rsidRDefault="0033503B" w:rsidP="0033503B">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270B7693" w14:textId="2EB1A1DD" w:rsidR="0033503B" w:rsidRDefault="0033503B" w:rsidP="0033503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7DD09ABF" w14:textId="3657076C" w:rsidR="0033503B" w:rsidRDefault="0033503B" w:rsidP="0033503B">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46CD9E2D" w14:textId="684BE4BE" w:rsidR="0033503B" w:rsidRDefault="0033503B" w:rsidP="0033503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593A09E0" w14:textId="505DF878" w:rsidR="0033503B" w:rsidRDefault="0033503B" w:rsidP="0033503B">
            <w:pPr>
              <w:jc w:val="right"/>
              <w:rPr>
                <w:rFonts w:cs="Arial"/>
              </w:rPr>
            </w:pPr>
            <w:r>
              <w:rPr>
                <w:rFonts w:cs="Arial"/>
              </w:rPr>
              <w:t>16</w:t>
            </w:r>
          </w:p>
        </w:tc>
      </w:tr>
      <w:tr w:rsidR="0033503B" w:rsidRPr="0093030B" w14:paraId="01482914"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7DBF1780" w14:textId="77777777" w:rsidR="0033503B" w:rsidRPr="0093030B" w:rsidRDefault="0033503B" w:rsidP="0033503B">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26F5922C" w14:textId="2703C762" w:rsidR="0033503B" w:rsidRDefault="0033503B" w:rsidP="0033503B">
            <w:pPr>
              <w:jc w:val="right"/>
              <w:rPr>
                <w:rFonts w:cs="Arial"/>
              </w:rPr>
            </w:pPr>
            <w:r>
              <w:rPr>
                <w:rFonts w:cs="Arial"/>
              </w:rPr>
              <w:t>416</w:t>
            </w:r>
          </w:p>
        </w:tc>
        <w:tc>
          <w:tcPr>
            <w:tcW w:w="1012" w:type="dxa"/>
            <w:tcBorders>
              <w:top w:val="nil"/>
              <w:left w:val="nil"/>
              <w:bottom w:val="single" w:sz="4" w:space="0" w:color="auto"/>
              <w:right w:val="single" w:sz="4" w:space="0" w:color="auto"/>
            </w:tcBorders>
          </w:tcPr>
          <w:p w14:paraId="35F56173" w14:textId="6D5CDB7B" w:rsidR="0033503B" w:rsidRDefault="0033503B" w:rsidP="0033503B">
            <w:pPr>
              <w:jc w:val="right"/>
              <w:rPr>
                <w:rFonts w:cs="Arial"/>
              </w:rPr>
            </w:pPr>
            <w:r>
              <w:rPr>
                <w:rFonts w:cs="Arial"/>
              </w:rPr>
              <w:t>432</w:t>
            </w:r>
          </w:p>
        </w:tc>
        <w:tc>
          <w:tcPr>
            <w:tcW w:w="1012" w:type="dxa"/>
            <w:tcBorders>
              <w:top w:val="nil"/>
              <w:left w:val="nil"/>
              <w:bottom w:val="single" w:sz="4" w:space="0" w:color="auto"/>
              <w:right w:val="single" w:sz="4" w:space="0" w:color="auto"/>
            </w:tcBorders>
          </w:tcPr>
          <w:p w14:paraId="21A84CD9" w14:textId="6FE98631" w:rsidR="0033503B" w:rsidRDefault="0033503B" w:rsidP="0033503B">
            <w:pPr>
              <w:jc w:val="right"/>
              <w:rPr>
                <w:rFonts w:cs="Arial"/>
              </w:rPr>
            </w:pPr>
            <w:r>
              <w:rPr>
                <w:rFonts w:cs="Arial"/>
              </w:rPr>
              <w:t>378</w:t>
            </w:r>
          </w:p>
        </w:tc>
        <w:tc>
          <w:tcPr>
            <w:tcW w:w="1012" w:type="dxa"/>
            <w:tcBorders>
              <w:top w:val="nil"/>
              <w:left w:val="nil"/>
              <w:bottom w:val="single" w:sz="4" w:space="0" w:color="auto"/>
              <w:right w:val="single" w:sz="4" w:space="0" w:color="auto"/>
            </w:tcBorders>
          </w:tcPr>
          <w:p w14:paraId="5098F307" w14:textId="369E07FA" w:rsidR="0033503B" w:rsidRDefault="0033503B" w:rsidP="0033503B">
            <w:pPr>
              <w:jc w:val="right"/>
              <w:rPr>
                <w:rFonts w:cs="Arial"/>
              </w:rPr>
            </w:pPr>
            <w:r>
              <w:rPr>
                <w:rFonts w:cs="Arial"/>
              </w:rPr>
              <w:t>322</w:t>
            </w:r>
          </w:p>
        </w:tc>
        <w:tc>
          <w:tcPr>
            <w:tcW w:w="1012" w:type="dxa"/>
            <w:tcBorders>
              <w:top w:val="nil"/>
              <w:left w:val="nil"/>
              <w:bottom w:val="single" w:sz="4" w:space="0" w:color="auto"/>
              <w:right w:val="single" w:sz="4" w:space="0" w:color="auto"/>
            </w:tcBorders>
          </w:tcPr>
          <w:p w14:paraId="16B0375A" w14:textId="0A58B24D" w:rsidR="0033503B" w:rsidRDefault="0033503B" w:rsidP="0033503B">
            <w:pPr>
              <w:jc w:val="right"/>
              <w:rPr>
                <w:rFonts w:cs="Arial"/>
              </w:rPr>
            </w:pPr>
            <w:r>
              <w:rPr>
                <w:rFonts w:cs="Arial"/>
              </w:rPr>
              <w:t>385</w:t>
            </w:r>
          </w:p>
        </w:tc>
      </w:tr>
      <w:tr w:rsidR="0033503B" w:rsidRPr="0093030B" w14:paraId="1C9819A1"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485C8C47" w14:textId="77777777" w:rsidR="0033503B" w:rsidRPr="0093030B" w:rsidRDefault="0033503B" w:rsidP="0033503B">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217E597C" w14:textId="38414E73" w:rsidR="0033503B" w:rsidRDefault="0033503B" w:rsidP="0033503B">
            <w:pPr>
              <w:jc w:val="right"/>
              <w:rPr>
                <w:rFonts w:cs="Arial"/>
              </w:rPr>
            </w:pPr>
            <w:r>
              <w:rPr>
                <w:rFonts w:cs="Arial"/>
              </w:rPr>
              <w:t>44</w:t>
            </w:r>
          </w:p>
        </w:tc>
        <w:tc>
          <w:tcPr>
            <w:tcW w:w="1012" w:type="dxa"/>
            <w:tcBorders>
              <w:top w:val="nil"/>
              <w:left w:val="nil"/>
              <w:bottom w:val="single" w:sz="4" w:space="0" w:color="auto"/>
              <w:right w:val="single" w:sz="4" w:space="0" w:color="auto"/>
            </w:tcBorders>
          </w:tcPr>
          <w:p w14:paraId="073BB940" w14:textId="7F7CA488" w:rsidR="0033503B" w:rsidRDefault="0033503B" w:rsidP="0033503B">
            <w:pPr>
              <w:jc w:val="right"/>
              <w:rPr>
                <w:rFonts w:cs="Arial"/>
              </w:rPr>
            </w:pPr>
            <w:r>
              <w:rPr>
                <w:rFonts w:cs="Arial"/>
              </w:rPr>
              <w:t>47</w:t>
            </w:r>
          </w:p>
        </w:tc>
        <w:tc>
          <w:tcPr>
            <w:tcW w:w="1012" w:type="dxa"/>
            <w:tcBorders>
              <w:top w:val="nil"/>
              <w:left w:val="nil"/>
              <w:bottom w:val="single" w:sz="4" w:space="0" w:color="auto"/>
              <w:right w:val="single" w:sz="4" w:space="0" w:color="auto"/>
            </w:tcBorders>
          </w:tcPr>
          <w:p w14:paraId="193E7F81" w14:textId="66AC1B9F" w:rsidR="0033503B" w:rsidRDefault="0033503B" w:rsidP="0033503B">
            <w:pPr>
              <w:jc w:val="right"/>
              <w:rPr>
                <w:rFonts w:cs="Arial"/>
              </w:rPr>
            </w:pPr>
            <w:r>
              <w:rPr>
                <w:rFonts w:cs="Arial"/>
              </w:rPr>
              <w:t>29</w:t>
            </w:r>
          </w:p>
        </w:tc>
        <w:tc>
          <w:tcPr>
            <w:tcW w:w="1012" w:type="dxa"/>
            <w:tcBorders>
              <w:top w:val="nil"/>
              <w:left w:val="nil"/>
              <w:bottom w:val="single" w:sz="4" w:space="0" w:color="auto"/>
              <w:right w:val="single" w:sz="4" w:space="0" w:color="auto"/>
            </w:tcBorders>
          </w:tcPr>
          <w:p w14:paraId="0DAE34A2" w14:textId="3D8AD6B8" w:rsidR="0033503B" w:rsidRDefault="0033503B" w:rsidP="0033503B">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6F25EA3D" w14:textId="7749BE74" w:rsidR="0033503B" w:rsidRDefault="0033503B" w:rsidP="0033503B">
            <w:pPr>
              <w:jc w:val="right"/>
              <w:rPr>
                <w:rFonts w:cs="Arial"/>
              </w:rPr>
            </w:pPr>
            <w:r>
              <w:rPr>
                <w:rFonts w:cs="Arial"/>
              </w:rPr>
              <w:t>21</w:t>
            </w:r>
          </w:p>
        </w:tc>
      </w:tr>
      <w:tr w:rsidR="0033503B" w:rsidRPr="0093030B" w14:paraId="38FDA4EA"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121BE585" w14:textId="77777777" w:rsidR="0033503B" w:rsidRPr="0093030B" w:rsidRDefault="0033503B" w:rsidP="0033503B">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5340E35A" w14:textId="72D8E486" w:rsidR="0033503B" w:rsidRDefault="0033503B" w:rsidP="0033503B">
            <w:pPr>
              <w:jc w:val="right"/>
              <w:rPr>
                <w:rFonts w:cs="Arial"/>
              </w:rPr>
            </w:pPr>
            <w:r>
              <w:rPr>
                <w:rFonts w:cs="Arial"/>
              </w:rPr>
              <w:t>70</w:t>
            </w:r>
          </w:p>
        </w:tc>
        <w:tc>
          <w:tcPr>
            <w:tcW w:w="1012" w:type="dxa"/>
            <w:tcBorders>
              <w:top w:val="nil"/>
              <w:left w:val="nil"/>
              <w:bottom w:val="single" w:sz="4" w:space="0" w:color="auto"/>
              <w:right w:val="single" w:sz="4" w:space="0" w:color="auto"/>
            </w:tcBorders>
          </w:tcPr>
          <w:p w14:paraId="7B5ECAD5" w14:textId="43E76498" w:rsidR="0033503B" w:rsidRDefault="0033503B" w:rsidP="0033503B">
            <w:pPr>
              <w:jc w:val="right"/>
              <w:rPr>
                <w:rFonts w:cs="Arial"/>
              </w:rPr>
            </w:pPr>
            <w:r>
              <w:rPr>
                <w:rFonts w:cs="Arial"/>
              </w:rPr>
              <w:t>51</w:t>
            </w:r>
          </w:p>
        </w:tc>
        <w:tc>
          <w:tcPr>
            <w:tcW w:w="1012" w:type="dxa"/>
            <w:tcBorders>
              <w:top w:val="nil"/>
              <w:left w:val="nil"/>
              <w:bottom w:val="single" w:sz="4" w:space="0" w:color="auto"/>
              <w:right w:val="single" w:sz="4" w:space="0" w:color="auto"/>
            </w:tcBorders>
          </w:tcPr>
          <w:p w14:paraId="7E985718" w14:textId="04595BC0" w:rsidR="0033503B" w:rsidRDefault="0033503B" w:rsidP="0033503B">
            <w:pPr>
              <w:jc w:val="right"/>
              <w:rPr>
                <w:rFonts w:cs="Arial"/>
              </w:rPr>
            </w:pPr>
            <w:r>
              <w:rPr>
                <w:rFonts w:cs="Arial"/>
              </w:rPr>
              <w:t>63</w:t>
            </w:r>
          </w:p>
        </w:tc>
        <w:tc>
          <w:tcPr>
            <w:tcW w:w="1012" w:type="dxa"/>
            <w:tcBorders>
              <w:top w:val="nil"/>
              <w:left w:val="nil"/>
              <w:bottom w:val="single" w:sz="4" w:space="0" w:color="auto"/>
              <w:right w:val="single" w:sz="4" w:space="0" w:color="auto"/>
            </w:tcBorders>
          </w:tcPr>
          <w:p w14:paraId="35522E87" w14:textId="6AC6EFF8" w:rsidR="0033503B" w:rsidRDefault="0033503B" w:rsidP="0033503B">
            <w:pPr>
              <w:jc w:val="right"/>
              <w:rPr>
                <w:rFonts w:cs="Arial"/>
              </w:rPr>
            </w:pPr>
            <w:r>
              <w:rPr>
                <w:rFonts w:cs="Arial"/>
              </w:rPr>
              <w:t>57</w:t>
            </w:r>
          </w:p>
        </w:tc>
        <w:tc>
          <w:tcPr>
            <w:tcW w:w="1012" w:type="dxa"/>
            <w:tcBorders>
              <w:top w:val="nil"/>
              <w:left w:val="nil"/>
              <w:bottom w:val="single" w:sz="4" w:space="0" w:color="auto"/>
              <w:right w:val="single" w:sz="4" w:space="0" w:color="auto"/>
            </w:tcBorders>
          </w:tcPr>
          <w:p w14:paraId="2CCFBFCB" w14:textId="506391C0" w:rsidR="0033503B" w:rsidRDefault="0033503B" w:rsidP="0033503B">
            <w:pPr>
              <w:jc w:val="right"/>
              <w:rPr>
                <w:rFonts w:cs="Arial"/>
              </w:rPr>
            </w:pPr>
            <w:r>
              <w:rPr>
                <w:rFonts w:cs="Arial"/>
              </w:rPr>
              <w:t>50</w:t>
            </w:r>
          </w:p>
        </w:tc>
      </w:tr>
      <w:tr w:rsidR="0033503B" w:rsidRPr="0093030B" w14:paraId="3257EC93"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75AC7A7F" w14:textId="77777777" w:rsidR="0033503B" w:rsidRPr="0093030B" w:rsidRDefault="0033503B" w:rsidP="0033503B">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74E46400" w14:textId="72C7EEA6" w:rsidR="0033503B" w:rsidRDefault="0033503B" w:rsidP="0033503B">
            <w:pPr>
              <w:jc w:val="right"/>
              <w:rPr>
                <w:rFonts w:cs="Arial"/>
              </w:rPr>
            </w:pPr>
            <w:r>
              <w:rPr>
                <w:rFonts w:cs="Arial"/>
              </w:rPr>
              <w:t>737</w:t>
            </w:r>
          </w:p>
        </w:tc>
        <w:tc>
          <w:tcPr>
            <w:tcW w:w="1012" w:type="dxa"/>
            <w:tcBorders>
              <w:top w:val="nil"/>
              <w:left w:val="nil"/>
              <w:bottom w:val="single" w:sz="4" w:space="0" w:color="auto"/>
              <w:right w:val="single" w:sz="4" w:space="0" w:color="auto"/>
            </w:tcBorders>
          </w:tcPr>
          <w:p w14:paraId="78DD5C97" w14:textId="61235E5F" w:rsidR="0033503B" w:rsidRDefault="0033503B" w:rsidP="0033503B">
            <w:pPr>
              <w:jc w:val="right"/>
              <w:rPr>
                <w:rFonts w:cs="Arial"/>
              </w:rPr>
            </w:pPr>
            <w:r>
              <w:rPr>
                <w:rFonts w:cs="Arial"/>
              </w:rPr>
              <w:t>745</w:t>
            </w:r>
          </w:p>
        </w:tc>
        <w:tc>
          <w:tcPr>
            <w:tcW w:w="1012" w:type="dxa"/>
            <w:tcBorders>
              <w:top w:val="nil"/>
              <w:left w:val="nil"/>
              <w:bottom w:val="single" w:sz="4" w:space="0" w:color="auto"/>
              <w:right w:val="single" w:sz="4" w:space="0" w:color="auto"/>
            </w:tcBorders>
          </w:tcPr>
          <w:p w14:paraId="5F361227" w14:textId="7E03C77B" w:rsidR="0033503B" w:rsidRDefault="0033503B" w:rsidP="0033503B">
            <w:pPr>
              <w:jc w:val="right"/>
              <w:rPr>
                <w:rFonts w:cs="Arial"/>
              </w:rPr>
            </w:pPr>
            <w:r>
              <w:rPr>
                <w:rFonts w:cs="Arial"/>
              </w:rPr>
              <w:t>693</w:t>
            </w:r>
          </w:p>
        </w:tc>
        <w:tc>
          <w:tcPr>
            <w:tcW w:w="1012" w:type="dxa"/>
            <w:tcBorders>
              <w:top w:val="nil"/>
              <w:left w:val="nil"/>
              <w:bottom w:val="single" w:sz="4" w:space="0" w:color="auto"/>
              <w:right w:val="single" w:sz="4" w:space="0" w:color="auto"/>
            </w:tcBorders>
          </w:tcPr>
          <w:p w14:paraId="38634167" w14:textId="55907709" w:rsidR="0033503B" w:rsidRDefault="0033503B" w:rsidP="0033503B">
            <w:pPr>
              <w:jc w:val="right"/>
              <w:rPr>
                <w:rFonts w:cs="Arial"/>
              </w:rPr>
            </w:pPr>
            <w:r>
              <w:rPr>
                <w:rFonts w:cs="Arial"/>
              </w:rPr>
              <w:t>619</w:t>
            </w:r>
          </w:p>
        </w:tc>
        <w:tc>
          <w:tcPr>
            <w:tcW w:w="1012" w:type="dxa"/>
            <w:tcBorders>
              <w:top w:val="nil"/>
              <w:left w:val="nil"/>
              <w:bottom w:val="single" w:sz="4" w:space="0" w:color="auto"/>
              <w:right w:val="single" w:sz="4" w:space="0" w:color="auto"/>
            </w:tcBorders>
          </w:tcPr>
          <w:p w14:paraId="52D0E116" w14:textId="79380A71" w:rsidR="0033503B" w:rsidRDefault="0033503B" w:rsidP="0033503B">
            <w:pPr>
              <w:jc w:val="right"/>
              <w:rPr>
                <w:rFonts w:cs="Arial"/>
              </w:rPr>
            </w:pPr>
            <w:r>
              <w:rPr>
                <w:rFonts w:cs="Arial"/>
              </w:rPr>
              <w:t>720</w:t>
            </w:r>
          </w:p>
        </w:tc>
      </w:tr>
      <w:tr w:rsidR="0033503B" w:rsidRPr="0093030B" w14:paraId="463C2B40"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721B863C" w14:textId="77777777" w:rsidR="0033503B" w:rsidRPr="0093030B" w:rsidRDefault="0033503B" w:rsidP="0033503B">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24F9ACE6" w14:textId="2C755E6E" w:rsidR="0033503B" w:rsidRDefault="0033503B" w:rsidP="0033503B">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196ACC33" w14:textId="7B7AAD21" w:rsidR="0033503B" w:rsidRDefault="0033503B" w:rsidP="0033503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31286F6F" w14:textId="338CDD2B" w:rsidR="0033503B" w:rsidRDefault="0033503B" w:rsidP="0033503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747C3EC" w14:textId="2864774B" w:rsidR="0033503B" w:rsidRDefault="0033503B" w:rsidP="0033503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17342355" w14:textId="68EC1B1E" w:rsidR="0033503B" w:rsidRDefault="0033503B" w:rsidP="0033503B">
            <w:pPr>
              <w:jc w:val="right"/>
              <w:rPr>
                <w:rFonts w:cs="Arial"/>
              </w:rPr>
            </w:pPr>
            <w:r>
              <w:rPr>
                <w:rFonts w:cs="Arial"/>
              </w:rPr>
              <w:t>6</w:t>
            </w:r>
          </w:p>
        </w:tc>
      </w:tr>
      <w:tr w:rsidR="0033503B" w:rsidRPr="0093030B" w14:paraId="2CB39CE0"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0D541902" w14:textId="77777777" w:rsidR="0033503B" w:rsidRPr="0093030B" w:rsidRDefault="0033503B" w:rsidP="0033503B">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6E5024A3" w14:textId="2F75E481" w:rsidR="0033503B" w:rsidRDefault="0033503B" w:rsidP="0033503B">
            <w:pPr>
              <w:jc w:val="right"/>
              <w:rPr>
                <w:rFonts w:cs="Arial"/>
              </w:rPr>
            </w:pPr>
            <w:r>
              <w:rPr>
                <w:rFonts w:cs="Arial"/>
              </w:rPr>
              <w:t>125</w:t>
            </w:r>
          </w:p>
        </w:tc>
        <w:tc>
          <w:tcPr>
            <w:tcW w:w="1012" w:type="dxa"/>
            <w:tcBorders>
              <w:top w:val="nil"/>
              <w:left w:val="nil"/>
              <w:bottom w:val="single" w:sz="4" w:space="0" w:color="auto"/>
              <w:right w:val="single" w:sz="4" w:space="0" w:color="auto"/>
            </w:tcBorders>
          </w:tcPr>
          <w:p w14:paraId="139A62ED" w14:textId="253D28D1" w:rsidR="0033503B" w:rsidRDefault="0033503B" w:rsidP="0033503B">
            <w:pPr>
              <w:jc w:val="right"/>
              <w:rPr>
                <w:rFonts w:cs="Arial"/>
              </w:rPr>
            </w:pPr>
            <w:r>
              <w:rPr>
                <w:rFonts w:cs="Arial"/>
              </w:rPr>
              <w:t>150</w:t>
            </w:r>
          </w:p>
        </w:tc>
        <w:tc>
          <w:tcPr>
            <w:tcW w:w="1012" w:type="dxa"/>
            <w:tcBorders>
              <w:top w:val="nil"/>
              <w:left w:val="nil"/>
              <w:bottom w:val="single" w:sz="4" w:space="0" w:color="auto"/>
              <w:right w:val="single" w:sz="4" w:space="0" w:color="auto"/>
            </w:tcBorders>
          </w:tcPr>
          <w:p w14:paraId="24D1CC2E" w14:textId="3EFCD33C" w:rsidR="0033503B" w:rsidRDefault="0033503B" w:rsidP="0033503B">
            <w:pPr>
              <w:jc w:val="right"/>
              <w:rPr>
                <w:rFonts w:cs="Arial"/>
              </w:rPr>
            </w:pPr>
            <w:r>
              <w:rPr>
                <w:rFonts w:cs="Arial"/>
              </w:rPr>
              <w:t>93</w:t>
            </w:r>
          </w:p>
        </w:tc>
        <w:tc>
          <w:tcPr>
            <w:tcW w:w="1012" w:type="dxa"/>
            <w:tcBorders>
              <w:top w:val="nil"/>
              <w:left w:val="nil"/>
              <w:bottom w:val="single" w:sz="4" w:space="0" w:color="auto"/>
              <w:right w:val="single" w:sz="4" w:space="0" w:color="auto"/>
            </w:tcBorders>
          </w:tcPr>
          <w:p w14:paraId="1F92CF63" w14:textId="3AF9115C" w:rsidR="0033503B" w:rsidRDefault="0033503B" w:rsidP="0033503B">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5E2AD82A" w14:textId="5FB88B90" w:rsidR="0033503B" w:rsidRDefault="0033503B" w:rsidP="0033503B">
            <w:pPr>
              <w:jc w:val="right"/>
              <w:rPr>
                <w:rFonts w:cs="Arial"/>
              </w:rPr>
            </w:pPr>
            <w:r>
              <w:rPr>
                <w:rFonts w:cs="Arial"/>
              </w:rPr>
              <w:t>77</w:t>
            </w:r>
          </w:p>
        </w:tc>
      </w:tr>
      <w:tr w:rsidR="0033503B" w:rsidRPr="0093030B" w14:paraId="1DAC5032"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0195FA25" w14:textId="77777777" w:rsidR="0033503B" w:rsidRPr="0093030B" w:rsidRDefault="0033503B" w:rsidP="0033503B">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71AA1CD4" w14:textId="44BB5B67" w:rsidR="0033503B" w:rsidRDefault="0033503B" w:rsidP="0033503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2620E47C" w14:textId="542C6B2A" w:rsidR="0033503B" w:rsidRDefault="0033503B" w:rsidP="0033503B">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56EA249D" w14:textId="01DD482D" w:rsidR="0033503B" w:rsidRDefault="0033503B" w:rsidP="0033503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6F8B8462" w14:textId="625514E6" w:rsidR="0033503B" w:rsidRDefault="0033503B" w:rsidP="0033503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56628C46" w14:textId="3271D48B" w:rsidR="0033503B" w:rsidRDefault="0033503B" w:rsidP="0033503B">
            <w:pPr>
              <w:jc w:val="right"/>
              <w:rPr>
                <w:rFonts w:cs="Arial"/>
              </w:rPr>
            </w:pPr>
            <w:r>
              <w:rPr>
                <w:rFonts w:cs="Arial"/>
              </w:rPr>
              <w:t>5</w:t>
            </w:r>
          </w:p>
        </w:tc>
      </w:tr>
      <w:tr w:rsidR="0033503B" w:rsidRPr="0093030B" w14:paraId="50A640C1" w14:textId="77777777" w:rsidTr="00D744B8">
        <w:trPr>
          <w:trHeight w:val="255"/>
        </w:trPr>
        <w:tc>
          <w:tcPr>
            <w:tcW w:w="3460" w:type="dxa"/>
            <w:tcBorders>
              <w:top w:val="nil"/>
              <w:left w:val="single" w:sz="4" w:space="0" w:color="auto"/>
              <w:bottom w:val="single" w:sz="4" w:space="0" w:color="auto"/>
              <w:right w:val="single" w:sz="4" w:space="0" w:color="auto"/>
            </w:tcBorders>
            <w:noWrap/>
            <w:hideMark/>
          </w:tcPr>
          <w:p w14:paraId="768D3DD1" w14:textId="77777777" w:rsidR="0033503B" w:rsidRPr="0093030B" w:rsidRDefault="0033503B" w:rsidP="0033503B">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238968D9" w14:textId="775256C4" w:rsidR="0033503B" w:rsidRDefault="0033503B" w:rsidP="0033503B">
            <w:pPr>
              <w:jc w:val="right"/>
              <w:rPr>
                <w:rFonts w:cs="Arial"/>
                <w:b/>
                <w:bCs/>
              </w:rPr>
            </w:pPr>
            <w:r>
              <w:rPr>
                <w:rFonts w:cs="Arial"/>
                <w:b/>
                <w:bCs/>
              </w:rPr>
              <w:t>1408</w:t>
            </w:r>
          </w:p>
        </w:tc>
        <w:tc>
          <w:tcPr>
            <w:tcW w:w="1012" w:type="dxa"/>
            <w:tcBorders>
              <w:top w:val="nil"/>
              <w:left w:val="nil"/>
              <w:bottom w:val="single" w:sz="4" w:space="0" w:color="auto"/>
              <w:right w:val="single" w:sz="4" w:space="0" w:color="auto"/>
            </w:tcBorders>
          </w:tcPr>
          <w:p w14:paraId="6988124A" w14:textId="66BE7087" w:rsidR="0033503B" w:rsidRDefault="0033503B" w:rsidP="0033503B">
            <w:pPr>
              <w:jc w:val="right"/>
              <w:rPr>
                <w:rFonts w:cs="Arial"/>
                <w:b/>
                <w:bCs/>
              </w:rPr>
            </w:pPr>
            <w:r>
              <w:rPr>
                <w:rFonts w:cs="Arial"/>
                <w:b/>
                <w:bCs/>
              </w:rPr>
              <w:t>1434</w:t>
            </w:r>
          </w:p>
        </w:tc>
        <w:tc>
          <w:tcPr>
            <w:tcW w:w="1012" w:type="dxa"/>
            <w:tcBorders>
              <w:top w:val="nil"/>
              <w:left w:val="nil"/>
              <w:bottom w:val="single" w:sz="4" w:space="0" w:color="auto"/>
              <w:right w:val="single" w:sz="4" w:space="0" w:color="auto"/>
            </w:tcBorders>
          </w:tcPr>
          <w:p w14:paraId="24328956" w14:textId="345AF886" w:rsidR="0033503B" w:rsidRDefault="0033503B" w:rsidP="0033503B">
            <w:pPr>
              <w:jc w:val="right"/>
              <w:rPr>
                <w:rFonts w:cs="Arial"/>
                <w:b/>
                <w:bCs/>
              </w:rPr>
            </w:pPr>
            <w:r>
              <w:rPr>
                <w:rFonts w:cs="Arial"/>
                <w:b/>
                <w:bCs/>
              </w:rPr>
              <w:t>1266</w:t>
            </w:r>
          </w:p>
        </w:tc>
        <w:tc>
          <w:tcPr>
            <w:tcW w:w="1012" w:type="dxa"/>
            <w:tcBorders>
              <w:top w:val="nil"/>
              <w:left w:val="nil"/>
              <w:bottom w:val="single" w:sz="4" w:space="0" w:color="auto"/>
              <w:right w:val="single" w:sz="4" w:space="0" w:color="auto"/>
            </w:tcBorders>
          </w:tcPr>
          <w:p w14:paraId="41CB63A9" w14:textId="23E1E5A8" w:rsidR="0033503B" w:rsidRDefault="0033503B" w:rsidP="0033503B">
            <w:pPr>
              <w:jc w:val="right"/>
              <w:rPr>
                <w:rFonts w:cs="Arial"/>
                <w:b/>
                <w:bCs/>
              </w:rPr>
            </w:pPr>
            <w:r>
              <w:rPr>
                <w:rFonts w:cs="Arial"/>
                <w:b/>
                <w:bCs/>
              </w:rPr>
              <w:t>1087</w:t>
            </w:r>
          </w:p>
        </w:tc>
        <w:tc>
          <w:tcPr>
            <w:tcW w:w="1012" w:type="dxa"/>
            <w:tcBorders>
              <w:top w:val="nil"/>
              <w:left w:val="nil"/>
              <w:bottom w:val="single" w:sz="4" w:space="0" w:color="auto"/>
              <w:right w:val="single" w:sz="4" w:space="0" w:color="auto"/>
            </w:tcBorders>
          </w:tcPr>
          <w:p w14:paraId="32BB25CF" w14:textId="53F3A05A" w:rsidR="0033503B" w:rsidRDefault="0033503B" w:rsidP="0033503B">
            <w:pPr>
              <w:jc w:val="right"/>
              <w:rPr>
                <w:rFonts w:cs="Arial"/>
                <w:b/>
                <w:bCs/>
              </w:rPr>
            </w:pPr>
            <w:r>
              <w:rPr>
                <w:rFonts w:cs="Arial"/>
                <w:b/>
                <w:bCs/>
              </w:rPr>
              <w:t>1280</w:t>
            </w:r>
          </w:p>
        </w:tc>
      </w:tr>
      <w:bookmarkEnd w:id="18"/>
    </w:tbl>
    <w:p w14:paraId="150EFBB1" w14:textId="77777777" w:rsidR="00124DB6" w:rsidRPr="0071779E" w:rsidRDefault="00124DB6" w:rsidP="00124DB6">
      <w:pPr>
        <w:ind w:left="-142" w:right="-425"/>
        <w:jc w:val="both"/>
        <w:rPr>
          <w:rFonts w:cs="Arial"/>
        </w:rPr>
      </w:pPr>
    </w:p>
    <w:p w14:paraId="7ADA6507" w14:textId="1F7C1979" w:rsidR="00124DB6" w:rsidRDefault="00124DB6" w:rsidP="00124DB6">
      <w:pPr>
        <w:ind w:left="-142" w:right="-425"/>
        <w:rPr>
          <w:rFonts w:cs="Arial"/>
          <w:sz w:val="16"/>
          <w:szCs w:val="16"/>
        </w:rPr>
      </w:pPr>
      <w:r>
        <w:rPr>
          <w:rFonts w:cs="Arial"/>
          <w:b/>
          <w:sz w:val="16"/>
          <w:szCs w:val="16"/>
        </w:rPr>
        <w:t>Table 11</w:t>
      </w:r>
      <w:r w:rsidRPr="00860212">
        <w:rPr>
          <w:rFonts w:cs="Arial"/>
          <w:b/>
          <w:sz w:val="16"/>
          <w:szCs w:val="16"/>
        </w:rPr>
        <w:t xml:space="preserve">: </w:t>
      </w:r>
      <w:r>
        <w:rPr>
          <w:rFonts w:cs="Arial"/>
          <w:sz w:val="16"/>
          <w:szCs w:val="16"/>
        </w:rPr>
        <w:t>Notices i</w:t>
      </w:r>
      <w:r w:rsidRPr="00D24CB4">
        <w:rPr>
          <w:rFonts w:cs="Arial"/>
          <w:sz w:val="16"/>
          <w:szCs w:val="16"/>
        </w:rPr>
        <w:t>n jurisdiction</w:t>
      </w:r>
      <w:r>
        <w:rPr>
          <w:rFonts w:cs="Arial"/>
          <w:b/>
          <w:sz w:val="16"/>
          <w:szCs w:val="16"/>
        </w:rPr>
        <w:t xml:space="preserve"> </w:t>
      </w:r>
      <w:r w:rsidRPr="00901D09">
        <w:rPr>
          <w:rFonts w:cs="Arial"/>
          <w:sz w:val="16"/>
          <w:szCs w:val="16"/>
        </w:rPr>
        <w:t xml:space="preserve">by community and quarter </w:t>
      </w:r>
      <w:r>
        <w:rPr>
          <w:rFonts w:cs="Arial"/>
          <w:sz w:val="16"/>
          <w:szCs w:val="16"/>
        </w:rPr>
        <w:t xml:space="preserve">1 </w:t>
      </w:r>
      <w:r>
        <w:rPr>
          <w:bCs/>
          <w:sz w:val="16"/>
          <w:szCs w:val="16"/>
        </w:rPr>
        <w:t>April</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0 June </w:t>
      </w:r>
      <w:r w:rsidRPr="0071779E">
        <w:rPr>
          <w:bCs/>
          <w:sz w:val="16"/>
          <w:szCs w:val="16"/>
        </w:rPr>
        <w:t>202</w:t>
      </w:r>
      <w:r>
        <w:rPr>
          <w:bCs/>
          <w:sz w:val="16"/>
          <w:szCs w:val="16"/>
        </w:rPr>
        <w:t>4</w:t>
      </w:r>
    </w:p>
    <w:p w14:paraId="2762B26F" w14:textId="77777777" w:rsidR="00124DB6" w:rsidRDefault="00124DB6" w:rsidP="00124DB6">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124DB6" w:rsidRPr="0093030B" w14:paraId="3DD8AFB0" w14:textId="77777777" w:rsidTr="00D744B8">
        <w:trPr>
          <w:trHeight w:val="480"/>
        </w:trPr>
        <w:tc>
          <w:tcPr>
            <w:tcW w:w="3460" w:type="dxa"/>
            <w:tcBorders>
              <w:top w:val="single" w:sz="4" w:space="0" w:color="auto"/>
              <w:left w:val="single" w:sz="4" w:space="0" w:color="auto"/>
              <w:bottom w:val="single" w:sz="4" w:space="0" w:color="auto"/>
              <w:right w:val="single" w:sz="4" w:space="0" w:color="auto"/>
            </w:tcBorders>
            <w:hideMark/>
          </w:tcPr>
          <w:p w14:paraId="10640D97" w14:textId="77777777" w:rsidR="00124DB6" w:rsidRPr="0093030B" w:rsidRDefault="00124DB6" w:rsidP="00124DB6">
            <w:pPr>
              <w:pStyle w:val="TableText"/>
              <w:ind w:left="49"/>
              <w:rPr>
                <w:b/>
                <w:lang w:eastAsia="en-AU"/>
              </w:rPr>
            </w:pPr>
            <w:bookmarkStart w:id="19"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696A1559" w14:textId="7FE3AA9F" w:rsidR="00124DB6" w:rsidRDefault="00124DB6" w:rsidP="00124DB6">
            <w:pPr>
              <w:pStyle w:val="TableText"/>
              <w:jc w:val="right"/>
              <w:rPr>
                <w:b/>
                <w:lang w:eastAsia="en-AU"/>
              </w:rPr>
            </w:pPr>
            <w:r>
              <w:rPr>
                <w:rFonts w:cs="Arial"/>
                <w:b/>
                <w:bCs/>
              </w:rPr>
              <w:t>Qtr 60</w:t>
            </w:r>
          </w:p>
        </w:tc>
        <w:tc>
          <w:tcPr>
            <w:tcW w:w="1012" w:type="dxa"/>
            <w:tcBorders>
              <w:top w:val="single" w:sz="4" w:space="0" w:color="auto"/>
              <w:left w:val="nil"/>
              <w:bottom w:val="single" w:sz="4" w:space="0" w:color="auto"/>
              <w:right w:val="single" w:sz="4" w:space="0" w:color="auto"/>
            </w:tcBorders>
          </w:tcPr>
          <w:p w14:paraId="25C1D9B7" w14:textId="42693F03" w:rsidR="00124DB6" w:rsidRDefault="00124DB6" w:rsidP="00124DB6">
            <w:pPr>
              <w:pStyle w:val="TableText"/>
              <w:jc w:val="right"/>
              <w:rPr>
                <w:b/>
                <w:lang w:eastAsia="en-AU"/>
              </w:rPr>
            </w:pPr>
            <w:r>
              <w:rPr>
                <w:rFonts w:cs="Arial"/>
                <w:b/>
                <w:bCs/>
              </w:rPr>
              <w:t>Qtr 61</w:t>
            </w:r>
          </w:p>
        </w:tc>
        <w:tc>
          <w:tcPr>
            <w:tcW w:w="1012" w:type="dxa"/>
            <w:tcBorders>
              <w:top w:val="single" w:sz="4" w:space="0" w:color="auto"/>
              <w:left w:val="nil"/>
              <w:bottom w:val="single" w:sz="4" w:space="0" w:color="auto"/>
              <w:right w:val="single" w:sz="4" w:space="0" w:color="auto"/>
            </w:tcBorders>
          </w:tcPr>
          <w:p w14:paraId="18CA07EA" w14:textId="42F0DDEF" w:rsidR="00124DB6" w:rsidRDefault="00124DB6" w:rsidP="00124DB6">
            <w:pPr>
              <w:pStyle w:val="TableText"/>
              <w:jc w:val="right"/>
              <w:rPr>
                <w:b/>
                <w:lang w:eastAsia="en-AU"/>
              </w:rPr>
            </w:pPr>
            <w:r>
              <w:rPr>
                <w:rFonts w:cs="Arial"/>
                <w:b/>
                <w:bCs/>
              </w:rPr>
              <w:t>Qtr 62</w:t>
            </w:r>
          </w:p>
        </w:tc>
        <w:tc>
          <w:tcPr>
            <w:tcW w:w="1012" w:type="dxa"/>
            <w:tcBorders>
              <w:top w:val="single" w:sz="4" w:space="0" w:color="auto"/>
              <w:left w:val="nil"/>
              <w:bottom w:val="single" w:sz="4" w:space="0" w:color="auto"/>
              <w:right w:val="single" w:sz="4" w:space="0" w:color="auto"/>
            </w:tcBorders>
          </w:tcPr>
          <w:p w14:paraId="199E6BF5" w14:textId="789EC637" w:rsidR="00124DB6" w:rsidRDefault="00124DB6" w:rsidP="00124DB6">
            <w:pPr>
              <w:pStyle w:val="TableText"/>
              <w:jc w:val="right"/>
              <w:rPr>
                <w:b/>
                <w:lang w:eastAsia="en-AU"/>
              </w:rPr>
            </w:pPr>
            <w:r>
              <w:rPr>
                <w:rFonts w:cs="Arial"/>
                <w:b/>
                <w:bCs/>
              </w:rPr>
              <w:t>Qtr 63</w:t>
            </w:r>
          </w:p>
        </w:tc>
        <w:tc>
          <w:tcPr>
            <w:tcW w:w="1012" w:type="dxa"/>
            <w:tcBorders>
              <w:top w:val="single" w:sz="4" w:space="0" w:color="auto"/>
              <w:left w:val="nil"/>
              <w:bottom w:val="single" w:sz="4" w:space="0" w:color="auto"/>
              <w:right w:val="single" w:sz="4" w:space="0" w:color="auto"/>
            </w:tcBorders>
          </w:tcPr>
          <w:p w14:paraId="6DA06893" w14:textId="57F2CF45" w:rsidR="00124DB6" w:rsidRDefault="00124DB6" w:rsidP="00124DB6">
            <w:pPr>
              <w:pStyle w:val="TableText"/>
              <w:jc w:val="right"/>
              <w:rPr>
                <w:rFonts w:cs="Arial"/>
                <w:b/>
                <w:bCs/>
              </w:rPr>
            </w:pPr>
            <w:r>
              <w:rPr>
                <w:rFonts w:cs="Arial"/>
                <w:b/>
                <w:bCs/>
              </w:rPr>
              <w:t>Qtr 6</w:t>
            </w:r>
            <w:r>
              <w:rPr>
                <w:rFonts w:cs="Arial"/>
                <w:b/>
                <w:bCs/>
              </w:rPr>
              <w:t>4</w:t>
            </w:r>
          </w:p>
        </w:tc>
      </w:tr>
      <w:tr w:rsidR="0033503B" w:rsidRPr="0093030B" w14:paraId="08490909"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3CD8B626" w14:textId="77777777" w:rsidR="0033503B" w:rsidRPr="0093030B" w:rsidRDefault="0033503B" w:rsidP="0033503B">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60D0A705" w14:textId="3C86DEE6" w:rsidR="0033503B" w:rsidRDefault="0033503B" w:rsidP="0033503B">
            <w:pPr>
              <w:jc w:val="right"/>
              <w:rPr>
                <w:rFonts w:cs="Arial"/>
              </w:rPr>
            </w:pPr>
            <w:r>
              <w:rPr>
                <w:rFonts w:cs="Arial"/>
              </w:rPr>
              <w:t>645</w:t>
            </w:r>
          </w:p>
        </w:tc>
        <w:tc>
          <w:tcPr>
            <w:tcW w:w="1012" w:type="dxa"/>
            <w:tcBorders>
              <w:top w:val="nil"/>
              <w:left w:val="nil"/>
              <w:bottom w:val="single" w:sz="4" w:space="0" w:color="auto"/>
              <w:right w:val="single" w:sz="4" w:space="0" w:color="auto"/>
            </w:tcBorders>
          </w:tcPr>
          <w:p w14:paraId="3FA45524" w14:textId="39454493" w:rsidR="0033503B" w:rsidRDefault="0033503B" w:rsidP="0033503B">
            <w:pPr>
              <w:jc w:val="right"/>
              <w:rPr>
                <w:rFonts w:cs="Arial"/>
              </w:rPr>
            </w:pPr>
            <w:r>
              <w:rPr>
                <w:rFonts w:cs="Arial"/>
              </w:rPr>
              <w:t>577</w:t>
            </w:r>
          </w:p>
        </w:tc>
        <w:tc>
          <w:tcPr>
            <w:tcW w:w="1012" w:type="dxa"/>
            <w:tcBorders>
              <w:top w:val="nil"/>
              <w:left w:val="nil"/>
              <w:bottom w:val="single" w:sz="4" w:space="0" w:color="auto"/>
              <w:right w:val="single" w:sz="4" w:space="0" w:color="auto"/>
            </w:tcBorders>
          </w:tcPr>
          <w:p w14:paraId="1E631641" w14:textId="78799751" w:rsidR="0033503B" w:rsidRDefault="0033503B" w:rsidP="0033503B">
            <w:pPr>
              <w:jc w:val="right"/>
              <w:rPr>
                <w:rFonts w:cs="Arial"/>
              </w:rPr>
            </w:pPr>
            <w:r>
              <w:rPr>
                <w:rFonts w:cs="Arial"/>
              </w:rPr>
              <w:t>606</w:t>
            </w:r>
          </w:p>
        </w:tc>
        <w:tc>
          <w:tcPr>
            <w:tcW w:w="1012" w:type="dxa"/>
            <w:tcBorders>
              <w:top w:val="nil"/>
              <w:left w:val="nil"/>
              <w:bottom w:val="single" w:sz="4" w:space="0" w:color="auto"/>
              <w:right w:val="single" w:sz="4" w:space="0" w:color="auto"/>
            </w:tcBorders>
          </w:tcPr>
          <w:p w14:paraId="5A597CBA" w14:textId="319F4CEE" w:rsidR="0033503B" w:rsidRDefault="0033503B" w:rsidP="0033503B">
            <w:pPr>
              <w:jc w:val="right"/>
              <w:rPr>
                <w:rFonts w:cs="Arial"/>
              </w:rPr>
            </w:pPr>
            <w:r>
              <w:rPr>
                <w:rFonts w:cs="Arial"/>
              </w:rPr>
              <w:t>543</w:t>
            </w:r>
          </w:p>
        </w:tc>
        <w:tc>
          <w:tcPr>
            <w:tcW w:w="1012" w:type="dxa"/>
            <w:tcBorders>
              <w:top w:val="nil"/>
              <w:left w:val="nil"/>
              <w:bottom w:val="single" w:sz="4" w:space="0" w:color="auto"/>
              <w:right w:val="single" w:sz="4" w:space="0" w:color="auto"/>
            </w:tcBorders>
          </w:tcPr>
          <w:p w14:paraId="3612BF7E" w14:textId="752860ED" w:rsidR="0033503B" w:rsidRDefault="0033503B" w:rsidP="0033503B">
            <w:pPr>
              <w:jc w:val="right"/>
              <w:rPr>
                <w:rFonts w:cs="Arial"/>
              </w:rPr>
            </w:pPr>
            <w:r>
              <w:rPr>
                <w:rFonts w:cs="Arial"/>
              </w:rPr>
              <w:t>634</w:t>
            </w:r>
          </w:p>
        </w:tc>
      </w:tr>
      <w:tr w:rsidR="0033503B" w:rsidRPr="0093030B" w14:paraId="2299ACEA"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74EC63F3" w14:textId="77777777" w:rsidR="0033503B" w:rsidRPr="0093030B" w:rsidRDefault="0033503B" w:rsidP="0033503B">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2BC35EA2" w14:textId="70D02610" w:rsidR="0033503B" w:rsidRDefault="0033503B" w:rsidP="0033503B">
            <w:pPr>
              <w:jc w:val="right"/>
              <w:rPr>
                <w:rFonts w:cs="Arial"/>
              </w:rPr>
            </w:pPr>
            <w:r>
              <w:rPr>
                <w:rFonts w:cs="Arial"/>
              </w:rPr>
              <w:t>24</w:t>
            </w:r>
          </w:p>
        </w:tc>
        <w:tc>
          <w:tcPr>
            <w:tcW w:w="1012" w:type="dxa"/>
            <w:tcBorders>
              <w:top w:val="nil"/>
              <w:left w:val="nil"/>
              <w:bottom w:val="single" w:sz="4" w:space="0" w:color="auto"/>
              <w:right w:val="single" w:sz="4" w:space="0" w:color="auto"/>
            </w:tcBorders>
          </w:tcPr>
          <w:p w14:paraId="01124259" w14:textId="4DCD42AC" w:rsidR="0033503B" w:rsidRDefault="0033503B" w:rsidP="0033503B">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34880D79" w14:textId="1156F8BE" w:rsidR="0033503B" w:rsidRDefault="0033503B" w:rsidP="0033503B">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6279BD30" w14:textId="70652F83" w:rsidR="0033503B" w:rsidRDefault="0033503B" w:rsidP="0033503B">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735BC4CC" w14:textId="291B5803" w:rsidR="0033503B" w:rsidRDefault="0033503B" w:rsidP="0033503B">
            <w:pPr>
              <w:jc w:val="right"/>
              <w:rPr>
                <w:rFonts w:cs="Arial"/>
              </w:rPr>
            </w:pPr>
            <w:r>
              <w:rPr>
                <w:rFonts w:cs="Arial"/>
              </w:rPr>
              <w:t>26</w:t>
            </w:r>
          </w:p>
        </w:tc>
      </w:tr>
      <w:tr w:rsidR="0033503B" w:rsidRPr="0093030B" w14:paraId="20CCA7B5"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7C8B4893" w14:textId="77777777" w:rsidR="0033503B" w:rsidRPr="0093030B" w:rsidRDefault="0033503B" w:rsidP="0033503B">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066C18C1" w14:textId="52C2D979" w:rsidR="0033503B" w:rsidRDefault="0033503B" w:rsidP="0033503B">
            <w:pPr>
              <w:jc w:val="right"/>
              <w:rPr>
                <w:rFonts w:cs="Arial"/>
              </w:rPr>
            </w:pPr>
            <w:r>
              <w:rPr>
                <w:rFonts w:cs="Arial"/>
              </w:rPr>
              <w:t>417</w:t>
            </w:r>
          </w:p>
        </w:tc>
        <w:tc>
          <w:tcPr>
            <w:tcW w:w="1012" w:type="dxa"/>
            <w:tcBorders>
              <w:top w:val="nil"/>
              <w:left w:val="nil"/>
              <w:bottom w:val="single" w:sz="4" w:space="0" w:color="auto"/>
              <w:right w:val="single" w:sz="4" w:space="0" w:color="auto"/>
            </w:tcBorders>
          </w:tcPr>
          <w:p w14:paraId="7BFE6692" w14:textId="4DD111E6" w:rsidR="0033503B" w:rsidRDefault="0033503B" w:rsidP="0033503B">
            <w:pPr>
              <w:jc w:val="right"/>
              <w:rPr>
                <w:rFonts w:cs="Arial"/>
              </w:rPr>
            </w:pPr>
            <w:r>
              <w:rPr>
                <w:rFonts w:cs="Arial"/>
              </w:rPr>
              <w:t>407</w:t>
            </w:r>
          </w:p>
        </w:tc>
        <w:tc>
          <w:tcPr>
            <w:tcW w:w="1012" w:type="dxa"/>
            <w:tcBorders>
              <w:top w:val="nil"/>
              <w:left w:val="nil"/>
              <w:bottom w:val="single" w:sz="4" w:space="0" w:color="auto"/>
              <w:right w:val="single" w:sz="4" w:space="0" w:color="auto"/>
            </w:tcBorders>
          </w:tcPr>
          <w:p w14:paraId="69B1F3A9" w14:textId="221FC4B6" w:rsidR="0033503B" w:rsidRDefault="0033503B" w:rsidP="0033503B">
            <w:pPr>
              <w:jc w:val="right"/>
              <w:rPr>
                <w:rFonts w:cs="Arial"/>
              </w:rPr>
            </w:pPr>
            <w:r>
              <w:rPr>
                <w:rFonts w:cs="Arial"/>
              </w:rPr>
              <w:t>345</w:t>
            </w:r>
          </w:p>
        </w:tc>
        <w:tc>
          <w:tcPr>
            <w:tcW w:w="1012" w:type="dxa"/>
            <w:tcBorders>
              <w:top w:val="nil"/>
              <w:left w:val="nil"/>
              <w:bottom w:val="single" w:sz="4" w:space="0" w:color="auto"/>
              <w:right w:val="single" w:sz="4" w:space="0" w:color="auto"/>
            </w:tcBorders>
          </w:tcPr>
          <w:p w14:paraId="6ADD87B6" w14:textId="659C8B59" w:rsidR="0033503B" w:rsidRDefault="0033503B" w:rsidP="0033503B">
            <w:pPr>
              <w:jc w:val="right"/>
              <w:rPr>
                <w:rFonts w:cs="Arial"/>
              </w:rPr>
            </w:pPr>
            <w:r>
              <w:rPr>
                <w:rFonts w:cs="Arial"/>
              </w:rPr>
              <w:t>313</w:t>
            </w:r>
          </w:p>
        </w:tc>
        <w:tc>
          <w:tcPr>
            <w:tcW w:w="1012" w:type="dxa"/>
            <w:tcBorders>
              <w:top w:val="nil"/>
              <w:left w:val="nil"/>
              <w:bottom w:val="single" w:sz="4" w:space="0" w:color="auto"/>
              <w:right w:val="single" w:sz="4" w:space="0" w:color="auto"/>
            </w:tcBorders>
          </w:tcPr>
          <w:p w14:paraId="4FAC51D8" w14:textId="190C44EE" w:rsidR="0033503B" w:rsidRDefault="0033503B" w:rsidP="0033503B">
            <w:pPr>
              <w:jc w:val="right"/>
              <w:rPr>
                <w:rFonts w:cs="Arial"/>
              </w:rPr>
            </w:pPr>
            <w:r>
              <w:rPr>
                <w:rFonts w:cs="Arial"/>
              </w:rPr>
              <w:t>361</w:t>
            </w:r>
          </w:p>
        </w:tc>
      </w:tr>
      <w:tr w:rsidR="0033503B" w:rsidRPr="0093030B" w14:paraId="6232BB80"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664A953B" w14:textId="77777777" w:rsidR="0033503B" w:rsidRPr="0093030B" w:rsidRDefault="0033503B" w:rsidP="0033503B">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564BE767" w14:textId="6BDC3BFE" w:rsidR="0033503B" w:rsidRDefault="0033503B" w:rsidP="0033503B">
            <w:pPr>
              <w:jc w:val="right"/>
              <w:rPr>
                <w:rFonts w:cs="Arial"/>
              </w:rPr>
            </w:pPr>
            <w:r>
              <w:rPr>
                <w:rFonts w:cs="Arial"/>
              </w:rPr>
              <w:t>267</w:t>
            </w:r>
          </w:p>
        </w:tc>
        <w:tc>
          <w:tcPr>
            <w:tcW w:w="1012" w:type="dxa"/>
            <w:tcBorders>
              <w:top w:val="nil"/>
              <w:left w:val="nil"/>
              <w:bottom w:val="single" w:sz="4" w:space="0" w:color="auto"/>
              <w:right w:val="single" w:sz="4" w:space="0" w:color="auto"/>
            </w:tcBorders>
          </w:tcPr>
          <w:p w14:paraId="38F934A2" w14:textId="595DACEB" w:rsidR="0033503B" w:rsidRDefault="0033503B" w:rsidP="0033503B">
            <w:pPr>
              <w:jc w:val="right"/>
              <w:rPr>
                <w:rFonts w:cs="Arial"/>
              </w:rPr>
            </w:pPr>
            <w:r>
              <w:rPr>
                <w:rFonts w:cs="Arial"/>
              </w:rPr>
              <w:t>317</w:t>
            </w:r>
          </w:p>
        </w:tc>
        <w:tc>
          <w:tcPr>
            <w:tcW w:w="1012" w:type="dxa"/>
            <w:tcBorders>
              <w:top w:val="nil"/>
              <w:left w:val="nil"/>
              <w:bottom w:val="single" w:sz="4" w:space="0" w:color="auto"/>
              <w:right w:val="single" w:sz="4" w:space="0" w:color="auto"/>
            </w:tcBorders>
          </w:tcPr>
          <w:p w14:paraId="4B64F900" w14:textId="442067B9" w:rsidR="0033503B" w:rsidRDefault="0033503B" w:rsidP="0033503B">
            <w:pPr>
              <w:jc w:val="right"/>
              <w:rPr>
                <w:rFonts w:cs="Arial"/>
              </w:rPr>
            </w:pPr>
            <w:r>
              <w:rPr>
                <w:rFonts w:cs="Arial"/>
              </w:rPr>
              <w:t>246</w:t>
            </w:r>
          </w:p>
        </w:tc>
        <w:tc>
          <w:tcPr>
            <w:tcW w:w="1012" w:type="dxa"/>
            <w:tcBorders>
              <w:top w:val="nil"/>
              <w:left w:val="nil"/>
              <w:bottom w:val="single" w:sz="4" w:space="0" w:color="auto"/>
              <w:right w:val="single" w:sz="4" w:space="0" w:color="auto"/>
            </w:tcBorders>
          </w:tcPr>
          <w:p w14:paraId="7BB16025" w14:textId="3E3A0524" w:rsidR="0033503B" w:rsidRDefault="0033503B" w:rsidP="0033503B">
            <w:pPr>
              <w:jc w:val="right"/>
              <w:rPr>
                <w:rFonts w:cs="Arial"/>
              </w:rPr>
            </w:pPr>
            <w:r>
              <w:rPr>
                <w:rFonts w:cs="Arial"/>
              </w:rPr>
              <w:t>176</w:t>
            </w:r>
          </w:p>
        </w:tc>
        <w:tc>
          <w:tcPr>
            <w:tcW w:w="1012" w:type="dxa"/>
            <w:tcBorders>
              <w:top w:val="nil"/>
              <w:left w:val="nil"/>
              <w:bottom w:val="single" w:sz="4" w:space="0" w:color="auto"/>
              <w:right w:val="single" w:sz="4" w:space="0" w:color="auto"/>
            </w:tcBorders>
          </w:tcPr>
          <w:p w14:paraId="5EC261E7" w14:textId="06BD3023" w:rsidR="0033503B" w:rsidRDefault="0033503B" w:rsidP="0033503B">
            <w:pPr>
              <w:jc w:val="right"/>
              <w:rPr>
                <w:rFonts w:cs="Arial"/>
              </w:rPr>
            </w:pPr>
            <w:r>
              <w:rPr>
                <w:rFonts w:cs="Arial"/>
              </w:rPr>
              <w:t>213</w:t>
            </w:r>
          </w:p>
        </w:tc>
      </w:tr>
      <w:tr w:rsidR="0033503B" w:rsidRPr="0093030B" w14:paraId="6463AA66"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4F4FFC82" w14:textId="77777777" w:rsidR="0033503B" w:rsidRPr="0093030B" w:rsidRDefault="0033503B" w:rsidP="0033503B">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4A96ED5A" w14:textId="0F525DEE" w:rsidR="0033503B" w:rsidRDefault="0033503B" w:rsidP="0033503B">
            <w:pPr>
              <w:jc w:val="right"/>
              <w:rPr>
                <w:rFonts w:cs="Arial"/>
              </w:rPr>
            </w:pPr>
            <w:r>
              <w:rPr>
                <w:rFonts w:cs="Arial"/>
              </w:rPr>
              <w:t>55</w:t>
            </w:r>
          </w:p>
        </w:tc>
        <w:tc>
          <w:tcPr>
            <w:tcW w:w="1012" w:type="dxa"/>
            <w:tcBorders>
              <w:top w:val="nil"/>
              <w:left w:val="nil"/>
              <w:bottom w:val="single" w:sz="4" w:space="0" w:color="auto"/>
              <w:right w:val="single" w:sz="4" w:space="0" w:color="auto"/>
            </w:tcBorders>
          </w:tcPr>
          <w:p w14:paraId="1B1C85A4" w14:textId="63A80E10" w:rsidR="0033503B" w:rsidRDefault="0033503B" w:rsidP="0033503B">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303FA64B" w14:textId="7A40CC13" w:rsidR="0033503B" w:rsidRDefault="0033503B" w:rsidP="0033503B">
            <w:pPr>
              <w:jc w:val="right"/>
              <w:rPr>
                <w:rFonts w:cs="Arial"/>
              </w:rPr>
            </w:pPr>
            <w:r>
              <w:rPr>
                <w:rFonts w:cs="Arial"/>
              </w:rPr>
              <w:t>47</w:t>
            </w:r>
          </w:p>
        </w:tc>
        <w:tc>
          <w:tcPr>
            <w:tcW w:w="1012" w:type="dxa"/>
            <w:tcBorders>
              <w:top w:val="nil"/>
              <w:left w:val="nil"/>
              <w:bottom w:val="single" w:sz="4" w:space="0" w:color="auto"/>
              <w:right w:val="single" w:sz="4" w:space="0" w:color="auto"/>
            </w:tcBorders>
          </w:tcPr>
          <w:p w14:paraId="14DB4A30" w14:textId="4E0406E8" w:rsidR="0033503B" w:rsidRDefault="0033503B" w:rsidP="0033503B">
            <w:pPr>
              <w:jc w:val="right"/>
              <w:rPr>
                <w:rFonts w:cs="Arial"/>
              </w:rPr>
            </w:pPr>
            <w:r>
              <w:rPr>
                <w:rFonts w:cs="Arial"/>
              </w:rPr>
              <w:t>33</w:t>
            </w:r>
          </w:p>
        </w:tc>
        <w:tc>
          <w:tcPr>
            <w:tcW w:w="1012" w:type="dxa"/>
            <w:tcBorders>
              <w:top w:val="nil"/>
              <w:left w:val="nil"/>
              <w:bottom w:val="single" w:sz="4" w:space="0" w:color="auto"/>
              <w:right w:val="single" w:sz="4" w:space="0" w:color="auto"/>
            </w:tcBorders>
          </w:tcPr>
          <w:p w14:paraId="3BB9DD18" w14:textId="22EC61BE" w:rsidR="0033503B" w:rsidRDefault="0033503B" w:rsidP="0033503B">
            <w:pPr>
              <w:jc w:val="right"/>
              <w:rPr>
                <w:rFonts w:cs="Arial"/>
              </w:rPr>
            </w:pPr>
            <w:r>
              <w:rPr>
                <w:rFonts w:cs="Arial"/>
              </w:rPr>
              <w:t>46</w:t>
            </w:r>
          </w:p>
        </w:tc>
      </w:tr>
      <w:tr w:rsidR="0033503B" w:rsidRPr="0093030B" w14:paraId="667A01BE" w14:textId="77777777" w:rsidTr="00D744B8">
        <w:trPr>
          <w:trHeight w:val="255"/>
        </w:trPr>
        <w:tc>
          <w:tcPr>
            <w:tcW w:w="3460" w:type="dxa"/>
            <w:tcBorders>
              <w:top w:val="nil"/>
              <w:left w:val="single" w:sz="4" w:space="0" w:color="auto"/>
              <w:bottom w:val="single" w:sz="4" w:space="0" w:color="auto"/>
              <w:right w:val="single" w:sz="4" w:space="0" w:color="auto"/>
            </w:tcBorders>
            <w:noWrap/>
            <w:hideMark/>
          </w:tcPr>
          <w:p w14:paraId="5E8CEC3C" w14:textId="77777777" w:rsidR="0033503B" w:rsidRPr="0093030B" w:rsidRDefault="0033503B" w:rsidP="0033503B">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F4FAA30" w14:textId="3E99C7C1" w:rsidR="0033503B" w:rsidRDefault="0033503B" w:rsidP="0033503B">
            <w:pPr>
              <w:jc w:val="right"/>
              <w:rPr>
                <w:rFonts w:cs="Arial"/>
                <w:b/>
                <w:bCs/>
              </w:rPr>
            </w:pPr>
            <w:r>
              <w:rPr>
                <w:rFonts w:cs="Arial"/>
                <w:b/>
                <w:bCs/>
              </w:rPr>
              <w:t>1408</w:t>
            </w:r>
          </w:p>
        </w:tc>
        <w:tc>
          <w:tcPr>
            <w:tcW w:w="1012" w:type="dxa"/>
            <w:tcBorders>
              <w:top w:val="nil"/>
              <w:left w:val="nil"/>
              <w:bottom w:val="single" w:sz="4" w:space="0" w:color="auto"/>
              <w:right w:val="single" w:sz="4" w:space="0" w:color="auto"/>
            </w:tcBorders>
          </w:tcPr>
          <w:p w14:paraId="0E40DEF7" w14:textId="55E4FF8F" w:rsidR="0033503B" w:rsidRDefault="0033503B" w:rsidP="0033503B">
            <w:pPr>
              <w:jc w:val="right"/>
              <w:rPr>
                <w:rFonts w:cs="Arial"/>
                <w:b/>
                <w:bCs/>
              </w:rPr>
            </w:pPr>
            <w:r>
              <w:rPr>
                <w:rFonts w:cs="Arial"/>
                <w:b/>
                <w:bCs/>
              </w:rPr>
              <w:t>1434</w:t>
            </w:r>
          </w:p>
        </w:tc>
        <w:tc>
          <w:tcPr>
            <w:tcW w:w="1012" w:type="dxa"/>
            <w:tcBorders>
              <w:top w:val="nil"/>
              <w:left w:val="nil"/>
              <w:bottom w:val="single" w:sz="4" w:space="0" w:color="auto"/>
              <w:right w:val="single" w:sz="4" w:space="0" w:color="auto"/>
            </w:tcBorders>
          </w:tcPr>
          <w:p w14:paraId="69B64FF1" w14:textId="51969DC4" w:rsidR="0033503B" w:rsidRDefault="0033503B" w:rsidP="0033503B">
            <w:pPr>
              <w:jc w:val="right"/>
              <w:rPr>
                <w:rFonts w:cs="Arial"/>
                <w:b/>
                <w:bCs/>
              </w:rPr>
            </w:pPr>
            <w:r>
              <w:rPr>
                <w:rFonts w:cs="Arial"/>
                <w:b/>
                <w:bCs/>
              </w:rPr>
              <w:t>1266</w:t>
            </w:r>
          </w:p>
        </w:tc>
        <w:tc>
          <w:tcPr>
            <w:tcW w:w="1012" w:type="dxa"/>
            <w:tcBorders>
              <w:top w:val="nil"/>
              <w:left w:val="nil"/>
              <w:bottom w:val="single" w:sz="4" w:space="0" w:color="auto"/>
              <w:right w:val="single" w:sz="4" w:space="0" w:color="auto"/>
            </w:tcBorders>
          </w:tcPr>
          <w:p w14:paraId="1225C2D2" w14:textId="23DFBC55" w:rsidR="0033503B" w:rsidRDefault="0033503B" w:rsidP="0033503B">
            <w:pPr>
              <w:jc w:val="right"/>
              <w:rPr>
                <w:rFonts w:cs="Arial"/>
                <w:b/>
                <w:bCs/>
              </w:rPr>
            </w:pPr>
            <w:r>
              <w:rPr>
                <w:rFonts w:cs="Arial"/>
                <w:b/>
                <w:bCs/>
              </w:rPr>
              <w:t>1087</w:t>
            </w:r>
          </w:p>
        </w:tc>
        <w:tc>
          <w:tcPr>
            <w:tcW w:w="1012" w:type="dxa"/>
            <w:tcBorders>
              <w:top w:val="nil"/>
              <w:left w:val="nil"/>
              <w:bottom w:val="single" w:sz="4" w:space="0" w:color="auto"/>
              <w:right w:val="single" w:sz="4" w:space="0" w:color="auto"/>
            </w:tcBorders>
          </w:tcPr>
          <w:p w14:paraId="4DAFA5D7" w14:textId="616E843F" w:rsidR="0033503B" w:rsidRDefault="0033503B" w:rsidP="0033503B">
            <w:pPr>
              <w:jc w:val="right"/>
              <w:rPr>
                <w:rFonts w:cs="Arial"/>
                <w:b/>
                <w:bCs/>
              </w:rPr>
            </w:pPr>
            <w:r>
              <w:rPr>
                <w:rFonts w:cs="Arial"/>
                <w:b/>
                <w:bCs/>
              </w:rPr>
              <w:t>1280</w:t>
            </w:r>
          </w:p>
        </w:tc>
      </w:tr>
      <w:bookmarkEnd w:id="19"/>
    </w:tbl>
    <w:p w14:paraId="10452132" w14:textId="77777777" w:rsidR="00124DB6" w:rsidRDefault="00124DB6" w:rsidP="005A5B78">
      <w:pPr>
        <w:ind w:left="-142" w:right="-425"/>
        <w:jc w:val="both"/>
        <w:rPr>
          <w:rFonts w:cs="Arial"/>
        </w:rPr>
      </w:pPr>
    </w:p>
    <w:p w14:paraId="5D53EAA0" w14:textId="249BA64A" w:rsidR="005A5B78" w:rsidRPr="00143FBB" w:rsidRDefault="005A5B78" w:rsidP="00124DB6">
      <w:pPr>
        <w:pStyle w:val="Heading2"/>
      </w:pPr>
      <w:r w:rsidRPr="00143FBB">
        <w:t>Conferences</w:t>
      </w:r>
    </w:p>
    <w:p w14:paraId="775CD6DC" w14:textId="03BAB7C3" w:rsidR="00DD1B0A" w:rsidRDefault="001C4411" w:rsidP="00CB1032">
      <w:pPr>
        <w:ind w:left="-142" w:right="-425"/>
        <w:jc w:val="both"/>
      </w:pPr>
      <w:r>
        <w:rPr>
          <w:rFonts w:cs="Arial"/>
        </w:rPr>
        <w:t xml:space="preserve">In quarter </w:t>
      </w:r>
      <w:r w:rsidR="00BC09BB">
        <w:rPr>
          <w:rFonts w:cs="Arial"/>
        </w:rPr>
        <w:t>6</w:t>
      </w:r>
      <w:r w:rsidR="00B8731E">
        <w:rPr>
          <w:rFonts w:cs="Arial"/>
        </w:rPr>
        <w:t>4</w:t>
      </w:r>
      <w:r w:rsidR="00362DE8">
        <w:rPr>
          <w:rFonts w:cs="Arial"/>
        </w:rPr>
        <w:t xml:space="preserve"> </w:t>
      </w:r>
      <w:r w:rsidR="00603C65">
        <w:rPr>
          <w:rFonts w:cs="Arial"/>
        </w:rPr>
        <w:t>2</w:t>
      </w:r>
      <w:r w:rsidR="00AC020C">
        <w:rPr>
          <w:rFonts w:cs="Arial"/>
        </w:rPr>
        <w:t>01</w:t>
      </w:r>
      <w:r w:rsidR="00603C65">
        <w:rPr>
          <w:rFonts w:cs="Arial"/>
        </w:rPr>
        <w:t xml:space="preserve">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603C65">
        <w:rPr>
          <w:rFonts w:cs="Arial"/>
        </w:rPr>
        <w:t>1</w:t>
      </w:r>
      <w:r w:rsidR="00E27302">
        <w:rPr>
          <w:rFonts w:cs="Arial"/>
        </w:rPr>
        <w:t>72</w:t>
      </w:r>
      <w:r w:rsidR="00603C65">
        <w:rPr>
          <w:rFonts w:cs="Arial"/>
        </w:rPr>
        <w:t xml:space="preserve">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7B1A7C">
        <w:t xml:space="preserve">increased </w:t>
      </w:r>
      <w:r w:rsidR="00803D0A">
        <w:t xml:space="preserve">from </w:t>
      </w:r>
      <w:r w:rsidR="004D0C91">
        <w:t>6</w:t>
      </w:r>
      <w:r w:rsidR="00A115B9">
        <w:t>9.7</w:t>
      </w:r>
      <w:r w:rsidR="00DD36DF">
        <w:rPr>
          <w:rFonts w:cs="Arial"/>
        </w:rPr>
        <w:t>%</w:t>
      </w:r>
      <w:r w:rsidR="00FC7C1D">
        <w:rPr>
          <w:rFonts w:cs="Arial"/>
        </w:rPr>
        <w:t xml:space="preserve"> </w:t>
      </w:r>
      <w:r w:rsidR="00803D0A">
        <w:t xml:space="preserve">in quarter </w:t>
      </w:r>
      <w:r w:rsidR="00CD21A9">
        <w:t>6</w:t>
      </w:r>
      <w:r w:rsidR="00A115B9">
        <w:t>3</w:t>
      </w:r>
      <w:r w:rsidR="00CB7115">
        <w:t xml:space="preserve"> </w:t>
      </w:r>
      <w:r w:rsidR="00803D0A">
        <w:t xml:space="preserve">to </w:t>
      </w:r>
      <w:r w:rsidR="00A115B9">
        <w:t>76.1</w:t>
      </w:r>
      <w:r w:rsidR="00DD36DF">
        <w:rPr>
          <w:rFonts w:cs="Arial"/>
        </w:rPr>
        <w:t>%</w:t>
      </w:r>
      <w:r w:rsidR="00FC7C1D">
        <w:rPr>
          <w:rFonts w:cs="Arial"/>
        </w:rPr>
        <w:t xml:space="preserve"> </w:t>
      </w:r>
      <w:r w:rsidR="00803D0A">
        <w:t xml:space="preserve">in quarter </w:t>
      </w:r>
      <w:r w:rsidR="00BC09BB">
        <w:t>6</w:t>
      </w:r>
      <w:r w:rsidR="00A115B9">
        <w:t>4</w:t>
      </w:r>
      <w:r w:rsidR="008637A3">
        <w:t>.</w:t>
      </w:r>
    </w:p>
    <w:p w14:paraId="3D58187E" w14:textId="77777777" w:rsidR="004D5B34" w:rsidRDefault="004D5B34" w:rsidP="00CB1032">
      <w:pPr>
        <w:ind w:left="-142" w:right="-425"/>
        <w:jc w:val="both"/>
        <w:rPr>
          <w:rFonts w:cs="Arial"/>
        </w:rPr>
      </w:pPr>
    </w:p>
    <w:p w14:paraId="31F6EA37" w14:textId="55661AE0" w:rsidR="00124DB6" w:rsidRDefault="00124DB6" w:rsidP="00124DB6">
      <w:pPr>
        <w:ind w:left="-142" w:right="-425"/>
        <w:rPr>
          <w:rFonts w:cs="Arial"/>
          <w:sz w:val="16"/>
          <w:szCs w:val="16"/>
        </w:rPr>
      </w:pPr>
      <w:r>
        <w:rPr>
          <w:rFonts w:cs="Arial"/>
          <w:b/>
          <w:sz w:val="16"/>
          <w:szCs w:val="16"/>
        </w:rPr>
        <w:t>Table 12</w:t>
      </w:r>
      <w:r w:rsidRPr="00122C57">
        <w:rPr>
          <w:rFonts w:cs="Arial"/>
          <w:b/>
          <w:sz w:val="16"/>
          <w:szCs w:val="16"/>
        </w:rPr>
        <w:t>:</w:t>
      </w:r>
      <w:r w:rsidRPr="00122C57">
        <w:rPr>
          <w:rFonts w:cs="Arial"/>
          <w:sz w:val="16"/>
          <w:szCs w:val="16"/>
        </w:rPr>
        <w:t xml:space="preserve"> Conferences by community and quarter </w:t>
      </w:r>
      <w:r>
        <w:rPr>
          <w:rFonts w:cs="Arial"/>
          <w:sz w:val="16"/>
          <w:szCs w:val="16"/>
        </w:rPr>
        <w:t xml:space="preserve">1 </w:t>
      </w:r>
      <w:r>
        <w:rPr>
          <w:bCs/>
          <w:sz w:val="16"/>
          <w:szCs w:val="16"/>
        </w:rPr>
        <w:t>April</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0 June </w:t>
      </w:r>
      <w:r w:rsidRPr="0071779E">
        <w:rPr>
          <w:bCs/>
          <w:sz w:val="16"/>
          <w:szCs w:val="16"/>
        </w:rPr>
        <w:t>202</w:t>
      </w:r>
      <w:r>
        <w:rPr>
          <w:bCs/>
          <w:sz w:val="16"/>
          <w:szCs w:val="16"/>
        </w:rPr>
        <w:t>4</w:t>
      </w:r>
    </w:p>
    <w:p w14:paraId="68841911" w14:textId="77777777" w:rsidR="00124DB6" w:rsidRPr="0071779E" w:rsidRDefault="00124DB6" w:rsidP="00124DB6">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124DB6" w:rsidRPr="00C5395B" w14:paraId="53B9F8CE" w14:textId="77777777" w:rsidTr="00D744B8">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2EC2A041" w14:textId="77777777" w:rsidR="00124DB6" w:rsidRPr="00C5395B" w:rsidRDefault="00124DB6" w:rsidP="00124DB6">
            <w:pPr>
              <w:pStyle w:val="TableText"/>
              <w:rPr>
                <w:b/>
                <w:lang w:eastAsia="en-AU"/>
              </w:rPr>
            </w:pPr>
            <w:bookmarkStart w:id="20" w:name="_Hlk158965956"/>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7B8AB9D9" w14:textId="1EBD29B1" w:rsidR="00124DB6" w:rsidRDefault="00124DB6" w:rsidP="00124DB6">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1408AAAD" w14:textId="2E8D48BB" w:rsidR="00124DB6" w:rsidRDefault="00124DB6" w:rsidP="00124DB6">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2B88779B" w14:textId="19A3D19A" w:rsidR="00124DB6" w:rsidRDefault="00124DB6" w:rsidP="00124DB6">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2D613719" w14:textId="48D1A210" w:rsidR="00124DB6" w:rsidRDefault="00124DB6" w:rsidP="00124DB6">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058B7FFE" w14:textId="6041C619" w:rsidR="00124DB6" w:rsidRPr="00BA518C" w:rsidRDefault="00124DB6" w:rsidP="00124DB6">
            <w:pPr>
              <w:pStyle w:val="TableText"/>
              <w:jc w:val="right"/>
              <w:rPr>
                <w:b/>
                <w:lang w:eastAsia="en-AU"/>
              </w:rPr>
            </w:pPr>
            <w:r w:rsidRPr="00BA518C">
              <w:rPr>
                <w:b/>
                <w:lang w:eastAsia="en-AU"/>
              </w:rPr>
              <w:t>Qtr 6</w:t>
            </w:r>
            <w:r>
              <w:rPr>
                <w:b/>
                <w:lang w:eastAsia="en-AU"/>
              </w:rPr>
              <w:t>4</w:t>
            </w:r>
          </w:p>
        </w:tc>
      </w:tr>
      <w:tr w:rsidR="0033503B" w:rsidRPr="00C5395B" w14:paraId="624F0CCB"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208AE642" w14:textId="77777777" w:rsidR="0033503B" w:rsidRPr="00C5395B" w:rsidRDefault="0033503B" w:rsidP="0033503B">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BB02947" w14:textId="0014062D" w:rsidR="0033503B" w:rsidRDefault="0033503B" w:rsidP="0033503B">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002C3E39" w14:textId="23F00CEF" w:rsidR="0033503B" w:rsidRDefault="0033503B" w:rsidP="0033503B">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3C5BB160" w14:textId="172C530A" w:rsidR="0033503B" w:rsidRDefault="0033503B" w:rsidP="0033503B">
            <w:pPr>
              <w:jc w:val="right"/>
              <w:rPr>
                <w:rFonts w:cs="Arial"/>
              </w:rPr>
            </w:pPr>
            <w:r>
              <w:rPr>
                <w:rFonts w:cs="Arial"/>
              </w:rPr>
              <w:t>122</w:t>
            </w:r>
          </w:p>
        </w:tc>
        <w:tc>
          <w:tcPr>
            <w:tcW w:w="960" w:type="dxa"/>
            <w:tcBorders>
              <w:top w:val="nil"/>
              <w:left w:val="nil"/>
              <w:bottom w:val="single" w:sz="4" w:space="0" w:color="auto"/>
              <w:right w:val="single" w:sz="4" w:space="0" w:color="auto"/>
            </w:tcBorders>
          </w:tcPr>
          <w:p w14:paraId="24B09136" w14:textId="645B24C5" w:rsidR="0033503B" w:rsidRDefault="0033503B" w:rsidP="0033503B">
            <w:pPr>
              <w:jc w:val="right"/>
              <w:rPr>
                <w:rFonts w:cs="Arial"/>
              </w:rPr>
            </w:pPr>
            <w:r>
              <w:rPr>
                <w:rFonts w:cs="Arial"/>
              </w:rPr>
              <w:t>92</w:t>
            </w:r>
          </w:p>
        </w:tc>
        <w:tc>
          <w:tcPr>
            <w:tcW w:w="960" w:type="dxa"/>
            <w:tcBorders>
              <w:top w:val="nil"/>
              <w:left w:val="nil"/>
              <w:bottom w:val="single" w:sz="4" w:space="0" w:color="auto"/>
              <w:right w:val="single" w:sz="4" w:space="0" w:color="auto"/>
            </w:tcBorders>
          </w:tcPr>
          <w:p w14:paraId="24BF849C" w14:textId="67EB25CC" w:rsidR="0033503B" w:rsidRDefault="0033503B" w:rsidP="0033503B">
            <w:pPr>
              <w:jc w:val="right"/>
              <w:rPr>
                <w:rFonts w:cs="Arial"/>
              </w:rPr>
            </w:pPr>
            <w:r>
              <w:rPr>
                <w:rFonts w:cs="Arial"/>
              </w:rPr>
              <w:t>85</w:t>
            </w:r>
          </w:p>
        </w:tc>
      </w:tr>
      <w:tr w:rsidR="0033503B" w:rsidRPr="00C5395B" w14:paraId="24BB73C2"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0DAAA376" w14:textId="77777777" w:rsidR="0033503B" w:rsidRPr="00C5395B" w:rsidRDefault="0033503B" w:rsidP="0033503B">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664DA5EE" w14:textId="396438EA" w:rsidR="0033503B" w:rsidRDefault="0033503B" w:rsidP="0033503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4BE380EA" w14:textId="6A907093" w:rsidR="0033503B" w:rsidRDefault="0033503B" w:rsidP="0033503B">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71D56899" w14:textId="05DD5F8E" w:rsidR="0033503B" w:rsidRDefault="0033503B" w:rsidP="0033503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231A9C63" w14:textId="6EE66319" w:rsidR="0033503B" w:rsidRDefault="0033503B" w:rsidP="0033503B">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4EEE3D88" w14:textId="4315E4D1" w:rsidR="0033503B" w:rsidRDefault="0033503B" w:rsidP="0033503B">
            <w:pPr>
              <w:jc w:val="right"/>
              <w:rPr>
                <w:rFonts w:cs="Arial"/>
              </w:rPr>
            </w:pPr>
            <w:r>
              <w:rPr>
                <w:rFonts w:cs="Arial"/>
              </w:rPr>
              <w:t>9</w:t>
            </w:r>
          </w:p>
        </w:tc>
      </w:tr>
      <w:tr w:rsidR="0033503B" w:rsidRPr="00C5395B" w14:paraId="196E8A88" w14:textId="77777777" w:rsidTr="00D744B8">
        <w:trPr>
          <w:trHeight w:val="255"/>
        </w:trPr>
        <w:tc>
          <w:tcPr>
            <w:tcW w:w="2080" w:type="dxa"/>
            <w:tcBorders>
              <w:top w:val="nil"/>
              <w:left w:val="single" w:sz="4" w:space="0" w:color="auto"/>
              <w:bottom w:val="single" w:sz="4" w:space="0" w:color="auto"/>
              <w:right w:val="single" w:sz="4" w:space="0" w:color="auto"/>
            </w:tcBorders>
            <w:noWrap/>
          </w:tcPr>
          <w:p w14:paraId="46549BCA" w14:textId="77777777" w:rsidR="0033503B" w:rsidRPr="00C5395B" w:rsidRDefault="0033503B" w:rsidP="0033503B">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36E964B5" w14:textId="73EF1B59" w:rsidR="0033503B" w:rsidRDefault="0033503B" w:rsidP="0033503B">
            <w:pPr>
              <w:jc w:val="right"/>
              <w:rPr>
                <w:rFonts w:cs="Arial"/>
              </w:rPr>
            </w:pPr>
            <w:r>
              <w:rPr>
                <w:rFonts w:cs="Arial"/>
              </w:rPr>
              <w:t>84</w:t>
            </w:r>
          </w:p>
        </w:tc>
        <w:tc>
          <w:tcPr>
            <w:tcW w:w="960" w:type="dxa"/>
            <w:tcBorders>
              <w:top w:val="nil"/>
              <w:left w:val="nil"/>
              <w:bottom w:val="single" w:sz="4" w:space="0" w:color="auto"/>
              <w:right w:val="single" w:sz="4" w:space="0" w:color="auto"/>
            </w:tcBorders>
          </w:tcPr>
          <w:p w14:paraId="32C942CE" w14:textId="0FA324A0" w:rsidR="0033503B" w:rsidRDefault="0033503B" w:rsidP="0033503B">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6E14A483" w14:textId="7EB31866" w:rsidR="0033503B" w:rsidRDefault="0033503B" w:rsidP="0033503B">
            <w:pPr>
              <w:jc w:val="right"/>
              <w:rPr>
                <w:rFonts w:cs="Arial"/>
              </w:rPr>
            </w:pPr>
            <w:r>
              <w:rPr>
                <w:rFonts w:cs="Arial"/>
              </w:rPr>
              <w:t>115</w:t>
            </w:r>
          </w:p>
        </w:tc>
        <w:tc>
          <w:tcPr>
            <w:tcW w:w="960" w:type="dxa"/>
            <w:tcBorders>
              <w:top w:val="nil"/>
              <w:left w:val="nil"/>
              <w:bottom w:val="single" w:sz="4" w:space="0" w:color="auto"/>
              <w:right w:val="single" w:sz="4" w:space="0" w:color="auto"/>
            </w:tcBorders>
          </w:tcPr>
          <w:p w14:paraId="28F820F7" w14:textId="3FAC1F2A" w:rsidR="0033503B" w:rsidRDefault="0033503B" w:rsidP="0033503B">
            <w:pPr>
              <w:jc w:val="right"/>
              <w:rPr>
                <w:rFonts w:cs="Arial"/>
              </w:rPr>
            </w:pPr>
            <w:r>
              <w:rPr>
                <w:rFonts w:cs="Arial"/>
              </w:rPr>
              <w:t>78</w:t>
            </w:r>
          </w:p>
        </w:tc>
        <w:tc>
          <w:tcPr>
            <w:tcW w:w="960" w:type="dxa"/>
            <w:tcBorders>
              <w:top w:val="nil"/>
              <w:left w:val="nil"/>
              <w:bottom w:val="single" w:sz="4" w:space="0" w:color="auto"/>
              <w:right w:val="single" w:sz="4" w:space="0" w:color="auto"/>
            </w:tcBorders>
          </w:tcPr>
          <w:p w14:paraId="52156272" w14:textId="39F7FA5F" w:rsidR="0033503B" w:rsidRDefault="0033503B" w:rsidP="0033503B">
            <w:pPr>
              <w:jc w:val="right"/>
              <w:rPr>
                <w:rFonts w:cs="Arial"/>
              </w:rPr>
            </w:pPr>
            <w:r>
              <w:rPr>
                <w:rFonts w:cs="Arial"/>
              </w:rPr>
              <w:t>74</w:t>
            </w:r>
          </w:p>
        </w:tc>
      </w:tr>
      <w:tr w:rsidR="0033503B" w:rsidRPr="00C5395B" w14:paraId="11E6FA6F"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40C53216" w14:textId="77777777" w:rsidR="0033503B" w:rsidRPr="00C5395B" w:rsidRDefault="0033503B" w:rsidP="0033503B">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81F560C" w14:textId="7C92A158" w:rsidR="0033503B" w:rsidRDefault="0033503B" w:rsidP="0033503B">
            <w:pPr>
              <w:jc w:val="right"/>
              <w:rPr>
                <w:rFonts w:cs="Arial"/>
              </w:rPr>
            </w:pPr>
            <w:r>
              <w:rPr>
                <w:rFonts w:cs="Arial"/>
              </w:rPr>
              <w:t>45</w:t>
            </w:r>
          </w:p>
        </w:tc>
        <w:tc>
          <w:tcPr>
            <w:tcW w:w="960" w:type="dxa"/>
            <w:tcBorders>
              <w:top w:val="nil"/>
              <w:left w:val="nil"/>
              <w:bottom w:val="single" w:sz="4" w:space="0" w:color="auto"/>
              <w:right w:val="single" w:sz="4" w:space="0" w:color="auto"/>
            </w:tcBorders>
          </w:tcPr>
          <w:p w14:paraId="15350552" w14:textId="031680F1" w:rsidR="0033503B" w:rsidRDefault="0033503B" w:rsidP="0033503B">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2E19D10A" w14:textId="462AD200" w:rsidR="0033503B" w:rsidRDefault="0033503B" w:rsidP="0033503B">
            <w:pPr>
              <w:jc w:val="right"/>
              <w:rPr>
                <w:rFonts w:cs="Arial"/>
              </w:rPr>
            </w:pPr>
            <w:r>
              <w:rPr>
                <w:rFonts w:cs="Arial"/>
              </w:rPr>
              <w:t>51</w:t>
            </w:r>
          </w:p>
        </w:tc>
        <w:tc>
          <w:tcPr>
            <w:tcW w:w="960" w:type="dxa"/>
            <w:tcBorders>
              <w:top w:val="nil"/>
              <w:left w:val="nil"/>
              <w:bottom w:val="single" w:sz="4" w:space="0" w:color="auto"/>
              <w:right w:val="single" w:sz="4" w:space="0" w:color="auto"/>
            </w:tcBorders>
          </w:tcPr>
          <w:p w14:paraId="2F753397" w14:textId="37A5D893" w:rsidR="0033503B" w:rsidRDefault="0033503B" w:rsidP="0033503B">
            <w:pPr>
              <w:jc w:val="right"/>
              <w:rPr>
                <w:rFonts w:cs="Arial"/>
              </w:rPr>
            </w:pPr>
            <w:r>
              <w:rPr>
                <w:rFonts w:cs="Arial"/>
              </w:rPr>
              <w:t>57</w:t>
            </w:r>
          </w:p>
        </w:tc>
        <w:tc>
          <w:tcPr>
            <w:tcW w:w="960" w:type="dxa"/>
            <w:tcBorders>
              <w:top w:val="nil"/>
              <w:left w:val="nil"/>
              <w:bottom w:val="single" w:sz="4" w:space="0" w:color="auto"/>
              <w:right w:val="single" w:sz="4" w:space="0" w:color="auto"/>
            </w:tcBorders>
          </w:tcPr>
          <w:p w14:paraId="3E490238" w14:textId="794CDD2F" w:rsidR="0033503B" w:rsidRDefault="0033503B" w:rsidP="0033503B">
            <w:pPr>
              <w:jc w:val="right"/>
              <w:rPr>
                <w:rFonts w:cs="Arial"/>
              </w:rPr>
            </w:pPr>
            <w:r>
              <w:rPr>
                <w:rFonts w:cs="Arial"/>
              </w:rPr>
              <w:t>26</w:t>
            </w:r>
          </w:p>
        </w:tc>
      </w:tr>
      <w:tr w:rsidR="0033503B" w:rsidRPr="00C5395B" w14:paraId="096DAE1B"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652230DD" w14:textId="77777777" w:rsidR="0033503B" w:rsidRPr="00C5395B" w:rsidRDefault="0033503B" w:rsidP="0033503B">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6BB9857E" w14:textId="6C72013B" w:rsidR="0033503B" w:rsidRDefault="0033503B" w:rsidP="0033503B">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4743329A" w14:textId="3B4A507C" w:rsidR="0033503B" w:rsidRDefault="0033503B" w:rsidP="0033503B">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77F91349" w14:textId="3A3F9D2C" w:rsidR="0033503B" w:rsidRDefault="0033503B" w:rsidP="0033503B">
            <w:pPr>
              <w:jc w:val="right"/>
              <w:rPr>
                <w:rFonts w:cs="Arial"/>
              </w:rPr>
            </w:pPr>
            <w:r>
              <w:rPr>
                <w:rFonts w:cs="Arial"/>
              </w:rPr>
              <w:t>16</w:t>
            </w:r>
          </w:p>
        </w:tc>
        <w:tc>
          <w:tcPr>
            <w:tcW w:w="960" w:type="dxa"/>
            <w:tcBorders>
              <w:top w:val="nil"/>
              <w:left w:val="nil"/>
              <w:bottom w:val="single" w:sz="4" w:space="0" w:color="auto"/>
              <w:right w:val="single" w:sz="4" w:space="0" w:color="auto"/>
            </w:tcBorders>
          </w:tcPr>
          <w:p w14:paraId="2965D374" w14:textId="28FD8C6A" w:rsidR="0033503B" w:rsidRDefault="0033503B" w:rsidP="0033503B">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426DCD67" w14:textId="14CE49A4" w:rsidR="0033503B" w:rsidRDefault="0033503B" w:rsidP="0033503B">
            <w:pPr>
              <w:jc w:val="right"/>
              <w:rPr>
                <w:rFonts w:cs="Arial"/>
              </w:rPr>
            </w:pPr>
            <w:r>
              <w:rPr>
                <w:rFonts w:cs="Arial"/>
              </w:rPr>
              <w:t>7</w:t>
            </w:r>
          </w:p>
        </w:tc>
      </w:tr>
      <w:tr w:rsidR="0033503B" w:rsidRPr="00C5395B" w14:paraId="55DD3ECD"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4FBCF270" w14:textId="77777777" w:rsidR="0033503B" w:rsidRPr="00C5395B" w:rsidRDefault="0033503B" w:rsidP="0033503B">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1EAD881C" w14:textId="083E09E9" w:rsidR="0033503B" w:rsidRDefault="0033503B" w:rsidP="0033503B">
            <w:pPr>
              <w:jc w:val="right"/>
              <w:rPr>
                <w:rFonts w:cs="Arial"/>
                <w:b/>
                <w:bCs/>
              </w:rPr>
            </w:pPr>
            <w:r>
              <w:rPr>
                <w:rFonts w:cs="Arial"/>
                <w:b/>
                <w:bCs/>
              </w:rPr>
              <w:t>250</w:t>
            </w:r>
          </w:p>
        </w:tc>
        <w:tc>
          <w:tcPr>
            <w:tcW w:w="960" w:type="dxa"/>
            <w:tcBorders>
              <w:top w:val="nil"/>
              <w:left w:val="nil"/>
              <w:bottom w:val="single" w:sz="4" w:space="0" w:color="auto"/>
              <w:right w:val="single" w:sz="4" w:space="0" w:color="auto"/>
            </w:tcBorders>
          </w:tcPr>
          <w:p w14:paraId="024B5059" w14:textId="07FB3BA5" w:rsidR="0033503B" w:rsidRDefault="0033503B" w:rsidP="0033503B">
            <w:pPr>
              <w:jc w:val="right"/>
              <w:rPr>
                <w:rFonts w:cs="Arial"/>
                <w:b/>
                <w:bCs/>
              </w:rPr>
            </w:pPr>
            <w:r>
              <w:rPr>
                <w:rFonts w:cs="Arial"/>
                <w:b/>
                <w:bCs/>
              </w:rPr>
              <w:t>228</w:t>
            </w:r>
          </w:p>
        </w:tc>
        <w:tc>
          <w:tcPr>
            <w:tcW w:w="960" w:type="dxa"/>
            <w:tcBorders>
              <w:top w:val="nil"/>
              <w:left w:val="nil"/>
              <w:bottom w:val="single" w:sz="4" w:space="0" w:color="auto"/>
              <w:right w:val="single" w:sz="4" w:space="0" w:color="auto"/>
            </w:tcBorders>
          </w:tcPr>
          <w:p w14:paraId="1E562653" w14:textId="4BDBADB6" w:rsidR="0033503B" w:rsidRDefault="0033503B" w:rsidP="0033503B">
            <w:pPr>
              <w:jc w:val="right"/>
              <w:rPr>
                <w:rFonts w:cs="Arial"/>
                <w:b/>
                <w:bCs/>
              </w:rPr>
            </w:pPr>
            <w:r>
              <w:rPr>
                <w:rFonts w:cs="Arial"/>
                <w:b/>
                <w:bCs/>
              </w:rPr>
              <w:t>311</w:t>
            </w:r>
          </w:p>
        </w:tc>
        <w:tc>
          <w:tcPr>
            <w:tcW w:w="960" w:type="dxa"/>
            <w:tcBorders>
              <w:top w:val="nil"/>
              <w:left w:val="nil"/>
              <w:bottom w:val="single" w:sz="4" w:space="0" w:color="auto"/>
              <w:right w:val="single" w:sz="4" w:space="0" w:color="auto"/>
            </w:tcBorders>
          </w:tcPr>
          <w:p w14:paraId="6A08F646" w14:textId="40A9489F" w:rsidR="0033503B" w:rsidRDefault="0033503B" w:rsidP="0033503B">
            <w:pPr>
              <w:jc w:val="right"/>
              <w:rPr>
                <w:rFonts w:cs="Arial"/>
                <w:b/>
                <w:bCs/>
              </w:rPr>
            </w:pPr>
            <w:r>
              <w:rPr>
                <w:rFonts w:cs="Arial"/>
                <w:b/>
                <w:bCs/>
              </w:rPr>
              <w:t>244</w:t>
            </w:r>
          </w:p>
        </w:tc>
        <w:tc>
          <w:tcPr>
            <w:tcW w:w="960" w:type="dxa"/>
            <w:tcBorders>
              <w:top w:val="nil"/>
              <w:left w:val="nil"/>
              <w:bottom w:val="single" w:sz="4" w:space="0" w:color="auto"/>
              <w:right w:val="single" w:sz="4" w:space="0" w:color="auto"/>
            </w:tcBorders>
          </w:tcPr>
          <w:p w14:paraId="74DCCE24" w14:textId="48EBCBE7" w:rsidR="0033503B" w:rsidRDefault="0033503B" w:rsidP="0033503B">
            <w:pPr>
              <w:jc w:val="right"/>
              <w:rPr>
                <w:rFonts w:cs="Arial"/>
                <w:b/>
                <w:bCs/>
              </w:rPr>
            </w:pPr>
            <w:r>
              <w:rPr>
                <w:rFonts w:cs="Arial"/>
                <w:b/>
                <w:bCs/>
              </w:rPr>
              <w:t>201</w:t>
            </w:r>
          </w:p>
        </w:tc>
      </w:tr>
      <w:bookmarkEnd w:id="20"/>
    </w:tbl>
    <w:p w14:paraId="7892C75B" w14:textId="77777777" w:rsidR="00124DB6" w:rsidRDefault="00124DB6" w:rsidP="00CB1032">
      <w:pPr>
        <w:ind w:left="-142" w:right="-425"/>
        <w:jc w:val="both"/>
        <w:rPr>
          <w:rFonts w:cs="Arial"/>
        </w:rPr>
      </w:pPr>
    </w:p>
    <w:p w14:paraId="7BAE3B75" w14:textId="0EC2B52B" w:rsidR="005A5B78" w:rsidRPr="002D4651" w:rsidRDefault="005A5B78" w:rsidP="00124DB6">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708019E1" w:rsidR="00C872F0" w:rsidRDefault="006F3F88" w:rsidP="00964A63">
      <w:pPr>
        <w:ind w:left="-142" w:right="-425"/>
        <w:jc w:val="both"/>
      </w:pPr>
      <w:r>
        <w:rPr>
          <w:rFonts w:cs="Arial"/>
        </w:rPr>
        <w:t xml:space="preserve">A total of </w:t>
      </w:r>
      <w:r w:rsidR="00E27302">
        <w:rPr>
          <w:rFonts w:cs="Arial"/>
        </w:rPr>
        <w:t xml:space="preserve">98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E27302">
        <w:rPr>
          <w:rFonts w:cs="Arial"/>
        </w:rPr>
        <w:t>82</w:t>
      </w:r>
      <w:r w:rsidR="00E27302" w:rsidRPr="003573E3">
        <w:rPr>
          <w:rFonts w:cs="Arial"/>
        </w:rPr>
        <w:t xml:space="preserve"> </w:t>
      </w:r>
      <w:r w:rsidR="001E5AFF" w:rsidRPr="003573E3">
        <w:rPr>
          <w:rFonts w:cs="Arial"/>
        </w:rPr>
        <w:t xml:space="preserve">clients </w:t>
      </w:r>
      <w:r>
        <w:rPr>
          <w:rFonts w:cs="Arial"/>
        </w:rPr>
        <w:t xml:space="preserve">were made in quarter </w:t>
      </w:r>
      <w:r w:rsidR="00BC09BB">
        <w:rPr>
          <w:rFonts w:cs="Arial"/>
        </w:rPr>
        <w:t>6</w:t>
      </w:r>
      <w:r w:rsidR="00E27302">
        <w:rPr>
          <w:rFonts w:cs="Arial"/>
        </w:rPr>
        <w:t>4</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6B6D5DC4" w14:textId="77777777" w:rsidR="003542E6" w:rsidRDefault="003542E6">
      <w:pPr>
        <w:spacing w:line="240" w:lineRule="auto"/>
        <w:rPr>
          <w:rFonts w:cs="Arial"/>
          <w:b/>
          <w:sz w:val="16"/>
          <w:szCs w:val="16"/>
        </w:rPr>
      </w:pPr>
      <w:r>
        <w:rPr>
          <w:rFonts w:cs="Arial"/>
          <w:b/>
          <w:sz w:val="16"/>
          <w:szCs w:val="16"/>
        </w:rPr>
        <w:br w:type="page"/>
      </w:r>
    </w:p>
    <w:p w14:paraId="6357DDBD" w14:textId="02AE1522" w:rsidR="00124DB6" w:rsidRDefault="00124DB6" w:rsidP="00124DB6">
      <w:pPr>
        <w:tabs>
          <w:tab w:val="left" w:pos="0"/>
        </w:tabs>
        <w:ind w:left="426" w:right="-425" w:hanging="568"/>
        <w:jc w:val="both"/>
        <w:rPr>
          <w:rFonts w:cs="Arial"/>
          <w:sz w:val="16"/>
          <w:szCs w:val="16"/>
        </w:rPr>
      </w:pPr>
      <w:r>
        <w:rPr>
          <w:rFonts w:cs="Arial"/>
          <w:b/>
          <w:sz w:val="16"/>
          <w:szCs w:val="16"/>
        </w:rPr>
        <w:t>Table 13</w:t>
      </w:r>
      <w:r w:rsidRPr="004063DB">
        <w:rPr>
          <w:rFonts w:cs="Arial"/>
          <w:b/>
          <w:sz w:val="16"/>
          <w:szCs w:val="16"/>
        </w:rPr>
        <w:t xml:space="preserve">: </w:t>
      </w:r>
      <w:r>
        <w:rPr>
          <w:rFonts w:cs="Arial"/>
          <w:sz w:val="16"/>
          <w:szCs w:val="16"/>
        </w:rPr>
        <w:t>Referrals</w:t>
      </w:r>
      <w:r w:rsidRPr="0053018A">
        <w:rPr>
          <w:rFonts w:cs="Arial"/>
          <w:sz w:val="16"/>
          <w:szCs w:val="16"/>
        </w:rPr>
        <w:t xml:space="preserve"> </w:t>
      </w:r>
      <w:r>
        <w:rPr>
          <w:rFonts w:cs="Arial"/>
          <w:sz w:val="16"/>
          <w:szCs w:val="16"/>
        </w:rPr>
        <w:t xml:space="preserve">by community and quarter 1 </w:t>
      </w:r>
      <w:r>
        <w:rPr>
          <w:rFonts w:cs="Arial"/>
          <w:sz w:val="16"/>
          <w:szCs w:val="16"/>
        </w:rPr>
        <w:t>April</w:t>
      </w:r>
      <w:r>
        <w:rPr>
          <w:rFonts w:cs="Arial"/>
          <w:sz w:val="16"/>
          <w:szCs w:val="16"/>
        </w:rPr>
        <w:t xml:space="preserve"> 2023 to 3</w:t>
      </w:r>
      <w:r>
        <w:rPr>
          <w:rFonts w:cs="Arial"/>
          <w:sz w:val="16"/>
          <w:szCs w:val="16"/>
        </w:rPr>
        <w:t xml:space="preserve">0 June </w:t>
      </w:r>
      <w:r>
        <w:rPr>
          <w:rFonts w:cs="Arial"/>
          <w:sz w:val="16"/>
          <w:szCs w:val="16"/>
        </w:rPr>
        <w:t>2024</w:t>
      </w:r>
    </w:p>
    <w:p w14:paraId="3CE27FB1" w14:textId="77777777" w:rsidR="00124DB6" w:rsidRPr="0070366B" w:rsidRDefault="00124DB6" w:rsidP="00124DB6">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124DB6" w:rsidRPr="00C5395B" w14:paraId="5B1A2E72" w14:textId="77777777" w:rsidTr="00D744B8">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58496F95" w14:textId="77777777" w:rsidR="00124DB6" w:rsidRPr="00C5395B" w:rsidRDefault="00124DB6" w:rsidP="00124DB6">
            <w:pPr>
              <w:pStyle w:val="TableText"/>
              <w:rPr>
                <w:b/>
                <w:lang w:eastAsia="en-AU"/>
              </w:rPr>
            </w:pPr>
            <w:bookmarkStart w:id="21"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144A8F82" w14:textId="29484AC3" w:rsidR="00124DB6" w:rsidRDefault="00124DB6" w:rsidP="00124DB6">
            <w:pPr>
              <w:pStyle w:val="TableText"/>
              <w:jc w:val="right"/>
              <w:rPr>
                <w:b/>
                <w:lang w:eastAsia="en-AU"/>
              </w:rPr>
            </w:pPr>
            <w:r w:rsidRPr="00BA518C">
              <w:rPr>
                <w:b/>
                <w:lang w:eastAsia="en-AU"/>
              </w:rPr>
              <w:t>Qtr 60</w:t>
            </w:r>
          </w:p>
        </w:tc>
        <w:tc>
          <w:tcPr>
            <w:tcW w:w="993" w:type="dxa"/>
            <w:tcBorders>
              <w:top w:val="single" w:sz="4" w:space="0" w:color="auto"/>
              <w:left w:val="nil"/>
              <w:bottom w:val="single" w:sz="4" w:space="0" w:color="auto"/>
              <w:right w:val="single" w:sz="4" w:space="0" w:color="auto"/>
            </w:tcBorders>
          </w:tcPr>
          <w:p w14:paraId="0B7022AE" w14:textId="36294CC3" w:rsidR="00124DB6" w:rsidRDefault="00124DB6" w:rsidP="00124DB6">
            <w:pPr>
              <w:pStyle w:val="TableText"/>
              <w:jc w:val="right"/>
              <w:rPr>
                <w:b/>
                <w:lang w:eastAsia="en-AU"/>
              </w:rPr>
            </w:pPr>
            <w:r w:rsidRPr="00BA518C">
              <w:rPr>
                <w:b/>
                <w:lang w:eastAsia="en-AU"/>
              </w:rPr>
              <w:t>Qtr 61</w:t>
            </w:r>
          </w:p>
        </w:tc>
        <w:tc>
          <w:tcPr>
            <w:tcW w:w="993" w:type="dxa"/>
            <w:tcBorders>
              <w:top w:val="single" w:sz="4" w:space="0" w:color="auto"/>
              <w:left w:val="nil"/>
              <w:bottom w:val="single" w:sz="4" w:space="0" w:color="auto"/>
              <w:right w:val="single" w:sz="4" w:space="0" w:color="auto"/>
            </w:tcBorders>
          </w:tcPr>
          <w:p w14:paraId="67EF2661" w14:textId="70DA8CEA" w:rsidR="00124DB6" w:rsidRDefault="00124DB6" w:rsidP="00124DB6">
            <w:pPr>
              <w:pStyle w:val="TableText"/>
              <w:jc w:val="right"/>
              <w:rPr>
                <w:b/>
                <w:lang w:eastAsia="en-AU"/>
              </w:rPr>
            </w:pPr>
            <w:r w:rsidRPr="00BA518C">
              <w:rPr>
                <w:b/>
                <w:lang w:eastAsia="en-AU"/>
              </w:rPr>
              <w:t>Qtr 6</w:t>
            </w:r>
            <w:r>
              <w:rPr>
                <w:b/>
                <w:lang w:eastAsia="en-AU"/>
              </w:rPr>
              <w:t>2</w:t>
            </w:r>
          </w:p>
        </w:tc>
        <w:tc>
          <w:tcPr>
            <w:tcW w:w="993" w:type="dxa"/>
            <w:tcBorders>
              <w:top w:val="single" w:sz="4" w:space="0" w:color="auto"/>
              <w:left w:val="nil"/>
              <w:bottom w:val="single" w:sz="4" w:space="0" w:color="auto"/>
              <w:right w:val="single" w:sz="4" w:space="0" w:color="auto"/>
            </w:tcBorders>
          </w:tcPr>
          <w:p w14:paraId="5CA047C7" w14:textId="037E6AFA" w:rsidR="00124DB6" w:rsidRDefault="00124DB6" w:rsidP="00124DB6">
            <w:pPr>
              <w:pStyle w:val="TableText"/>
              <w:jc w:val="right"/>
              <w:rPr>
                <w:b/>
                <w:lang w:eastAsia="en-AU"/>
              </w:rPr>
            </w:pPr>
            <w:r w:rsidRPr="00BA518C">
              <w:rPr>
                <w:b/>
                <w:lang w:eastAsia="en-AU"/>
              </w:rPr>
              <w:t>Qtr 6</w:t>
            </w:r>
            <w:r>
              <w:rPr>
                <w:b/>
                <w:lang w:eastAsia="en-AU"/>
              </w:rPr>
              <w:t>3</w:t>
            </w:r>
          </w:p>
        </w:tc>
        <w:tc>
          <w:tcPr>
            <w:tcW w:w="993" w:type="dxa"/>
            <w:tcBorders>
              <w:top w:val="single" w:sz="4" w:space="0" w:color="auto"/>
              <w:left w:val="nil"/>
              <w:bottom w:val="single" w:sz="4" w:space="0" w:color="auto"/>
              <w:right w:val="single" w:sz="4" w:space="0" w:color="auto"/>
            </w:tcBorders>
          </w:tcPr>
          <w:p w14:paraId="0BEE96C1" w14:textId="39B96B64" w:rsidR="00124DB6" w:rsidRPr="00BA518C" w:rsidRDefault="00124DB6" w:rsidP="00124DB6">
            <w:pPr>
              <w:pStyle w:val="TableText"/>
              <w:jc w:val="right"/>
              <w:rPr>
                <w:b/>
                <w:lang w:eastAsia="en-AU"/>
              </w:rPr>
            </w:pPr>
            <w:r w:rsidRPr="00BA518C">
              <w:rPr>
                <w:b/>
                <w:lang w:eastAsia="en-AU"/>
              </w:rPr>
              <w:t>Qtr 6</w:t>
            </w:r>
            <w:r>
              <w:rPr>
                <w:b/>
                <w:lang w:eastAsia="en-AU"/>
              </w:rPr>
              <w:t>4</w:t>
            </w:r>
          </w:p>
        </w:tc>
      </w:tr>
      <w:tr w:rsidR="0033503B" w:rsidRPr="00C5395B" w14:paraId="55800F6F" w14:textId="77777777" w:rsidTr="00D744B8">
        <w:trPr>
          <w:trHeight w:val="255"/>
        </w:trPr>
        <w:tc>
          <w:tcPr>
            <w:tcW w:w="2029" w:type="dxa"/>
            <w:tcBorders>
              <w:top w:val="nil"/>
              <w:left w:val="single" w:sz="4" w:space="0" w:color="auto"/>
              <w:bottom w:val="single" w:sz="4" w:space="0" w:color="auto"/>
              <w:right w:val="single" w:sz="4" w:space="0" w:color="auto"/>
            </w:tcBorders>
            <w:noWrap/>
            <w:hideMark/>
          </w:tcPr>
          <w:p w14:paraId="1674BE6F" w14:textId="77777777" w:rsidR="0033503B" w:rsidRPr="00C5395B" w:rsidRDefault="0033503B" w:rsidP="0033503B">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17BA54D6" w14:textId="167E17E1" w:rsidR="0033503B" w:rsidRDefault="0033503B" w:rsidP="0033503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6255452C" w14:textId="4A7DFEBE" w:rsidR="0033503B" w:rsidRDefault="0033503B" w:rsidP="0033503B">
            <w:pPr>
              <w:jc w:val="right"/>
              <w:rPr>
                <w:rFonts w:cs="Arial"/>
              </w:rPr>
            </w:pPr>
            <w:r>
              <w:rPr>
                <w:rFonts w:cs="Arial"/>
              </w:rPr>
              <w:t>38</w:t>
            </w:r>
          </w:p>
        </w:tc>
        <w:tc>
          <w:tcPr>
            <w:tcW w:w="993" w:type="dxa"/>
            <w:tcBorders>
              <w:top w:val="nil"/>
              <w:left w:val="nil"/>
              <w:bottom w:val="single" w:sz="4" w:space="0" w:color="auto"/>
              <w:right w:val="single" w:sz="4" w:space="0" w:color="auto"/>
            </w:tcBorders>
          </w:tcPr>
          <w:p w14:paraId="7C4B81FF" w14:textId="20A0D302" w:rsidR="0033503B" w:rsidRDefault="0033503B" w:rsidP="0033503B">
            <w:pPr>
              <w:jc w:val="right"/>
              <w:rPr>
                <w:rFonts w:cs="Arial"/>
              </w:rPr>
            </w:pPr>
            <w:r>
              <w:rPr>
                <w:rFonts w:cs="Arial"/>
              </w:rPr>
              <w:t>75</w:t>
            </w:r>
          </w:p>
        </w:tc>
        <w:tc>
          <w:tcPr>
            <w:tcW w:w="993" w:type="dxa"/>
            <w:tcBorders>
              <w:top w:val="nil"/>
              <w:left w:val="nil"/>
              <w:bottom w:val="single" w:sz="4" w:space="0" w:color="auto"/>
              <w:right w:val="single" w:sz="4" w:space="0" w:color="auto"/>
            </w:tcBorders>
          </w:tcPr>
          <w:p w14:paraId="77C70BBE" w14:textId="2738A0C4" w:rsidR="0033503B" w:rsidRDefault="0033503B" w:rsidP="0033503B">
            <w:pPr>
              <w:jc w:val="right"/>
              <w:rPr>
                <w:rFonts w:cs="Arial"/>
              </w:rPr>
            </w:pPr>
            <w:r>
              <w:rPr>
                <w:rFonts w:cs="Arial"/>
              </w:rPr>
              <w:t>63</w:t>
            </w:r>
          </w:p>
        </w:tc>
        <w:tc>
          <w:tcPr>
            <w:tcW w:w="993" w:type="dxa"/>
            <w:tcBorders>
              <w:top w:val="nil"/>
              <w:left w:val="nil"/>
              <w:bottom w:val="single" w:sz="4" w:space="0" w:color="auto"/>
              <w:right w:val="single" w:sz="4" w:space="0" w:color="auto"/>
            </w:tcBorders>
          </w:tcPr>
          <w:p w14:paraId="2A1A7ED2" w14:textId="447D4889" w:rsidR="0033503B" w:rsidRDefault="0033503B" w:rsidP="0033503B">
            <w:pPr>
              <w:jc w:val="right"/>
              <w:rPr>
                <w:rFonts w:cs="Arial"/>
              </w:rPr>
            </w:pPr>
            <w:r>
              <w:rPr>
                <w:rFonts w:cs="Arial"/>
              </w:rPr>
              <w:t>57</w:t>
            </w:r>
          </w:p>
        </w:tc>
      </w:tr>
      <w:tr w:rsidR="0033503B" w:rsidRPr="00C5395B" w14:paraId="3B49FC09" w14:textId="77777777" w:rsidTr="00D744B8">
        <w:trPr>
          <w:trHeight w:val="255"/>
        </w:trPr>
        <w:tc>
          <w:tcPr>
            <w:tcW w:w="2029" w:type="dxa"/>
            <w:tcBorders>
              <w:top w:val="nil"/>
              <w:left w:val="single" w:sz="4" w:space="0" w:color="auto"/>
              <w:bottom w:val="single" w:sz="4" w:space="0" w:color="auto"/>
              <w:right w:val="single" w:sz="4" w:space="0" w:color="auto"/>
            </w:tcBorders>
            <w:noWrap/>
            <w:hideMark/>
          </w:tcPr>
          <w:p w14:paraId="2CDD0AAA" w14:textId="77777777" w:rsidR="0033503B" w:rsidRPr="00C5395B" w:rsidRDefault="0033503B" w:rsidP="0033503B">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36EEE078" w14:textId="36121C72" w:rsidR="0033503B" w:rsidRDefault="0033503B" w:rsidP="0033503B">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052624BA" w14:textId="1DDE5814" w:rsidR="0033503B" w:rsidRDefault="0033503B" w:rsidP="0033503B">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235BB1D6" w14:textId="0BA25559" w:rsidR="0033503B" w:rsidRDefault="0033503B" w:rsidP="0033503B">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0FC23669" w14:textId="3743D7D6" w:rsidR="0033503B" w:rsidRDefault="0033503B" w:rsidP="0033503B">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28AE218E" w14:textId="155491A1" w:rsidR="0033503B" w:rsidRDefault="0033503B" w:rsidP="0033503B">
            <w:pPr>
              <w:jc w:val="right"/>
              <w:rPr>
                <w:rFonts w:cs="Arial"/>
              </w:rPr>
            </w:pPr>
            <w:r>
              <w:rPr>
                <w:rFonts w:cs="Arial"/>
              </w:rPr>
              <w:t>6</w:t>
            </w:r>
          </w:p>
        </w:tc>
      </w:tr>
      <w:tr w:rsidR="0033503B" w:rsidRPr="00C5395B" w14:paraId="2CCD43A5" w14:textId="77777777" w:rsidTr="00D744B8">
        <w:trPr>
          <w:trHeight w:val="255"/>
        </w:trPr>
        <w:tc>
          <w:tcPr>
            <w:tcW w:w="2029" w:type="dxa"/>
            <w:tcBorders>
              <w:top w:val="nil"/>
              <w:left w:val="single" w:sz="4" w:space="0" w:color="auto"/>
              <w:bottom w:val="single" w:sz="4" w:space="0" w:color="auto"/>
              <w:right w:val="single" w:sz="4" w:space="0" w:color="auto"/>
            </w:tcBorders>
            <w:noWrap/>
          </w:tcPr>
          <w:p w14:paraId="2056A8A2" w14:textId="77777777" w:rsidR="0033503B" w:rsidRPr="00C5395B" w:rsidRDefault="0033503B" w:rsidP="0033503B">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37900DA4" w14:textId="0918CB03" w:rsidR="0033503B" w:rsidRDefault="0033503B" w:rsidP="0033503B">
            <w:pPr>
              <w:jc w:val="right"/>
              <w:rPr>
                <w:rFonts w:cs="Arial"/>
              </w:rPr>
            </w:pPr>
            <w:r>
              <w:rPr>
                <w:rFonts w:cs="Arial"/>
              </w:rPr>
              <w:t>47</w:t>
            </w:r>
          </w:p>
        </w:tc>
        <w:tc>
          <w:tcPr>
            <w:tcW w:w="993" w:type="dxa"/>
            <w:tcBorders>
              <w:top w:val="nil"/>
              <w:left w:val="nil"/>
              <w:bottom w:val="single" w:sz="4" w:space="0" w:color="auto"/>
              <w:right w:val="single" w:sz="4" w:space="0" w:color="auto"/>
            </w:tcBorders>
          </w:tcPr>
          <w:p w14:paraId="2C682EA9" w14:textId="4812124C" w:rsidR="0033503B" w:rsidRDefault="0033503B" w:rsidP="0033503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33D2DA51" w14:textId="69B33E95" w:rsidR="0033503B" w:rsidRDefault="0033503B" w:rsidP="0033503B">
            <w:pPr>
              <w:jc w:val="right"/>
              <w:rPr>
                <w:rFonts w:cs="Arial"/>
              </w:rPr>
            </w:pPr>
            <w:r>
              <w:rPr>
                <w:rFonts w:cs="Arial"/>
              </w:rPr>
              <w:t>39</w:t>
            </w:r>
          </w:p>
        </w:tc>
        <w:tc>
          <w:tcPr>
            <w:tcW w:w="993" w:type="dxa"/>
            <w:tcBorders>
              <w:top w:val="nil"/>
              <w:left w:val="nil"/>
              <w:bottom w:val="single" w:sz="4" w:space="0" w:color="auto"/>
              <w:right w:val="single" w:sz="4" w:space="0" w:color="auto"/>
            </w:tcBorders>
          </w:tcPr>
          <w:p w14:paraId="3B0E35DC" w14:textId="47146124" w:rsidR="0033503B" w:rsidRDefault="0033503B" w:rsidP="0033503B">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2B3509FF" w14:textId="68638981" w:rsidR="0033503B" w:rsidRDefault="0033503B" w:rsidP="0033503B">
            <w:pPr>
              <w:jc w:val="right"/>
              <w:rPr>
                <w:rFonts w:cs="Arial"/>
              </w:rPr>
            </w:pPr>
            <w:r>
              <w:rPr>
                <w:rFonts w:cs="Arial"/>
              </w:rPr>
              <w:t>26</w:t>
            </w:r>
          </w:p>
        </w:tc>
      </w:tr>
      <w:tr w:rsidR="0033503B" w:rsidRPr="00C5395B" w14:paraId="629612B7" w14:textId="77777777" w:rsidTr="00D744B8">
        <w:trPr>
          <w:trHeight w:val="255"/>
        </w:trPr>
        <w:tc>
          <w:tcPr>
            <w:tcW w:w="2029" w:type="dxa"/>
            <w:tcBorders>
              <w:top w:val="nil"/>
              <w:left w:val="single" w:sz="4" w:space="0" w:color="auto"/>
              <w:bottom w:val="single" w:sz="4" w:space="0" w:color="auto"/>
              <w:right w:val="single" w:sz="4" w:space="0" w:color="auto"/>
            </w:tcBorders>
            <w:noWrap/>
          </w:tcPr>
          <w:p w14:paraId="59A8D9C5" w14:textId="77777777" w:rsidR="0033503B" w:rsidRPr="00C5395B" w:rsidRDefault="0033503B" w:rsidP="0033503B">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3DB749AF" w14:textId="5FF7F429" w:rsidR="0033503B" w:rsidRDefault="0033503B" w:rsidP="0033503B">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3B92A6BA" w14:textId="3BFCA546" w:rsidR="0033503B" w:rsidRDefault="0033503B" w:rsidP="0033503B">
            <w:pPr>
              <w:jc w:val="right"/>
              <w:rPr>
                <w:rFonts w:cs="Arial"/>
              </w:rPr>
            </w:pPr>
            <w:r>
              <w:rPr>
                <w:rFonts w:cs="Arial"/>
              </w:rPr>
              <w:t>11</w:t>
            </w:r>
          </w:p>
        </w:tc>
        <w:tc>
          <w:tcPr>
            <w:tcW w:w="993" w:type="dxa"/>
            <w:tcBorders>
              <w:top w:val="nil"/>
              <w:left w:val="nil"/>
              <w:bottom w:val="single" w:sz="4" w:space="0" w:color="auto"/>
              <w:right w:val="single" w:sz="4" w:space="0" w:color="auto"/>
            </w:tcBorders>
          </w:tcPr>
          <w:p w14:paraId="0412F37B" w14:textId="22F818C2" w:rsidR="0033503B" w:rsidRDefault="0033503B" w:rsidP="0033503B">
            <w:pPr>
              <w:jc w:val="right"/>
              <w:rPr>
                <w:rFonts w:cs="Arial"/>
              </w:rPr>
            </w:pPr>
            <w:r>
              <w:rPr>
                <w:rFonts w:cs="Arial"/>
              </w:rPr>
              <w:t>33</w:t>
            </w:r>
          </w:p>
        </w:tc>
        <w:tc>
          <w:tcPr>
            <w:tcW w:w="993" w:type="dxa"/>
            <w:tcBorders>
              <w:top w:val="nil"/>
              <w:left w:val="nil"/>
              <w:bottom w:val="single" w:sz="4" w:space="0" w:color="auto"/>
              <w:right w:val="single" w:sz="4" w:space="0" w:color="auto"/>
            </w:tcBorders>
          </w:tcPr>
          <w:p w14:paraId="66137B37" w14:textId="36D92061" w:rsidR="0033503B" w:rsidRDefault="0033503B" w:rsidP="0033503B">
            <w:pPr>
              <w:jc w:val="right"/>
              <w:rPr>
                <w:rFonts w:cs="Arial"/>
              </w:rPr>
            </w:pPr>
            <w:r>
              <w:rPr>
                <w:rFonts w:cs="Arial"/>
              </w:rPr>
              <w:t>20</w:t>
            </w:r>
          </w:p>
        </w:tc>
        <w:tc>
          <w:tcPr>
            <w:tcW w:w="993" w:type="dxa"/>
            <w:tcBorders>
              <w:top w:val="nil"/>
              <w:left w:val="nil"/>
              <w:bottom w:val="single" w:sz="4" w:space="0" w:color="auto"/>
              <w:right w:val="single" w:sz="4" w:space="0" w:color="auto"/>
            </w:tcBorders>
          </w:tcPr>
          <w:p w14:paraId="146ADC67" w14:textId="4D9F06A9" w:rsidR="0033503B" w:rsidRDefault="0033503B" w:rsidP="0033503B">
            <w:pPr>
              <w:jc w:val="right"/>
              <w:rPr>
                <w:rFonts w:cs="Arial"/>
              </w:rPr>
            </w:pPr>
            <w:r>
              <w:rPr>
                <w:rFonts w:cs="Arial"/>
              </w:rPr>
              <w:t>6</w:t>
            </w:r>
          </w:p>
        </w:tc>
      </w:tr>
      <w:tr w:rsidR="0033503B" w:rsidRPr="00C5395B" w14:paraId="52778445" w14:textId="77777777" w:rsidTr="00D744B8">
        <w:trPr>
          <w:trHeight w:val="255"/>
        </w:trPr>
        <w:tc>
          <w:tcPr>
            <w:tcW w:w="2029" w:type="dxa"/>
            <w:tcBorders>
              <w:top w:val="nil"/>
              <w:left w:val="single" w:sz="4" w:space="0" w:color="auto"/>
              <w:bottom w:val="single" w:sz="4" w:space="0" w:color="auto"/>
              <w:right w:val="single" w:sz="4" w:space="0" w:color="auto"/>
            </w:tcBorders>
            <w:noWrap/>
            <w:hideMark/>
          </w:tcPr>
          <w:p w14:paraId="3258D245" w14:textId="77777777" w:rsidR="0033503B" w:rsidRPr="00C5395B" w:rsidRDefault="0033503B" w:rsidP="0033503B">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1487681A" w14:textId="3DEC54AF" w:rsidR="0033503B" w:rsidRDefault="0033503B" w:rsidP="0033503B">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29B1686A" w14:textId="0A9884D6" w:rsidR="0033503B" w:rsidRDefault="0033503B" w:rsidP="0033503B">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15FF827A" w14:textId="090F10E5" w:rsidR="0033503B" w:rsidRDefault="0033503B" w:rsidP="0033503B">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063D3F3E" w14:textId="231FE2A8" w:rsidR="0033503B" w:rsidRDefault="0033503B" w:rsidP="0033503B">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76AFD47C" w14:textId="68CF5157" w:rsidR="0033503B" w:rsidRDefault="0033503B" w:rsidP="0033503B">
            <w:pPr>
              <w:jc w:val="right"/>
              <w:rPr>
                <w:rFonts w:cs="Arial"/>
              </w:rPr>
            </w:pPr>
            <w:r>
              <w:rPr>
                <w:rFonts w:cs="Arial"/>
              </w:rPr>
              <w:t>3</w:t>
            </w:r>
          </w:p>
        </w:tc>
      </w:tr>
      <w:tr w:rsidR="0033503B" w:rsidRPr="00C5395B" w14:paraId="47FA1D57" w14:textId="77777777" w:rsidTr="00D744B8">
        <w:trPr>
          <w:trHeight w:val="255"/>
        </w:trPr>
        <w:tc>
          <w:tcPr>
            <w:tcW w:w="2029" w:type="dxa"/>
            <w:tcBorders>
              <w:top w:val="nil"/>
              <w:left w:val="single" w:sz="4" w:space="0" w:color="auto"/>
              <w:bottom w:val="single" w:sz="4" w:space="0" w:color="auto"/>
              <w:right w:val="single" w:sz="4" w:space="0" w:color="auto"/>
            </w:tcBorders>
            <w:noWrap/>
            <w:hideMark/>
          </w:tcPr>
          <w:p w14:paraId="4E1A2235" w14:textId="77777777" w:rsidR="0033503B" w:rsidRPr="00C5395B" w:rsidRDefault="0033503B" w:rsidP="0033503B">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5B9F2E9C" w14:textId="538958F3" w:rsidR="0033503B" w:rsidRDefault="0033503B" w:rsidP="0033503B">
            <w:pPr>
              <w:jc w:val="right"/>
              <w:rPr>
                <w:rFonts w:cs="Arial"/>
                <w:b/>
                <w:bCs/>
              </w:rPr>
            </w:pPr>
            <w:r>
              <w:rPr>
                <w:rFonts w:cs="Arial"/>
                <w:b/>
                <w:bCs/>
              </w:rPr>
              <w:t>113</w:t>
            </w:r>
          </w:p>
        </w:tc>
        <w:tc>
          <w:tcPr>
            <w:tcW w:w="993" w:type="dxa"/>
            <w:tcBorders>
              <w:top w:val="nil"/>
              <w:left w:val="nil"/>
              <w:bottom w:val="single" w:sz="4" w:space="0" w:color="auto"/>
              <w:right w:val="single" w:sz="4" w:space="0" w:color="auto"/>
            </w:tcBorders>
          </w:tcPr>
          <w:p w14:paraId="04CBEAF8" w14:textId="71221977" w:rsidR="0033503B" w:rsidRDefault="0033503B" w:rsidP="0033503B">
            <w:pPr>
              <w:jc w:val="right"/>
              <w:rPr>
                <w:rFonts w:cs="Arial"/>
                <w:b/>
                <w:bCs/>
              </w:rPr>
            </w:pPr>
            <w:r>
              <w:rPr>
                <w:rFonts w:cs="Arial"/>
                <w:b/>
                <w:bCs/>
              </w:rPr>
              <w:t>92</w:t>
            </w:r>
          </w:p>
        </w:tc>
        <w:tc>
          <w:tcPr>
            <w:tcW w:w="993" w:type="dxa"/>
            <w:tcBorders>
              <w:top w:val="nil"/>
              <w:left w:val="nil"/>
              <w:bottom w:val="single" w:sz="4" w:space="0" w:color="auto"/>
              <w:right w:val="single" w:sz="4" w:space="0" w:color="auto"/>
            </w:tcBorders>
          </w:tcPr>
          <w:p w14:paraId="1E01ECD6" w14:textId="2CC55D21" w:rsidR="0033503B" w:rsidRDefault="0033503B" w:rsidP="0033503B">
            <w:pPr>
              <w:jc w:val="right"/>
              <w:rPr>
                <w:rFonts w:cs="Arial"/>
                <w:b/>
                <w:bCs/>
              </w:rPr>
            </w:pPr>
            <w:r>
              <w:rPr>
                <w:rFonts w:cs="Arial"/>
                <w:b/>
                <w:bCs/>
              </w:rPr>
              <w:t>167</w:t>
            </w:r>
          </w:p>
        </w:tc>
        <w:tc>
          <w:tcPr>
            <w:tcW w:w="993" w:type="dxa"/>
            <w:tcBorders>
              <w:top w:val="nil"/>
              <w:left w:val="nil"/>
              <w:bottom w:val="single" w:sz="4" w:space="0" w:color="auto"/>
              <w:right w:val="single" w:sz="4" w:space="0" w:color="auto"/>
            </w:tcBorders>
          </w:tcPr>
          <w:p w14:paraId="4AE77ED2" w14:textId="5228546C" w:rsidR="0033503B" w:rsidRDefault="0033503B" w:rsidP="0033503B">
            <w:pPr>
              <w:jc w:val="right"/>
              <w:rPr>
                <w:rFonts w:cs="Arial"/>
                <w:b/>
                <w:bCs/>
              </w:rPr>
            </w:pPr>
            <w:r>
              <w:rPr>
                <w:rFonts w:cs="Arial"/>
                <w:b/>
                <w:bCs/>
              </w:rPr>
              <w:t>115</w:t>
            </w:r>
          </w:p>
        </w:tc>
        <w:tc>
          <w:tcPr>
            <w:tcW w:w="993" w:type="dxa"/>
            <w:tcBorders>
              <w:top w:val="nil"/>
              <w:left w:val="nil"/>
              <w:bottom w:val="single" w:sz="4" w:space="0" w:color="auto"/>
              <w:right w:val="single" w:sz="4" w:space="0" w:color="auto"/>
            </w:tcBorders>
          </w:tcPr>
          <w:p w14:paraId="2DF91728" w14:textId="74706F89" w:rsidR="0033503B" w:rsidRDefault="0033503B" w:rsidP="0033503B">
            <w:pPr>
              <w:jc w:val="right"/>
              <w:rPr>
                <w:rFonts w:cs="Arial"/>
                <w:b/>
                <w:bCs/>
              </w:rPr>
            </w:pPr>
            <w:r>
              <w:rPr>
                <w:rFonts w:cs="Arial"/>
                <w:b/>
                <w:bCs/>
              </w:rPr>
              <w:t>98</w:t>
            </w:r>
          </w:p>
        </w:tc>
      </w:tr>
      <w:bookmarkEnd w:id="21"/>
    </w:tbl>
    <w:p w14:paraId="61447B34" w14:textId="77777777" w:rsidR="00124DB6" w:rsidRDefault="00124DB6" w:rsidP="00124DB6">
      <w:pPr>
        <w:ind w:left="-142" w:right="-425"/>
        <w:jc w:val="both"/>
        <w:rPr>
          <w:rFonts w:cs="Arial"/>
        </w:rPr>
      </w:pPr>
    </w:p>
    <w:p w14:paraId="3DA4D471" w14:textId="3D83B91D" w:rsidR="005A5B78" w:rsidRDefault="005A5B78" w:rsidP="00124DB6">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6683EEE1" w14:textId="77777777" w:rsidR="00D54B8B" w:rsidRDefault="00D54B8B" w:rsidP="00124DB6">
      <w:pPr>
        <w:ind w:left="-142" w:right="-425"/>
        <w:jc w:val="both"/>
        <w:rPr>
          <w:rFonts w:cs="Arial"/>
        </w:rPr>
      </w:pPr>
    </w:p>
    <w:p w14:paraId="79377DBA" w14:textId="6E00975C" w:rsidR="00124DB6" w:rsidRDefault="00124DB6" w:rsidP="00124DB6">
      <w:pPr>
        <w:tabs>
          <w:tab w:val="left" w:pos="0"/>
        </w:tabs>
        <w:ind w:left="426" w:right="-425" w:hanging="568"/>
        <w:jc w:val="both"/>
        <w:rPr>
          <w:rFonts w:cs="Arial"/>
          <w:sz w:val="16"/>
          <w:szCs w:val="16"/>
        </w:rPr>
      </w:pPr>
      <w:r>
        <w:rPr>
          <w:rFonts w:cs="Arial"/>
          <w:b/>
          <w:sz w:val="16"/>
          <w:szCs w:val="16"/>
        </w:rPr>
        <w:t>Table 14</w:t>
      </w:r>
      <w:r w:rsidRPr="005A620F">
        <w:rPr>
          <w:rFonts w:cs="Arial"/>
          <w:b/>
          <w:sz w:val="16"/>
          <w:szCs w:val="16"/>
        </w:rPr>
        <w:t xml:space="preserve">: </w:t>
      </w:r>
      <w:r>
        <w:rPr>
          <w:rFonts w:cs="Arial"/>
          <w:sz w:val="16"/>
          <w:szCs w:val="16"/>
        </w:rPr>
        <w:t>Conditional income m</w:t>
      </w:r>
      <w:r w:rsidRPr="005A620F">
        <w:rPr>
          <w:rFonts w:cs="Arial"/>
          <w:sz w:val="16"/>
          <w:szCs w:val="16"/>
        </w:rPr>
        <w:t xml:space="preserve">anagement </w:t>
      </w:r>
      <w:r>
        <w:rPr>
          <w:rFonts w:cs="Arial"/>
          <w:sz w:val="16"/>
          <w:szCs w:val="16"/>
        </w:rPr>
        <w:t xml:space="preserve">by community and quarter 1 </w:t>
      </w:r>
      <w:r>
        <w:rPr>
          <w:rFonts w:cs="Arial"/>
          <w:sz w:val="16"/>
          <w:szCs w:val="16"/>
        </w:rPr>
        <w:t>April</w:t>
      </w:r>
      <w:r>
        <w:rPr>
          <w:rFonts w:cs="Arial"/>
          <w:sz w:val="16"/>
          <w:szCs w:val="16"/>
        </w:rPr>
        <w:t xml:space="preserve"> 2023 to 3</w:t>
      </w:r>
      <w:r>
        <w:rPr>
          <w:rFonts w:cs="Arial"/>
          <w:sz w:val="16"/>
          <w:szCs w:val="16"/>
        </w:rPr>
        <w:t xml:space="preserve">0 June </w:t>
      </w:r>
      <w:r>
        <w:rPr>
          <w:rFonts w:cs="Arial"/>
          <w:sz w:val="16"/>
          <w:szCs w:val="16"/>
        </w:rPr>
        <w:t>2024</w:t>
      </w:r>
    </w:p>
    <w:p w14:paraId="60DF4147" w14:textId="77777777" w:rsidR="00124DB6" w:rsidRDefault="00124DB6" w:rsidP="00124DB6">
      <w:pPr>
        <w:tabs>
          <w:tab w:val="left" w:pos="0"/>
        </w:tabs>
        <w:ind w:left="426" w:right="-425" w:hanging="568"/>
        <w:jc w:val="both"/>
        <w:rPr>
          <w:rFonts w:cs="Arial"/>
          <w:lang w:val="en-GB"/>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124DB6" w:rsidRPr="00C5395B" w14:paraId="02ED223C" w14:textId="77777777" w:rsidTr="00D744B8">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6FD8329B" w14:textId="77777777" w:rsidR="00124DB6" w:rsidRPr="00C5395B" w:rsidRDefault="00124DB6" w:rsidP="00124DB6">
            <w:pPr>
              <w:pStyle w:val="TableText"/>
              <w:ind w:left="49"/>
              <w:rPr>
                <w:b/>
                <w:lang w:eastAsia="en-AU"/>
              </w:rPr>
            </w:pPr>
            <w:bookmarkStart w:id="22"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541A6123" w14:textId="1995878E" w:rsidR="00124DB6" w:rsidRDefault="00124DB6" w:rsidP="00124DB6">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130D6D3C" w14:textId="35FAA2A4" w:rsidR="00124DB6" w:rsidRDefault="00124DB6" w:rsidP="00124DB6">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05245165" w14:textId="4D1EBE5F" w:rsidR="00124DB6" w:rsidRDefault="00124DB6" w:rsidP="00124DB6">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5D5344D0" w14:textId="7E2AD17F" w:rsidR="00124DB6" w:rsidRDefault="00124DB6" w:rsidP="00124DB6">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5E83D772" w14:textId="225EF715" w:rsidR="00124DB6" w:rsidRPr="00BA518C" w:rsidRDefault="00124DB6" w:rsidP="00124DB6">
            <w:pPr>
              <w:pStyle w:val="TableText"/>
              <w:jc w:val="right"/>
              <w:rPr>
                <w:b/>
                <w:lang w:eastAsia="en-AU"/>
              </w:rPr>
            </w:pPr>
            <w:r w:rsidRPr="00BA518C">
              <w:rPr>
                <w:b/>
                <w:lang w:eastAsia="en-AU"/>
              </w:rPr>
              <w:t>Qtr 6</w:t>
            </w:r>
            <w:r>
              <w:rPr>
                <w:b/>
                <w:lang w:eastAsia="en-AU"/>
              </w:rPr>
              <w:t>4</w:t>
            </w:r>
          </w:p>
        </w:tc>
      </w:tr>
      <w:tr w:rsidR="0033503B" w:rsidRPr="00C5395B" w14:paraId="0D86816A"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5E4707E6" w14:textId="77777777" w:rsidR="0033503B" w:rsidRPr="00C5395B" w:rsidRDefault="0033503B" w:rsidP="0033503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6606F3EC" w14:textId="52171982" w:rsidR="0033503B" w:rsidRDefault="0033503B" w:rsidP="0033503B">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33C88EC2" w14:textId="69E74CA6" w:rsidR="0033503B" w:rsidRDefault="0033503B" w:rsidP="0033503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30198324" w14:textId="32AE91DC" w:rsidR="0033503B" w:rsidRDefault="0033503B" w:rsidP="0033503B">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5DC8CDAC" w14:textId="2156C302" w:rsidR="0033503B" w:rsidRDefault="0033503B" w:rsidP="0033503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B873844" w14:textId="6DC85D64" w:rsidR="0033503B" w:rsidRDefault="0033503B" w:rsidP="0033503B">
            <w:pPr>
              <w:jc w:val="right"/>
              <w:rPr>
                <w:rFonts w:cs="Arial"/>
              </w:rPr>
            </w:pPr>
            <w:r>
              <w:rPr>
                <w:rFonts w:cs="Arial"/>
              </w:rPr>
              <w:t>1</w:t>
            </w:r>
          </w:p>
        </w:tc>
      </w:tr>
      <w:tr w:rsidR="0033503B" w:rsidRPr="00C5395B" w14:paraId="4C6FE305"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7C1F8AF5" w14:textId="77777777" w:rsidR="0033503B" w:rsidRPr="00C5395B" w:rsidRDefault="0033503B" w:rsidP="0033503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6122D5D5" w14:textId="16E92049" w:rsidR="0033503B" w:rsidRDefault="0033503B" w:rsidP="0033503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0723DE6" w14:textId="7265741C" w:rsidR="0033503B" w:rsidRDefault="0033503B" w:rsidP="0033503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9BD5B27" w14:textId="42B36B61" w:rsidR="0033503B" w:rsidRDefault="0033503B" w:rsidP="0033503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05E9C4B" w14:textId="2F75E0B9" w:rsidR="0033503B" w:rsidRDefault="0033503B" w:rsidP="0033503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89EBAC6" w14:textId="3AB3A503" w:rsidR="0033503B" w:rsidRDefault="0033503B" w:rsidP="0033503B">
            <w:pPr>
              <w:jc w:val="right"/>
              <w:rPr>
                <w:rFonts w:cs="Arial"/>
              </w:rPr>
            </w:pPr>
            <w:r>
              <w:rPr>
                <w:rFonts w:cs="Arial"/>
              </w:rPr>
              <w:t>0</w:t>
            </w:r>
          </w:p>
        </w:tc>
      </w:tr>
      <w:tr w:rsidR="0033503B" w:rsidRPr="00C5395B" w14:paraId="44C98959" w14:textId="77777777" w:rsidTr="00D744B8">
        <w:trPr>
          <w:trHeight w:val="255"/>
        </w:trPr>
        <w:tc>
          <w:tcPr>
            <w:tcW w:w="2040" w:type="dxa"/>
            <w:tcBorders>
              <w:top w:val="nil"/>
              <w:left w:val="single" w:sz="4" w:space="0" w:color="auto"/>
              <w:bottom w:val="single" w:sz="4" w:space="0" w:color="auto"/>
              <w:right w:val="single" w:sz="4" w:space="0" w:color="auto"/>
            </w:tcBorders>
            <w:noWrap/>
          </w:tcPr>
          <w:p w14:paraId="7B650D48" w14:textId="77777777" w:rsidR="0033503B" w:rsidRPr="00C5395B" w:rsidRDefault="0033503B" w:rsidP="0033503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6EBB7485" w14:textId="65B0C5E1" w:rsidR="0033503B" w:rsidRDefault="0033503B" w:rsidP="0033503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8720BC7" w14:textId="3A61C755" w:rsidR="0033503B" w:rsidRDefault="0033503B" w:rsidP="0033503B">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3A3A95B4" w14:textId="3F1D64E1" w:rsidR="0033503B" w:rsidRDefault="0033503B" w:rsidP="0033503B">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748DEE02" w14:textId="40393EEC" w:rsidR="0033503B" w:rsidRDefault="0033503B" w:rsidP="0033503B">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03F0B7D8" w14:textId="18CE3C48" w:rsidR="0033503B" w:rsidRDefault="0033503B" w:rsidP="0033503B">
            <w:pPr>
              <w:jc w:val="right"/>
              <w:rPr>
                <w:rFonts w:cs="Arial"/>
              </w:rPr>
            </w:pPr>
            <w:r>
              <w:rPr>
                <w:rFonts w:cs="Arial"/>
              </w:rPr>
              <w:t>1</w:t>
            </w:r>
          </w:p>
        </w:tc>
      </w:tr>
      <w:tr w:rsidR="0033503B" w:rsidRPr="00C5395B" w14:paraId="4D8B2D32"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02A6F7CC" w14:textId="77777777" w:rsidR="0033503B" w:rsidRPr="00C5395B" w:rsidRDefault="0033503B" w:rsidP="0033503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5A7D0621" w14:textId="15A540C9" w:rsidR="0033503B" w:rsidRDefault="0033503B" w:rsidP="0033503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0961029A" w14:textId="135AE981" w:rsidR="0033503B" w:rsidRDefault="0033503B" w:rsidP="0033503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9AD738F" w14:textId="5CB4C6E6" w:rsidR="0033503B" w:rsidRDefault="0033503B" w:rsidP="0033503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3E3715D5" w14:textId="7E107919" w:rsidR="0033503B" w:rsidRDefault="0033503B" w:rsidP="0033503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24D60E5" w14:textId="3AEB67FB" w:rsidR="0033503B" w:rsidRDefault="0033503B" w:rsidP="0033503B">
            <w:pPr>
              <w:jc w:val="right"/>
              <w:rPr>
                <w:rFonts w:cs="Arial"/>
              </w:rPr>
            </w:pPr>
            <w:r>
              <w:rPr>
                <w:rFonts w:cs="Arial"/>
              </w:rPr>
              <w:t>2</w:t>
            </w:r>
          </w:p>
        </w:tc>
      </w:tr>
      <w:tr w:rsidR="0033503B" w:rsidRPr="00C5395B" w14:paraId="254C695E"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6F51C89A" w14:textId="77777777" w:rsidR="0033503B" w:rsidRPr="00C5395B" w:rsidRDefault="0033503B" w:rsidP="0033503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F89BC4C" w14:textId="56F0B018" w:rsidR="0033503B" w:rsidRDefault="0033503B" w:rsidP="0033503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52098F4B" w14:textId="27DD6382" w:rsidR="0033503B" w:rsidRDefault="0033503B" w:rsidP="0033503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3CB085C" w14:textId="5C257311" w:rsidR="0033503B" w:rsidRDefault="0033503B" w:rsidP="0033503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F0CA2A4" w14:textId="04BBC844" w:rsidR="0033503B" w:rsidRDefault="0033503B" w:rsidP="0033503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2C832AA" w14:textId="7400C925" w:rsidR="0033503B" w:rsidRDefault="0033503B" w:rsidP="0033503B">
            <w:pPr>
              <w:jc w:val="right"/>
              <w:rPr>
                <w:rFonts w:cs="Arial"/>
              </w:rPr>
            </w:pPr>
            <w:r>
              <w:rPr>
                <w:rFonts w:cs="Arial"/>
              </w:rPr>
              <w:t>0</w:t>
            </w:r>
          </w:p>
        </w:tc>
      </w:tr>
      <w:tr w:rsidR="0033503B" w:rsidRPr="00C5395B" w14:paraId="30DD784B"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7F730B2B" w14:textId="77777777" w:rsidR="0033503B" w:rsidRPr="00C5395B" w:rsidRDefault="0033503B" w:rsidP="0033503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7B807085" w14:textId="6CC73630" w:rsidR="0033503B" w:rsidRDefault="0033503B" w:rsidP="0033503B">
            <w:pPr>
              <w:jc w:val="right"/>
              <w:rPr>
                <w:rFonts w:cs="Arial"/>
                <w:b/>
                <w:bCs/>
              </w:rPr>
            </w:pPr>
            <w:r>
              <w:rPr>
                <w:rFonts w:cs="Arial"/>
                <w:b/>
                <w:bCs/>
              </w:rPr>
              <w:t>17</w:t>
            </w:r>
          </w:p>
        </w:tc>
        <w:tc>
          <w:tcPr>
            <w:tcW w:w="960" w:type="dxa"/>
            <w:tcBorders>
              <w:top w:val="nil"/>
              <w:left w:val="nil"/>
              <w:bottom w:val="single" w:sz="4" w:space="0" w:color="auto"/>
              <w:right w:val="single" w:sz="4" w:space="0" w:color="auto"/>
            </w:tcBorders>
          </w:tcPr>
          <w:p w14:paraId="0969A0EC" w14:textId="339034C7" w:rsidR="0033503B" w:rsidRDefault="0033503B" w:rsidP="0033503B">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344F21ED" w14:textId="0C94E717" w:rsidR="0033503B" w:rsidRDefault="0033503B" w:rsidP="0033503B">
            <w:pPr>
              <w:jc w:val="right"/>
              <w:rPr>
                <w:rFonts w:cs="Arial"/>
                <w:b/>
                <w:bCs/>
              </w:rPr>
            </w:pPr>
            <w:r>
              <w:rPr>
                <w:rFonts w:cs="Arial"/>
                <w:b/>
                <w:bCs/>
              </w:rPr>
              <w:t>28</w:t>
            </w:r>
          </w:p>
        </w:tc>
        <w:tc>
          <w:tcPr>
            <w:tcW w:w="960" w:type="dxa"/>
            <w:tcBorders>
              <w:top w:val="nil"/>
              <w:left w:val="nil"/>
              <w:bottom w:val="single" w:sz="4" w:space="0" w:color="auto"/>
              <w:right w:val="single" w:sz="4" w:space="0" w:color="auto"/>
            </w:tcBorders>
          </w:tcPr>
          <w:p w14:paraId="5AD550AC" w14:textId="7D0DF7C8" w:rsidR="0033503B" w:rsidRDefault="0033503B" w:rsidP="0033503B">
            <w:pPr>
              <w:jc w:val="right"/>
              <w:rPr>
                <w:rFonts w:cs="Arial"/>
                <w:b/>
                <w:bCs/>
              </w:rPr>
            </w:pPr>
            <w:r>
              <w:rPr>
                <w:rFonts w:cs="Arial"/>
                <w:b/>
                <w:bCs/>
              </w:rPr>
              <w:t>9</w:t>
            </w:r>
          </w:p>
        </w:tc>
        <w:tc>
          <w:tcPr>
            <w:tcW w:w="960" w:type="dxa"/>
            <w:tcBorders>
              <w:top w:val="nil"/>
              <w:left w:val="nil"/>
              <w:bottom w:val="single" w:sz="4" w:space="0" w:color="auto"/>
              <w:right w:val="single" w:sz="4" w:space="0" w:color="auto"/>
            </w:tcBorders>
          </w:tcPr>
          <w:p w14:paraId="4484AC94" w14:textId="5D317CC9" w:rsidR="0033503B" w:rsidRDefault="0033503B" w:rsidP="0033503B">
            <w:pPr>
              <w:jc w:val="right"/>
              <w:rPr>
                <w:rFonts w:cs="Arial"/>
                <w:b/>
                <w:bCs/>
              </w:rPr>
            </w:pPr>
            <w:r>
              <w:rPr>
                <w:rFonts w:cs="Arial"/>
                <w:b/>
                <w:bCs/>
              </w:rPr>
              <w:t>4</w:t>
            </w:r>
          </w:p>
        </w:tc>
      </w:tr>
      <w:bookmarkEnd w:id="22"/>
    </w:tbl>
    <w:p w14:paraId="7EFE34AB" w14:textId="77777777" w:rsidR="00124DB6" w:rsidRPr="00D54B8B" w:rsidRDefault="00124DB6" w:rsidP="00D54B8B">
      <w:pPr>
        <w:tabs>
          <w:tab w:val="left" w:pos="0"/>
        </w:tabs>
        <w:ind w:left="425" w:right="-425" w:hanging="567"/>
        <w:jc w:val="both"/>
        <w:rPr>
          <w:rFonts w:cs="Arial"/>
        </w:rPr>
      </w:pPr>
    </w:p>
    <w:p w14:paraId="7776CF22" w14:textId="56BE6CCF" w:rsidR="005A5B78" w:rsidRDefault="00DD2557" w:rsidP="0059763E">
      <w:pPr>
        <w:ind w:left="-142" w:right="-425"/>
        <w:jc w:val="both"/>
        <w:rPr>
          <w:rFonts w:cs="Arial"/>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5329D1">
        <w:rPr>
          <w:rFonts w:cs="Arial"/>
        </w:rPr>
        <w:t>4</w:t>
      </w:r>
      <w:r w:rsidR="00D54B8B">
        <w:rPr>
          <w:rFonts w:cs="Arial"/>
        </w:rPr>
        <w:t xml:space="preserve">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(orders) </w:t>
      </w:r>
      <w:r w:rsidR="001E59F8">
        <w:rPr>
          <w:rFonts w:cs="Arial"/>
        </w:rPr>
        <w:t>relating to</w:t>
      </w:r>
      <w:r w:rsidR="00CD2E78">
        <w:rPr>
          <w:rFonts w:cs="Arial"/>
        </w:rPr>
        <w:t xml:space="preserve"> </w:t>
      </w:r>
      <w:r w:rsidR="005329D1">
        <w:rPr>
          <w:rFonts w:cs="Arial"/>
        </w:rPr>
        <w:t>4</w:t>
      </w:r>
      <w:r w:rsidR="00D54B8B">
        <w:rPr>
          <w:rFonts w:cs="Arial"/>
        </w:rPr>
        <w:t xml:space="preserve">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BC09BB">
        <w:rPr>
          <w:rFonts w:cs="Arial"/>
        </w:rPr>
        <w:t>6</w:t>
      </w:r>
      <w:r w:rsidR="005329D1">
        <w:rPr>
          <w:rFonts w:cs="Arial"/>
        </w:rPr>
        <w:t>4</w:t>
      </w:r>
      <w:r w:rsidR="00D74542">
        <w:rPr>
          <w:rFonts w:cs="Arial"/>
        </w:rPr>
        <w:t xml:space="preserve"> </w:t>
      </w:r>
      <w:r w:rsidR="00953CCD">
        <w:rPr>
          <w:rFonts w:cs="Arial"/>
        </w:rPr>
        <w:t xml:space="preserve">with </w:t>
      </w:r>
      <w:r w:rsidR="005329D1">
        <w:rPr>
          <w:rFonts w:cs="Arial"/>
        </w:rPr>
        <w:t>7</w:t>
      </w:r>
      <w:r w:rsidR="001B0D4C">
        <w:rPr>
          <w:rFonts w:cs="Arial"/>
        </w:rPr>
        <w:t>5</w:t>
      </w:r>
      <w:r w:rsidR="00C71432">
        <w:rPr>
          <w:rFonts w:cs="Arial"/>
        </w:rPr>
        <w:t xml:space="preserve">% </w:t>
      </w:r>
      <w:r w:rsidR="00953CCD">
        <w:rPr>
          <w:rFonts w:cs="Arial"/>
        </w:rPr>
        <w:t xml:space="preserve">set at </w:t>
      </w:r>
      <w:r w:rsidR="00D54B8B">
        <w:rPr>
          <w:rFonts w:cs="Arial"/>
        </w:rPr>
        <w:t>75</w:t>
      </w:r>
      <w:r w:rsidR="00AF0A25">
        <w:rPr>
          <w:rFonts w:cs="Arial"/>
        </w:rPr>
        <w:t xml:space="preserve">% </w:t>
      </w:r>
      <w:r w:rsidR="00953CCD">
        <w:rPr>
          <w:rFonts w:cs="Arial"/>
        </w:rPr>
        <w:t xml:space="preserve">quarantining of welfare payments (see </w:t>
      </w:r>
      <w:r w:rsidR="00085FF5">
        <w:rPr>
          <w:rFonts w:cs="Arial"/>
        </w:rPr>
        <w:t>table 17</w:t>
      </w:r>
      <w:r w:rsidR="00953CCD">
        <w:rPr>
          <w:rFonts w:cs="Arial"/>
        </w:rPr>
        <w:t xml:space="preserve">) and </w:t>
      </w:r>
      <w:r w:rsidR="005C48A1">
        <w:rPr>
          <w:rFonts w:cs="Arial"/>
        </w:rPr>
        <w:t>75</w:t>
      </w:r>
      <w:r w:rsidR="00DD36DF">
        <w:rPr>
          <w:rFonts w:cs="Arial"/>
        </w:rPr>
        <w:t>%</w:t>
      </w:r>
      <w:r w:rsidR="00953CCD">
        <w:rPr>
          <w:rFonts w:cs="Arial"/>
        </w:rPr>
        <w:t xml:space="preserve"> set for a 6-month duration (see </w:t>
      </w:r>
      <w:r w:rsidR="00085FF5">
        <w:rPr>
          <w:rFonts w:cs="Arial"/>
        </w:rPr>
        <w:t>table 15</w:t>
      </w:r>
      <w:r w:rsidR="00953CCD">
        <w:rPr>
          <w:rFonts w:cs="Arial"/>
        </w:rPr>
        <w:t>).</w:t>
      </w:r>
    </w:p>
    <w:p w14:paraId="4162CB4C" w14:textId="77777777" w:rsidR="00085FF5" w:rsidRPr="0059763E" w:rsidRDefault="00085FF5" w:rsidP="0059763E">
      <w:pPr>
        <w:ind w:left="-142" w:right="-425"/>
        <w:jc w:val="both"/>
        <w:rPr>
          <w:rFonts w:cs="Arial"/>
          <w:lang w:val="en-GB"/>
        </w:rPr>
      </w:pPr>
    </w:p>
    <w:p w14:paraId="15BC289D" w14:textId="3919D140" w:rsidR="005A5B78" w:rsidRDefault="005A5B78" w:rsidP="005A5B78">
      <w:pPr>
        <w:ind w:left="-142" w:right="-425"/>
        <w:jc w:val="both"/>
        <w:rPr>
          <w:rFonts w:cs="Arial"/>
        </w:rPr>
      </w:pPr>
      <w:r w:rsidRPr="00C313D5">
        <w:rPr>
          <w:rFonts w:cs="Arial"/>
        </w:rPr>
        <w:t xml:space="preserve">As at </w:t>
      </w:r>
      <w:r w:rsidR="007B7E78">
        <w:rPr>
          <w:rFonts w:cs="Arial"/>
        </w:rPr>
        <w:t>3</w:t>
      </w:r>
      <w:r w:rsidR="0072649F">
        <w:rPr>
          <w:rFonts w:cs="Arial"/>
        </w:rPr>
        <w:t xml:space="preserve">0 June </w:t>
      </w:r>
      <w:r w:rsidR="004D0C91">
        <w:rPr>
          <w:rFonts w:cs="Arial"/>
        </w:rPr>
        <w:t>2024</w:t>
      </w:r>
      <w:r w:rsidRPr="00C313D5">
        <w:rPr>
          <w:rFonts w:cs="Arial"/>
        </w:rPr>
        <w:t xml:space="preserve"> there were </w:t>
      </w:r>
      <w:r w:rsidR="0072649F">
        <w:rPr>
          <w:rFonts w:cs="Arial"/>
        </w:rPr>
        <w:t>13</w:t>
      </w:r>
      <w:r w:rsidR="0072649F" w:rsidRPr="00C313D5">
        <w:rPr>
          <w:rFonts w:cs="Arial"/>
        </w:rPr>
        <w:t xml:space="preserve"> </w:t>
      </w:r>
      <w:r w:rsidRPr="00C313D5">
        <w:rPr>
          <w:rFonts w:cs="Arial"/>
        </w:rPr>
        <w:t xml:space="preserve">clients subject to a </w:t>
      </w:r>
      <w:r w:rsidR="00A20D65" w:rsidRPr="00C313D5">
        <w:rPr>
          <w:rFonts w:cs="Arial"/>
        </w:rPr>
        <w:t>cur</w:t>
      </w:r>
      <w:r w:rsidR="00A20D65" w:rsidRPr="00144D99">
        <w:rPr>
          <w:rFonts w:cs="Arial"/>
        </w:rPr>
        <w:t xml:space="preserve">rent </w:t>
      </w:r>
      <w:r w:rsidRPr="00144D99">
        <w:rPr>
          <w:rFonts w:cs="Arial"/>
        </w:rPr>
        <w:t>CIM</w:t>
      </w:r>
      <w:r w:rsidR="004034AE" w:rsidRPr="00144D99">
        <w:rPr>
          <w:rFonts w:cs="Arial"/>
        </w:rPr>
        <w:t xml:space="preserve"> who were responsible for </w:t>
      </w:r>
      <w:r w:rsidR="0072649F">
        <w:rPr>
          <w:rFonts w:cs="Arial"/>
        </w:rPr>
        <w:t>31</w:t>
      </w:r>
      <w:r w:rsidR="0072649F" w:rsidRPr="00144D99">
        <w:rPr>
          <w:rFonts w:cs="Arial"/>
        </w:rPr>
        <w:t xml:space="preserve"> </w:t>
      </w:r>
      <w:r w:rsidR="004034AE" w:rsidRPr="00144D99">
        <w:rPr>
          <w:rFonts w:cs="Arial"/>
        </w:rPr>
        <w:t>children in their care (</w:t>
      </w:r>
      <w:r w:rsidR="0072649F">
        <w:rPr>
          <w:rFonts w:cs="Arial"/>
        </w:rPr>
        <w:t>16</w:t>
      </w:r>
      <w:r w:rsidR="0072649F" w:rsidRPr="00144D99">
        <w:rPr>
          <w:rFonts w:cs="Arial"/>
        </w:rPr>
        <w:t xml:space="preserve"> </w:t>
      </w:r>
      <w:r w:rsidR="004034AE" w:rsidRPr="00144D99">
        <w:rPr>
          <w:rFonts w:cs="Arial"/>
        </w:rPr>
        <w:t>of whom were school aged children</w:t>
      </w:r>
      <w:r w:rsidR="004573F7" w:rsidRPr="00144D99">
        <w:rPr>
          <w:rFonts w:cs="Arial"/>
        </w:rPr>
        <w:t>)</w:t>
      </w:r>
      <w:r w:rsidR="004034AE" w:rsidRPr="00144D99">
        <w:rPr>
          <w:rFonts w:cs="Arial"/>
        </w:rPr>
        <w:t>.</w:t>
      </w:r>
      <w:r w:rsidR="004034AE">
        <w:rPr>
          <w:rFonts w:cs="Arial"/>
        </w:rPr>
        <w:t xml:space="preserve"> </w:t>
      </w:r>
      <w:r w:rsidR="007E017B">
        <w:rPr>
          <w:rFonts w:cs="Arial"/>
        </w:rPr>
        <w:t>Of</w:t>
      </w:r>
      <w:r w:rsidR="004034AE">
        <w:rPr>
          <w:rFonts w:cs="Arial"/>
        </w:rPr>
        <w:t xml:space="preserve"> the </w:t>
      </w:r>
      <w:r w:rsidR="0072649F">
        <w:rPr>
          <w:rFonts w:cs="Arial"/>
        </w:rPr>
        <w:t xml:space="preserve">13 </w:t>
      </w:r>
      <w:r w:rsidR="004034AE">
        <w:rPr>
          <w:rFonts w:cs="Arial"/>
        </w:rPr>
        <w:t xml:space="preserve">clients </w:t>
      </w:r>
      <w:r w:rsidR="0072649F">
        <w:rPr>
          <w:rFonts w:cs="Arial"/>
        </w:rPr>
        <w:t>31</w:t>
      </w:r>
      <w:r w:rsidR="007E017B">
        <w:rPr>
          <w:rFonts w:cs="Arial"/>
        </w:rPr>
        <w:t xml:space="preserve">% </w:t>
      </w:r>
      <w:r w:rsidR="004034AE">
        <w:rPr>
          <w:rFonts w:cs="Arial"/>
        </w:rPr>
        <w:t xml:space="preserve">were income managed </w:t>
      </w:r>
      <w:bookmarkStart w:id="23" w:name="_Hlk80798728"/>
      <w:r w:rsidR="004573F7">
        <w:rPr>
          <w:rFonts w:cs="Arial"/>
        </w:rPr>
        <w:t xml:space="preserve">at </w:t>
      </w:r>
      <w:r w:rsidR="00984127">
        <w:rPr>
          <w:rFonts w:cs="Arial"/>
        </w:rPr>
        <w:t>60</w:t>
      </w:r>
      <w:r w:rsidR="000A2349">
        <w:rPr>
          <w:rFonts w:cs="Arial"/>
        </w:rPr>
        <w:t xml:space="preserve">%, </w:t>
      </w:r>
      <w:r w:rsidR="0072649F">
        <w:rPr>
          <w:rFonts w:cs="Arial"/>
        </w:rPr>
        <w:t>54</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75% and </w:t>
      </w:r>
      <w:r w:rsidR="005C48A1">
        <w:rPr>
          <w:rFonts w:cs="Arial"/>
        </w:rPr>
        <w:t>15</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90% </w:t>
      </w:r>
      <w:r w:rsidR="004034AE">
        <w:rPr>
          <w:rFonts w:cs="Arial"/>
        </w:rPr>
        <w:t>whilst duration ranged from</w:t>
      </w:r>
      <w:r w:rsidR="00D7787C">
        <w:rPr>
          <w:rFonts w:cs="Arial"/>
        </w:rPr>
        <w:t xml:space="preserve"> </w:t>
      </w:r>
      <w:r w:rsidR="0009450B">
        <w:rPr>
          <w:rFonts w:cs="Arial"/>
        </w:rPr>
        <w:t xml:space="preserve">8% for a 3-month duration and </w:t>
      </w:r>
      <w:r w:rsidR="00D903A7">
        <w:rPr>
          <w:rFonts w:cs="Arial"/>
        </w:rPr>
        <w:t>9</w:t>
      </w:r>
      <w:r w:rsidR="005C48A1">
        <w:rPr>
          <w:rFonts w:cs="Arial"/>
        </w:rPr>
        <w:t>2</w:t>
      </w:r>
      <w:r w:rsidR="00DD36DF">
        <w:rPr>
          <w:rFonts w:cs="Arial"/>
        </w:rPr>
        <w:t>%</w:t>
      </w:r>
      <w:r w:rsidR="005177D6">
        <w:rPr>
          <w:rFonts w:cs="Arial"/>
        </w:rPr>
        <w:t xml:space="preserve"> for a 6-month duration</w:t>
      </w:r>
      <w:r w:rsidR="00CE5828" w:rsidRPr="00C313D5">
        <w:rPr>
          <w:rFonts w:cs="Arial"/>
        </w:rPr>
        <w:t>.</w:t>
      </w:r>
      <w:r w:rsidR="0061573D">
        <w:rPr>
          <w:rFonts w:cs="Arial"/>
        </w:rPr>
        <w:t xml:space="preserve"> </w:t>
      </w:r>
      <w:bookmarkEnd w:id="23"/>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124DB6">
      <w:pPr>
        <w:pStyle w:val="Heading2"/>
      </w:pPr>
      <w:r>
        <w:t>Voluntary self-r</w:t>
      </w:r>
      <w:r w:rsidRPr="002D4651">
        <w:t>eferrals</w:t>
      </w:r>
      <w:r>
        <w:t xml:space="preserve"> from clients to the Commission</w:t>
      </w:r>
    </w:p>
    <w:p w14:paraId="77A10D70" w14:textId="4B4E3228"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BC09BB">
        <w:rPr>
          <w:rFonts w:cs="Arial"/>
        </w:rPr>
        <w:t>6</w:t>
      </w:r>
      <w:r w:rsidR="005C48A1">
        <w:rPr>
          <w:rFonts w:cs="Arial"/>
        </w:rPr>
        <w:t>4</w:t>
      </w:r>
      <w:r w:rsidR="00F45BD7">
        <w:rPr>
          <w:rFonts w:cs="Arial"/>
        </w:rPr>
        <w:t>,</w:t>
      </w:r>
      <w:r>
        <w:rPr>
          <w:rFonts w:cs="Arial"/>
        </w:rPr>
        <w:t xml:space="preserve"> </w:t>
      </w:r>
      <w:r w:rsidR="005C48A1">
        <w:rPr>
          <w:rFonts w:cs="Arial"/>
        </w:rPr>
        <w:t xml:space="preserve">58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E55820">
        <w:rPr>
          <w:rFonts w:cs="Arial"/>
        </w:rPr>
        <w:t>6</w:t>
      </w:r>
      <w:r w:rsidR="005C48A1">
        <w:rPr>
          <w:rFonts w:cs="Arial"/>
        </w:rPr>
        <w:t>1</w:t>
      </w:r>
      <w:r w:rsidR="00801406">
        <w:rPr>
          <w:rFonts w:cs="Arial"/>
        </w:rPr>
        <w:t xml:space="preserve"> </w:t>
      </w:r>
      <w:r>
        <w:rPr>
          <w:rFonts w:cs="Arial"/>
        </w:rPr>
        <w:t>community support services under a case p</w:t>
      </w:r>
      <w:r w:rsidRPr="007F32E2">
        <w:rPr>
          <w:rFonts w:cs="Arial"/>
        </w:rPr>
        <w:t>lan</w:t>
      </w:r>
      <w:r w:rsidR="00B83421">
        <w:rPr>
          <w:rFonts w:cs="Arial"/>
        </w:rPr>
        <w:t xml:space="preserve"> relating to </w:t>
      </w:r>
      <w:r w:rsidR="005C48A1">
        <w:rPr>
          <w:rFonts w:cs="Arial"/>
        </w:rPr>
        <w:t xml:space="preserve">55 </w:t>
      </w:r>
      <w:r w:rsidR="00B83421">
        <w:rPr>
          <w:rFonts w:cs="Arial"/>
        </w:rPr>
        <w:t>clients</w:t>
      </w:r>
      <w:r w:rsidRPr="007F32E2">
        <w:rPr>
          <w:rFonts w:cs="Arial"/>
        </w:rPr>
        <w:t>. Although the number of clients who have engaged with the FRC on a voluntary basis remain small, it is nonetheless consistent with a broader trend of clients – specifically those entering into Family Responsibility Agreements – who are exhibiting a</w:t>
      </w:r>
      <w:r w:rsidR="007F32E2" w:rsidRPr="007F32E2">
        <w:rPr>
          <w:rFonts w:cs="Arial"/>
        </w:rPr>
        <w:t xml:space="preserve"> heightened </w:t>
      </w:r>
      <w:r w:rsidRPr="007F32E2">
        <w:rPr>
          <w:rFonts w:cs="Arial"/>
        </w:rPr>
        <w:t xml:space="preserve">self-awareness of their personal circumstances and are willing to accept assistance from the Commission at the earliest opportunity in the conferencing process. This is discussed in more detail at </w:t>
      </w:r>
      <w:r w:rsidRPr="007F32E2">
        <w:rPr>
          <w:rFonts w:cs="Arial"/>
          <w:i/>
          <w:iCs/>
        </w:rPr>
        <w:t>Interactions during the quarter</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124DB6">
      <w:pPr>
        <w:pStyle w:val="Heading2"/>
      </w:pPr>
      <w:r w:rsidRPr="00113244">
        <w:t>Voluntary</w:t>
      </w:r>
      <w:r w:rsidR="00EC3C3E" w:rsidRPr="00113244">
        <w:t xml:space="preserve"> </w:t>
      </w:r>
      <w:r w:rsidR="00334F4D">
        <w:t>Income Management</w:t>
      </w:r>
    </w:p>
    <w:p w14:paraId="2F01F04F" w14:textId="35EDCDC7"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5C48A1">
        <w:rPr>
          <w:rFonts w:cs="Arial"/>
        </w:rPr>
        <w:t xml:space="preserve">33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5C48A1">
        <w:rPr>
          <w:rFonts w:cs="Arial"/>
        </w:rPr>
        <w:t>73</w:t>
      </w:r>
      <w:r w:rsidR="00B266FC">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E44A0">
        <w:rPr>
          <w:rFonts w:cs="Arial"/>
        </w:rPr>
        <w:t>quarantining</w:t>
      </w:r>
      <w:r w:rsidR="000F0D55" w:rsidRPr="009C5078">
        <w:rPr>
          <w:rFonts w:cs="Arial"/>
        </w:rPr>
        <w:t xml:space="preserve"> 60</w:t>
      </w:r>
      <w:r w:rsidR="00AF0A25">
        <w:rPr>
          <w:rFonts w:cs="Arial"/>
        </w:rPr>
        <w:t xml:space="preserve">% </w:t>
      </w:r>
      <w:r w:rsidR="004E765A" w:rsidRPr="009C5078">
        <w:rPr>
          <w:rFonts w:cs="Arial"/>
        </w:rPr>
        <w:t>of welfare payments</w:t>
      </w:r>
      <w:r w:rsidR="000F0D55" w:rsidRPr="009C5078">
        <w:rPr>
          <w:rFonts w:cs="Arial"/>
        </w:rPr>
        <w:t xml:space="preserve"> </w:t>
      </w:r>
      <w:r w:rsidR="00AE4A0C" w:rsidRPr="009C5078">
        <w:rPr>
          <w:rFonts w:cs="Arial"/>
        </w:rPr>
        <w:t xml:space="preserve">(see </w:t>
      </w:r>
      <w:r w:rsidR="00085FF5">
        <w:rPr>
          <w:rFonts w:cs="Arial"/>
        </w:rPr>
        <w:t>table 18</w:t>
      </w:r>
      <w:r w:rsidR="00AE4A0C" w:rsidRPr="009C5078">
        <w:rPr>
          <w:rFonts w:cs="Arial"/>
        </w:rPr>
        <w:t>)</w:t>
      </w:r>
      <w:r w:rsidR="003C0B61">
        <w:rPr>
          <w:rFonts w:cs="Arial"/>
        </w:rPr>
        <w:t xml:space="preserve"> and </w:t>
      </w:r>
      <w:r w:rsidR="00E55820">
        <w:rPr>
          <w:rFonts w:cs="Arial"/>
        </w:rPr>
        <w:t>4</w:t>
      </w:r>
      <w:r w:rsidR="005C48A1">
        <w:rPr>
          <w:rFonts w:cs="Arial"/>
        </w:rPr>
        <w:t>9</w:t>
      </w:r>
      <w:r w:rsidR="00B266FC">
        <w:rPr>
          <w:rFonts w:cs="Arial"/>
        </w:rPr>
        <w:t xml:space="preserve">% set for </w:t>
      </w:r>
      <w:r w:rsidR="003C0B61">
        <w:rPr>
          <w:rFonts w:cs="Arial"/>
        </w:rPr>
        <w:t xml:space="preserve">a duration of </w:t>
      </w:r>
      <w:r w:rsidR="005C48A1">
        <w:rPr>
          <w:rFonts w:cs="Arial"/>
        </w:rPr>
        <w:t xml:space="preserve">6 </w:t>
      </w:r>
      <w:r w:rsidR="00BB129A">
        <w:rPr>
          <w:rFonts w:cs="Arial"/>
        </w:rPr>
        <w:t xml:space="preserve">months </w:t>
      </w:r>
      <w:r w:rsidR="00AE4A0C" w:rsidRPr="009C5078">
        <w:rPr>
          <w:rFonts w:cs="Arial"/>
        </w:rPr>
        <w:t xml:space="preserve">(see </w:t>
      </w:r>
      <w:r w:rsidR="00085FF5">
        <w:rPr>
          <w:rFonts w:cs="Arial"/>
        </w:rPr>
        <w:lastRenderedPageBreak/>
        <w:t>table 16</w:t>
      </w:r>
      <w:r w:rsidR="00AE4A0C" w:rsidRPr="009C5078">
        <w:rPr>
          <w:rFonts w:cs="Arial"/>
        </w:rPr>
        <w:t>).</w:t>
      </w:r>
      <w:r w:rsidR="005A6206" w:rsidRPr="00246B5A">
        <w:rPr>
          <w:rFonts w:cs="Arial"/>
        </w:rPr>
        <w:t xml:space="preserve"> </w:t>
      </w:r>
      <w:r w:rsidR="00D30730" w:rsidRPr="00246B5A">
        <w:rPr>
          <w:rFonts w:cs="Arial"/>
        </w:rPr>
        <w:t xml:space="preserve">As at </w:t>
      </w:r>
      <w:r w:rsidR="007B7E78">
        <w:rPr>
          <w:rFonts w:cs="Arial"/>
        </w:rPr>
        <w:t>3</w:t>
      </w:r>
      <w:r w:rsidR="005C48A1">
        <w:rPr>
          <w:rFonts w:cs="Arial"/>
        </w:rPr>
        <w:t xml:space="preserve">0 June </w:t>
      </w:r>
      <w:r w:rsidR="00984BBB">
        <w:rPr>
          <w:rFonts w:cs="Arial"/>
        </w:rPr>
        <w:t>202</w:t>
      </w:r>
      <w:r w:rsidR="00E55820">
        <w:rPr>
          <w:rFonts w:cs="Arial"/>
        </w:rPr>
        <w:t>4</w:t>
      </w:r>
      <w:r w:rsidR="00D30730" w:rsidRPr="00246B5A">
        <w:rPr>
          <w:rFonts w:cs="Arial"/>
        </w:rPr>
        <w:t xml:space="preserve"> there were </w:t>
      </w:r>
      <w:r w:rsidR="003C0B61">
        <w:rPr>
          <w:rFonts w:cs="Arial"/>
        </w:rPr>
        <w:t>6</w:t>
      </w:r>
      <w:r w:rsidR="00E97532">
        <w:rPr>
          <w:rFonts w:cs="Arial"/>
        </w:rPr>
        <w:t>3</w:t>
      </w:r>
      <w:r w:rsidR="003C0B61"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144D99">
        <w:t xml:space="preserve">who had </w:t>
      </w:r>
      <w:r w:rsidR="00E97532">
        <w:t>74</w:t>
      </w:r>
      <w:r w:rsidR="00E97532" w:rsidRPr="00144D99">
        <w:t xml:space="preserve"> </w:t>
      </w:r>
      <w:r w:rsidR="00BB129A" w:rsidRPr="00144D99">
        <w:t>children in their care (</w:t>
      </w:r>
      <w:r w:rsidR="00E97532">
        <w:t>43</w:t>
      </w:r>
      <w:r w:rsidR="00E97532" w:rsidRPr="00144D99">
        <w:t xml:space="preserve"> </w:t>
      </w:r>
      <w:r w:rsidR="00BB129A" w:rsidRPr="00144D99">
        <w:t>of whom were school aged children)</w:t>
      </w:r>
      <w:r w:rsidR="007847CF" w:rsidRPr="00144D99">
        <w:rPr>
          <w:rFonts w:cs="Arial"/>
        </w:rPr>
        <w:t>.</w:t>
      </w:r>
    </w:p>
    <w:p w14:paraId="45432E30" w14:textId="1B99792C" w:rsidR="006B6030" w:rsidRDefault="006B6030" w:rsidP="005A02C1">
      <w:pPr>
        <w:ind w:left="-142" w:right="-425"/>
        <w:jc w:val="both"/>
        <w:rPr>
          <w:rFonts w:cs="Arial"/>
        </w:rPr>
      </w:pPr>
    </w:p>
    <w:p w14:paraId="1087AFFD" w14:textId="4DAFF4A9" w:rsidR="003833F9" w:rsidRPr="005212BC" w:rsidRDefault="003833F9" w:rsidP="003833F9">
      <w:pPr>
        <w:ind w:left="-142" w:right="-425"/>
        <w:jc w:val="both"/>
        <w:rPr>
          <w:rFonts w:cs="Arial"/>
          <w:b/>
          <w:bCs/>
        </w:rPr>
      </w:pPr>
      <w:r w:rsidRPr="005212BC">
        <w:rPr>
          <w:rFonts w:cs="Arial"/>
          <w:b/>
          <w:bCs/>
        </w:rPr>
        <w:t xml:space="preserve">Status of </w:t>
      </w:r>
      <w:r w:rsidR="003C0B61">
        <w:rPr>
          <w:rFonts w:cs="Arial"/>
          <w:b/>
          <w:bCs/>
        </w:rPr>
        <w:t>the SmartCard</w:t>
      </w:r>
      <w:r w:rsidR="003C0B61" w:rsidRPr="005212BC">
        <w:rPr>
          <w:rFonts w:cs="Arial"/>
          <w:b/>
          <w:bCs/>
        </w:rPr>
        <w:t xml:space="preserve"> </w:t>
      </w:r>
      <w:r w:rsidRPr="005212BC">
        <w:rPr>
          <w:rFonts w:cs="Arial"/>
          <w:b/>
          <w:bCs/>
        </w:rPr>
        <w:t xml:space="preserve">in FRC Communities for quarter </w:t>
      </w:r>
      <w:r w:rsidR="00BC09BB">
        <w:rPr>
          <w:rFonts w:cs="Arial"/>
          <w:b/>
          <w:bCs/>
        </w:rPr>
        <w:t>6</w:t>
      </w:r>
      <w:r w:rsidR="00E97532">
        <w:rPr>
          <w:rFonts w:cs="Arial"/>
          <w:b/>
          <w:bCs/>
        </w:rPr>
        <w:t>4</w:t>
      </w:r>
    </w:p>
    <w:p w14:paraId="40773987" w14:textId="2C2C8C21" w:rsidR="003833F9" w:rsidRDefault="00FB27B4" w:rsidP="003833F9">
      <w:pPr>
        <w:ind w:left="-142" w:right="-425"/>
        <w:jc w:val="both"/>
        <w:rPr>
          <w:rFonts w:cs="Arial"/>
        </w:rPr>
      </w:pPr>
      <w:r>
        <w:rPr>
          <w:rFonts w:cs="Arial"/>
        </w:rPr>
        <w:t>Thirty-</w:t>
      </w:r>
      <w:r w:rsidR="00E97532">
        <w:rPr>
          <w:rFonts w:cs="Arial"/>
        </w:rPr>
        <w:t xml:space="preserve">seven </w:t>
      </w:r>
      <w:proofErr w:type="spellStart"/>
      <w:r w:rsidR="003C0B61">
        <w:rPr>
          <w:rFonts w:cs="Arial"/>
        </w:rPr>
        <w:t>SmartCards</w:t>
      </w:r>
      <w:proofErr w:type="spellEnd"/>
      <w:r w:rsidR="003833F9">
        <w:rPr>
          <w:rFonts w:cs="Arial"/>
        </w:rPr>
        <w:t xml:space="preserve"> </w:t>
      </w:r>
      <w:r w:rsidR="00386ABC">
        <w:rPr>
          <w:rFonts w:cs="Arial"/>
        </w:rPr>
        <w:t>(</w:t>
      </w:r>
      <w:r w:rsidR="00E97532">
        <w:rPr>
          <w:rFonts w:cs="Arial"/>
        </w:rPr>
        <w:t>4</w:t>
      </w:r>
      <w:r>
        <w:rPr>
          <w:rFonts w:cs="Arial"/>
        </w:rPr>
        <w:t xml:space="preserve"> </w:t>
      </w:r>
      <w:r w:rsidR="00386ABC">
        <w:rPr>
          <w:rFonts w:cs="Arial"/>
        </w:rPr>
        <w:t xml:space="preserve">for CIM and </w:t>
      </w:r>
      <w:r w:rsidR="00E97532">
        <w:rPr>
          <w:rFonts w:cs="Arial"/>
        </w:rPr>
        <w:t xml:space="preserve">33 </w:t>
      </w:r>
      <w:r w:rsidR="00386ABC">
        <w:rPr>
          <w:rFonts w:cs="Arial"/>
        </w:rPr>
        <w:t xml:space="preserve">for VIM) </w:t>
      </w:r>
      <w:r w:rsidR="003833F9">
        <w:rPr>
          <w:rFonts w:cs="Arial"/>
        </w:rPr>
        <w:t xml:space="preserve">were processed for the period </w:t>
      </w:r>
      <w:r w:rsidR="00BC09BB">
        <w:rPr>
          <w:rFonts w:cs="Arial"/>
        </w:rPr>
        <w:t xml:space="preserve">1 </w:t>
      </w:r>
      <w:r w:rsidR="00E97532">
        <w:rPr>
          <w:rFonts w:cs="Arial"/>
        </w:rPr>
        <w:t xml:space="preserve">April </w:t>
      </w:r>
      <w:r w:rsidR="00BC09BB">
        <w:rPr>
          <w:rFonts w:cs="Arial"/>
        </w:rPr>
        <w:t>2024 to 3</w:t>
      </w:r>
      <w:r w:rsidR="00E97532">
        <w:rPr>
          <w:rFonts w:cs="Arial"/>
        </w:rPr>
        <w:t xml:space="preserve">0 June </w:t>
      </w:r>
      <w:r w:rsidR="00BC09BB">
        <w:rPr>
          <w:rFonts w:cs="Arial"/>
        </w:rPr>
        <w:t>2024</w:t>
      </w:r>
      <w:r w:rsidR="003833F9">
        <w:rPr>
          <w:rFonts w:cs="Arial"/>
        </w:rPr>
        <w:t xml:space="preserve">, including orders and agreements that were still awaiting Centrelink action as at </w:t>
      </w:r>
      <w:r w:rsidR="00DA70CA">
        <w:rPr>
          <w:rFonts w:cs="Arial"/>
        </w:rPr>
        <w:t>3</w:t>
      </w:r>
      <w:r w:rsidR="00E97532">
        <w:rPr>
          <w:rFonts w:cs="Arial"/>
        </w:rPr>
        <w:t>0 June</w:t>
      </w:r>
      <w:r w:rsidR="003833F9">
        <w:rPr>
          <w:rFonts w:cs="Arial"/>
        </w:rPr>
        <w:t>.</w:t>
      </w:r>
    </w:p>
    <w:p w14:paraId="677DD7A6" w14:textId="61C6E4E0" w:rsidR="007B6069" w:rsidRDefault="007B6069"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124DB6" w14:paraId="25A406AF" w14:textId="77777777" w:rsidTr="00D744B8">
        <w:trPr>
          <w:trHeight w:val="278"/>
        </w:trPr>
        <w:tc>
          <w:tcPr>
            <w:tcW w:w="4106" w:type="dxa"/>
            <w:gridSpan w:val="2"/>
          </w:tcPr>
          <w:p w14:paraId="634A956C" w14:textId="6D3E074B" w:rsidR="00124DB6" w:rsidRPr="002C0A49" w:rsidRDefault="00124DB6" w:rsidP="00D744B8">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 xml:space="preserve">1 </w:t>
            </w:r>
            <w:r>
              <w:rPr>
                <w:rFonts w:cs="Arial"/>
                <w:noProof/>
                <w:sz w:val="16"/>
                <w:szCs w:val="16"/>
              </w:rPr>
              <w:t>April</w:t>
            </w:r>
            <w:r>
              <w:rPr>
                <w:rFonts w:cs="Arial"/>
                <w:noProof/>
                <w:sz w:val="16"/>
                <w:szCs w:val="16"/>
              </w:rPr>
              <w:t xml:space="preserve"> 2024</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2024</w:t>
            </w:r>
          </w:p>
        </w:tc>
        <w:tc>
          <w:tcPr>
            <w:tcW w:w="709" w:type="dxa"/>
            <w:tcBorders>
              <w:top w:val="nil"/>
              <w:bottom w:val="nil"/>
            </w:tcBorders>
          </w:tcPr>
          <w:p w14:paraId="3F532A26" w14:textId="77777777" w:rsidR="00124DB6" w:rsidRDefault="00124DB6" w:rsidP="00D744B8">
            <w:pPr>
              <w:rPr>
                <w:rFonts w:cs="Arial"/>
                <w:b/>
                <w:bCs/>
                <w:noProof/>
                <w:sz w:val="16"/>
                <w:szCs w:val="16"/>
              </w:rPr>
            </w:pPr>
          </w:p>
        </w:tc>
        <w:tc>
          <w:tcPr>
            <w:tcW w:w="4098" w:type="dxa"/>
            <w:gridSpan w:val="2"/>
          </w:tcPr>
          <w:p w14:paraId="7484CC71" w14:textId="75195DB6" w:rsidR="00124DB6" w:rsidRPr="00E33A8C" w:rsidRDefault="00124DB6" w:rsidP="00D744B8">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 xml:space="preserve">1 </w:t>
            </w:r>
            <w:r>
              <w:rPr>
                <w:rFonts w:cs="Arial"/>
                <w:noProof/>
                <w:sz w:val="16"/>
                <w:szCs w:val="16"/>
              </w:rPr>
              <w:t>April</w:t>
            </w:r>
            <w:r>
              <w:rPr>
                <w:rFonts w:cs="Arial"/>
                <w:noProof/>
                <w:sz w:val="16"/>
                <w:szCs w:val="16"/>
              </w:rPr>
              <w:t xml:space="preserve"> 2024</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2024</w:t>
            </w:r>
          </w:p>
        </w:tc>
      </w:tr>
      <w:tr w:rsidR="00124DB6" w14:paraId="039CAE10" w14:textId="77777777" w:rsidTr="00D744B8">
        <w:trPr>
          <w:trHeight w:val="278"/>
        </w:trPr>
        <w:tc>
          <w:tcPr>
            <w:tcW w:w="2972" w:type="dxa"/>
            <w:vAlign w:val="center"/>
          </w:tcPr>
          <w:p w14:paraId="20A13653" w14:textId="77777777" w:rsidR="00124DB6" w:rsidRPr="00CB1588" w:rsidRDefault="00124DB6" w:rsidP="00D744B8">
            <w:pPr>
              <w:rPr>
                <w:rFonts w:cs="Arial"/>
                <w:b/>
                <w:bCs/>
                <w:noProof/>
              </w:rPr>
            </w:pPr>
            <w:r w:rsidRPr="00CB1588">
              <w:rPr>
                <w:rFonts w:cs="Arial"/>
                <w:b/>
                <w:bCs/>
                <w:noProof/>
              </w:rPr>
              <w:t>CIM Duration</w:t>
            </w:r>
          </w:p>
        </w:tc>
        <w:tc>
          <w:tcPr>
            <w:tcW w:w="1134" w:type="dxa"/>
            <w:vAlign w:val="center"/>
          </w:tcPr>
          <w:p w14:paraId="63ADE451" w14:textId="77777777" w:rsidR="00124DB6" w:rsidRPr="00CB1588" w:rsidRDefault="00124DB6" w:rsidP="00D744B8">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211CF349" w14:textId="77777777" w:rsidR="00124DB6" w:rsidRDefault="00124DB6" w:rsidP="00D744B8">
            <w:pPr>
              <w:rPr>
                <w:rFonts w:cs="Arial"/>
                <w:noProof/>
              </w:rPr>
            </w:pPr>
          </w:p>
        </w:tc>
        <w:tc>
          <w:tcPr>
            <w:tcW w:w="2977" w:type="dxa"/>
            <w:vAlign w:val="center"/>
          </w:tcPr>
          <w:p w14:paraId="6EADF4A9" w14:textId="77777777" w:rsidR="00124DB6" w:rsidRPr="00CB1588" w:rsidRDefault="00124DB6" w:rsidP="00D744B8">
            <w:pPr>
              <w:rPr>
                <w:rFonts w:cs="Arial"/>
                <w:b/>
                <w:bCs/>
                <w:noProof/>
              </w:rPr>
            </w:pPr>
            <w:r w:rsidRPr="00CB1588">
              <w:rPr>
                <w:rFonts w:cs="Arial"/>
                <w:b/>
                <w:bCs/>
                <w:noProof/>
              </w:rPr>
              <w:t>VIM Duration</w:t>
            </w:r>
          </w:p>
        </w:tc>
        <w:tc>
          <w:tcPr>
            <w:tcW w:w="1121" w:type="dxa"/>
            <w:vAlign w:val="center"/>
          </w:tcPr>
          <w:p w14:paraId="228FD9A1" w14:textId="77777777" w:rsidR="00124DB6" w:rsidRPr="001D1C01" w:rsidRDefault="00124DB6" w:rsidP="00D744B8">
            <w:pPr>
              <w:jc w:val="right"/>
              <w:rPr>
                <w:rFonts w:cs="Arial"/>
                <w:noProof/>
              </w:rPr>
            </w:pPr>
            <w:r>
              <w:rPr>
                <w:rFonts w:cs="Arial"/>
                <w:b/>
                <w:bCs/>
                <w:noProof/>
              </w:rPr>
              <w:t xml:space="preserve">% </w:t>
            </w:r>
            <w:r w:rsidRPr="00CB1588">
              <w:rPr>
                <w:rFonts w:cs="Arial"/>
                <w:b/>
                <w:bCs/>
                <w:noProof/>
              </w:rPr>
              <w:t>Split</w:t>
            </w:r>
          </w:p>
        </w:tc>
      </w:tr>
      <w:tr w:rsidR="00124DB6" w14:paraId="20B05F32" w14:textId="77777777" w:rsidTr="00D744B8">
        <w:trPr>
          <w:trHeight w:val="278"/>
        </w:trPr>
        <w:tc>
          <w:tcPr>
            <w:tcW w:w="2972" w:type="dxa"/>
            <w:vAlign w:val="center"/>
          </w:tcPr>
          <w:p w14:paraId="2CCE549C" w14:textId="77777777" w:rsidR="00124DB6" w:rsidRPr="002819D6" w:rsidRDefault="00124DB6" w:rsidP="00D744B8">
            <w:pPr>
              <w:rPr>
                <w:rFonts w:cs="Arial"/>
                <w:noProof/>
              </w:rPr>
            </w:pPr>
            <w:r w:rsidRPr="002819D6">
              <w:rPr>
                <w:rFonts w:cs="Arial"/>
                <w:noProof/>
              </w:rPr>
              <w:t>3 months</w:t>
            </w:r>
          </w:p>
        </w:tc>
        <w:tc>
          <w:tcPr>
            <w:tcW w:w="1134" w:type="dxa"/>
            <w:vAlign w:val="center"/>
          </w:tcPr>
          <w:p w14:paraId="0290B260" w14:textId="7B3C4EDB" w:rsidR="00124DB6" w:rsidRPr="001D1C01" w:rsidRDefault="00124DB6" w:rsidP="00D744B8">
            <w:pPr>
              <w:jc w:val="right"/>
              <w:rPr>
                <w:rFonts w:cs="Arial"/>
                <w:noProof/>
              </w:rPr>
            </w:pPr>
            <w:r>
              <w:rPr>
                <w:rFonts w:cs="Arial"/>
                <w:noProof/>
              </w:rPr>
              <w:t>25</w:t>
            </w:r>
            <w:r w:rsidRPr="001D1C01">
              <w:rPr>
                <w:rFonts w:cs="Arial"/>
                <w:noProof/>
              </w:rPr>
              <w:t>%</w:t>
            </w:r>
          </w:p>
        </w:tc>
        <w:tc>
          <w:tcPr>
            <w:tcW w:w="709" w:type="dxa"/>
            <w:tcBorders>
              <w:top w:val="nil"/>
              <w:bottom w:val="nil"/>
            </w:tcBorders>
          </w:tcPr>
          <w:p w14:paraId="0417CE37" w14:textId="77777777" w:rsidR="00124DB6" w:rsidRDefault="00124DB6" w:rsidP="00D744B8">
            <w:pPr>
              <w:rPr>
                <w:rFonts w:cs="Arial"/>
                <w:noProof/>
              </w:rPr>
            </w:pPr>
          </w:p>
        </w:tc>
        <w:tc>
          <w:tcPr>
            <w:tcW w:w="2977" w:type="dxa"/>
            <w:vAlign w:val="center"/>
          </w:tcPr>
          <w:p w14:paraId="204ED672" w14:textId="77777777" w:rsidR="00124DB6" w:rsidRPr="001D1C01" w:rsidRDefault="00124DB6" w:rsidP="00D744B8">
            <w:pPr>
              <w:rPr>
                <w:rFonts w:cs="Arial"/>
                <w:noProof/>
              </w:rPr>
            </w:pPr>
            <w:r w:rsidRPr="001D1C01">
              <w:rPr>
                <w:rFonts w:cs="Arial"/>
                <w:noProof/>
              </w:rPr>
              <w:t>3 months</w:t>
            </w:r>
          </w:p>
        </w:tc>
        <w:tc>
          <w:tcPr>
            <w:tcW w:w="1121" w:type="dxa"/>
            <w:vAlign w:val="center"/>
          </w:tcPr>
          <w:p w14:paraId="0B85A24F" w14:textId="14DBAE3A" w:rsidR="00124DB6" w:rsidRPr="001D1C01" w:rsidRDefault="00124DB6" w:rsidP="00D744B8">
            <w:pPr>
              <w:jc w:val="right"/>
              <w:rPr>
                <w:rFonts w:cs="Arial"/>
                <w:noProof/>
              </w:rPr>
            </w:pPr>
            <w:r>
              <w:rPr>
                <w:rFonts w:cs="Arial"/>
                <w:noProof/>
              </w:rPr>
              <w:t>24</w:t>
            </w:r>
            <w:r w:rsidRPr="001D1C01">
              <w:rPr>
                <w:rFonts w:cs="Arial"/>
                <w:noProof/>
              </w:rPr>
              <w:t>%</w:t>
            </w:r>
          </w:p>
        </w:tc>
      </w:tr>
      <w:tr w:rsidR="00124DB6" w14:paraId="1CEFE64E" w14:textId="77777777" w:rsidTr="00D744B8">
        <w:trPr>
          <w:trHeight w:val="278"/>
        </w:trPr>
        <w:tc>
          <w:tcPr>
            <w:tcW w:w="2972" w:type="dxa"/>
            <w:vAlign w:val="center"/>
          </w:tcPr>
          <w:p w14:paraId="2940BC9F" w14:textId="77777777" w:rsidR="00124DB6" w:rsidRPr="002819D6" w:rsidRDefault="00124DB6" w:rsidP="00D744B8">
            <w:pPr>
              <w:rPr>
                <w:rFonts w:cs="Arial"/>
                <w:noProof/>
              </w:rPr>
            </w:pPr>
            <w:r w:rsidRPr="002819D6">
              <w:rPr>
                <w:rFonts w:cs="Arial"/>
                <w:noProof/>
              </w:rPr>
              <w:t>6 months</w:t>
            </w:r>
          </w:p>
        </w:tc>
        <w:tc>
          <w:tcPr>
            <w:tcW w:w="1134" w:type="dxa"/>
            <w:vAlign w:val="center"/>
          </w:tcPr>
          <w:p w14:paraId="3390EB7A" w14:textId="171D0451" w:rsidR="00124DB6" w:rsidRPr="001D1C01" w:rsidRDefault="00124DB6" w:rsidP="00D744B8">
            <w:pPr>
              <w:jc w:val="right"/>
              <w:rPr>
                <w:rFonts w:cs="Arial"/>
                <w:noProof/>
              </w:rPr>
            </w:pPr>
            <w:r>
              <w:rPr>
                <w:rFonts w:cs="Arial"/>
                <w:noProof/>
              </w:rPr>
              <w:t>75</w:t>
            </w:r>
            <w:r w:rsidRPr="001D1C01">
              <w:rPr>
                <w:rFonts w:cs="Arial"/>
                <w:noProof/>
              </w:rPr>
              <w:t>%</w:t>
            </w:r>
          </w:p>
        </w:tc>
        <w:tc>
          <w:tcPr>
            <w:tcW w:w="709" w:type="dxa"/>
            <w:tcBorders>
              <w:top w:val="nil"/>
              <w:bottom w:val="nil"/>
            </w:tcBorders>
          </w:tcPr>
          <w:p w14:paraId="59A682FE" w14:textId="77777777" w:rsidR="00124DB6" w:rsidRDefault="00124DB6" w:rsidP="00D744B8">
            <w:pPr>
              <w:rPr>
                <w:rFonts w:cs="Arial"/>
                <w:noProof/>
              </w:rPr>
            </w:pPr>
          </w:p>
        </w:tc>
        <w:tc>
          <w:tcPr>
            <w:tcW w:w="2977" w:type="dxa"/>
            <w:vAlign w:val="center"/>
          </w:tcPr>
          <w:p w14:paraId="63FC4065" w14:textId="77777777" w:rsidR="00124DB6" w:rsidRPr="001D1C01" w:rsidRDefault="00124DB6" w:rsidP="00D744B8">
            <w:pPr>
              <w:rPr>
                <w:rFonts w:cs="Arial"/>
                <w:noProof/>
              </w:rPr>
            </w:pPr>
            <w:r w:rsidRPr="001D1C01">
              <w:rPr>
                <w:rFonts w:cs="Arial"/>
                <w:noProof/>
              </w:rPr>
              <w:t>6 months</w:t>
            </w:r>
          </w:p>
        </w:tc>
        <w:tc>
          <w:tcPr>
            <w:tcW w:w="1121" w:type="dxa"/>
            <w:vAlign w:val="center"/>
          </w:tcPr>
          <w:p w14:paraId="5F3F5D6C" w14:textId="767384CB" w:rsidR="00124DB6" w:rsidRPr="001D1C01" w:rsidRDefault="00124DB6" w:rsidP="00D744B8">
            <w:pPr>
              <w:jc w:val="right"/>
              <w:rPr>
                <w:rFonts w:cs="Arial"/>
                <w:noProof/>
              </w:rPr>
            </w:pPr>
            <w:r>
              <w:rPr>
                <w:rFonts w:cs="Arial"/>
                <w:noProof/>
              </w:rPr>
              <w:t>49</w:t>
            </w:r>
            <w:r w:rsidRPr="001D1C01">
              <w:rPr>
                <w:rFonts w:cs="Arial"/>
                <w:noProof/>
              </w:rPr>
              <w:t>%</w:t>
            </w:r>
          </w:p>
        </w:tc>
      </w:tr>
      <w:tr w:rsidR="00124DB6" w14:paraId="71AFA5CD" w14:textId="77777777" w:rsidTr="00D744B8">
        <w:trPr>
          <w:trHeight w:val="278"/>
        </w:trPr>
        <w:tc>
          <w:tcPr>
            <w:tcW w:w="2972" w:type="dxa"/>
            <w:vAlign w:val="center"/>
          </w:tcPr>
          <w:p w14:paraId="3A6311A8" w14:textId="77777777" w:rsidR="00124DB6" w:rsidRPr="002819D6" w:rsidRDefault="00124DB6" w:rsidP="00D744B8">
            <w:pPr>
              <w:rPr>
                <w:rFonts w:cs="Arial"/>
                <w:noProof/>
              </w:rPr>
            </w:pPr>
            <w:r w:rsidRPr="002819D6">
              <w:rPr>
                <w:rFonts w:cs="Arial"/>
                <w:noProof/>
              </w:rPr>
              <w:t>9 months</w:t>
            </w:r>
          </w:p>
        </w:tc>
        <w:tc>
          <w:tcPr>
            <w:tcW w:w="1134" w:type="dxa"/>
            <w:vAlign w:val="center"/>
          </w:tcPr>
          <w:p w14:paraId="05A93346" w14:textId="77777777" w:rsidR="00124DB6" w:rsidRPr="001D1C01" w:rsidRDefault="00124DB6" w:rsidP="00D744B8">
            <w:pPr>
              <w:jc w:val="right"/>
              <w:rPr>
                <w:rFonts w:cs="Arial"/>
                <w:noProof/>
              </w:rPr>
            </w:pPr>
            <w:r>
              <w:rPr>
                <w:rFonts w:cs="Arial"/>
                <w:noProof/>
              </w:rPr>
              <w:t>0</w:t>
            </w:r>
            <w:r w:rsidRPr="001D1C01">
              <w:rPr>
                <w:rFonts w:cs="Arial"/>
                <w:noProof/>
              </w:rPr>
              <w:t>%</w:t>
            </w:r>
          </w:p>
        </w:tc>
        <w:tc>
          <w:tcPr>
            <w:tcW w:w="709" w:type="dxa"/>
            <w:tcBorders>
              <w:top w:val="nil"/>
              <w:bottom w:val="nil"/>
            </w:tcBorders>
          </w:tcPr>
          <w:p w14:paraId="4720C4B8" w14:textId="77777777" w:rsidR="00124DB6" w:rsidRDefault="00124DB6" w:rsidP="00D744B8">
            <w:pPr>
              <w:rPr>
                <w:rFonts w:cs="Arial"/>
                <w:noProof/>
              </w:rPr>
            </w:pPr>
          </w:p>
        </w:tc>
        <w:tc>
          <w:tcPr>
            <w:tcW w:w="2977" w:type="dxa"/>
            <w:vAlign w:val="center"/>
          </w:tcPr>
          <w:p w14:paraId="4F279AD6" w14:textId="77777777" w:rsidR="00124DB6" w:rsidRPr="001D1C01" w:rsidRDefault="00124DB6" w:rsidP="00D744B8">
            <w:pPr>
              <w:rPr>
                <w:rFonts w:cs="Arial"/>
                <w:noProof/>
              </w:rPr>
            </w:pPr>
            <w:r w:rsidRPr="001D1C01">
              <w:rPr>
                <w:rFonts w:cs="Arial"/>
                <w:noProof/>
              </w:rPr>
              <w:t>9 months</w:t>
            </w:r>
          </w:p>
        </w:tc>
        <w:tc>
          <w:tcPr>
            <w:tcW w:w="1121" w:type="dxa"/>
            <w:vAlign w:val="center"/>
          </w:tcPr>
          <w:p w14:paraId="3D6BF555" w14:textId="307FD4D1" w:rsidR="00124DB6" w:rsidRPr="001D1C01" w:rsidRDefault="00124DB6" w:rsidP="00D744B8">
            <w:pPr>
              <w:jc w:val="right"/>
              <w:rPr>
                <w:rFonts w:cs="Arial"/>
                <w:noProof/>
              </w:rPr>
            </w:pPr>
            <w:r>
              <w:rPr>
                <w:rFonts w:cs="Arial"/>
                <w:noProof/>
              </w:rPr>
              <w:t>0</w:t>
            </w:r>
            <w:r w:rsidRPr="001D1C01">
              <w:rPr>
                <w:rFonts w:cs="Arial"/>
                <w:noProof/>
              </w:rPr>
              <w:t>%</w:t>
            </w:r>
          </w:p>
        </w:tc>
      </w:tr>
      <w:tr w:rsidR="00124DB6" w14:paraId="5B13ED7D" w14:textId="77777777" w:rsidTr="00D744B8">
        <w:trPr>
          <w:trHeight w:val="278"/>
        </w:trPr>
        <w:tc>
          <w:tcPr>
            <w:tcW w:w="2972" w:type="dxa"/>
            <w:vAlign w:val="center"/>
          </w:tcPr>
          <w:p w14:paraId="7A78A733" w14:textId="77777777" w:rsidR="00124DB6" w:rsidRDefault="00124DB6" w:rsidP="00D744B8">
            <w:pPr>
              <w:rPr>
                <w:rFonts w:cs="Arial"/>
                <w:noProof/>
              </w:rPr>
            </w:pPr>
            <w:r w:rsidRPr="002819D6">
              <w:rPr>
                <w:rFonts w:cs="Arial"/>
                <w:noProof/>
              </w:rPr>
              <w:t>12 months</w:t>
            </w:r>
          </w:p>
        </w:tc>
        <w:tc>
          <w:tcPr>
            <w:tcW w:w="1134" w:type="dxa"/>
            <w:vAlign w:val="center"/>
          </w:tcPr>
          <w:p w14:paraId="01B347F1" w14:textId="77777777" w:rsidR="00124DB6" w:rsidRPr="001D1C01" w:rsidRDefault="00124DB6" w:rsidP="00D744B8">
            <w:pPr>
              <w:jc w:val="right"/>
              <w:rPr>
                <w:rFonts w:cs="Arial"/>
                <w:noProof/>
              </w:rPr>
            </w:pPr>
            <w:r>
              <w:rPr>
                <w:rFonts w:cs="Arial"/>
                <w:noProof/>
              </w:rPr>
              <w:t>0</w:t>
            </w:r>
            <w:r w:rsidRPr="001D1C01">
              <w:rPr>
                <w:rFonts w:cs="Arial"/>
                <w:noProof/>
              </w:rPr>
              <w:t>%</w:t>
            </w:r>
          </w:p>
        </w:tc>
        <w:tc>
          <w:tcPr>
            <w:tcW w:w="709" w:type="dxa"/>
            <w:tcBorders>
              <w:top w:val="nil"/>
              <w:bottom w:val="nil"/>
            </w:tcBorders>
          </w:tcPr>
          <w:p w14:paraId="55DB9821" w14:textId="77777777" w:rsidR="00124DB6" w:rsidRDefault="00124DB6" w:rsidP="00D744B8">
            <w:pPr>
              <w:rPr>
                <w:rFonts w:cs="Arial"/>
                <w:noProof/>
              </w:rPr>
            </w:pPr>
          </w:p>
        </w:tc>
        <w:tc>
          <w:tcPr>
            <w:tcW w:w="2977" w:type="dxa"/>
            <w:vAlign w:val="center"/>
          </w:tcPr>
          <w:p w14:paraId="646810F1" w14:textId="77777777" w:rsidR="00124DB6" w:rsidRDefault="00124DB6" w:rsidP="00D744B8">
            <w:pPr>
              <w:rPr>
                <w:rFonts w:cs="Arial"/>
                <w:noProof/>
              </w:rPr>
            </w:pPr>
            <w:r w:rsidRPr="001D1C01">
              <w:rPr>
                <w:rFonts w:cs="Arial"/>
                <w:noProof/>
              </w:rPr>
              <w:t>12 months</w:t>
            </w:r>
          </w:p>
        </w:tc>
        <w:tc>
          <w:tcPr>
            <w:tcW w:w="1121" w:type="dxa"/>
            <w:vAlign w:val="center"/>
          </w:tcPr>
          <w:p w14:paraId="075ECE10" w14:textId="6EB1DEAF" w:rsidR="00124DB6" w:rsidRDefault="00124DB6" w:rsidP="00D744B8">
            <w:pPr>
              <w:jc w:val="right"/>
              <w:rPr>
                <w:rFonts w:cs="Arial"/>
                <w:noProof/>
              </w:rPr>
            </w:pPr>
            <w:r>
              <w:rPr>
                <w:rFonts w:cs="Arial"/>
                <w:noProof/>
              </w:rPr>
              <w:t>27</w:t>
            </w:r>
            <w:r w:rsidRPr="001D1C01">
              <w:rPr>
                <w:rFonts w:cs="Arial"/>
                <w:noProof/>
              </w:rPr>
              <w:t>%</w:t>
            </w:r>
          </w:p>
        </w:tc>
      </w:tr>
      <w:tr w:rsidR="00124DB6" w14:paraId="02B182C5" w14:textId="77777777" w:rsidTr="00D744B8">
        <w:trPr>
          <w:trHeight w:val="278"/>
        </w:trPr>
        <w:tc>
          <w:tcPr>
            <w:tcW w:w="2972" w:type="dxa"/>
            <w:vAlign w:val="center"/>
          </w:tcPr>
          <w:p w14:paraId="268ABEA9" w14:textId="77777777" w:rsidR="00124DB6" w:rsidRPr="00065259" w:rsidRDefault="00124DB6" w:rsidP="00D744B8">
            <w:pPr>
              <w:rPr>
                <w:rFonts w:cs="Arial"/>
                <w:b/>
                <w:bCs/>
                <w:noProof/>
              </w:rPr>
            </w:pPr>
            <w:r w:rsidRPr="00065259">
              <w:rPr>
                <w:rFonts w:cs="Arial"/>
                <w:b/>
                <w:bCs/>
                <w:noProof/>
              </w:rPr>
              <w:t>Total</w:t>
            </w:r>
          </w:p>
        </w:tc>
        <w:tc>
          <w:tcPr>
            <w:tcW w:w="1134" w:type="dxa"/>
            <w:vAlign w:val="center"/>
          </w:tcPr>
          <w:p w14:paraId="33C1229A" w14:textId="77777777" w:rsidR="00124DB6" w:rsidRPr="00065259" w:rsidRDefault="00124DB6" w:rsidP="00D744B8">
            <w:pPr>
              <w:jc w:val="right"/>
              <w:rPr>
                <w:rFonts w:cs="Arial"/>
                <w:b/>
                <w:bCs/>
                <w:noProof/>
              </w:rPr>
            </w:pPr>
            <w:r w:rsidRPr="00065259">
              <w:rPr>
                <w:rFonts w:cs="Arial"/>
                <w:b/>
                <w:bCs/>
                <w:noProof/>
              </w:rPr>
              <w:t>100%</w:t>
            </w:r>
          </w:p>
        </w:tc>
        <w:tc>
          <w:tcPr>
            <w:tcW w:w="709" w:type="dxa"/>
            <w:tcBorders>
              <w:top w:val="nil"/>
              <w:bottom w:val="nil"/>
            </w:tcBorders>
          </w:tcPr>
          <w:p w14:paraId="1359332F" w14:textId="77777777" w:rsidR="00124DB6" w:rsidRDefault="00124DB6" w:rsidP="00D744B8">
            <w:pPr>
              <w:rPr>
                <w:rFonts w:cs="Arial"/>
                <w:noProof/>
              </w:rPr>
            </w:pPr>
          </w:p>
        </w:tc>
        <w:tc>
          <w:tcPr>
            <w:tcW w:w="2977" w:type="dxa"/>
            <w:vAlign w:val="center"/>
          </w:tcPr>
          <w:p w14:paraId="600D3F41" w14:textId="77777777" w:rsidR="00124DB6" w:rsidRPr="00065259" w:rsidRDefault="00124DB6" w:rsidP="00D744B8">
            <w:pPr>
              <w:rPr>
                <w:rFonts w:cs="Arial"/>
                <w:b/>
                <w:bCs/>
                <w:noProof/>
              </w:rPr>
            </w:pPr>
            <w:r w:rsidRPr="00065259">
              <w:rPr>
                <w:rFonts w:cs="Arial"/>
                <w:b/>
                <w:bCs/>
                <w:noProof/>
              </w:rPr>
              <w:t>Total</w:t>
            </w:r>
          </w:p>
        </w:tc>
        <w:tc>
          <w:tcPr>
            <w:tcW w:w="1121" w:type="dxa"/>
            <w:vAlign w:val="center"/>
          </w:tcPr>
          <w:p w14:paraId="77408EC1" w14:textId="77777777" w:rsidR="00124DB6" w:rsidRPr="00065259" w:rsidRDefault="00124DB6" w:rsidP="00D744B8">
            <w:pPr>
              <w:jc w:val="right"/>
              <w:rPr>
                <w:rFonts w:cs="Arial"/>
                <w:b/>
                <w:bCs/>
                <w:noProof/>
              </w:rPr>
            </w:pPr>
            <w:r w:rsidRPr="00065259">
              <w:rPr>
                <w:rFonts w:cs="Arial"/>
                <w:b/>
                <w:bCs/>
                <w:noProof/>
              </w:rPr>
              <w:t>100%</w:t>
            </w:r>
          </w:p>
        </w:tc>
      </w:tr>
    </w:tbl>
    <w:p w14:paraId="36FEAD49" w14:textId="77777777" w:rsidR="00124DB6" w:rsidRDefault="00124DB6"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5856AE">
        <w:trPr>
          <w:trHeight w:val="596"/>
        </w:trPr>
        <w:tc>
          <w:tcPr>
            <w:tcW w:w="10060" w:type="dxa"/>
            <w:shd w:val="clear" w:color="auto" w:fill="D9D9D9" w:themeFill="background1" w:themeFillShade="D9"/>
          </w:tcPr>
          <w:p w14:paraId="0E3C38FC" w14:textId="24576D67" w:rsidR="007B6069" w:rsidRPr="00F22E2D" w:rsidRDefault="003447E1" w:rsidP="005856AE">
            <w:pPr>
              <w:spacing w:line="240" w:lineRule="auto"/>
              <w:jc w:val="both"/>
              <w:rPr>
                <w:rFonts w:cs="Arial"/>
                <w:noProof/>
              </w:rPr>
            </w:pPr>
            <w:r w:rsidRPr="00AC0CBD">
              <w:rPr>
                <w:rFonts w:cs="Arial"/>
                <w:noProof/>
              </w:rPr>
              <w:t xml:space="preserve">Although initially (March 2021) 66% of VIM applications entered into were for a 3-month duration, the VIM </w:t>
            </w:r>
            <w:r w:rsidR="00AB6A84">
              <w:rPr>
                <w:rFonts w:cs="Arial"/>
                <w:noProof/>
              </w:rPr>
              <w:t>table</w:t>
            </w:r>
            <w:r w:rsidRPr="00AC0CBD">
              <w:rPr>
                <w:rFonts w:cs="Arial"/>
                <w:noProof/>
              </w:rPr>
              <w:t xml:space="preserve"> above </w:t>
            </w:r>
            <w:r>
              <w:rPr>
                <w:rFonts w:cs="Arial"/>
                <w:noProof/>
              </w:rPr>
              <w:t xml:space="preserve">for quarter </w:t>
            </w:r>
            <w:r w:rsidR="00BC09BB">
              <w:rPr>
                <w:rFonts w:cs="Arial"/>
                <w:noProof/>
              </w:rPr>
              <w:t>6</w:t>
            </w:r>
            <w:r w:rsidR="00E26C40">
              <w:rPr>
                <w:rFonts w:cs="Arial"/>
                <w:noProof/>
              </w:rPr>
              <w:t>4</w:t>
            </w:r>
            <w:r>
              <w:rPr>
                <w:rFonts w:cs="Arial"/>
                <w:noProof/>
              </w:rPr>
              <w:t xml:space="preserve"> </w:t>
            </w:r>
            <w:r w:rsidRPr="00AC0CBD">
              <w:rPr>
                <w:rFonts w:cs="Arial"/>
                <w:noProof/>
              </w:rPr>
              <w:t xml:space="preserve">shows that </w:t>
            </w:r>
            <w:r w:rsidR="00E26C40">
              <w:rPr>
                <w:rFonts w:cs="Arial"/>
                <w:noProof/>
              </w:rPr>
              <w:t>24</w:t>
            </w:r>
            <w:r>
              <w:rPr>
                <w:rFonts w:cs="Arial"/>
                <w:noProof/>
              </w:rPr>
              <w:t>% were entered into for a 3-month duration</w:t>
            </w:r>
            <w:r w:rsidR="004B398F">
              <w:rPr>
                <w:rFonts w:cs="Arial"/>
                <w:noProof/>
              </w:rPr>
              <w:t>,</w:t>
            </w:r>
            <w:r w:rsidR="00B266FC">
              <w:rPr>
                <w:rFonts w:cs="Arial"/>
                <w:noProof/>
              </w:rPr>
              <w:t xml:space="preserve"> </w:t>
            </w:r>
            <w:r w:rsidR="00E26C40">
              <w:rPr>
                <w:rFonts w:cs="Arial"/>
                <w:noProof/>
              </w:rPr>
              <w:t>49</w:t>
            </w:r>
            <w:r w:rsidR="004B398F">
              <w:rPr>
                <w:rFonts w:cs="Arial"/>
                <w:noProof/>
              </w:rPr>
              <w:t>%</w:t>
            </w:r>
            <w:r w:rsidR="0038756F">
              <w:rPr>
                <w:rFonts w:cs="Arial"/>
                <w:noProof/>
              </w:rPr>
              <w:t xml:space="preserve"> were entered into</w:t>
            </w:r>
            <w:r w:rsidR="004B398F">
              <w:rPr>
                <w:rFonts w:cs="Arial"/>
                <w:noProof/>
              </w:rPr>
              <w:t xml:space="preserve"> for a</w:t>
            </w:r>
            <w:r w:rsidRPr="00AC0CBD">
              <w:rPr>
                <w:rFonts w:cs="Arial"/>
                <w:noProof/>
              </w:rPr>
              <w:t xml:space="preserve"> 6-month duration</w:t>
            </w:r>
            <w:r>
              <w:rPr>
                <w:rFonts w:cs="Arial"/>
                <w:noProof/>
              </w:rPr>
              <w:t xml:space="preserve"> </w:t>
            </w:r>
            <w:r w:rsidR="0038756F">
              <w:rPr>
                <w:rFonts w:cs="Arial"/>
                <w:noProof/>
              </w:rPr>
              <w:t xml:space="preserve">and </w:t>
            </w:r>
            <w:r w:rsidR="00E26C40">
              <w:rPr>
                <w:rFonts w:cs="Arial"/>
                <w:noProof/>
              </w:rPr>
              <w:t>27</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264762F5" w14:textId="3D48F4FC" w:rsidR="007B6069" w:rsidRDefault="007B6069" w:rsidP="003833F9">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124DB6" w:rsidRPr="00E33A8C" w14:paraId="4DBAD6A5" w14:textId="77777777" w:rsidTr="00D744B8">
        <w:trPr>
          <w:trHeight w:val="278"/>
        </w:trPr>
        <w:tc>
          <w:tcPr>
            <w:tcW w:w="4106" w:type="dxa"/>
            <w:gridSpan w:val="2"/>
          </w:tcPr>
          <w:p w14:paraId="55B4C2D7" w14:textId="78F9B4BB" w:rsidR="00124DB6" w:rsidRPr="00523A30" w:rsidRDefault="00124DB6" w:rsidP="00D744B8">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 xml:space="preserve">1 </w:t>
            </w:r>
            <w:r>
              <w:rPr>
                <w:rFonts w:cs="Arial"/>
                <w:noProof/>
                <w:sz w:val="16"/>
                <w:szCs w:val="16"/>
              </w:rPr>
              <w:t>April</w:t>
            </w:r>
            <w:r>
              <w:rPr>
                <w:rFonts w:cs="Arial"/>
                <w:noProof/>
                <w:sz w:val="16"/>
                <w:szCs w:val="16"/>
              </w:rPr>
              <w:t xml:space="preserve"> 2024</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2024</w:t>
            </w:r>
          </w:p>
        </w:tc>
        <w:tc>
          <w:tcPr>
            <w:tcW w:w="709" w:type="dxa"/>
            <w:tcBorders>
              <w:top w:val="nil"/>
              <w:bottom w:val="nil"/>
            </w:tcBorders>
          </w:tcPr>
          <w:p w14:paraId="12A3A2BA" w14:textId="77777777" w:rsidR="00124DB6" w:rsidRDefault="00124DB6" w:rsidP="00D744B8">
            <w:pPr>
              <w:rPr>
                <w:rFonts w:cs="Arial"/>
                <w:b/>
                <w:bCs/>
                <w:noProof/>
                <w:sz w:val="16"/>
                <w:szCs w:val="16"/>
              </w:rPr>
            </w:pPr>
          </w:p>
        </w:tc>
        <w:tc>
          <w:tcPr>
            <w:tcW w:w="4098" w:type="dxa"/>
            <w:gridSpan w:val="2"/>
          </w:tcPr>
          <w:p w14:paraId="2AA66D46" w14:textId="5242CF2D" w:rsidR="00124DB6" w:rsidRPr="00E33A8C" w:rsidRDefault="00124DB6" w:rsidP="00D744B8">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 xml:space="preserve">1 </w:t>
            </w:r>
            <w:r>
              <w:rPr>
                <w:rFonts w:cs="Arial"/>
                <w:noProof/>
                <w:sz w:val="16"/>
                <w:szCs w:val="16"/>
              </w:rPr>
              <w:t>April</w:t>
            </w:r>
            <w:r>
              <w:rPr>
                <w:rFonts w:cs="Arial"/>
                <w:noProof/>
                <w:sz w:val="16"/>
                <w:szCs w:val="16"/>
              </w:rPr>
              <w:t xml:space="preserve"> 2024</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2024</w:t>
            </w:r>
          </w:p>
        </w:tc>
      </w:tr>
      <w:tr w:rsidR="00124DB6" w:rsidRPr="001D1C01" w14:paraId="086CDA2A" w14:textId="77777777" w:rsidTr="00D744B8">
        <w:trPr>
          <w:trHeight w:val="278"/>
        </w:trPr>
        <w:tc>
          <w:tcPr>
            <w:tcW w:w="2972" w:type="dxa"/>
            <w:vAlign w:val="center"/>
          </w:tcPr>
          <w:p w14:paraId="13C944F9" w14:textId="77777777" w:rsidR="00124DB6" w:rsidRPr="00CB1588" w:rsidRDefault="00124DB6" w:rsidP="00D744B8">
            <w:pPr>
              <w:rPr>
                <w:rFonts w:cs="Arial"/>
                <w:b/>
                <w:bCs/>
                <w:noProof/>
              </w:rPr>
            </w:pPr>
            <w:r w:rsidRPr="00CB1588">
              <w:rPr>
                <w:rFonts w:cs="Arial"/>
                <w:b/>
                <w:bCs/>
                <w:noProof/>
              </w:rPr>
              <w:t>CIM Percentage</w:t>
            </w:r>
          </w:p>
        </w:tc>
        <w:tc>
          <w:tcPr>
            <w:tcW w:w="1134" w:type="dxa"/>
            <w:vAlign w:val="center"/>
          </w:tcPr>
          <w:p w14:paraId="2B67AD72" w14:textId="77777777" w:rsidR="00124DB6" w:rsidRPr="001D1C01" w:rsidRDefault="00124DB6" w:rsidP="00D744B8">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4375AF9A" w14:textId="77777777" w:rsidR="00124DB6" w:rsidRDefault="00124DB6" w:rsidP="00D744B8">
            <w:pPr>
              <w:rPr>
                <w:rFonts w:cs="Arial"/>
                <w:noProof/>
              </w:rPr>
            </w:pPr>
          </w:p>
        </w:tc>
        <w:tc>
          <w:tcPr>
            <w:tcW w:w="2977" w:type="dxa"/>
            <w:vAlign w:val="center"/>
          </w:tcPr>
          <w:p w14:paraId="14DE81D6" w14:textId="77777777" w:rsidR="00124DB6" w:rsidRPr="00CB1588" w:rsidRDefault="00124DB6" w:rsidP="00D744B8">
            <w:pPr>
              <w:rPr>
                <w:rFonts w:cs="Arial"/>
                <w:b/>
                <w:bCs/>
                <w:noProof/>
              </w:rPr>
            </w:pPr>
            <w:r w:rsidRPr="00CB1588">
              <w:rPr>
                <w:rFonts w:cs="Arial"/>
                <w:b/>
                <w:bCs/>
                <w:noProof/>
              </w:rPr>
              <w:t>VIM Percentage</w:t>
            </w:r>
          </w:p>
        </w:tc>
        <w:tc>
          <w:tcPr>
            <w:tcW w:w="1121" w:type="dxa"/>
            <w:vAlign w:val="center"/>
          </w:tcPr>
          <w:p w14:paraId="3727AEE2" w14:textId="77777777" w:rsidR="00124DB6" w:rsidRPr="001D1C01" w:rsidRDefault="00124DB6" w:rsidP="00D744B8">
            <w:pPr>
              <w:jc w:val="right"/>
              <w:rPr>
                <w:rFonts w:cs="Arial"/>
                <w:noProof/>
              </w:rPr>
            </w:pPr>
            <w:r>
              <w:rPr>
                <w:rFonts w:cs="Arial"/>
                <w:b/>
                <w:bCs/>
                <w:noProof/>
              </w:rPr>
              <w:t xml:space="preserve">% </w:t>
            </w:r>
            <w:r w:rsidRPr="00CB1588">
              <w:rPr>
                <w:rFonts w:cs="Arial"/>
                <w:b/>
                <w:bCs/>
                <w:noProof/>
              </w:rPr>
              <w:t>Split</w:t>
            </w:r>
          </w:p>
        </w:tc>
      </w:tr>
      <w:tr w:rsidR="00124DB6" w14:paraId="3C98EC01" w14:textId="77777777" w:rsidTr="00D744B8">
        <w:trPr>
          <w:trHeight w:val="278"/>
        </w:trPr>
        <w:tc>
          <w:tcPr>
            <w:tcW w:w="2972" w:type="dxa"/>
            <w:vAlign w:val="center"/>
          </w:tcPr>
          <w:p w14:paraId="52FA2A5D" w14:textId="77777777" w:rsidR="00124DB6" w:rsidRDefault="00124DB6" w:rsidP="00D744B8">
            <w:pPr>
              <w:rPr>
                <w:rFonts w:cs="Arial"/>
                <w:noProof/>
              </w:rPr>
            </w:pPr>
            <w:r>
              <w:rPr>
                <w:rFonts w:cs="Arial"/>
                <w:noProof/>
              </w:rPr>
              <w:t>60 percent</w:t>
            </w:r>
          </w:p>
        </w:tc>
        <w:tc>
          <w:tcPr>
            <w:tcW w:w="1134" w:type="dxa"/>
            <w:vAlign w:val="center"/>
          </w:tcPr>
          <w:p w14:paraId="623818F6" w14:textId="3CCD25C4" w:rsidR="00124DB6" w:rsidRDefault="00AB6A84" w:rsidP="00D744B8">
            <w:pPr>
              <w:jc w:val="right"/>
              <w:rPr>
                <w:rFonts w:cs="Arial"/>
                <w:noProof/>
              </w:rPr>
            </w:pPr>
            <w:r>
              <w:rPr>
                <w:rFonts w:cs="Arial"/>
                <w:noProof/>
              </w:rPr>
              <w:t>25</w:t>
            </w:r>
            <w:r w:rsidR="00124DB6" w:rsidRPr="001D1C01">
              <w:rPr>
                <w:rFonts w:cs="Arial"/>
                <w:noProof/>
              </w:rPr>
              <w:t>%</w:t>
            </w:r>
          </w:p>
        </w:tc>
        <w:tc>
          <w:tcPr>
            <w:tcW w:w="709" w:type="dxa"/>
            <w:tcBorders>
              <w:top w:val="nil"/>
              <w:bottom w:val="nil"/>
            </w:tcBorders>
          </w:tcPr>
          <w:p w14:paraId="1D2273C7" w14:textId="77777777" w:rsidR="00124DB6" w:rsidRDefault="00124DB6" w:rsidP="00D744B8">
            <w:pPr>
              <w:rPr>
                <w:rFonts w:cs="Arial"/>
                <w:noProof/>
              </w:rPr>
            </w:pPr>
          </w:p>
        </w:tc>
        <w:tc>
          <w:tcPr>
            <w:tcW w:w="2977" w:type="dxa"/>
            <w:vAlign w:val="center"/>
          </w:tcPr>
          <w:p w14:paraId="4DC06E09" w14:textId="77777777" w:rsidR="00124DB6" w:rsidRDefault="00124DB6" w:rsidP="00D744B8">
            <w:pPr>
              <w:rPr>
                <w:rFonts w:cs="Arial"/>
                <w:noProof/>
              </w:rPr>
            </w:pPr>
            <w:r>
              <w:rPr>
                <w:rFonts w:cs="Arial"/>
                <w:noProof/>
              </w:rPr>
              <w:t>60 percent</w:t>
            </w:r>
          </w:p>
        </w:tc>
        <w:tc>
          <w:tcPr>
            <w:tcW w:w="1121" w:type="dxa"/>
            <w:vAlign w:val="center"/>
          </w:tcPr>
          <w:p w14:paraId="6A4A39D1" w14:textId="6962AA2E" w:rsidR="00124DB6" w:rsidRDefault="00AB6A84" w:rsidP="00D744B8">
            <w:pPr>
              <w:jc w:val="right"/>
              <w:rPr>
                <w:rFonts w:cs="Arial"/>
                <w:noProof/>
              </w:rPr>
            </w:pPr>
            <w:r>
              <w:rPr>
                <w:rFonts w:cs="Arial"/>
                <w:noProof/>
              </w:rPr>
              <w:t>73</w:t>
            </w:r>
            <w:r w:rsidR="00124DB6" w:rsidRPr="001D1C01">
              <w:rPr>
                <w:rFonts w:cs="Arial"/>
                <w:noProof/>
              </w:rPr>
              <w:t>%</w:t>
            </w:r>
          </w:p>
        </w:tc>
      </w:tr>
      <w:tr w:rsidR="00124DB6" w:rsidRPr="001D1C01" w14:paraId="3DE9A656" w14:textId="77777777" w:rsidTr="00D744B8">
        <w:trPr>
          <w:trHeight w:val="278"/>
        </w:trPr>
        <w:tc>
          <w:tcPr>
            <w:tcW w:w="2972" w:type="dxa"/>
            <w:vAlign w:val="center"/>
          </w:tcPr>
          <w:p w14:paraId="51A2BD7A" w14:textId="77777777" w:rsidR="00124DB6" w:rsidRPr="002819D6" w:rsidRDefault="00124DB6" w:rsidP="00D744B8">
            <w:pPr>
              <w:rPr>
                <w:rFonts w:cs="Arial"/>
                <w:noProof/>
              </w:rPr>
            </w:pPr>
            <w:r>
              <w:rPr>
                <w:rFonts w:cs="Arial"/>
                <w:noProof/>
              </w:rPr>
              <w:t>75 percent</w:t>
            </w:r>
          </w:p>
        </w:tc>
        <w:tc>
          <w:tcPr>
            <w:tcW w:w="1134" w:type="dxa"/>
            <w:vAlign w:val="center"/>
          </w:tcPr>
          <w:p w14:paraId="6B4BC65D" w14:textId="07F993CC" w:rsidR="00124DB6" w:rsidRPr="001D1C01" w:rsidRDefault="00AB6A84" w:rsidP="00D744B8">
            <w:pPr>
              <w:jc w:val="right"/>
              <w:rPr>
                <w:rFonts w:cs="Arial"/>
                <w:noProof/>
              </w:rPr>
            </w:pPr>
            <w:r>
              <w:rPr>
                <w:rFonts w:cs="Arial"/>
                <w:noProof/>
              </w:rPr>
              <w:t>7</w:t>
            </w:r>
            <w:r w:rsidR="00124DB6">
              <w:rPr>
                <w:rFonts w:cs="Arial"/>
                <w:noProof/>
              </w:rPr>
              <w:t>5</w:t>
            </w:r>
            <w:r w:rsidR="00124DB6" w:rsidRPr="001D1C01">
              <w:rPr>
                <w:rFonts w:cs="Arial"/>
                <w:noProof/>
              </w:rPr>
              <w:t>%</w:t>
            </w:r>
          </w:p>
        </w:tc>
        <w:tc>
          <w:tcPr>
            <w:tcW w:w="709" w:type="dxa"/>
            <w:tcBorders>
              <w:top w:val="nil"/>
              <w:bottom w:val="nil"/>
            </w:tcBorders>
          </w:tcPr>
          <w:p w14:paraId="5505BDD8" w14:textId="77777777" w:rsidR="00124DB6" w:rsidRDefault="00124DB6" w:rsidP="00D744B8">
            <w:pPr>
              <w:rPr>
                <w:rFonts w:cs="Arial"/>
                <w:noProof/>
              </w:rPr>
            </w:pPr>
          </w:p>
        </w:tc>
        <w:tc>
          <w:tcPr>
            <w:tcW w:w="2977" w:type="dxa"/>
            <w:vAlign w:val="center"/>
          </w:tcPr>
          <w:p w14:paraId="5850DC36" w14:textId="77777777" w:rsidR="00124DB6" w:rsidRPr="001D1C01" w:rsidRDefault="00124DB6" w:rsidP="00D744B8">
            <w:pPr>
              <w:rPr>
                <w:rFonts w:cs="Arial"/>
                <w:noProof/>
              </w:rPr>
            </w:pPr>
            <w:r>
              <w:rPr>
                <w:rFonts w:cs="Arial"/>
                <w:noProof/>
              </w:rPr>
              <w:t>75 percent</w:t>
            </w:r>
          </w:p>
        </w:tc>
        <w:tc>
          <w:tcPr>
            <w:tcW w:w="1121" w:type="dxa"/>
            <w:vAlign w:val="center"/>
          </w:tcPr>
          <w:p w14:paraId="311CEE2B" w14:textId="4208DDDA" w:rsidR="00124DB6" w:rsidRPr="001D1C01" w:rsidRDefault="00AB6A84" w:rsidP="00D744B8">
            <w:pPr>
              <w:jc w:val="right"/>
              <w:rPr>
                <w:rFonts w:cs="Arial"/>
                <w:noProof/>
              </w:rPr>
            </w:pPr>
            <w:r>
              <w:rPr>
                <w:rFonts w:cs="Arial"/>
                <w:noProof/>
              </w:rPr>
              <w:t>15</w:t>
            </w:r>
            <w:r w:rsidR="00124DB6" w:rsidRPr="001D1C01">
              <w:rPr>
                <w:rFonts w:cs="Arial"/>
                <w:noProof/>
              </w:rPr>
              <w:t>%</w:t>
            </w:r>
          </w:p>
        </w:tc>
      </w:tr>
      <w:tr w:rsidR="00124DB6" w:rsidRPr="001D1C01" w14:paraId="23CFF4BA" w14:textId="77777777" w:rsidTr="00D744B8">
        <w:trPr>
          <w:trHeight w:val="278"/>
        </w:trPr>
        <w:tc>
          <w:tcPr>
            <w:tcW w:w="2972" w:type="dxa"/>
            <w:vAlign w:val="center"/>
          </w:tcPr>
          <w:p w14:paraId="479F0C5B" w14:textId="77777777" w:rsidR="00124DB6" w:rsidRPr="002819D6" w:rsidRDefault="00124DB6" w:rsidP="00D744B8">
            <w:pPr>
              <w:rPr>
                <w:rFonts w:cs="Arial"/>
                <w:noProof/>
              </w:rPr>
            </w:pPr>
            <w:r>
              <w:rPr>
                <w:rFonts w:cs="Arial"/>
                <w:noProof/>
              </w:rPr>
              <w:t>90 percent</w:t>
            </w:r>
          </w:p>
        </w:tc>
        <w:tc>
          <w:tcPr>
            <w:tcW w:w="1134" w:type="dxa"/>
            <w:vAlign w:val="center"/>
          </w:tcPr>
          <w:p w14:paraId="3BA9D41A" w14:textId="55CD9E24" w:rsidR="00124DB6" w:rsidRPr="001D1C01" w:rsidRDefault="00AB6A84" w:rsidP="00D744B8">
            <w:pPr>
              <w:jc w:val="right"/>
              <w:rPr>
                <w:rFonts w:cs="Arial"/>
                <w:noProof/>
              </w:rPr>
            </w:pPr>
            <w:r>
              <w:rPr>
                <w:rFonts w:cs="Arial"/>
                <w:noProof/>
              </w:rPr>
              <w:t>0</w:t>
            </w:r>
            <w:r w:rsidR="00124DB6" w:rsidRPr="001D1C01">
              <w:rPr>
                <w:rFonts w:cs="Arial"/>
                <w:noProof/>
              </w:rPr>
              <w:t>%</w:t>
            </w:r>
          </w:p>
        </w:tc>
        <w:tc>
          <w:tcPr>
            <w:tcW w:w="709" w:type="dxa"/>
            <w:tcBorders>
              <w:top w:val="nil"/>
              <w:bottom w:val="nil"/>
            </w:tcBorders>
          </w:tcPr>
          <w:p w14:paraId="7D3AC980" w14:textId="77777777" w:rsidR="00124DB6" w:rsidRDefault="00124DB6" w:rsidP="00D744B8">
            <w:pPr>
              <w:rPr>
                <w:rFonts w:cs="Arial"/>
                <w:noProof/>
              </w:rPr>
            </w:pPr>
          </w:p>
        </w:tc>
        <w:tc>
          <w:tcPr>
            <w:tcW w:w="2977" w:type="dxa"/>
            <w:vAlign w:val="center"/>
          </w:tcPr>
          <w:p w14:paraId="53512E75" w14:textId="77777777" w:rsidR="00124DB6" w:rsidRPr="001D1C01" w:rsidRDefault="00124DB6" w:rsidP="00D744B8">
            <w:pPr>
              <w:rPr>
                <w:rFonts w:cs="Arial"/>
                <w:noProof/>
              </w:rPr>
            </w:pPr>
            <w:r>
              <w:rPr>
                <w:rFonts w:cs="Arial"/>
                <w:noProof/>
              </w:rPr>
              <w:t>90 percent</w:t>
            </w:r>
          </w:p>
        </w:tc>
        <w:tc>
          <w:tcPr>
            <w:tcW w:w="1121" w:type="dxa"/>
            <w:vAlign w:val="center"/>
          </w:tcPr>
          <w:p w14:paraId="6C701B30" w14:textId="4B49803A" w:rsidR="00124DB6" w:rsidRPr="001D1C01" w:rsidRDefault="00AB6A84" w:rsidP="00D744B8">
            <w:pPr>
              <w:jc w:val="right"/>
              <w:rPr>
                <w:rFonts w:cs="Arial"/>
                <w:noProof/>
              </w:rPr>
            </w:pPr>
            <w:r>
              <w:rPr>
                <w:rFonts w:cs="Arial"/>
                <w:noProof/>
              </w:rPr>
              <w:t>12</w:t>
            </w:r>
            <w:r w:rsidR="00124DB6" w:rsidRPr="001D1C01">
              <w:rPr>
                <w:rFonts w:cs="Arial"/>
                <w:noProof/>
              </w:rPr>
              <w:t>%</w:t>
            </w:r>
          </w:p>
        </w:tc>
      </w:tr>
      <w:tr w:rsidR="00124DB6" w:rsidRPr="00065259" w14:paraId="4591A01C" w14:textId="77777777" w:rsidTr="00D744B8">
        <w:trPr>
          <w:trHeight w:val="278"/>
        </w:trPr>
        <w:tc>
          <w:tcPr>
            <w:tcW w:w="2972" w:type="dxa"/>
            <w:vAlign w:val="center"/>
          </w:tcPr>
          <w:p w14:paraId="7BEC59CF" w14:textId="77777777" w:rsidR="00124DB6" w:rsidRPr="00065259" w:rsidRDefault="00124DB6" w:rsidP="00D744B8">
            <w:pPr>
              <w:rPr>
                <w:rFonts w:cs="Arial"/>
                <w:b/>
                <w:bCs/>
                <w:noProof/>
              </w:rPr>
            </w:pPr>
            <w:r w:rsidRPr="00065259">
              <w:rPr>
                <w:rFonts w:cs="Arial"/>
                <w:b/>
                <w:bCs/>
                <w:noProof/>
              </w:rPr>
              <w:t>Total</w:t>
            </w:r>
          </w:p>
        </w:tc>
        <w:tc>
          <w:tcPr>
            <w:tcW w:w="1134" w:type="dxa"/>
            <w:vAlign w:val="center"/>
          </w:tcPr>
          <w:p w14:paraId="353E5D06" w14:textId="77777777" w:rsidR="00124DB6" w:rsidRPr="00065259" w:rsidRDefault="00124DB6" w:rsidP="00D744B8">
            <w:pPr>
              <w:jc w:val="right"/>
              <w:rPr>
                <w:rFonts w:cs="Arial"/>
                <w:b/>
                <w:bCs/>
                <w:noProof/>
              </w:rPr>
            </w:pPr>
            <w:r w:rsidRPr="00065259">
              <w:rPr>
                <w:rFonts w:cs="Arial"/>
                <w:b/>
                <w:bCs/>
                <w:noProof/>
              </w:rPr>
              <w:t>100%</w:t>
            </w:r>
          </w:p>
        </w:tc>
        <w:tc>
          <w:tcPr>
            <w:tcW w:w="709" w:type="dxa"/>
            <w:tcBorders>
              <w:top w:val="nil"/>
              <w:bottom w:val="nil"/>
            </w:tcBorders>
          </w:tcPr>
          <w:p w14:paraId="34838EB7" w14:textId="77777777" w:rsidR="00124DB6" w:rsidRDefault="00124DB6" w:rsidP="00D744B8">
            <w:pPr>
              <w:rPr>
                <w:rFonts w:cs="Arial"/>
                <w:noProof/>
              </w:rPr>
            </w:pPr>
          </w:p>
        </w:tc>
        <w:tc>
          <w:tcPr>
            <w:tcW w:w="2977" w:type="dxa"/>
            <w:vAlign w:val="center"/>
          </w:tcPr>
          <w:p w14:paraId="3606CCA9" w14:textId="77777777" w:rsidR="00124DB6" w:rsidRPr="00065259" w:rsidRDefault="00124DB6" w:rsidP="00D744B8">
            <w:pPr>
              <w:rPr>
                <w:rFonts w:cs="Arial"/>
                <w:b/>
                <w:bCs/>
                <w:noProof/>
              </w:rPr>
            </w:pPr>
            <w:r w:rsidRPr="00065259">
              <w:rPr>
                <w:rFonts w:cs="Arial"/>
                <w:b/>
                <w:bCs/>
                <w:noProof/>
              </w:rPr>
              <w:t>Total</w:t>
            </w:r>
          </w:p>
        </w:tc>
        <w:tc>
          <w:tcPr>
            <w:tcW w:w="1121" w:type="dxa"/>
            <w:vAlign w:val="center"/>
          </w:tcPr>
          <w:p w14:paraId="3DE6427E" w14:textId="77777777" w:rsidR="00124DB6" w:rsidRPr="00065259" w:rsidRDefault="00124DB6" w:rsidP="00D744B8">
            <w:pPr>
              <w:jc w:val="right"/>
              <w:rPr>
                <w:rFonts w:cs="Arial"/>
                <w:b/>
                <w:bCs/>
                <w:noProof/>
              </w:rPr>
            </w:pPr>
            <w:r w:rsidRPr="00065259">
              <w:rPr>
                <w:rFonts w:cs="Arial"/>
                <w:b/>
                <w:bCs/>
                <w:noProof/>
              </w:rPr>
              <w:t>100%</w:t>
            </w:r>
          </w:p>
        </w:tc>
      </w:tr>
    </w:tbl>
    <w:p w14:paraId="7756BD9A" w14:textId="77777777" w:rsidR="00124DB6" w:rsidRDefault="00124DB6"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5856AE">
        <w:trPr>
          <w:trHeight w:val="562"/>
        </w:trPr>
        <w:tc>
          <w:tcPr>
            <w:tcW w:w="10060" w:type="dxa"/>
            <w:shd w:val="clear" w:color="auto" w:fill="D9D9D9" w:themeFill="background1" w:themeFillShade="D9"/>
          </w:tcPr>
          <w:p w14:paraId="2F51372C" w14:textId="56429843" w:rsidR="007B6069" w:rsidRPr="00F22E2D" w:rsidRDefault="003447E1" w:rsidP="005856AE">
            <w:pPr>
              <w:spacing w:line="240" w:lineRule="auto"/>
              <w:jc w:val="both"/>
              <w:rPr>
                <w:rFonts w:cs="Arial"/>
                <w:noProof/>
              </w:rPr>
            </w:pPr>
            <w:r w:rsidRPr="007A5A38">
              <w:rPr>
                <w:rFonts w:cs="Arial"/>
                <w:noProof/>
              </w:rPr>
              <w:t xml:space="preserve">This quarter saw </w:t>
            </w:r>
            <w:r w:rsidR="00E26C40">
              <w:rPr>
                <w:rFonts w:cs="Arial"/>
                <w:noProof/>
              </w:rPr>
              <w:t>25</w:t>
            </w:r>
            <w:r w:rsidR="00B266FC" w:rsidRPr="007A5A38">
              <w:rPr>
                <w:rFonts w:cs="Arial"/>
                <w:noProof/>
              </w:rPr>
              <w:t>%</w:t>
            </w:r>
            <w:r w:rsidRPr="007A5A38">
              <w:rPr>
                <w:rFonts w:cs="Arial"/>
                <w:noProof/>
              </w:rPr>
              <w:t xml:space="preserve"> of CIM orders issued </w:t>
            </w:r>
            <w:r w:rsidR="00AE316D" w:rsidRPr="007A5A38">
              <w:rPr>
                <w:rFonts w:cs="Arial"/>
                <w:noProof/>
              </w:rPr>
              <w:t>quarantining</w:t>
            </w:r>
            <w:r w:rsidRPr="007A5A38">
              <w:rPr>
                <w:rFonts w:cs="Arial"/>
                <w:noProof/>
              </w:rPr>
              <w:t xml:space="preserve"> 60</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00E26C40">
              <w:rPr>
                <w:rFonts w:cs="Arial"/>
                <w:noProof/>
              </w:rPr>
              <w:t xml:space="preserve"> with 75</w:t>
            </w:r>
            <w:r w:rsidRPr="007A5A38">
              <w:rPr>
                <w:rFonts w:cs="Arial"/>
                <w:noProof/>
              </w:rPr>
              <w:t xml:space="preserve">% </w:t>
            </w:r>
            <w:r w:rsidR="00AE316D" w:rsidRPr="007A5A38">
              <w:rPr>
                <w:rFonts w:cs="Arial"/>
                <w:noProof/>
              </w:rPr>
              <w:t xml:space="preserve">quarantining </w:t>
            </w:r>
            <w:r w:rsidRPr="007A5A38">
              <w:rPr>
                <w:rFonts w:cs="Arial"/>
                <w:noProof/>
              </w:rPr>
              <w:t>75</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Pr="007A5A38">
              <w:rPr>
                <w:rFonts w:cs="Arial"/>
                <w:noProof/>
              </w:rPr>
              <w:t>. The preference by clients to enter into a VIM at 60</w:t>
            </w:r>
            <w:r w:rsidR="00DD36DF" w:rsidRPr="007A5A38">
              <w:rPr>
                <w:rFonts w:cs="Arial"/>
                <w:noProof/>
              </w:rPr>
              <w:t>%</w:t>
            </w:r>
            <w:r w:rsidRPr="007A5A38">
              <w:rPr>
                <w:rFonts w:cs="Arial"/>
                <w:noProof/>
              </w:rPr>
              <w:t xml:space="preserve"> remains the popular option with </w:t>
            </w:r>
            <w:r w:rsidR="00E26C40">
              <w:rPr>
                <w:rFonts w:cs="Arial"/>
                <w:noProof/>
              </w:rPr>
              <w:t>73</w:t>
            </w:r>
            <w:r w:rsidRPr="007A5A38">
              <w:rPr>
                <w:rFonts w:cs="Arial"/>
                <w:noProof/>
              </w:rPr>
              <w:t>% of VIM agreements entered into at 60</w:t>
            </w:r>
            <w:r w:rsidR="00DD36DF" w:rsidRPr="007A5A38">
              <w:rPr>
                <w:rFonts w:cs="Arial"/>
                <w:noProof/>
              </w:rPr>
              <w:t>%</w:t>
            </w:r>
            <w:r w:rsidRPr="007A5A38">
              <w:rPr>
                <w:rFonts w:cs="Arial"/>
                <w:noProof/>
              </w:rPr>
              <w:t xml:space="preserve"> for the quarter.</w:t>
            </w:r>
          </w:p>
        </w:tc>
      </w:tr>
    </w:tbl>
    <w:p w14:paraId="7C53BBE8" w14:textId="77777777" w:rsidR="00F5092E" w:rsidRDefault="00F5092E" w:rsidP="00357BEA">
      <w:pPr>
        <w:ind w:left="-142" w:right="-425"/>
        <w:jc w:val="both"/>
        <w:rPr>
          <w:rFonts w:cs="Arial"/>
        </w:rPr>
      </w:pPr>
    </w:p>
    <w:p w14:paraId="09FA0CC0" w14:textId="360C6EF1" w:rsidR="00700320" w:rsidRPr="00026686" w:rsidRDefault="00586B89" w:rsidP="00357BEA">
      <w:pPr>
        <w:ind w:left="-142" w:right="-425"/>
        <w:jc w:val="both"/>
        <w:rPr>
          <w:rFonts w:cs="Arial"/>
        </w:rPr>
      </w:pPr>
      <w:r w:rsidRPr="00026686">
        <w:rPr>
          <w:rFonts w:cs="Arial"/>
        </w:rPr>
        <w:t xml:space="preserve">This quarter female community members </w:t>
      </w:r>
      <w:r w:rsidR="008E6B52" w:rsidRPr="00026686">
        <w:rPr>
          <w:rFonts w:cs="Arial"/>
        </w:rPr>
        <w:t xml:space="preserve">accounted for the majority of CIMs with </w:t>
      </w:r>
      <w:r w:rsidR="003F65E7">
        <w:rPr>
          <w:rFonts w:cs="Arial"/>
        </w:rPr>
        <w:t>75</w:t>
      </w:r>
      <w:r w:rsidR="00DD36DF" w:rsidRPr="00026686">
        <w:rPr>
          <w:rFonts w:cs="Arial"/>
        </w:rPr>
        <w:t>%</w:t>
      </w:r>
      <w:r w:rsidR="008E6B52" w:rsidRPr="00026686">
        <w:rPr>
          <w:rFonts w:cs="Arial"/>
        </w:rPr>
        <w:t xml:space="preserve"> relating to female clients</w:t>
      </w:r>
      <w:r w:rsidRPr="00026686">
        <w:rPr>
          <w:rFonts w:cs="Arial"/>
        </w:rPr>
        <w:t xml:space="preserve">. </w:t>
      </w:r>
      <w:r w:rsidR="00BF61F1" w:rsidRPr="00026686">
        <w:rPr>
          <w:rFonts w:cs="Arial"/>
        </w:rPr>
        <w:t>No</w:t>
      </w:r>
      <w:r w:rsidR="005A3730" w:rsidRPr="00026686">
        <w:rPr>
          <w:rFonts w:cs="Arial"/>
        </w:rPr>
        <w:t xml:space="preserve"> community member older than </w:t>
      </w:r>
      <w:r w:rsidR="00B90FF9" w:rsidRPr="00026686">
        <w:rPr>
          <w:rFonts w:cs="Arial"/>
        </w:rPr>
        <w:t>5</w:t>
      </w:r>
      <w:r w:rsidR="005A3730" w:rsidRPr="00026686">
        <w:rPr>
          <w:rFonts w:cs="Arial"/>
        </w:rPr>
        <w:t>5 years was conditionally income managed by the FRC during the quarter.</w:t>
      </w:r>
    </w:p>
    <w:p w14:paraId="047CED0F" w14:textId="77777777" w:rsidR="00700320" w:rsidRPr="00AB2555" w:rsidRDefault="00700320" w:rsidP="00700320">
      <w:pPr>
        <w:ind w:left="-142" w:right="-425"/>
        <w:jc w:val="both"/>
        <w:rPr>
          <w:rFonts w:cs="Arial"/>
          <w:highlight w:val="yellow"/>
        </w:rPr>
      </w:pPr>
    </w:p>
    <w:p w14:paraId="5026F836" w14:textId="7E5B8A3C" w:rsidR="00700320" w:rsidRPr="00026686" w:rsidRDefault="00586B89" w:rsidP="00700320">
      <w:pPr>
        <w:ind w:left="-142" w:right="-425"/>
        <w:jc w:val="both"/>
        <w:rPr>
          <w:rFonts w:cs="Arial"/>
        </w:rPr>
      </w:pPr>
      <w:proofErr w:type="gramStart"/>
      <w:r w:rsidRPr="00026686">
        <w:rPr>
          <w:rFonts w:cs="Arial"/>
        </w:rPr>
        <w:t>T</w:t>
      </w:r>
      <w:r w:rsidR="009D31EC" w:rsidRPr="00026686">
        <w:rPr>
          <w:rFonts w:cs="Arial"/>
        </w:rPr>
        <w:t>he majority of</w:t>
      </w:r>
      <w:proofErr w:type="gramEnd"/>
      <w:r w:rsidR="009D31EC" w:rsidRPr="00026686">
        <w:rPr>
          <w:rFonts w:cs="Arial"/>
        </w:rPr>
        <w:t xml:space="preserve"> community members voluntarily participating in voluntary income management</w:t>
      </w:r>
      <w:r w:rsidR="00DE66D7" w:rsidRPr="00026686">
        <w:rPr>
          <w:rFonts w:cs="Arial"/>
        </w:rPr>
        <w:t xml:space="preserve"> </w:t>
      </w:r>
      <w:r w:rsidR="00164DEC" w:rsidRPr="00026686">
        <w:rPr>
          <w:rFonts w:cs="Arial"/>
        </w:rPr>
        <w:t xml:space="preserve">this quarter </w:t>
      </w:r>
      <w:r w:rsidR="00A526A0" w:rsidRPr="00026686">
        <w:rPr>
          <w:rFonts w:cs="Arial"/>
        </w:rPr>
        <w:t>were f</w:t>
      </w:r>
      <w:r w:rsidR="000B1E56" w:rsidRPr="00026686">
        <w:rPr>
          <w:rFonts w:cs="Arial"/>
        </w:rPr>
        <w:t xml:space="preserve">rom </w:t>
      </w:r>
      <w:r w:rsidR="00B60CB5" w:rsidRPr="00026686">
        <w:rPr>
          <w:rFonts w:cs="Arial"/>
        </w:rPr>
        <w:t xml:space="preserve">the </w:t>
      </w:r>
      <w:r w:rsidR="00852CCA">
        <w:rPr>
          <w:rFonts w:cs="Arial"/>
        </w:rPr>
        <w:t>3</w:t>
      </w:r>
      <w:r w:rsidR="00B60CB5" w:rsidRPr="00026686">
        <w:rPr>
          <w:rFonts w:cs="Arial"/>
        </w:rPr>
        <w:t>6</w:t>
      </w:r>
      <w:r w:rsidR="00130365" w:rsidRPr="00026686">
        <w:rPr>
          <w:rFonts w:cs="Arial"/>
        </w:rPr>
        <w:t xml:space="preserve"> to </w:t>
      </w:r>
      <w:r w:rsidR="00852CCA">
        <w:rPr>
          <w:rFonts w:cs="Arial"/>
        </w:rPr>
        <w:t>4</w:t>
      </w:r>
      <w:r w:rsidR="00B60CB5" w:rsidRPr="00026686">
        <w:rPr>
          <w:rFonts w:cs="Arial"/>
        </w:rPr>
        <w:t>5</w:t>
      </w:r>
      <w:r w:rsidR="00EC4B9A" w:rsidRPr="00026686">
        <w:rPr>
          <w:rFonts w:cs="Arial"/>
        </w:rPr>
        <w:t xml:space="preserve"> </w:t>
      </w:r>
      <w:r w:rsidR="00B60CB5" w:rsidRPr="00026686">
        <w:rPr>
          <w:rFonts w:cs="Arial"/>
        </w:rPr>
        <w:t>year age group</w:t>
      </w:r>
      <w:r w:rsidR="005A3730" w:rsidRPr="00026686">
        <w:rPr>
          <w:rFonts w:cs="Arial"/>
        </w:rPr>
        <w:t>.</w:t>
      </w:r>
      <w:r w:rsidR="00FF351C" w:rsidRPr="00026686">
        <w:rPr>
          <w:rFonts w:cs="Arial"/>
        </w:rPr>
        <w:t xml:space="preserve"> </w:t>
      </w:r>
      <w:r w:rsidR="005A3730" w:rsidRPr="00026686">
        <w:rPr>
          <w:rFonts w:cs="Arial"/>
        </w:rPr>
        <w:t>F</w:t>
      </w:r>
      <w:r w:rsidR="00FF351C" w:rsidRPr="00026686">
        <w:rPr>
          <w:rFonts w:cs="Arial"/>
        </w:rPr>
        <w:t>emales account</w:t>
      </w:r>
      <w:r w:rsidR="00A526A0" w:rsidRPr="00026686">
        <w:rPr>
          <w:rFonts w:cs="Arial"/>
        </w:rPr>
        <w:t>ed</w:t>
      </w:r>
      <w:r w:rsidR="00FF351C" w:rsidRPr="00026686">
        <w:rPr>
          <w:rFonts w:cs="Arial"/>
        </w:rPr>
        <w:t xml:space="preserve"> for </w:t>
      </w:r>
      <w:r w:rsidR="003F65E7">
        <w:rPr>
          <w:rFonts w:cs="Arial"/>
        </w:rPr>
        <w:t>73</w:t>
      </w:r>
      <w:r w:rsidR="00DD36DF" w:rsidRPr="00026686">
        <w:rPr>
          <w:rFonts w:cs="Arial"/>
        </w:rPr>
        <w:t>%</w:t>
      </w:r>
      <w:r w:rsidR="00FF351C" w:rsidRPr="00026686">
        <w:rPr>
          <w:rFonts w:cs="Arial"/>
        </w:rPr>
        <w:t xml:space="preserve"> of </w:t>
      </w:r>
      <w:r w:rsidR="00166D38" w:rsidRPr="00026686">
        <w:rPr>
          <w:rFonts w:cs="Arial"/>
        </w:rPr>
        <w:t xml:space="preserve">the </w:t>
      </w:r>
      <w:r w:rsidR="0042231A" w:rsidRPr="00026686">
        <w:rPr>
          <w:rFonts w:cs="Arial"/>
        </w:rPr>
        <w:t>VIMs. Over</w:t>
      </w:r>
      <w:r w:rsidR="00FF351C" w:rsidRPr="00026686">
        <w:rPr>
          <w:rFonts w:cs="Arial"/>
        </w:rPr>
        <w:t xml:space="preserve">all </w:t>
      </w:r>
      <w:r w:rsidR="0042231A" w:rsidRPr="00026686">
        <w:rPr>
          <w:rFonts w:cs="Arial"/>
        </w:rPr>
        <w:t xml:space="preserve">females accounted for </w:t>
      </w:r>
      <w:r w:rsidR="00026686" w:rsidRPr="00026686">
        <w:rPr>
          <w:rFonts w:cs="Arial"/>
        </w:rPr>
        <w:t>7</w:t>
      </w:r>
      <w:r w:rsidR="003F65E7">
        <w:rPr>
          <w:rFonts w:cs="Arial"/>
        </w:rPr>
        <w:t>3</w:t>
      </w:r>
      <w:r w:rsidR="00DD36DF" w:rsidRPr="00026686">
        <w:rPr>
          <w:rFonts w:cs="Arial"/>
        </w:rPr>
        <w:t>%</w:t>
      </w:r>
      <w:r w:rsidR="0042231A" w:rsidRPr="00026686">
        <w:rPr>
          <w:rFonts w:cs="Arial"/>
        </w:rPr>
        <w:t xml:space="preserve"> of all </w:t>
      </w:r>
      <w:proofErr w:type="spellStart"/>
      <w:r w:rsidR="0011747F" w:rsidRPr="00026686">
        <w:rPr>
          <w:rFonts w:cs="Arial"/>
        </w:rPr>
        <w:t>SmartCards</w:t>
      </w:r>
      <w:proofErr w:type="spellEnd"/>
      <w:r w:rsidR="0011747F" w:rsidRPr="00026686">
        <w:rPr>
          <w:rFonts w:cs="Arial"/>
        </w:rPr>
        <w:t xml:space="preserve"> </w:t>
      </w:r>
      <w:r w:rsidR="005A3730" w:rsidRPr="00026686">
        <w:rPr>
          <w:rFonts w:cs="Arial"/>
        </w:rPr>
        <w:t>(voluntary and conditional)</w:t>
      </w:r>
      <w:r w:rsidR="0042231A" w:rsidRPr="00026686">
        <w:rPr>
          <w:rFonts w:cs="Arial"/>
        </w:rPr>
        <w:t xml:space="preserve"> </w:t>
      </w:r>
      <w:r w:rsidR="009122F0" w:rsidRPr="00026686">
        <w:rPr>
          <w:rFonts w:cs="Arial"/>
        </w:rPr>
        <w:t>in</w:t>
      </w:r>
      <w:r w:rsidR="0042231A" w:rsidRPr="00026686">
        <w:rPr>
          <w:rFonts w:cs="Arial"/>
        </w:rPr>
        <w:t xml:space="preserve"> quarter </w:t>
      </w:r>
      <w:r w:rsidR="00BC09BB" w:rsidRPr="00026686">
        <w:rPr>
          <w:rFonts w:cs="Arial"/>
        </w:rPr>
        <w:t>6</w:t>
      </w:r>
      <w:r w:rsidR="003F65E7">
        <w:rPr>
          <w:rFonts w:cs="Arial"/>
        </w:rPr>
        <w:t>4</w:t>
      </w:r>
      <w:r w:rsidR="009D31EC" w:rsidRPr="00026686">
        <w:rPr>
          <w:rFonts w:cs="Arial"/>
        </w:rPr>
        <w:t>.</w:t>
      </w:r>
    </w:p>
    <w:p w14:paraId="4A3BF326" w14:textId="77777777" w:rsidR="00700320" w:rsidRPr="00AB2555" w:rsidRDefault="00700320" w:rsidP="00700320">
      <w:pPr>
        <w:ind w:left="-142" w:right="-425"/>
        <w:jc w:val="both"/>
        <w:rPr>
          <w:rFonts w:cs="Arial"/>
          <w:highlight w:val="yellow"/>
        </w:rPr>
      </w:pPr>
    </w:p>
    <w:p w14:paraId="5C28C434" w14:textId="21FEACA6" w:rsidR="009D31EC" w:rsidRPr="00026686" w:rsidRDefault="009D31EC" w:rsidP="00700320">
      <w:pPr>
        <w:ind w:left="-142" w:right="-425"/>
        <w:jc w:val="both"/>
        <w:rPr>
          <w:rFonts w:cs="Arial"/>
        </w:rPr>
      </w:pPr>
      <w:r w:rsidRPr="00026686">
        <w:rPr>
          <w:rFonts w:cs="Arial"/>
        </w:rPr>
        <w:t xml:space="preserve">Reasons for applying for the </w:t>
      </w:r>
      <w:r w:rsidR="0011747F" w:rsidRPr="00026686">
        <w:rPr>
          <w:rFonts w:cs="Arial"/>
        </w:rPr>
        <w:t xml:space="preserve">SmartCard </w:t>
      </w:r>
      <w:r w:rsidRPr="00026686">
        <w:rPr>
          <w:rFonts w:cs="Arial"/>
        </w:rPr>
        <w:t xml:space="preserve">were primarily to </w:t>
      </w:r>
      <w:r w:rsidR="00BB3277" w:rsidRPr="00026686">
        <w:rPr>
          <w:rFonts w:cs="Arial"/>
        </w:rPr>
        <w:t xml:space="preserve">buy food </w:t>
      </w:r>
      <w:r w:rsidR="00132A72" w:rsidRPr="00026686">
        <w:rPr>
          <w:rFonts w:cs="Arial"/>
        </w:rPr>
        <w:t>(</w:t>
      </w:r>
      <w:r w:rsidR="00F97071">
        <w:rPr>
          <w:rFonts w:cs="Arial"/>
        </w:rPr>
        <w:t>67</w:t>
      </w:r>
      <w:r w:rsidR="00DD36DF" w:rsidRPr="00026686">
        <w:rPr>
          <w:rFonts w:cs="Arial"/>
        </w:rPr>
        <w:t>%</w:t>
      </w:r>
      <w:r w:rsidR="00132A72" w:rsidRPr="00026686">
        <w:rPr>
          <w:rFonts w:cs="Arial"/>
        </w:rPr>
        <w:t xml:space="preserve">), </w:t>
      </w:r>
      <w:r w:rsidR="00F97071">
        <w:rPr>
          <w:rFonts w:cs="Arial"/>
        </w:rPr>
        <w:t xml:space="preserve">to budget (61%), </w:t>
      </w:r>
      <w:r w:rsidR="0038756F" w:rsidRPr="00026686">
        <w:rPr>
          <w:rFonts w:cs="Arial"/>
        </w:rPr>
        <w:t>to pay for bills (</w:t>
      </w:r>
      <w:r w:rsidR="00F97071">
        <w:rPr>
          <w:rFonts w:cs="Arial"/>
        </w:rPr>
        <w:t>52</w:t>
      </w:r>
      <w:r w:rsidR="0038756F" w:rsidRPr="00026686">
        <w:rPr>
          <w:rFonts w:cs="Arial"/>
        </w:rPr>
        <w:t>%)</w:t>
      </w:r>
      <w:r w:rsidR="00F97071">
        <w:rPr>
          <w:rFonts w:cs="Arial"/>
        </w:rPr>
        <w:t>,</w:t>
      </w:r>
      <w:r w:rsidR="0038756F" w:rsidRPr="00026686">
        <w:rPr>
          <w:rFonts w:cs="Arial"/>
        </w:rPr>
        <w:t xml:space="preserve"> </w:t>
      </w:r>
      <w:r w:rsidR="0039651D" w:rsidRPr="00026686">
        <w:rPr>
          <w:rFonts w:cs="Arial"/>
        </w:rPr>
        <w:t>to save for something they needed (</w:t>
      </w:r>
      <w:r w:rsidR="00F97071">
        <w:rPr>
          <w:rFonts w:cs="Arial"/>
        </w:rPr>
        <w:t>36</w:t>
      </w:r>
      <w:r w:rsidR="00DD36DF" w:rsidRPr="00026686">
        <w:rPr>
          <w:rFonts w:cs="Arial"/>
        </w:rPr>
        <w:t>%</w:t>
      </w:r>
      <w:r w:rsidR="0039651D" w:rsidRPr="00026686">
        <w:rPr>
          <w:rFonts w:cs="Arial"/>
        </w:rPr>
        <w:t>)</w:t>
      </w:r>
      <w:r w:rsidR="00F97071">
        <w:rPr>
          <w:rFonts w:cs="Arial"/>
        </w:rPr>
        <w:t xml:space="preserve"> and to protect my payments (33%)</w:t>
      </w:r>
      <w:r w:rsidRPr="00026686">
        <w:rPr>
          <w:rFonts w:cs="Arial"/>
        </w:rPr>
        <w:t xml:space="preserve">. </w:t>
      </w:r>
      <w:r w:rsidR="00F966ED" w:rsidRPr="00026686">
        <w:rPr>
          <w:rFonts w:cs="Arial"/>
        </w:rPr>
        <w:t xml:space="preserve">Circumstances given by voluntary income management participants when applying for the </w:t>
      </w:r>
      <w:r w:rsidR="0011747F" w:rsidRPr="00026686">
        <w:rPr>
          <w:rFonts w:cs="Arial"/>
        </w:rPr>
        <w:t xml:space="preserve">SmartCard </w:t>
      </w:r>
      <w:r w:rsidR="00F966ED" w:rsidRPr="00026686">
        <w:rPr>
          <w:rFonts w:cs="Arial"/>
        </w:rPr>
        <w:t>were to support themselves (</w:t>
      </w:r>
      <w:r w:rsidR="00F97071">
        <w:rPr>
          <w:rFonts w:cs="Arial"/>
        </w:rPr>
        <w:t>79</w:t>
      </w:r>
      <w:r w:rsidR="00DD36DF" w:rsidRPr="00026686">
        <w:rPr>
          <w:rFonts w:cs="Arial"/>
        </w:rPr>
        <w:t>%</w:t>
      </w:r>
      <w:r w:rsidR="00F966ED" w:rsidRPr="00026686">
        <w:rPr>
          <w:rFonts w:cs="Arial"/>
        </w:rPr>
        <w:t>)</w:t>
      </w:r>
      <w:r w:rsidR="00132A72" w:rsidRPr="00026686">
        <w:rPr>
          <w:rFonts w:cs="Arial"/>
        </w:rPr>
        <w:t xml:space="preserve">, </w:t>
      </w:r>
      <w:r w:rsidR="00EC0BE6" w:rsidRPr="00026686">
        <w:rPr>
          <w:rFonts w:cs="Arial"/>
        </w:rPr>
        <w:t>they</w:t>
      </w:r>
      <w:r w:rsidR="00132A72" w:rsidRPr="00026686">
        <w:rPr>
          <w:rFonts w:cs="Arial"/>
        </w:rPr>
        <w:t xml:space="preserve"> need</w:t>
      </w:r>
      <w:r w:rsidR="00EC0BE6" w:rsidRPr="00026686">
        <w:rPr>
          <w:rFonts w:cs="Arial"/>
        </w:rPr>
        <w:t>ed</w:t>
      </w:r>
      <w:r w:rsidR="00132A72" w:rsidRPr="00026686">
        <w:rPr>
          <w:rFonts w:cs="Arial"/>
        </w:rPr>
        <w:t xml:space="preserve"> to support </w:t>
      </w:r>
      <w:r w:rsidR="00EC0BE6" w:rsidRPr="00026686">
        <w:rPr>
          <w:rFonts w:cs="Arial"/>
        </w:rPr>
        <w:t>their</w:t>
      </w:r>
      <w:r w:rsidR="00132A72" w:rsidRPr="00026686">
        <w:rPr>
          <w:rFonts w:cs="Arial"/>
        </w:rPr>
        <w:t xml:space="preserve"> famil</w:t>
      </w:r>
      <w:r w:rsidR="006062B7" w:rsidRPr="00026686">
        <w:rPr>
          <w:rFonts w:cs="Arial"/>
        </w:rPr>
        <w:t>ies</w:t>
      </w:r>
      <w:r w:rsidR="00132A72" w:rsidRPr="00026686">
        <w:rPr>
          <w:rFonts w:cs="Arial"/>
        </w:rPr>
        <w:t xml:space="preserve"> (</w:t>
      </w:r>
      <w:r w:rsidR="00F97071">
        <w:rPr>
          <w:rFonts w:cs="Arial"/>
        </w:rPr>
        <w:t>30</w:t>
      </w:r>
      <w:r w:rsidR="00DD36DF" w:rsidRPr="00026686">
        <w:rPr>
          <w:rFonts w:cs="Arial"/>
        </w:rPr>
        <w:t>%</w:t>
      </w:r>
      <w:r w:rsidR="00132A72" w:rsidRPr="00026686">
        <w:rPr>
          <w:rFonts w:cs="Arial"/>
        </w:rPr>
        <w:t>)</w:t>
      </w:r>
      <w:r w:rsidR="00F97071">
        <w:rPr>
          <w:rFonts w:cs="Arial"/>
        </w:rPr>
        <w:t xml:space="preserve">, </w:t>
      </w:r>
      <w:r w:rsidR="0038756F" w:rsidRPr="00026686">
        <w:rPr>
          <w:rFonts w:cs="Arial"/>
        </w:rPr>
        <w:t>they needed to support their children (</w:t>
      </w:r>
      <w:r w:rsidR="00026686">
        <w:rPr>
          <w:rFonts w:cs="Arial"/>
        </w:rPr>
        <w:t>2</w:t>
      </w:r>
      <w:r w:rsidR="00F97071">
        <w:rPr>
          <w:rFonts w:cs="Arial"/>
        </w:rPr>
        <w:t>4</w:t>
      </w:r>
      <w:r w:rsidR="0038756F" w:rsidRPr="00026686">
        <w:rPr>
          <w:rFonts w:cs="Arial"/>
        </w:rPr>
        <w:t>%)</w:t>
      </w:r>
      <w:r w:rsidR="00F97071">
        <w:rPr>
          <w:rFonts w:cs="Arial"/>
        </w:rPr>
        <w:t xml:space="preserve"> and they liked the SmartCard (36%)</w:t>
      </w:r>
      <w:r w:rsidR="0038756F" w:rsidRPr="00026686">
        <w:rPr>
          <w:rFonts w:cs="Arial"/>
        </w:rPr>
        <w:t>.</w:t>
      </w:r>
      <w:r w:rsidR="001A5E82" w:rsidRPr="00026686">
        <w:rPr>
          <w:rFonts w:cs="Arial"/>
        </w:rPr>
        <w:t xml:space="preserve"> </w:t>
      </w:r>
      <w:r w:rsidR="00AC37B0" w:rsidRPr="00026686">
        <w:rPr>
          <w:rFonts w:cs="Arial"/>
        </w:rPr>
        <w:t>Please note</w:t>
      </w:r>
      <w:r w:rsidR="00F12673" w:rsidRPr="00026686">
        <w:rPr>
          <w:rFonts w:cs="Arial"/>
        </w:rPr>
        <w:t>,</w:t>
      </w:r>
      <w:r w:rsidR="00AC37B0" w:rsidRPr="00026686">
        <w:rPr>
          <w:rFonts w:cs="Arial"/>
        </w:rPr>
        <w:t xml:space="preserve"> a client may choose one or more options to reflect their individual reasons </w:t>
      </w:r>
      <w:r w:rsidR="00CD64F4" w:rsidRPr="00026686">
        <w:rPr>
          <w:rFonts w:cs="Arial"/>
        </w:rPr>
        <w:t xml:space="preserve">and circumstances </w:t>
      </w:r>
      <w:r w:rsidR="00764182" w:rsidRPr="00026686">
        <w:rPr>
          <w:rFonts w:cs="Arial"/>
        </w:rPr>
        <w:t>for participating in voluntary income management</w:t>
      </w:r>
      <w:r w:rsidR="00AC37B0" w:rsidRPr="00026686">
        <w:rPr>
          <w:rFonts w:cs="Arial"/>
        </w:rPr>
        <w:t>.</w:t>
      </w:r>
    </w:p>
    <w:p w14:paraId="51EBBFC5" w14:textId="77777777" w:rsidR="009D31EC" w:rsidRPr="00AB2555" w:rsidRDefault="009D31EC" w:rsidP="003833F9">
      <w:pPr>
        <w:ind w:left="-142" w:right="-425"/>
        <w:jc w:val="both"/>
        <w:rPr>
          <w:rFonts w:cs="Arial"/>
          <w:highlight w:val="yellow"/>
        </w:rPr>
      </w:pPr>
    </w:p>
    <w:p w14:paraId="0756F7E7" w14:textId="2E89A519" w:rsidR="00467713" w:rsidRDefault="00467713">
      <w:pPr>
        <w:spacing w:line="240" w:lineRule="auto"/>
        <w:rPr>
          <w:rFonts w:cs="Arial"/>
        </w:rPr>
      </w:pPr>
      <w:r>
        <w:rPr>
          <w:rFonts w:cs="Arial"/>
        </w:rPr>
        <w:br w:type="page"/>
      </w:r>
    </w:p>
    <w:p w14:paraId="718F7AEF" w14:textId="77777777" w:rsidR="002F2A2E" w:rsidRDefault="002F2A2E" w:rsidP="002E156B">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467713" w14:paraId="48E57DB5" w14:textId="77777777" w:rsidTr="00D744B8">
        <w:trPr>
          <w:trHeight w:val="278"/>
        </w:trPr>
        <w:tc>
          <w:tcPr>
            <w:tcW w:w="4390" w:type="dxa"/>
            <w:gridSpan w:val="4"/>
          </w:tcPr>
          <w:p w14:paraId="0648C249" w14:textId="59CD0051" w:rsidR="00467713" w:rsidRDefault="00467713" w:rsidP="00D744B8">
            <w:pPr>
              <w:rPr>
                <w:rFonts w:cs="Arial"/>
                <w:b/>
                <w:bCs/>
                <w:noProof/>
                <w:sz w:val="16"/>
                <w:szCs w:val="16"/>
              </w:rPr>
            </w:pPr>
            <w:bookmarkStart w:id="24" w:name="_Hlk158968117"/>
            <w:r>
              <w:rPr>
                <w:rFonts w:cs="Arial"/>
                <w:b/>
                <w:bCs/>
                <w:noProof/>
                <w:sz w:val="16"/>
                <w:szCs w:val="16"/>
              </w:rPr>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 xml:space="preserve">and gender 1 </w:t>
            </w:r>
            <w:r>
              <w:rPr>
                <w:rFonts w:cs="Arial"/>
                <w:noProof/>
                <w:sz w:val="16"/>
                <w:szCs w:val="16"/>
              </w:rPr>
              <w:t>April</w:t>
            </w:r>
            <w:r>
              <w:rPr>
                <w:rFonts w:cs="Arial"/>
                <w:noProof/>
                <w:sz w:val="16"/>
                <w:szCs w:val="16"/>
              </w:rPr>
              <w:t xml:space="preserve"> 2024</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2024</w:t>
            </w:r>
          </w:p>
        </w:tc>
        <w:tc>
          <w:tcPr>
            <w:tcW w:w="567" w:type="dxa"/>
            <w:tcBorders>
              <w:top w:val="nil"/>
              <w:bottom w:val="nil"/>
            </w:tcBorders>
          </w:tcPr>
          <w:p w14:paraId="3052129C" w14:textId="77777777" w:rsidR="00467713" w:rsidRDefault="00467713" w:rsidP="00D744B8">
            <w:pPr>
              <w:rPr>
                <w:rFonts w:cs="Arial"/>
                <w:b/>
                <w:bCs/>
                <w:noProof/>
                <w:sz w:val="16"/>
                <w:szCs w:val="16"/>
              </w:rPr>
            </w:pPr>
          </w:p>
        </w:tc>
        <w:tc>
          <w:tcPr>
            <w:tcW w:w="4394" w:type="dxa"/>
            <w:gridSpan w:val="4"/>
          </w:tcPr>
          <w:p w14:paraId="57A0A4F7" w14:textId="12F3D154" w:rsidR="00467713" w:rsidRDefault="00467713" w:rsidP="00D744B8">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 xml:space="preserve">and gender 1 </w:t>
            </w:r>
            <w:r>
              <w:rPr>
                <w:rFonts w:cs="Arial"/>
                <w:noProof/>
                <w:sz w:val="16"/>
                <w:szCs w:val="16"/>
              </w:rPr>
              <w:t>April</w:t>
            </w:r>
            <w:r>
              <w:rPr>
                <w:rFonts w:cs="Arial"/>
                <w:noProof/>
                <w:sz w:val="16"/>
                <w:szCs w:val="16"/>
              </w:rPr>
              <w:t xml:space="preserve"> 2024</w:t>
            </w:r>
            <w:r w:rsidRPr="00523A30">
              <w:rPr>
                <w:rFonts w:cs="Arial"/>
                <w:noProof/>
                <w:sz w:val="16"/>
                <w:szCs w:val="16"/>
              </w:rPr>
              <w:t xml:space="preserve"> – </w:t>
            </w:r>
            <w:r>
              <w:rPr>
                <w:rFonts w:cs="Arial"/>
                <w:noProof/>
                <w:sz w:val="16"/>
                <w:szCs w:val="16"/>
              </w:rPr>
              <w:t>3</w:t>
            </w:r>
            <w:r>
              <w:rPr>
                <w:rFonts w:cs="Arial"/>
                <w:noProof/>
                <w:sz w:val="16"/>
                <w:szCs w:val="16"/>
              </w:rPr>
              <w:t xml:space="preserve">0 June </w:t>
            </w:r>
            <w:r>
              <w:rPr>
                <w:rFonts w:cs="Arial"/>
                <w:noProof/>
                <w:sz w:val="16"/>
                <w:szCs w:val="16"/>
              </w:rPr>
              <w:t>2024</w:t>
            </w:r>
          </w:p>
        </w:tc>
      </w:tr>
      <w:tr w:rsidR="00467713" w14:paraId="1A4D82F6" w14:textId="77777777" w:rsidTr="00D744B8">
        <w:trPr>
          <w:trHeight w:val="278"/>
        </w:trPr>
        <w:tc>
          <w:tcPr>
            <w:tcW w:w="1418" w:type="dxa"/>
            <w:vAlign w:val="center"/>
          </w:tcPr>
          <w:p w14:paraId="27146AC3" w14:textId="77777777" w:rsidR="00467713" w:rsidRPr="002F3F87" w:rsidRDefault="00467713" w:rsidP="00D744B8">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555084CB" w14:textId="77777777" w:rsidR="00467713" w:rsidRPr="002F3F87" w:rsidRDefault="00467713" w:rsidP="00D744B8">
            <w:pPr>
              <w:jc w:val="center"/>
              <w:rPr>
                <w:rFonts w:cs="Arial"/>
                <w:b/>
                <w:bCs/>
                <w:noProof/>
              </w:rPr>
            </w:pPr>
            <w:r w:rsidRPr="002F3F87">
              <w:rPr>
                <w:rFonts w:cs="Arial"/>
                <w:b/>
                <w:bCs/>
                <w:noProof/>
              </w:rPr>
              <w:t>Male</w:t>
            </w:r>
          </w:p>
        </w:tc>
        <w:tc>
          <w:tcPr>
            <w:tcW w:w="1134" w:type="dxa"/>
            <w:vAlign w:val="center"/>
          </w:tcPr>
          <w:p w14:paraId="0D03444E" w14:textId="77777777" w:rsidR="00467713" w:rsidRPr="002F3F87" w:rsidRDefault="00467713" w:rsidP="00D744B8">
            <w:pPr>
              <w:jc w:val="center"/>
              <w:rPr>
                <w:rFonts w:cs="Arial"/>
                <w:b/>
                <w:bCs/>
                <w:noProof/>
              </w:rPr>
            </w:pPr>
            <w:r w:rsidRPr="002F3F87">
              <w:rPr>
                <w:rFonts w:cs="Arial"/>
                <w:b/>
                <w:bCs/>
                <w:noProof/>
              </w:rPr>
              <w:t>Female</w:t>
            </w:r>
          </w:p>
        </w:tc>
        <w:tc>
          <w:tcPr>
            <w:tcW w:w="851" w:type="dxa"/>
          </w:tcPr>
          <w:p w14:paraId="51600EAB" w14:textId="77777777" w:rsidR="00467713" w:rsidRPr="002F3F87" w:rsidRDefault="00467713" w:rsidP="00D744B8">
            <w:pPr>
              <w:jc w:val="center"/>
              <w:rPr>
                <w:rFonts w:cs="Arial"/>
                <w:b/>
                <w:bCs/>
                <w:noProof/>
              </w:rPr>
            </w:pPr>
            <w:r>
              <w:rPr>
                <w:rFonts w:cs="Arial"/>
                <w:b/>
                <w:bCs/>
                <w:noProof/>
              </w:rPr>
              <w:t>Total</w:t>
            </w:r>
          </w:p>
        </w:tc>
        <w:tc>
          <w:tcPr>
            <w:tcW w:w="567" w:type="dxa"/>
            <w:tcBorders>
              <w:top w:val="nil"/>
              <w:bottom w:val="nil"/>
            </w:tcBorders>
          </w:tcPr>
          <w:p w14:paraId="6D1FA802" w14:textId="77777777" w:rsidR="00467713" w:rsidRPr="002F3F87" w:rsidRDefault="00467713" w:rsidP="00D744B8">
            <w:pPr>
              <w:rPr>
                <w:rFonts w:cs="Arial"/>
                <w:b/>
                <w:bCs/>
                <w:noProof/>
              </w:rPr>
            </w:pPr>
          </w:p>
        </w:tc>
        <w:tc>
          <w:tcPr>
            <w:tcW w:w="1417" w:type="dxa"/>
            <w:vAlign w:val="center"/>
          </w:tcPr>
          <w:p w14:paraId="727D5886" w14:textId="77777777" w:rsidR="00467713" w:rsidRPr="002F3F87" w:rsidRDefault="00467713" w:rsidP="00D744B8">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4DB9FA00" w14:textId="77777777" w:rsidR="00467713" w:rsidRPr="002F3F87" w:rsidRDefault="00467713" w:rsidP="00D744B8">
            <w:pPr>
              <w:jc w:val="center"/>
              <w:rPr>
                <w:rFonts w:cs="Arial"/>
                <w:b/>
                <w:bCs/>
                <w:noProof/>
              </w:rPr>
            </w:pPr>
            <w:r w:rsidRPr="002F3F87">
              <w:rPr>
                <w:rFonts w:cs="Arial"/>
                <w:b/>
                <w:bCs/>
                <w:noProof/>
              </w:rPr>
              <w:t>Male</w:t>
            </w:r>
          </w:p>
        </w:tc>
        <w:tc>
          <w:tcPr>
            <w:tcW w:w="1134" w:type="dxa"/>
            <w:vAlign w:val="center"/>
          </w:tcPr>
          <w:p w14:paraId="72B8AC70" w14:textId="77777777" w:rsidR="00467713" w:rsidRPr="002F3F87" w:rsidRDefault="00467713" w:rsidP="00D744B8">
            <w:pPr>
              <w:jc w:val="center"/>
              <w:rPr>
                <w:rFonts w:cs="Arial"/>
                <w:b/>
                <w:bCs/>
                <w:noProof/>
              </w:rPr>
            </w:pPr>
            <w:r w:rsidRPr="002F3F87">
              <w:rPr>
                <w:rFonts w:cs="Arial"/>
                <w:b/>
                <w:bCs/>
                <w:noProof/>
              </w:rPr>
              <w:t>Female</w:t>
            </w:r>
          </w:p>
        </w:tc>
        <w:tc>
          <w:tcPr>
            <w:tcW w:w="851" w:type="dxa"/>
          </w:tcPr>
          <w:p w14:paraId="31BC27BE" w14:textId="77777777" w:rsidR="00467713" w:rsidRPr="002F3F87" w:rsidRDefault="00467713" w:rsidP="00D744B8">
            <w:pPr>
              <w:jc w:val="center"/>
              <w:rPr>
                <w:rFonts w:cs="Arial"/>
                <w:b/>
                <w:bCs/>
                <w:noProof/>
              </w:rPr>
            </w:pPr>
            <w:r>
              <w:rPr>
                <w:rFonts w:cs="Arial"/>
                <w:b/>
                <w:bCs/>
                <w:noProof/>
              </w:rPr>
              <w:t>Total</w:t>
            </w:r>
          </w:p>
        </w:tc>
      </w:tr>
      <w:tr w:rsidR="00467713" w14:paraId="620204A3" w14:textId="77777777" w:rsidTr="00D744B8">
        <w:trPr>
          <w:trHeight w:val="278"/>
        </w:trPr>
        <w:tc>
          <w:tcPr>
            <w:tcW w:w="1418" w:type="dxa"/>
            <w:vAlign w:val="center"/>
          </w:tcPr>
          <w:p w14:paraId="2AA5D02A" w14:textId="77777777" w:rsidR="00467713" w:rsidRPr="002819D6" w:rsidRDefault="00467713" w:rsidP="00D744B8">
            <w:pPr>
              <w:rPr>
                <w:rFonts w:cs="Arial"/>
                <w:noProof/>
              </w:rPr>
            </w:pPr>
            <w:r>
              <w:rPr>
                <w:rFonts w:cs="Arial"/>
                <w:noProof/>
              </w:rPr>
              <w:t>18-25</w:t>
            </w:r>
          </w:p>
        </w:tc>
        <w:tc>
          <w:tcPr>
            <w:tcW w:w="987" w:type="dxa"/>
            <w:vAlign w:val="center"/>
          </w:tcPr>
          <w:p w14:paraId="362FA8F6" w14:textId="2A55BA1D" w:rsidR="00467713" w:rsidRPr="001D1C01" w:rsidRDefault="00467713" w:rsidP="00D744B8">
            <w:pPr>
              <w:jc w:val="right"/>
              <w:rPr>
                <w:rFonts w:cs="Arial"/>
                <w:noProof/>
              </w:rPr>
            </w:pPr>
            <w:r>
              <w:rPr>
                <w:rFonts w:cs="Arial"/>
                <w:noProof/>
              </w:rPr>
              <w:t>1</w:t>
            </w:r>
          </w:p>
        </w:tc>
        <w:tc>
          <w:tcPr>
            <w:tcW w:w="1134" w:type="dxa"/>
            <w:vAlign w:val="center"/>
          </w:tcPr>
          <w:p w14:paraId="5D71A6B4" w14:textId="0490CBF1" w:rsidR="00467713" w:rsidRPr="001D1C01" w:rsidRDefault="00467713" w:rsidP="00D744B8">
            <w:pPr>
              <w:jc w:val="right"/>
              <w:rPr>
                <w:rFonts w:cs="Arial"/>
                <w:noProof/>
              </w:rPr>
            </w:pPr>
            <w:r>
              <w:rPr>
                <w:rFonts w:cs="Arial"/>
                <w:noProof/>
              </w:rPr>
              <w:t>0</w:t>
            </w:r>
          </w:p>
        </w:tc>
        <w:tc>
          <w:tcPr>
            <w:tcW w:w="851" w:type="dxa"/>
          </w:tcPr>
          <w:p w14:paraId="6C153037" w14:textId="4AA9B115" w:rsidR="00467713" w:rsidRPr="006B597B" w:rsidRDefault="00467713" w:rsidP="00D744B8">
            <w:pPr>
              <w:jc w:val="right"/>
              <w:rPr>
                <w:rFonts w:cs="Arial"/>
                <w:b/>
                <w:bCs/>
                <w:noProof/>
              </w:rPr>
            </w:pPr>
            <w:r>
              <w:rPr>
                <w:rFonts w:cs="Arial"/>
                <w:b/>
                <w:bCs/>
                <w:noProof/>
              </w:rPr>
              <w:t>1</w:t>
            </w:r>
          </w:p>
        </w:tc>
        <w:tc>
          <w:tcPr>
            <w:tcW w:w="567" w:type="dxa"/>
            <w:tcBorders>
              <w:top w:val="nil"/>
              <w:bottom w:val="nil"/>
            </w:tcBorders>
          </w:tcPr>
          <w:p w14:paraId="03E78C3F" w14:textId="77777777" w:rsidR="00467713" w:rsidRDefault="00467713" w:rsidP="00D744B8">
            <w:pPr>
              <w:rPr>
                <w:rFonts w:cs="Arial"/>
                <w:noProof/>
              </w:rPr>
            </w:pPr>
          </w:p>
        </w:tc>
        <w:tc>
          <w:tcPr>
            <w:tcW w:w="1417" w:type="dxa"/>
            <w:vAlign w:val="center"/>
          </w:tcPr>
          <w:p w14:paraId="64FBED7B" w14:textId="77777777" w:rsidR="00467713" w:rsidRPr="001D1C01" w:rsidRDefault="00467713" w:rsidP="00D744B8">
            <w:pPr>
              <w:rPr>
                <w:rFonts w:cs="Arial"/>
                <w:noProof/>
              </w:rPr>
            </w:pPr>
            <w:r>
              <w:rPr>
                <w:rFonts w:cs="Arial"/>
                <w:noProof/>
              </w:rPr>
              <w:t>18-25</w:t>
            </w:r>
          </w:p>
        </w:tc>
        <w:tc>
          <w:tcPr>
            <w:tcW w:w="992" w:type="dxa"/>
            <w:vAlign w:val="center"/>
          </w:tcPr>
          <w:p w14:paraId="2FD2620C" w14:textId="77777777" w:rsidR="00467713" w:rsidRPr="001D1C01" w:rsidRDefault="00467713" w:rsidP="00D744B8">
            <w:pPr>
              <w:jc w:val="right"/>
              <w:rPr>
                <w:rFonts w:cs="Arial"/>
                <w:noProof/>
              </w:rPr>
            </w:pPr>
            <w:r>
              <w:rPr>
                <w:rFonts w:cs="Arial"/>
                <w:noProof/>
              </w:rPr>
              <w:t>0</w:t>
            </w:r>
          </w:p>
        </w:tc>
        <w:tc>
          <w:tcPr>
            <w:tcW w:w="1134" w:type="dxa"/>
            <w:vAlign w:val="center"/>
          </w:tcPr>
          <w:p w14:paraId="35084272" w14:textId="3EACB056" w:rsidR="00467713" w:rsidRPr="001D1C01" w:rsidRDefault="00467713" w:rsidP="00D744B8">
            <w:pPr>
              <w:jc w:val="right"/>
              <w:rPr>
                <w:rFonts w:cs="Arial"/>
                <w:noProof/>
              </w:rPr>
            </w:pPr>
            <w:r>
              <w:rPr>
                <w:rFonts w:cs="Arial"/>
                <w:noProof/>
              </w:rPr>
              <w:t>0</w:t>
            </w:r>
          </w:p>
        </w:tc>
        <w:tc>
          <w:tcPr>
            <w:tcW w:w="851" w:type="dxa"/>
          </w:tcPr>
          <w:p w14:paraId="18E9F252" w14:textId="4A092446" w:rsidR="00467713" w:rsidRPr="006B597B" w:rsidRDefault="00467713" w:rsidP="00D744B8">
            <w:pPr>
              <w:jc w:val="right"/>
              <w:rPr>
                <w:rFonts w:cs="Arial"/>
                <w:b/>
                <w:bCs/>
                <w:noProof/>
              </w:rPr>
            </w:pPr>
            <w:r>
              <w:rPr>
                <w:rFonts w:cs="Arial"/>
                <w:b/>
                <w:bCs/>
                <w:noProof/>
              </w:rPr>
              <w:t>0</w:t>
            </w:r>
          </w:p>
        </w:tc>
      </w:tr>
      <w:tr w:rsidR="00467713" w14:paraId="7329DA71" w14:textId="77777777" w:rsidTr="00D744B8">
        <w:trPr>
          <w:trHeight w:val="278"/>
        </w:trPr>
        <w:tc>
          <w:tcPr>
            <w:tcW w:w="1418" w:type="dxa"/>
            <w:vAlign w:val="center"/>
          </w:tcPr>
          <w:p w14:paraId="0278BAAF" w14:textId="77777777" w:rsidR="00467713" w:rsidRPr="002819D6" w:rsidRDefault="00467713" w:rsidP="00D744B8">
            <w:pPr>
              <w:rPr>
                <w:rFonts w:cs="Arial"/>
                <w:noProof/>
              </w:rPr>
            </w:pPr>
            <w:r>
              <w:rPr>
                <w:rFonts w:cs="Arial"/>
                <w:noProof/>
              </w:rPr>
              <w:t>26-35</w:t>
            </w:r>
          </w:p>
        </w:tc>
        <w:tc>
          <w:tcPr>
            <w:tcW w:w="987" w:type="dxa"/>
            <w:vAlign w:val="center"/>
          </w:tcPr>
          <w:p w14:paraId="6C9E7A67" w14:textId="0619DE45" w:rsidR="00467713" w:rsidRPr="001D1C01" w:rsidRDefault="00467713" w:rsidP="00D744B8">
            <w:pPr>
              <w:jc w:val="right"/>
              <w:rPr>
                <w:rFonts w:cs="Arial"/>
                <w:noProof/>
              </w:rPr>
            </w:pPr>
            <w:r>
              <w:rPr>
                <w:rFonts w:cs="Arial"/>
                <w:noProof/>
              </w:rPr>
              <w:t>0</w:t>
            </w:r>
          </w:p>
        </w:tc>
        <w:tc>
          <w:tcPr>
            <w:tcW w:w="1134" w:type="dxa"/>
            <w:vAlign w:val="center"/>
          </w:tcPr>
          <w:p w14:paraId="16CAAF6B" w14:textId="60D8D132" w:rsidR="00467713" w:rsidRPr="001D1C01" w:rsidRDefault="00467713" w:rsidP="00D744B8">
            <w:pPr>
              <w:jc w:val="right"/>
              <w:rPr>
                <w:rFonts w:cs="Arial"/>
                <w:noProof/>
              </w:rPr>
            </w:pPr>
            <w:r>
              <w:rPr>
                <w:rFonts w:cs="Arial"/>
                <w:noProof/>
              </w:rPr>
              <w:t>0</w:t>
            </w:r>
          </w:p>
        </w:tc>
        <w:tc>
          <w:tcPr>
            <w:tcW w:w="851" w:type="dxa"/>
          </w:tcPr>
          <w:p w14:paraId="78B858EF" w14:textId="3C52B494" w:rsidR="00467713" w:rsidRPr="006B597B" w:rsidRDefault="00467713" w:rsidP="00D744B8">
            <w:pPr>
              <w:jc w:val="right"/>
              <w:rPr>
                <w:rFonts w:cs="Arial"/>
                <w:b/>
                <w:bCs/>
                <w:noProof/>
              </w:rPr>
            </w:pPr>
            <w:r>
              <w:rPr>
                <w:rFonts w:cs="Arial"/>
                <w:b/>
                <w:bCs/>
                <w:noProof/>
              </w:rPr>
              <w:t>0</w:t>
            </w:r>
          </w:p>
        </w:tc>
        <w:tc>
          <w:tcPr>
            <w:tcW w:w="567" w:type="dxa"/>
            <w:tcBorders>
              <w:top w:val="nil"/>
              <w:bottom w:val="nil"/>
            </w:tcBorders>
          </w:tcPr>
          <w:p w14:paraId="5338CA73" w14:textId="77777777" w:rsidR="00467713" w:rsidRDefault="00467713" w:rsidP="00D744B8">
            <w:pPr>
              <w:rPr>
                <w:rFonts w:cs="Arial"/>
                <w:noProof/>
              </w:rPr>
            </w:pPr>
          </w:p>
        </w:tc>
        <w:tc>
          <w:tcPr>
            <w:tcW w:w="1417" w:type="dxa"/>
            <w:vAlign w:val="center"/>
          </w:tcPr>
          <w:p w14:paraId="44BB80E8" w14:textId="77777777" w:rsidR="00467713" w:rsidRPr="001D1C01" w:rsidRDefault="00467713" w:rsidP="00D744B8">
            <w:pPr>
              <w:rPr>
                <w:rFonts w:cs="Arial"/>
                <w:noProof/>
              </w:rPr>
            </w:pPr>
            <w:r>
              <w:rPr>
                <w:rFonts w:cs="Arial"/>
                <w:noProof/>
              </w:rPr>
              <w:t>26-35</w:t>
            </w:r>
          </w:p>
        </w:tc>
        <w:tc>
          <w:tcPr>
            <w:tcW w:w="992" w:type="dxa"/>
            <w:vAlign w:val="center"/>
          </w:tcPr>
          <w:p w14:paraId="684D2A08" w14:textId="263A3EDF" w:rsidR="00467713" w:rsidRPr="001D1C01" w:rsidRDefault="00467713" w:rsidP="00D744B8">
            <w:pPr>
              <w:jc w:val="right"/>
              <w:rPr>
                <w:rFonts w:cs="Arial"/>
                <w:noProof/>
              </w:rPr>
            </w:pPr>
            <w:r>
              <w:rPr>
                <w:rFonts w:cs="Arial"/>
                <w:noProof/>
              </w:rPr>
              <w:t>3</w:t>
            </w:r>
          </w:p>
        </w:tc>
        <w:tc>
          <w:tcPr>
            <w:tcW w:w="1134" w:type="dxa"/>
            <w:vAlign w:val="center"/>
          </w:tcPr>
          <w:p w14:paraId="7352685E" w14:textId="1DC5E82E" w:rsidR="00467713" w:rsidRPr="001D1C01" w:rsidRDefault="00467713" w:rsidP="00D744B8">
            <w:pPr>
              <w:jc w:val="right"/>
              <w:rPr>
                <w:rFonts w:cs="Arial"/>
                <w:noProof/>
              </w:rPr>
            </w:pPr>
            <w:r>
              <w:rPr>
                <w:rFonts w:cs="Arial"/>
                <w:noProof/>
              </w:rPr>
              <w:t>7</w:t>
            </w:r>
          </w:p>
        </w:tc>
        <w:tc>
          <w:tcPr>
            <w:tcW w:w="851" w:type="dxa"/>
          </w:tcPr>
          <w:p w14:paraId="3B7ADAD4" w14:textId="57450E1B" w:rsidR="00467713" w:rsidRPr="006B597B" w:rsidRDefault="00467713" w:rsidP="00D744B8">
            <w:pPr>
              <w:jc w:val="right"/>
              <w:rPr>
                <w:rFonts w:cs="Arial"/>
                <w:b/>
                <w:bCs/>
                <w:noProof/>
              </w:rPr>
            </w:pPr>
            <w:r>
              <w:rPr>
                <w:rFonts w:cs="Arial"/>
                <w:b/>
                <w:bCs/>
                <w:noProof/>
              </w:rPr>
              <w:t>10</w:t>
            </w:r>
          </w:p>
        </w:tc>
      </w:tr>
      <w:tr w:rsidR="00467713" w14:paraId="2A36EA8B" w14:textId="77777777" w:rsidTr="00D744B8">
        <w:trPr>
          <w:trHeight w:val="278"/>
        </w:trPr>
        <w:tc>
          <w:tcPr>
            <w:tcW w:w="1418" w:type="dxa"/>
            <w:vAlign w:val="center"/>
          </w:tcPr>
          <w:p w14:paraId="27AE22AE" w14:textId="77777777" w:rsidR="00467713" w:rsidRPr="002819D6" w:rsidRDefault="00467713" w:rsidP="00D744B8">
            <w:pPr>
              <w:rPr>
                <w:rFonts w:cs="Arial"/>
                <w:noProof/>
              </w:rPr>
            </w:pPr>
            <w:r>
              <w:rPr>
                <w:rFonts w:cs="Arial"/>
                <w:noProof/>
              </w:rPr>
              <w:t>36-45</w:t>
            </w:r>
          </w:p>
        </w:tc>
        <w:tc>
          <w:tcPr>
            <w:tcW w:w="987" w:type="dxa"/>
            <w:vAlign w:val="center"/>
          </w:tcPr>
          <w:p w14:paraId="5E7529FA" w14:textId="77777777" w:rsidR="00467713" w:rsidRPr="001D1C01" w:rsidRDefault="00467713" w:rsidP="00D744B8">
            <w:pPr>
              <w:jc w:val="right"/>
              <w:rPr>
                <w:rFonts w:cs="Arial"/>
                <w:noProof/>
              </w:rPr>
            </w:pPr>
            <w:r>
              <w:rPr>
                <w:rFonts w:cs="Arial"/>
                <w:noProof/>
              </w:rPr>
              <w:t>0</w:t>
            </w:r>
          </w:p>
        </w:tc>
        <w:tc>
          <w:tcPr>
            <w:tcW w:w="1134" w:type="dxa"/>
            <w:vAlign w:val="center"/>
          </w:tcPr>
          <w:p w14:paraId="4FD84193" w14:textId="77777777" w:rsidR="00467713" w:rsidRPr="001D1C01" w:rsidRDefault="00467713" w:rsidP="00D744B8">
            <w:pPr>
              <w:jc w:val="right"/>
              <w:rPr>
                <w:rFonts w:cs="Arial"/>
                <w:noProof/>
              </w:rPr>
            </w:pPr>
            <w:r>
              <w:rPr>
                <w:rFonts w:cs="Arial"/>
                <w:noProof/>
              </w:rPr>
              <w:t>3</w:t>
            </w:r>
          </w:p>
        </w:tc>
        <w:tc>
          <w:tcPr>
            <w:tcW w:w="851" w:type="dxa"/>
          </w:tcPr>
          <w:p w14:paraId="36587181" w14:textId="77777777" w:rsidR="00467713" w:rsidRPr="006B597B" w:rsidRDefault="00467713" w:rsidP="00D744B8">
            <w:pPr>
              <w:jc w:val="right"/>
              <w:rPr>
                <w:rFonts w:cs="Arial"/>
                <w:b/>
                <w:bCs/>
                <w:noProof/>
              </w:rPr>
            </w:pPr>
            <w:r>
              <w:rPr>
                <w:rFonts w:cs="Arial"/>
                <w:b/>
                <w:bCs/>
                <w:noProof/>
              </w:rPr>
              <w:t>3</w:t>
            </w:r>
          </w:p>
        </w:tc>
        <w:tc>
          <w:tcPr>
            <w:tcW w:w="567" w:type="dxa"/>
            <w:tcBorders>
              <w:top w:val="nil"/>
              <w:bottom w:val="nil"/>
            </w:tcBorders>
          </w:tcPr>
          <w:p w14:paraId="7A07382D" w14:textId="77777777" w:rsidR="00467713" w:rsidRDefault="00467713" w:rsidP="00D744B8">
            <w:pPr>
              <w:rPr>
                <w:rFonts w:cs="Arial"/>
                <w:noProof/>
              </w:rPr>
            </w:pPr>
          </w:p>
        </w:tc>
        <w:tc>
          <w:tcPr>
            <w:tcW w:w="1417" w:type="dxa"/>
            <w:vAlign w:val="center"/>
          </w:tcPr>
          <w:p w14:paraId="02032025" w14:textId="77777777" w:rsidR="00467713" w:rsidRPr="001D1C01" w:rsidRDefault="00467713" w:rsidP="00D744B8">
            <w:pPr>
              <w:rPr>
                <w:rFonts w:cs="Arial"/>
                <w:noProof/>
              </w:rPr>
            </w:pPr>
            <w:r>
              <w:rPr>
                <w:rFonts w:cs="Arial"/>
                <w:noProof/>
              </w:rPr>
              <w:t>36-45</w:t>
            </w:r>
          </w:p>
        </w:tc>
        <w:tc>
          <w:tcPr>
            <w:tcW w:w="992" w:type="dxa"/>
            <w:vAlign w:val="center"/>
          </w:tcPr>
          <w:p w14:paraId="4CF4E06A" w14:textId="66A0CC48" w:rsidR="00467713" w:rsidRPr="001D1C01" w:rsidRDefault="00467713" w:rsidP="00D744B8">
            <w:pPr>
              <w:jc w:val="right"/>
              <w:rPr>
                <w:rFonts w:cs="Arial"/>
                <w:noProof/>
              </w:rPr>
            </w:pPr>
            <w:r>
              <w:rPr>
                <w:rFonts w:cs="Arial"/>
                <w:noProof/>
              </w:rPr>
              <w:t>4</w:t>
            </w:r>
          </w:p>
        </w:tc>
        <w:tc>
          <w:tcPr>
            <w:tcW w:w="1134" w:type="dxa"/>
            <w:vAlign w:val="center"/>
          </w:tcPr>
          <w:p w14:paraId="69522C75" w14:textId="7871F648" w:rsidR="00467713" w:rsidRPr="001D1C01" w:rsidRDefault="00467713" w:rsidP="00D744B8">
            <w:pPr>
              <w:jc w:val="right"/>
              <w:rPr>
                <w:rFonts w:cs="Arial"/>
                <w:noProof/>
              </w:rPr>
            </w:pPr>
            <w:r>
              <w:rPr>
                <w:rFonts w:cs="Arial"/>
                <w:noProof/>
              </w:rPr>
              <w:t>8</w:t>
            </w:r>
          </w:p>
        </w:tc>
        <w:tc>
          <w:tcPr>
            <w:tcW w:w="851" w:type="dxa"/>
          </w:tcPr>
          <w:p w14:paraId="10806F34" w14:textId="50171664" w:rsidR="00467713" w:rsidRPr="006B597B" w:rsidRDefault="00467713" w:rsidP="00D744B8">
            <w:pPr>
              <w:jc w:val="right"/>
              <w:rPr>
                <w:rFonts w:cs="Arial"/>
                <w:b/>
                <w:bCs/>
                <w:noProof/>
              </w:rPr>
            </w:pPr>
            <w:r>
              <w:rPr>
                <w:rFonts w:cs="Arial"/>
                <w:b/>
                <w:bCs/>
                <w:noProof/>
              </w:rPr>
              <w:t>12</w:t>
            </w:r>
          </w:p>
        </w:tc>
      </w:tr>
      <w:tr w:rsidR="00467713" w14:paraId="1F9A2473" w14:textId="77777777" w:rsidTr="00D744B8">
        <w:trPr>
          <w:trHeight w:val="278"/>
        </w:trPr>
        <w:tc>
          <w:tcPr>
            <w:tcW w:w="1418" w:type="dxa"/>
            <w:vAlign w:val="center"/>
          </w:tcPr>
          <w:p w14:paraId="17D0A95F" w14:textId="77777777" w:rsidR="00467713" w:rsidRDefault="00467713" w:rsidP="00D744B8">
            <w:pPr>
              <w:rPr>
                <w:rFonts w:cs="Arial"/>
                <w:noProof/>
              </w:rPr>
            </w:pPr>
            <w:r>
              <w:rPr>
                <w:rFonts w:cs="Arial"/>
                <w:noProof/>
              </w:rPr>
              <w:t>46-55</w:t>
            </w:r>
          </w:p>
        </w:tc>
        <w:tc>
          <w:tcPr>
            <w:tcW w:w="987" w:type="dxa"/>
            <w:vAlign w:val="center"/>
          </w:tcPr>
          <w:p w14:paraId="3AFE50F1" w14:textId="77777777" w:rsidR="00467713" w:rsidRPr="001D1C01" w:rsidRDefault="00467713" w:rsidP="00D744B8">
            <w:pPr>
              <w:jc w:val="right"/>
              <w:rPr>
                <w:rFonts w:cs="Arial"/>
                <w:noProof/>
              </w:rPr>
            </w:pPr>
            <w:r>
              <w:rPr>
                <w:rFonts w:cs="Arial"/>
                <w:noProof/>
              </w:rPr>
              <w:t>0</w:t>
            </w:r>
          </w:p>
        </w:tc>
        <w:tc>
          <w:tcPr>
            <w:tcW w:w="1134" w:type="dxa"/>
            <w:vAlign w:val="center"/>
          </w:tcPr>
          <w:p w14:paraId="49740691" w14:textId="46246418" w:rsidR="00467713" w:rsidRPr="001D1C01" w:rsidRDefault="00467713" w:rsidP="00D744B8">
            <w:pPr>
              <w:jc w:val="right"/>
              <w:rPr>
                <w:rFonts w:cs="Arial"/>
                <w:noProof/>
              </w:rPr>
            </w:pPr>
            <w:r>
              <w:rPr>
                <w:rFonts w:cs="Arial"/>
                <w:noProof/>
              </w:rPr>
              <w:t>0</w:t>
            </w:r>
          </w:p>
        </w:tc>
        <w:tc>
          <w:tcPr>
            <w:tcW w:w="851" w:type="dxa"/>
          </w:tcPr>
          <w:p w14:paraId="032CBA6D" w14:textId="6BADC1CB" w:rsidR="00467713" w:rsidRPr="006B597B" w:rsidRDefault="00467713" w:rsidP="00D744B8">
            <w:pPr>
              <w:jc w:val="right"/>
              <w:rPr>
                <w:rFonts w:cs="Arial"/>
                <w:b/>
                <w:bCs/>
                <w:noProof/>
              </w:rPr>
            </w:pPr>
            <w:r>
              <w:rPr>
                <w:rFonts w:cs="Arial"/>
                <w:b/>
                <w:bCs/>
                <w:noProof/>
              </w:rPr>
              <w:t>0</w:t>
            </w:r>
          </w:p>
        </w:tc>
        <w:tc>
          <w:tcPr>
            <w:tcW w:w="567" w:type="dxa"/>
            <w:tcBorders>
              <w:top w:val="nil"/>
              <w:bottom w:val="nil"/>
            </w:tcBorders>
          </w:tcPr>
          <w:p w14:paraId="65F8A197" w14:textId="77777777" w:rsidR="00467713" w:rsidRDefault="00467713" w:rsidP="00D744B8">
            <w:pPr>
              <w:rPr>
                <w:rFonts w:cs="Arial"/>
                <w:noProof/>
              </w:rPr>
            </w:pPr>
          </w:p>
        </w:tc>
        <w:tc>
          <w:tcPr>
            <w:tcW w:w="1417" w:type="dxa"/>
            <w:vAlign w:val="center"/>
          </w:tcPr>
          <w:p w14:paraId="0E5C0E54" w14:textId="77777777" w:rsidR="00467713" w:rsidRPr="001D1C01" w:rsidRDefault="00467713" w:rsidP="00D744B8">
            <w:pPr>
              <w:rPr>
                <w:rFonts w:cs="Arial"/>
                <w:noProof/>
              </w:rPr>
            </w:pPr>
            <w:r>
              <w:rPr>
                <w:rFonts w:cs="Arial"/>
                <w:noProof/>
              </w:rPr>
              <w:t>46-55</w:t>
            </w:r>
          </w:p>
        </w:tc>
        <w:tc>
          <w:tcPr>
            <w:tcW w:w="992" w:type="dxa"/>
            <w:vAlign w:val="center"/>
          </w:tcPr>
          <w:p w14:paraId="7C9E6947" w14:textId="77777777" w:rsidR="00467713" w:rsidRDefault="00467713" w:rsidP="00D744B8">
            <w:pPr>
              <w:jc w:val="right"/>
              <w:rPr>
                <w:rFonts w:cs="Arial"/>
                <w:noProof/>
              </w:rPr>
            </w:pPr>
            <w:r>
              <w:rPr>
                <w:rFonts w:cs="Arial"/>
                <w:noProof/>
              </w:rPr>
              <w:t>1</w:t>
            </w:r>
          </w:p>
        </w:tc>
        <w:tc>
          <w:tcPr>
            <w:tcW w:w="1134" w:type="dxa"/>
            <w:vAlign w:val="center"/>
          </w:tcPr>
          <w:p w14:paraId="6439D4E8" w14:textId="6DB6E2C4" w:rsidR="00467713" w:rsidRDefault="00467713" w:rsidP="00D744B8">
            <w:pPr>
              <w:jc w:val="right"/>
              <w:rPr>
                <w:rFonts w:cs="Arial"/>
                <w:noProof/>
              </w:rPr>
            </w:pPr>
            <w:r>
              <w:rPr>
                <w:rFonts w:cs="Arial"/>
                <w:noProof/>
              </w:rPr>
              <w:t>2</w:t>
            </w:r>
          </w:p>
        </w:tc>
        <w:tc>
          <w:tcPr>
            <w:tcW w:w="851" w:type="dxa"/>
          </w:tcPr>
          <w:p w14:paraId="19A9BBE6" w14:textId="069CEF8A" w:rsidR="00467713" w:rsidRPr="006B597B" w:rsidRDefault="00467713" w:rsidP="00D744B8">
            <w:pPr>
              <w:jc w:val="right"/>
              <w:rPr>
                <w:rFonts w:cs="Arial"/>
                <w:b/>
                <w:bCs/>
                <w:noProof/>
              </w:rPr>
            </w:pPr>
            <w:r>
              <w:rPr>
                <w:rFonts w:cs="Arial"/>
                <w:b/>
                <w:bCs/>
                <w:noProof/>
              </w:rPr>
              <w:t>3</w:t>
            </w:r>
          </w:p>
        </w:tc>
      </w:tr>
      <w:tr w:rsidR="00467713" w14:paraId="1FFB69C9" w14:textId="77777777" w:rsidTr="00D744B8">
        <w:trPr>
          <w:trHeight w:val="278"/>
        </w:trPr>
        <w:tc>
          <w:tcPr>
            <w:tcW w:w="1418" w:type="dxa"/>
            <w:vAlign w:val="center"/>
          </w:tcPr>
          <w:p w14:paraId="77750499" w14:textId="77777777" w:rsidR="00467713" w:rsidRDefault="00467713" w:rsidP="00D744B8">
            <w:pPr>
              <w:rPr>
                <w:rFonts w:cs="Arial"/>
                <w:noProof/>
              </w:rPr>
            </w:pPr>
            <w:r>
              <w:rPr>
                <w:rFonts w:cs="Arial"/>
                <w:noProof/>
              </w:rPr>
              <w:t>56-65</w:t>
            </w:r>
          </w:p>
        </w:tc>
        <w:tc>
          <w:tcPr>
            <w:tcW w:w="987" w:type="dxa"/>
            <w:vAlign w:val="center"/>
          </w:tcPr>
          <w:p w14:paraId="5F3E63F5" w14:textId="77777777" w:rsidR="00467713" w:rsidRPr="001D1C01" w:rsidRDefault="00467713" w:rsidP="00D744B8">
            <w:pPr>
              <w:jc w:val="right"/>
              <w:rPr>
                <w:rFonts w:cs="Arial"/>
                <w:noProof/>
              </w:rPr>
            </w:pPr>
            <w:r>
              <w:rPr>
                <w:rFonts w:cs="Arial"/>
                <w:noProof/>
              </w:rPr>
              <w:t>0</w:t>
            </w:r>
          </w:p>
        </w:tc>
        <w:tc>
          <w:tcPr>
            <w:tcW w:w="1134" w:type="dxa"/>
            <w:vAlign w:val="center"/>
          </w:tcPr>
          <w:p w14:paraId="778D89F0" w14:textId="77777777" w:rsidR="00467713" w:rsidRPr="001D1C01" w:rsidRDefault="00467713" w:rsidP="00D744B8">
            <w:pPr>
              <w:jc w:val="right"/>
              <w:rPr>
                <w:rFonts w:cs="Arial"/>
                <w:noProof/>
              </w:rPr>
            </w:pPr>
            <w:r>
              <w:rPr>
                <w:rFonts w:cs="Arial"/>
                <w:noProof/>
              </w:rPr>
              <w:t>0</w:t>
            </w:r>
          </w:p>
        </w:tc>
        <w:tc>
          <w:tcPr>
            <w:tcW w:w="851" w:type="dxa"/>
          </w:tcPr>
          <w:p w14:paraId="0BF1B786" w14:textId="77777777" w:rsidR="00467713" w:rsidRPr="006B597B" w:rsidRDefault="00467713" w:rsidP="00D744B8">
            <w:pPr>
              <w:jc w:val="right"/>
              <w:rPr>
                <w:rFonts w:cs="Arial"/>
                <w:b/>
                <w:bCs/>
                <w:noProof/>
              </w:rPr>
            </w:pPr>
            <w:r>
              <w:rPr>
                <w:rFonts w:cs="Arial"/>
                <w:b/>
                <w:bCs/>
                <w:noProof/>
              </w:rPr>
              <w:t>0</w:t>
            </w:r>
          </w:p>
        </w:tc>
        <w:tc>
          <w:tcPr>
            <w:tcW w:w="567" w:type="dxa"/>
            <w:tcBorders>
              <w:top w:val="nil"/>
              <w:bottom w:val="nil"/>
            </w:tcBorders>
          </w:tcPr>
          <w:p w14:paraId="531A428E" w14:textId="77777777" w:rsidR="00467713" w:rsidRDefault="00467713" w:rsidP="00D744B8">
            <w:pPr>
              <w:rPr>
                <w:rFonts w:cs="Arial"/>
                <w:noProof/>
              </w:rPr>
            </w:pPr>
          </w:p>
        </w:tc>
        <w:tc>
          <w:tcPr>
            <w:tcW w:w="1417" w:type="dxa"/>
            <w:vAlign w:val="center"/>
          </w:tcPr>
          <w:p w14:paraId="3178283D" w14:textId="77777777" w:rsidR="00467713" w:rsidRPr="001D1C01" w:rsidRDefault="00467713" w:rsidP="00D744B8">
            <w:pPr>
              <w:rPr>
                <w:rFonts w:cs="Arial"/>
                <w:noProof/>
              </w:rPr>
            </w:pPr>
            <w:r>
              <w:rPr>
                <w:rFonts w:cs="Arial"/>
                <w:noProof/>
              </w:rPr>
              <w:t>56-65</w:t>
            </w:r>
          </w:p>
        </w:tc>
        <w:tc>
          <w:tcPr>
            <w:tcW w:w="992" w:type="dxa"/>
            <w:vAlign w:val="center"/>
          </w:tcPr>
          <w:p w14:paraId="69AC8027" w14:textId="4BBF1A8A" w:rsidR="00467713" w:rsidRDefault="00467713" w:rsidP="00D744B8">
            <w:pPr>
              <w:jc w:val="right"/>
              <w:rPr>
                <w:rFonts w:cs="Arial"/>
                <w:noProof/>
              </w:rPr>
            </w:pPr>
            <w:r>
              <w:rPr>
                <w:rFonts w:cs="Arial"/>
                <w:noProof/>
              </w:rPr>
              <w:t>0</w:t>
            </w:r>
          </w:p>
        </w:tc>
        <w:tc>
          <w:tcPr>
            <w:tcW w:w="1134" w:type="dxa"/>
            <w:vAlign w:val="center"/>
          </w:tcPr>
          <w:p w14:paraId="19BD49C3" w14:textId="65097E3D" w:rsidR="00467713" w:rsidRDefault="00467713" w:rsidP="00D744B8">
            <w:pPr>
              <w:jc w:val="right"/>
              <w:rPr>
                <w:rFonts w:cs="Arial"/>
                <w:noProof/>
              </w:rPr>
            </w:pPr>
            <w:r>
              <w:rPr>
                <w:rFonts w:cs="Arial"/>
                <w:noProof/>
              </w:rPr>
              <w:t>5</w:t>
            </w:r>
          </w:p>
        </w:tc>
        <w:tc>
          <w:tcPr>
            <w:tcW w:w="851" w:type="dxa"/>
          </w:tcPr>
          <w:p w14:paraId="0DC37F68" w14:textId="13624A2F" w:rsidR="00467713" w:rsidRPr="006B597B" w:rsidRDefault="00467713" w:rsidP="00D744B8">
            <w:pPr>
              <w:jc w:val="right"/>
              <w:rPr>
                <w:rFonts w:cs="Arial"/>
                <w:b/>
                <w:bCs/>
                <w:noProof/>
              </w:rPr>
            </w:pPr>
            <w:r>
              <w:rPr>
                <w:rFonts w:cs="Arial"/>
                <w:b/>
                <w:bCs/>
                <w:noProof/>
              </w:rPr>
              <w:t>5</w:t>
            </w:r>
          </w:p>
        </w:tc>
      </w:tr>
      <w:tr w:rsidR="00467713" w14:paraId="0A16DEB5" w14:textId="77777777" w:rsidTr="00D744B8">
        <w:trPr>
          <w:trHeight w:val="278"/>
        </w:trPr>
        <w:tc>
          <w:tcPr>
            <w:tcW w:w="1418" w:type="dxa"/>
            <w:vAlign w:val="center"/>
          </w:tcPr>
          <w:p w14:paraId="0B1615EB" w14:textId="77777777" w:rsidR="00467713" w:rsidRDefault="00467713" w:rsidP="00D744B8">
            <w:pPr>
              <w:rPr>
                <w:rFonts w:cs="Arial"/>
                <w:noProof/>
              </w:rPr>
            </w:pPr>
            <w:r>
              <w:rPr>
                <w:rFonts w:cs="Arial"/>
                <w:noProof/>
              </w:rPr>
              <w:t>66-75</w:t>
            </w:r>
          </w:p>
        </w:tc>
        <w:tc>
          <w:tcPr>
            <w:tcW w:w="987" w:type="dxa"/>
            <w:vAlign w:val="center"/>
          </w:tcPr>
          <w:p w14:paraId="6953A04D" w14:textId="77777777" w:rsidR="00467713" w:rsidRPr="001D1C01" w:rsidRDefault="00467713" w:rsidP="00D744B8">
            <w:pPr>
              <w:jc w:val="right"/>
              <w:rPr>
                <w:rFonts w:cs="Arial"/>
                <w:noProof/>
              </w:rPr>
            </w:pPr>
            <w:r>
              <w:rPr>
                <w:rFonts w:cs="Arial"/>
                <w:noProof/>
              </w:rPr>
              <w:t>0</w:t>
            </w:r>
          </w:p>
        </w:tc>
        <w:tc>
          <w:tcPr>
            <w:tcW w:w="1134" w:type="dxa"/>
            <w:vAlign w:val="center"/>
          </w:tcPr>
          <w:p w14:paraId="48399233" w14:textId="77777777" w:rsidR="00467713" w:rsidRPr="001D1C01" w:rsidRDefault="00467713" w:rsidP="00D744B8">
            <w:pPr>
              <w:jc w:val="right"/>
              <w:rPr>
                <w:rFonts w:cs="Arial"/>
                <w:noProof/>
              </w:rPr>
            </w:pPr>
            <w:r>
              <w:rPr>
                <w:rFonts w:cs="Arial"/>
                <w:noProof/>
              </w:rPr>
              <w:t>0</w:t>
            </w:r>
          </w:p>
        </w:tc>
        <w:tc>
          <w:tcPr>
            <w:tcW w:w="851" w:type="dxa"/>
          </w:tcPr>
          <w:p w14:paraId="63AA7B67" w14:textId="77777777" w:rsidR="00467713" w:rsidRPr="006B597B" w:rsidRDefault="00467713" w:rsidP="00D744B8">
            <w:pPr>
              <w:jc w:val="right"/>
              <w:rPr>
                <w:rFonts w:cs="Arial"/>
                <w:b/>
                <w:bCs/>
                <w:noProof/>
              </w:rPr>
            </w:pPr>
            <w:r>
              <w:rPr>
                <w:rFonts w:cs="Arial"/>
                <w:b/>
                <w:bCs/>
                <w:noProof/>
              </w:rPr>
              <w:t>0</w:t>
            </w:r>
          </w:p>
        </w:tc>
        <w:tc>
          <w:tcPr>
            <w:tcW w:w="567" w:type="dxa"/>
            <w:tcBorders>
              <w:top w:val="nil"/>
              <w:bottom w:val="nil"/>
            </w:tcBorders>
          </w:tcPr>
          <w:p w14:paraId="1E4D0632" w14:textId="77777777" w:rsidR="00467713" w:rsidRDefault="00467713" w:rsidP="00D744B8">
            <w:pPr>
              <w:rPr>
                <w:rFonts w:cs="Arial"/>
                <w:noProof/>
              </w:rPr>
            </w:pPr>
          </w:p>
        </w:tc>
        <w:tc>
          <w:tcPr>
            <w:tcW w:w="1417" w:type="dxa"/>
            <w:vAlign w:val="center"/>
          </w:tcPr>
          <w:p w14:paraId="0BF37599" w14:textId="77777777" w:rsidR="00467713" w:rsidRPr="001D1C01" w:rsidRDefault="00467713" w:rsidP="00D744B8">
            <w:pPr>
              <w:rPr>
                <w:rFonts w:cs="Arial"/>
                <w:noProof/>
              </w:rPr>
            </w:pPr>
            <w:r>
              <w:rPr>
                <w:rFonts w:cs="Arial"/>
                <w:noProof/>
              </w:rPr>
              <w:t>66-75</w:t>
            </w:r>
          </w:p>
        </w:tc>
        <w:tc>
          <w:tcPr>
            <w:tcW w:w="992" w:type="dxa"/>
            <w:vAlign w:val="center"/>
          </w:tcPr>
          <w:p w14:paraId="15F3225C" w14:textId="619D2CDF" w:rsidR="00467713" w:rsidRDefault="00467713" w:rsidP="00D744B8">
            <w:pPr>
              <w:jc w:val="right"/>
              <w:rPr>
                <w:rFonts w:cs="Arial"/>
                <w:noProof/>
              </w:rPr>
            </w:pPr>
            <w:r>
              <w:rPr>
                <w:rFonts w:cs="Arial"/>
                <w:noProof/>
              </w:rPr>
              <w:t>1</w:t>
            </w:r>
          </w:p>
        </w:tc>
        <w:tc>
          <w:tcPr>
            <w:tcW w:w="1134" w:type="dxa"/>
            <w:vAlign w:val="center"/>
          </w:tcPr>
          <w:p w14:paraId="2B79EA9B" w14:textId="77777777" w:rsidR="00467713" w:rsidRDefault="00467713" w:rsidP="00D744B8">
            <w:pPr>
              <w:jc w:val="right"/>
              <w:rPr>
                <w:rFonts w:cs="Arial"/>
                <w:noProof/>
              </w:rPr>
            </w:pPr>
            <w:r>
              <w:rPr>
                <w:rFonts w:cs="Arial"/>
                <w:noProof/>
              </w:rPr>
              <w:t>1</w:t>
            </w:r>
          </w:p>
        </w:tc>
        <w:tc>
          <w:tcPr>
            <w:tcW w:w="851" w:type="dxa"/>
          </w:tcPr>
          <w:p w14:paraId="7F2A0536" w14:textId="5D4DA1F7" w:rsidR="00467713" w:rsidRPr="006B597B" w:rsidRDefault="00467713" w:rsidP="00D744B8">
            <w:pPr>
              <w:jc w:val="right"/>
              <w:rPr>
                <w:rFonts w:cs="Arial"/>
                <w:b/>
                <w:bCs/>
                <w:noProof/>
              </w:rPr>
            </w:pPr>
            <w:r>
              <w:rPr>
                <w:rFonts w:cs="Arial"/>
                <w:b/>
                <w:bCs/>
                <w:noProof/>
              </w:rPr>
              <w:t>2</w:t>
            </w:r>
          </w:p>
        </w:tc>
      </w:tr>
      <w:tr w:rsidR="00467713" w14:paraId="6DA42F23" w14:textId="77777777" w:rsidTr="00D744B8">
        <w:trPr>
          <w:trHeight w:val="278"/>
        </w:trPr>
        <w:tc>
          <w:tcPr>
            <w:tcW w:w="1418" w:type="dxa"/>
            <w:vAlign w:val="center"/>
          </w:tcPr>
          <w:p w14:paraId="2A6A836C" w14:textId="77777777" w:rsidR="00467713" w:rsidRDefault="00467713" w:rsidP="00D744B8">
            <w:pPr>
              <w:rPr>
                <w:rFonts w:cs="Arial"/>
                <w:noProof/>
              </w:rPr>
            </w:pPr>
            <w:r>
              <w:rPr>
                <w:rFonts w:cs="Arial"/>
                <w:noProof/>
              </w:rPr>
              <w:t>76-85</w:t>
            </w:r>
          </w:p>
        </w:tc>
        <w:tc>
          <w:tcPr>
            <w:tcW w:w="987" w:type="dxa"/>
            <w:vAlign w:val="center"/>
          </w:tcPr>
          <w:p w14:paraId="53408C84" w14:textId="77777777" w:rsidR="00467713" w:rsidRPr="001D1C01" w:rsidRDefault="00467713" w:rsidP="00D744B8">
            <w:pPr>
              <w:jc w:val="right"/>
              <w:rPr>
                <w:rFonts w:cs="Arial"/>
                <w:noProof/>
              </w:rPr>
            </w:pPr>
            <w:r>
              <w:rPr>
                <w:rFonts w:cs="Arial"/>
                <w:noProof/>
              </w:rPr>
              <w:t>0</w:t>
            </w:r>
          </w:p>
        </w:tc>
        <w:tc>
          <w:tcPr>
            <w:tcW w:w="1134" w:type="dxa"/>
            <w:vAlign w:val="center"/>
          </w:tcPr>
          <w:p w14:paraId="6E5B8C53" w14:textId="77777777" w:rsidR="00467713" w:rsidRPr="001D1C01" w:rsidRDefault="00467713" w:rsidP="00D744B8">
            <w:pPr>
              <w:jc w:val="right"/>
              <w:rPr>
                <w:rFonts w:cs="Arial"/>
                <w:noProof/>
              </w:rPr>
            </w:pPr>
            <w:r>
              <w:rPr>
                <w:rFonts w:cs="Arial"/>
                <w:noProof/>
              </w:rPr>
              <w:t>0</w:t>
            </w:r>
          </w:p>
        </w:tc>
        <w:tc>
          <w:tcPr>
            <w:tcW w:w="851" w:type="dxa"/>
          </w:tcPr>
          <w:p w14:paraId="49234D54" w14:textId="77777777" w:rsidR="00467713" w:rsidRPr="006B597B" w:rsidRDefault="00467713" w:rsidP="00D744B8">
            <w:pPr>
              <w:jc w:val="right"/>
              <w:rPr>
                <w:rFonts w:cs="Arial"/>
                <w:b/>
                <w:bCs/>
                <w:noProof/>
              </w:rPr>
            </w:pPr>
            <w:r>
              <w:rPr>
                <w:rFonts w:cs="Arial"/>
                <w:b/>
                <w:bCs/>
                <w:noProof/>
              </w:rPr>
              <w:t>0</w:t>
            </w:r>
          </w:p>
        </w:tc>
        <w:tc>
          <w:tcPr>
            <w:tcW w:w="567" w:type="dxa"/>
            <w:tcBorders>
              <w:top w:val="nil"/>
              <w:bottom w:val="nil"/>
            </w:tcBorders>
          </w:tcPr>
          <w:p w14:paraId="6A5A6F0C" w14:textId="77777777" w:rsidR="00467713" w:rsidRDefault="00467713" w:rsidP="00D744B8">
            <w:pPr>
              <w:rPr>
                <w:rFonts w:cs="Arial"/>
                <w:noProof/>
              </w:rPr>
            </w:pPr>
          </w:p>
        </w:tc>
        <w:tc>
          <w:tcPr>
            <w:tcW w:w="1417" w:type="dxa"/>
            <w:vAlign w:val="center"/>
          </w:tcPr>
          <w:p w14:paraId="2A630FE7" w14:textId="77777777" w:rsidR="00467713" w:rsidRPr="001D1C01" w:rsidRDefault="00467713" w:rsidP="00D744B8">
            <w:pPr>
              <w:rPr>
                <w:rFonts w:cs="Arial"/>
                <w:noProof/>
              </w:rPr>
            </w:pPr>
            <w:r>
              <w:rPr>
                <w:rFonts w:cs="Arial"/>
                <w:noProof/>
              </w:rPr>
              <w:t>76-85</w:t>
            </w:r>
          </w:p>
        </w:tc>
        <w:tc>
          <w:tcPr>
            <w:tcW w:w="992" w:type="dxa"/>
            <w:vAlign w:val="center"/>
          </w:tcPr>
          <w:p w14:paraId="3565E404" w14:textId="1792FA09" w:rsidR="00467713" w:rsidRDefault="00467713" w:rsidP="00D744B8">
            <w:pPr>
              <w:jc w:val="right"/>
              <w:rPr>
                <w:rFonts w:cs="Arial"/>
                <w:noProof/>
              </w:rPr>
            </w:pPr>
            <w:r>
              <w:rPr>
                <w:rFonts w:cs="Arial"/>
                <w:noProof/>
              </w:rPr>
              <w:t>0</w:t>
            </w:r>
          </w:p>
        </w:tc>
        <w:tc>
          <w:tcPr>
            <w:tcW w:w="1134" w:type="dxa"/>
            <w:vAlign w:val="center"/>
          </w:tcPr>
          <w:p w14:paraId="20E931CA" w14:textId="77777777" w:rsidR="00467713" w:rsidRDefault="00467713" w:rsidP="00D744B8">
            <w:pPr>
              <w:jc w:val="right"/>
              <w:rPr>
                <w:rFonts w:cs="Arial"/>
                <w:noProof/>
              </w:rPr>
            </w:pPr>
            <w:r>
              <w:rPr>
                <w:rFonts w:cs="Arial"/>
                <w:noProof/>
              </w:rPr>
              <w:t>1</w:t>
            </w:r>
          </w:p>
        </w:tc>
        <w:tc>
          <w:tcPr>
            <w:tcW w:w="851" w:type="dxa"/>
          </w:tcPr>
          <w:p w14:paraId="2D27DF09" w14:textId="131D735E" w:rsidR="00467713" w:rsidRPr="006B597B" w:rsidRDefault="00467713" w:rsidP="00D744B8">
            <w:pPr>
              <w:jc w:val="right"/>
              <w:rPr>
                <w:rFonts w:cs="Arial"/>
                <w:b/>
                <w:bCs/>
                <w:noProof/>
              </w:rPr>
            </w:pPr>
            <w:r>
              <w:rPr>
                <w:rFonts w:cs="Arial"/>
                <w:b/>
                <w:bCs/>
                <w:noProof/>
              </w:rPr>
              <w:t>1</w:t>
            </w:r>
          </w:p>
        </w:tc>
      </w:tr>
      <w:tr w:rsidR="00467713" w14:paraId="0651DCD4" w14:textId="77777777" w:rsidTr="00D744B8">
        <w:trPr>
          <w:trHeight w:val="278"/>
        </w:trPr>
        <w:tc>
          <w:tcPr>
            <w:tcW w:w="1418" w:type="dxa"/>
            <w:vAlign w:val="center"/>
          </w:tcPr>
          <w:p w14:paraId="4EB14DDF" w14:textId="77777777" w:rsidR="00467713" w:rsidRPr="0093391D" w:rsidRDefault="00467713" w:rsidP="00D744B8">
            <w:pPr>
              <w:rPr>
                <w:rFonts w:cs="Arial"/>
                <w:b/>
                <w:bCs/>
                <w:noProof/>
              </w:rPr>
            </w:pPr>
            <w:r w:rsidRPr="0093391D">
              <w:rPr>
                <w:rFonts w:cs="Arial"/>
                <w:b/>
                <w:bCs/>
                <w:noProof/>
              </w:rPr>
              <w:t>Total</w:t>
            </w:r>
          </w:p>
        </w:tc>
        <w:tc>
          <w:tcPr>
            <w:tcW w:w="987" w:type="dxa"/>
            <w:vAlign w:val="center"/>
          </w:tcPr>
          <w:p w14:paraId="03053D1B" w14:textId="77777777" w:rsidR="00467713" w:rsidRPr="0093391D" w:rsidRDefault="00467713" w:rsidP="00D744B8">
            <w:pPr>
              <w:jc w:val="right"/>
              <w:rPr>
                <w:rFonts w:cs="Arial"/>
                <w:b/>
                <w:bCs/>
                <w:noProof/>
              </w:rPr>
            </w:pPr>
            <w:r>
              <w:rPr>
                <w:rFonts w:cs="Arial"/>
                <w:b/>
                <w:bCs/>
                <w:noProof/>
              </w:rPr>
              <w:t>1</w:t>
            </w:r>
          </w:p>
        </w:tc>
        <w:tc>
          <w:tcPr>
            <w:tcW w:w="1134" w:type="dxa"/>
            <w:vAlign w:val="center"/>
          </w:tcPr>
          <w:p w14:paraId="7B05E728" w14:textId="318E830F" w:rsidR="00467713" w:rsidRPr="0093391D" w:rsidRDefault="00467713" w:rsidP="00D744B8">
            <w:pPr>
              <w:jc w:val="right"/>
              <w:rPr>
                <w:rFonts w:cs="Arial"/>
                <w:b/>
                <w:bCs/>
                <w:noProof/>
              </w:rPr>
            </w:pPr>
            <w:r>
              <w:rPr>
                <w:rFonts w:cs="Arial"/>
                <w:b/>
                <w:bCs/>
                <w:noProof/>
              </w:rPr>
              <w:t>3</w:t>
            </w:r>
          </w:p>
        </w:tc>
        <w:tc>
          <w:tcPr>
            <w:tcW w:w="851" w:type="dxa"/>
          </w:tcPr>
          <w:p w14:paraId="2C81EC23" w14:textId="43469550" w:rsidR="00467713" w:rsidRPr="006B597B" w:rsidRDefault="00467713" w:rsidP="00D744B8">
            <w:pPr>
              <w:jc w:val="right"/>
              <w:rPr>
                <w:rFonts w:cs="Arial"/>
                <w:b/>
                <w:bCs/>
                <w:noProof/>
              </w:rPr>
            </w:pPr>
            <w:r>
              <w:rPr>
                <w:rFonts w:cs="Arial"/>
                <w:b/>
                <w:bCs/>
                <w:noProof/>
              </w:rPr>
              <w:t>4</w:t>
            </w:r>
          </w:p>
        </w:tc>
        <w:tc>
          <w:tcPr>
            <w:tcW w:w="567" w:type="dxa"/>
            <w:tcBorders>
              <w:top w:val="nil"/>
              <w:bottom w:val="nil"/>
            </w:tcBorders>
          </w:tcPr>
          <w:p w14:paraId="0F4CB5D6" w14:textId="77777777" w:rsidR="00467713" w:rsidRDefault="00467713" w:rsidP="00D744B8">
            <w:pPr>
              <w:rPr>
                <w:rFonts w:cs="Arial"/>
                <w:noProof/>
              </w:rPr>
            </w:pPr>
          </w:p>
        </w:tc>
        <w:tc>
          <w:tcPr>
            <w:tcW w:w="1417" w:type="dxa"/>
            <w:vAlign w:val="center"/>
          </w:tcPr>
          <w:p w14:paraId="0CE89249" w14:textId="77777777" w:rsidR="00467713" w:rsidRPr="0093391D" w:rsidRDefault="00467713" w:rsidP="00D744B8">
            <w:pPr>
              <w:rPr>
                <w:rFonts w:cs="Arial"/>
                <w:b/>
                <w:bCs/>
                <w:noProof/>
              </w:rPr>
            </w:pPr>
            <w:r w:rsidRPr="0093391D">
              <w:rPr>
                <w:rFonts w:cs="Arial"/>
                <w:b/>
                <w:bCs/>
                <w:noProof/>
              </w:rPr>
              <w:t>Total</w:t>
            </w:r>
          </w:p>
        </w:tc>
        <w:tc>
          <w:tcPr>
            <w:tcW w:w="992" w:type="dxa"/>
            <w:vAlign w:val="center"/>
          </w:tcPr>
          <w:p w14:paraId="5140AF32" w14:textId="7CB60508" w:rsidR="00467713" w:rsidRPr="0093391D" w:rsidRDefault="00467713" w:rsidP="00D744B8">
            <w:pPr>
              <w:jc w:val="right"/>
              <w:rPr>
                <w:rFonts w:cs="Arial"/>
                <w:b/>
                <w:bCs/>
                <w:noProof/>
              </w:rPr>
            </w:pPr>
            <w:r>
              <w:rPr>
                <w:rFonts w:cs="Arial"/>
                <w:b/>
                <w:bCs/>
                <w:noProof/>
              </w:rPr>
              <w:t>9</w:t>
            </w:r>
          </w:p>
        </w:tc>
        <w:tc>
          <w:tcPr>
            <w:tcW w:w="1134" w:type="dxa"/>
            <w:vAlign w:val="center"/>
          </w:tcPr>
          <w:p w14:paraId="398DDF3D" w14:textId="742D85FD" w:rsidR="00467713" w:rsidRPr="0093391D" w:rsidRDefault="00467713" w:rsidP="00D744B8">
            <w:pPr>
              <w:jc w:val="right"/>
              <w:rPr>
                <w:rFonts w:cs="Arial"/>
                <w:b/>
                <w:bCs/>
                <w:noProof/>
              </w:rPr>
            </w:pPr>
            <w:r>
              <w:rPr>
                <w:rFonts w:cs="Arial"/>
                <w:b/>
                <w:bCs/>
                <w:noProof/>
              </w:rPr>
              <w:t>24</w:t>
            </w:r>
          </w:p>
        </w:tc>
        <w:tc>
          <w:tcPr>
            <w:tcW w:w="851" w:type="dxa"/>
          </w:tcPr>
          <w:p w14:paraId="12BA0B58" w14:textId="566EBA1F" w:rsidR="00467713" w:rsidRPr="0093391D" w:rsidRDefault="00467713" w:rsidP="00D744B8">
            <w:pPr>
              <w:jc w:val="right"/>
              <w:rPr>
                <w:rFonts w:cs="Arial"/>
                <w:b/>
                <w:bCs/>
                <w:noProof/>
              </w:rPr>
            </w:pPr>
            <w:r>
              <w:rPr>
                <w:rFonts w:cs="Arial"/>
                <w:b/>
                <w:bCs/>
                <w:noProof/>
              </w:rPr>
              <w:t>33</w:t>
            </w:r>
          </w:p>
        </w:tc>
      </w:tr>
      <w:bookmarkEnd w:id="24"/>
    </w:tbl>
    <w:p w14:paraId="08D2B12D" w14:textId="77777777" w:rsidR="00467713" w:rsidRDefault="00467713" w:rsidP="002E156B">
      <w:pPr>
        <w:ind w:left="-142" w:right="-425"/>
        <w:jc w:val="both"/>
        <w:rPr>
          <w:rFonts w:cs="Arial"/>
        </w:rPr>
      </w:pPr>
    </w:p>
    <w:p w14:paraId="1159CB03" w14:textId="456577C3" w:rsidR="009466F4" w:rsidRPr="00076ED0" w:rsidRDefault="009466F4" w:rsidP="00124DB6">
      <w:pPr>
        <w:pStyle w:val="Heading2"/>
      </w:pPr>
      <w:r w:rsidRPr="00076ED0">
        <w:t>Case Management</w:t>
      </w:r>
    </w:p>
    <w:p w14:paraId="7A8A0342" w14:textId="188C7446" w:rsidR="00A009FE" w:rsidRDefault="00D32026" w:rsidP="001060CD">
      <w:pPr>
        <w:ind w:left="-142" w:right="-425"/>
        <w:jc w:val="both"/>
        <w:rPr>
          <w:rFonts w:cs="Arial"/>
        </w:rPr>
      </w:pPr>
      <w:r w:rsidRPr="00D32026">
        <w:rPr>
          <w:rFonts w:cs="Arial"/>
        </w:rPr>
        <w:t xml:space="preserve">Commissioners are guided by the FRC Act, sections 4 and 5, to encourage community members to engage in socially responsible </w:t>
      </w:r>
      <w:r w:rsidR="009117C3">
        <w:rPr>
          <w:rFonts w:cs="Arial"/>
        </w:rPr>
        <w:t>standards of behaviour</w:t>
      </w:r>
      <w:r w:rsidRPr="00D32026">
        <w:rPr>
          <w:rFonts w:cs="Arial"/>
        </w:rPr>
        <w:t>,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7B7E78">
        <w:rPr>
          <w:rFonts w:cs="Arial"/>
        </w:rPr>
        <w:t>3</w:t>
      </w:r>
      <w:r w:rsidR="00CC35DF">
        <w:rPr>
          <w:rFonts w:cs="Arial"/>
        </w:rPr>
        <w:t xml:space="preserve">0 June </w:t>
      </w:r>
      <w:r w:rsidR="00984BBB">
        <w:rPr>
          <w:rFonts w:cs="Arial"/>
        </w:rPr>
        <w:t>202</w:t>
      </w:r>
      <w:r w:rsidR="00D42FFC">
        <w:rPr>
          <w:rFonts w:cs="Arial"/>
        </w:rPr>
        <w:t>4</w:t>
      </w:r>
      <w:r w:rsidR="009466F4" w:rsidRPr="00303C40">
        <w:rPr>
          <w:rFonts w:cs="Arial"/>
        </w:rPr>
        <w:t xml:space="preserve">, </w:t>
      </w:r>
      <w:r w:rsidR="0094510A">
        <w:rPr>
          <w:rFonts w:cs="Arial"/>
        </w:rPr>
        <w:t>1</w:t>
      </w:r>
      <w:r w:rsidR="00CC35DF">
        <w:rPr>
          <w:rFonts w:cs="Arial"/>
        </w:rPr>
        <w:t>75</w:t>
      </w:r>
      <w:r w:rsidR="0094510A">
        <w:rPr>
          <w:rFonts w:cs="Arial"/>
        </w:rPr>
        <w:t xml:space="preserve"> </w:t>
      </w:r>
      <w:r w:rsidR="009466F4" w:rsidRPr="00303C40">
        <w:rPr>
          <w:rFonts w:cs="Arial"/>
        </w:rPr>
        <w:t xml:space="preserve">clients were being </w:t>
      </w:r>
      <w:proofErr w:type="gramStart"/>
      <w:r w:rsidR="009466F4" w:rsidRPr="00490975">
        <w:rPr>
          <w:rFonts w:cs="Arial"/>
        </w:rPr>
        <w:t>case-managed</w:t>
      </w:r>
      <w:proofErr w:type="gramEnd"/>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124DB6">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58324DF6" w:rsidR="00FF351C" w:rsidRDefault="00CC35DF" w:rsidP="00FF351C">
      <w:pPr>
        <w:ind w:left="-142" w:right="-425"/>
        <w:jc w:val="both"/>
        <w:rPr>
          <w:rFonts w:cs="Arial"/>
        </w:rPr>
      </w:pPr>
      <w:r>
        <w:rPr>
          <w:rFonts w:cs="Arial"/>
        </w:rPr>
        <w:t xml:space="preserve">Seven </w:t>
      </w:r>
      <w:r w:rsidR="00FF351C">
        <w:rPr>
          <w:rFonts w:cs="Arial"/>
        </w:rPr>
        <w:t>a</w:t>
      </w:r>
      <w:r w:rsidR="00FF351C" w:rsidRPr="009E1D38">
        <w:rPr>
          <w:rFonts w:cs="Arial"/>
        </w:rPr>
        <w:t xml:space="preserve">pplications </w:t>
      </w:r>
      <w:r w:rsidR="00FF351C">
        <w:rPr>
          <w:rFonts w:cs="Arial"/>
        </w:rPr>
        <w:t xml:space="preserve">relating to </w:t>
      </w:r>
      <w:r w:rsidR="00004A4B">
        <w:rPr>
          <w:rFonts w:cs="Arial"/>
        </w:rPr>
        <w:t>6</w:t>
      </w:r>
      <w:r w:rsidR="00BD5CF2">
        <w:rPr>
          <w:rFonts w:cs="Arial"/>
        </w:rPr>
        <w:t xml:space="preserve"> </w:t>
      </w:r>
      <w:r w:rsidR="00FF351C">
        <w:rPr>
          <w:rFonts w:cs="Arial"/>
        </w:rPr>
        <w:t>clients (</w:t>
      </w:r>
      <w:r w:rsidR="00004A4B">
        <w:rPr>
          <w:rFonts w:cs="Arial"/>
        </w:rPr>
        <w:t>4</w:t>
      </w:r>
      <w:r w:rsidR="00390D07">
        <w:rPr>
          <w:rFonts w:cs="Arial"/>
        </w:rPr>
        <w:t xml:space="preserve"> </w:t>
      </w:r>
      <w:r w:rsidR="00FF351C">
        <w:rPr>
          <w:rFonts w:cs="Arial"/>
        </w:rPr>
        <w:t xml:space="preserve">female and </w:t>
      </w:r>
      <w:r w:rsidR="00004A4B">
        <w:rPr>
          <w:rFonts w:cs="Arial"/>
        </w:rPr>
        <w:t>2</w:t>
      </w:r>
      <w:r w:rsidR="002F0F22">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BC09BB">
        <w:rPr>
          <w:rFonts w:cs="Arial"/>
        </w:rPr>
        <w:t>6</w:t>
      </w:r>
      <w:r w:rsidR="00004A4B">
        <w:rPr>
          <w:rFonts w:cs="Arial"/>
        </w:rPr>
        <w:t>4</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134E971F" w14:textId="77777777" w:rsidR="00852F41" w:rsidRDefault="00852F41" w:rsidP="00FF351C">
      <w:pPr>
        <w:ind w:left="-142" w:right="-425"/>
        <w:jc w:val="both"/>
        <w:rPr>
          <w:rFonts w:cs="Arial"/>
        </w:rPr>
      </w:pPr>
    </w:p>
    <w:p w14:paraId="3AC4BC2F" w14:textId="6F272B25" w:rsidR="005D2E97" w:rsidRDefault="005D2E97" w:rsidP="005D2E97">
      <w:pPr>
        <w:ind w:left="-142" w:right="-425"/>
        <w:jc w:val="both"/>
        <w:rPr>
          <w:rFonts w:cs="Arial"/>
          <w:sz w:val="16"/>
          <w:szCs w:val="16"/>
        </w:rPr>
      </w:pPr>
      <w:r>
        <w:rPr>
          <w:rFonts w:cs="Arial"/>
          <w:b/>
          <w:sz w:val="16"/>
          <w:szCs w:val="16"/>
        </w:rPr>
        <w:t>Table 21</w:t>
      </w:r>
      <w:r w:rsidRPr="00E34093">
        <w:rPr>
          <w:rFonts w:cs="Arial"/>
          <w:b/>
          <w:sz w:val="16"/>
          <w:szCs w:val="16"/>
        </w:rPr>
        <w:t>:</w:t>
      </w:r>
      <w:r>
        <w:rPr>
          <w:rFonts w:cs="Arial"/>
          <w:sz w:val="16"/>
          <w:szCs w:val="16"/>
        </w:rPr>
        <w:t xml:space="preserve"> Applications to amend or e</w:t>
      </w:r>
      <w:r w:rsidRPr="00E34093">
        <w:rPr>
          <w:rFonts w:cs="Arial"/>
          <w:sz w:val="16"/>
          <w:szCs w:val="16"/>
        </w:rPr>
        <w:t xml:space="preserve">nd </w:t>
      </w:r>
      <w:r>
        <w:rPr>
          <w:rFonts w:cs="Arial"/>
          <w:sz w:val="16"/>
          <w:szCs w:val="16"/>
        </w:rPr>
        <w:t>agreements or o</w:t>
      </w:r>
      <w:r w:rsidRPr="00E34093">
        <w:rPr>
          <w:rFonts w:cs="Arial"/>
          <w:sz w:val="16"/>
          <w:szCs w:val="16"/>
        </w:rPr>
        <w:t>rder</w:t>
      </w:r>
      <w:r>
        <w:rPr>
          <w:rFonts w:cs="Arial"/>
          <w:sz w:val="16"/>
          <w:szCs w:val="16"/>
        </w:rPr>
        <w:t>s</w:t>
      </w:r>
      <w:r w:rsidRPr="00E34093">
        <w:rPr>
          <w:rFonts w:cs="Arial"/>
          <w:sz w:val="16"/>
          <w:szCs w:val="16"/>
        </w:rPr>
        <w:t xml:space="preserve"> by community and quarter </w:t>
      </w:r>
      <w:r>
        <w:rPr>
          <w:rFonts w:cs="Arial"/>
          <w:sz w:val="16"/>
          <w:szCs w:val="16"/>
        </w:rPr>
        <w:t xml:space="preserve">1 </w:t>
      </w:r>
      <w:r>
        <w:rPr>
          <w:rFonts w:cs="Arial"/>
          <w:sz w:val="16"/>
          <w:szCs w:val="16"/>
        </w:rPr>
        <w:t>April</w:t>
      </w:r>
      <w:r>
        <w:rPr>
          <w:rFonts w:cs="Arial"/>
          <w:sz w:val="16"/>
          <w:szCs w:val="16"/>
        </w:rPr>
        <w:t xml:space="preserve"> 2023 to 3</w:t>
      </w:r>
      <w:r>
        <w:rPr>
          <w:rFonts w:cs="Arial"/>
          <w:sz w:val="16"/>
          <w:szCs w:val="16"/>
        </w:rPr>
        <w:t xml:space="preserve">0 June </w:t>
      </w:r>
      <w:r>
        <w:rPr>
          <w:rFonts w:cs="Arial"/>
          <w:sz w:val="16"/>
          <w:szCs w:val="16"/>
        </w:rPr>
        <w:t>2024</w:t>
      </w:r>
    </w:p>
    <w:p w14:paraId="28743077" w14:textId="77777777" w:rsidR="005D2E97" w:rsidRPr="0070366B" w:rsidRDefault="005D2E97" w:rsidP="005D2E97">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5D2E97" w:rsidRPr="00C5395B" w14:paraId="33325910" w14:textId="77777777" w:rsidTr="00D744B8">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0C741376" w14:textId="77777777" w:rsidR="005D2E97" w:rsidRPr="00C5395B" w:rsidRDefault="005D2E97" w:rsidP="005D2E97">
            <w:pPr>
              <w:pStyle w:val="TableText"/>
              <w:ind w:left="49"/>
              <w:rPr>
                <w:b/>
                <w:lang w:eastAsia="en-AU"/>
              </w:rPr>
            </w:pPr>
            <w:bookmarkStart w:id="25"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5C1B3B41" w14:textId="0D527428" w:rsidR="005D2E97" w:rsidRDefault="005D2E97" w:rsidP="005D2E97">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1BBD1EF5" w14:textId="1A9905E6" w:rsidR="005D2E97" w:rsidRDefault="005D2E97" w:rsidP="005D2E97">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41595786" w14:textId="131D7CEC" w:rsidR="005D2E97" w:rsidRDefault="005D2E97" w:rsidP="005D2E97">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1B7F8434" w14:textId="6C94C651" w:rsidR="005D2E97" w:rsidRDefault="005D2E97" w:rsidP="005D2E97">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05FF6E2D" w14:textId="2D31E761" w:rsidR="005D2E97" w:rsidRPr="00BA518C" w:rsidRDefault="005D2E97" w:rsidP="005D2E97">
            <w:pPr>
              <w:pStyle w:val="TableText"/>
              <w:jc w:val="right"/>
              <w:rPr>
                <w:b/>
                <w:lang w:eastAsia="en-AU"/>
              </w:rPr>
            </w:pPr>
            <w:r w:rsidRPr="00BA518C">
              <w:rPr>
                <w:b/>
                <w:lang w:eastAsia="en-AU"/>
              </w:rPr>
              <w:t>Qtr 6</w:t>
            </w:r>
            <w:r>
              <w:rPr>
                <w:b/>
                <w:lang w:eastAsia="en-AU"/>
              </w:rPr>
              <w:t>4</w:t>
            </w:r>
          </w:p>
        </w:tc>
      </w:tr>
      <w:tr w:rsidR="00F700AE" w:rsidRPr="00C5395B" w14:paraId="0FD90D12"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2D8F94CE" w14:textId="77777777" w:rsidR="00F700AE" w:rsidRPr="00C5395B" w:rsidRDefault="00F700AE" w:rsidP="00F700AE">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84C5C14" w14:textId="7C684269" w:rsidR="00F700AE" w:rsidRDefault="00F700AE" w:rsidP="00F700AE">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47562C7" w14:textId="19848EA3" w:rsidR="00F700AE" w:rsidRDefault="00F700AE" w:rsidP="00F700AE">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65B3B58" w14:textId="522817A7" w:rsidR="00F700AE" w:rsidRDefault="00F700AE" w:rsidP="00F700AE">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5006AA6" w14:textId="5CCE026B" w:rsidR="00F700AE" w:rsidRDefault="00F700AE" w:rsidP="00F700AE">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C082750" w14:textId="4E8B7040" w:rsidR="00F700AE" w:rsidRDefault="00F700AE" w:rsidP="00F700AE">
            <w:pPr>
              <w:jc w:val="right"/>
              <w:rPr>
                <w:rFonts w:cs="Arial"/>
              </w:rPr>
            </w:pPr>
            <w:r>
              <w:rPr>
                <w:rFonts w:cs="Arial"/>
              </w:rPr>
              <w:t>6</w:t>
            </w:r>
          </w:p>
        </w:tc>
      </w:tr>
      <w:tr w:rsidR="00F700AE" w:rsidRPr="00C5395B" w14:paraId="40F3440C"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14D71953" w14:textId="77777777" w:rsidR="00F700AE" w:rsidRPr="00C5395B" w:rsidRDefault="00F700AE" w:rsidP="00F700AE">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1AF337F5" w14:textId="362BAD16" w:rsidR="00F700AE" w:rsidRDefault="00F700AE" w:rsidP="00F700AE">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FB66B52" w14:textId="2CF400ED" w:rsidR="00F700AE" w:rsidRDefault="00F700AE" w:rsidP="00F700AE">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4402745" w14:textId="18023EED" w:rsidR="00F700AE" w:rsidRDefault="00F700AE" w:rsidP="00F700AE">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C2F4CEB" w14:textId="666AECCE" w:rsidR="00F700AE" w:rsidRDefault="00F700AE" w:rsidP="00F700AE">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DA6BED2" w14:textId="565E1FF7" w:rsidR="00F700AE" w:rsidRDefault="00F700AE" w:rsidP="00F700AE">
            <w:pPr>
              <w:jc w:val="right"/>
              <w:rPr>
                <w:rFonts w:cs="Arial"/>
              </w:rPr>
            </w:pPr>
            <w:r>
              <w:rPr>
                <w:rFonts w:cs="Arial"/>
              </w:rPr>
              <w:t>0</w:t>
            </w:r>
          </w:p>
        </w:tc>
      </w:tr>
      <w:tr w:rsidR="00F700AE" w:rsidRPr="00C5395B" w14:paraId="7975F99C" w14:textId="77777777" w:rsidTr="00D744B8">
        <w:trPr>
          <w:trHeight w:val="255"/>
        </w:trPr>
        <w:tc>
          <w:tcPr>
            <w:tcW w:w="2040" w:type="dxa"/>
            <w:tcBorders>
              <w:top w:val="nil"/>
              <w:left w:val="single" w:sz="4" w:space="0" w:color="auto"/>
              <w:bottom w:val="single" w:sz="4" w:space="0" w:color="auto"/>
              <w:right w:val="single" w:sz="4" w:space="0" w:color="auto"/>
            </w:tcBorders>
            <w:noWrap/>
          </w:tcPr>
          <w:p w14:paraId="4F865E52" w14:textId="77777777" w:rsidR="00F700AE" w:rsidRPr="00C5395B" w:rsidRDefault="00F700AE" w:rsidP="00F700AE">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70DD4115" w14:textId="6ABAC6A4" w:rsidR="00F700AE" w:rsidRDefault="00F700AE" w:rsidP="00F700AE">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316C5E7" w14:textId="7229B8DB" w:rsidR="00F700AE" w:rsidRDefault="00F700AE" w:rsidP="00F700AE">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BB311BF" w14:textId="002F0700" w:rsidR="00F700AE" w:rsidRDefault="00F700AE" w:rsidP="00F700AE">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FBCBCB5" w14:textId="6848B5C6" w:rsidR="00F700AE" w:rsidRDefault="00F700AE" w:rsidP="00F700AE">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6A029F1" w14:textId="73FD22F7" w:rsidR="00F700AE" w:rsidRDefault="00F700AE" w:rsidP="00F700AE">
            <w:pPr>
              <w:jc w:val="right"/>
              <w:rPr>
                <w:rFonts w:cs="Arial"/>
              </w:rPr>
            </w:pPr>
            <w:r>
              <w:rPr>
                <w:rFonts w:cs="Arial"/>
              </w:rPr>
              <w:t>1</w:t>
            </w:r>
          </w:p>
        </w:tc>
      </w:tr>
      <w:tr w:rsidR="00F700AE" w:rsidRPr="00C5395B" w14:paraId="02FA90AF"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3DF5C7A3" w14:textId="77777777" w:rsidR="00F700AE" w:rsidRPr="00C5395B" w:rsidRDefault="00F700AE" w:rsidP="00F700AE">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8F89CB2" w14:textId="681C6B2B" w:rsidR="00F700AE" w:rsidRDefault="00F700AE" w:rsidP="00F700AE">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4A02265" w14:textId="60EA307D" w:rsidR="00F700AE" w:rsidRDefault="00F700AE" w:rsidP="00F700AE">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E544C57" w14:textId="75617E5F" w:rsidR="00F700AE" w:rsidRDefault="00F700AE" w:rsidP="00F700AE">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30182AA" w14:textId="25251131" w:rsidR="00F700AE" w:rsidRDefault="00F700AE" w:rsidP="00F700AE">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4BFEA486" w14:textId="51334E92" w:rsidR="00F700AE" w:rsidRDefault="00F700AE" w:rsidP="00F700AE">
            <w:pPr>
              <w:jc w:val="right"/>
              <w:rPr>
                <w:rFonts w:cs="Arial"/>
              </w:rPr>
            </w:pPr>
            <w:r>
              <w:rPr>
                <w:rFonts w:cs="Arial"/>
              </w:rPr>
              <w:t>0</w:t>
            </w:r>
          </w:p>
        </w:tc>
      </w:tr>
      <w:tr w:rsidR="00F700AE" w:rsidRPr="00C5395B" w14:paraId="1229DA80"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618D418B" w14:textId="77777777" w:rsidR="00F700AE" w:rsidRPr="00C5395B" w:rsidRDefault="00F700AE" w:rsidP="00F700AE">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031865A4" w14:textId="2435501C" w:rsidR="00F700AE" w:rsidRDefault="00F700AE" w:rsidP="00F700AE">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9FFFD86" w14:textId="6FAAEB03" w:rsidR="00F700AE" w:rsidRDefault="00F700AE" w:rsidP="00F700AE">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CADD952" w14:textId="1E9086A6" w:rsidR="00F700AE" w:rsidRDefault="00F700AE" w:rsidP="00F700AE">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476EEE3" w14:textId="3BAADD8E" w:rsidR="00F700AE" w:rsidRDefault="00F700AE" w:rsidP="00F700AE">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1B75AFA" w14:textId="385A2629" w:rsidR="00F700AE" w:rsidRDefault="00F700AE" w:rsidP="00F700AE">
            <w:pPr>
              <w:jc w:val="right"/>
              <w:rPr>
                <w:rFonts w:cs="Arial"/>
              </w:rPr>
            </w:pPr>
            <w:r>
              <w:rPr>
                <w:rFonts w:cs="Arial"/>
              </w:rPr>
              <w:t>0</w:t>
            </w:r>
          </w:p>
        </w:tc>
      </w:tr>
      <w:tr w:rsidR="00F700AE" w:rsidRPr="00C5395B" w14:paraId="495659CA"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6AB02462" w14:textId="77777777" w:rsidR="00F700AE" w:rsidRPr="00C5395B" w:rsidRDefault="00F700AE" w:rsidP="00F700AE">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270B32D" w14:textId="6A65F5FF" w:rsidR="00F700AE" w:rsidRDefault="00F700AE" w:rsidP="00F700AE">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38966438" w14:textId="31A025F1" w:rsidR="00F700AE" w:rsidRDefault="00F700AE" w:rsidP="00F700AE">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7C8F8BE3" w14:textId="0D5B78FA" w:rsidR="00F700AE" w:rsidRDefault="00F700AE" w:rsidP="00F700AE">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29F6889D" w14:textId="7D9A30E3" w:rsidR="00F700AE" w:rsidRDefault="00F700AE" w:rsidP="00F700AE">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71E3C054" w14:textId="7576B4AE" w:rsidR="00F700AE" w:rsidRDefault="00F700AE" w:rsidP="00F700AE">
            <w:pPr>
              <w:jc w:val="right"/>
              <w:rPr>
                <w:rFonts w:cs="Arial"/>
                <w:b/>
                <w:bCs/>
              </w:rPr>
            </w:pPr>
            <w:r>
              <w:rPr>
                <w:rFonts w:cs="Arial"/>
                <w:b/>
                <w:bCs/>
              </w:rPr>
              <w:t>7</w:t>
            </w:r>
          </w:p>
        </w:tc>
      </w:tr>
      <w:bookmarkEnd w:id="25"/>
    </w:tbl>
    <w:p w14:paraId="10BF7D37" w14:textId="77777777" w:rsidR="005D2E97" w:rsidRDefault="005D2E97" w:rsidP="005D2E97">
      <w:pPr>
        <w:ind w:left="-142" w:right="-425"/>
        <w:jc w:val="both"/>
        <w:rPr>
          <w:rFonts w:cs="Arial"/>
        </w:rPr>
      </w:pPr>
    </w:p>
    <w:p w14:paraId="08F5FAA3" w14:textId="77777777" w:rsidR="00B66467" w:rsidRPr="00B66467" w:rsidRDefault="00B66467" w:rsidP="00B66467">
      <w:pPr>
        <w:ind w:left="-142" w:right="-425"/>
        <w:jc w:val="both"/>
        <w:rPr>
          <w:rFonts w:cs="Arial"/>
        </w:rPr>
      </w:pPr>
      <w:r w:rsidRPr="00B66467">
        <w:rPr>
          <w:rFonts w:cs="Arial"/>
        </w:rPr>
        <w:br w:type="page"/>
      </w:r>
    </w:p>
    <w:p w14:paraId="0C44E9B8" w14:textId="0F2491B1" w:rsidR="004E7166" w:rsidRPr="00076ED0" w:rsidRDefault="004E7166" w:rsidP="00124DB6">
      <w:pPr>
        <w:pStyle w:val="Heading2"/>
      </w:pPr>
      <w:r w:rsidRPr="00076ED0">
        <w:lastRenderedPageBreak/>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w:t>
      </w:r>
      <w:proofErr w:type="gramStart"/>
      <w:r w:rsidRPr="00E92E29">
        <w:rPr>
          <w:rFonts w:cs="Arial"/>
        </w:rPr>
        <w:t>make a decision</w:t>
      </w:r>
      <w:proofErr w:type="gramEnd"/>
      <w:r w:rsidRPr="00E92E29">
        <w:rPr>
          <w:rFonts w:cs="Arial"/>
        </w:rPr>
        <w:t xml:space="preserve">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4BBAAFB1" w:rsidR="00C029A0" w:rsidRDefault="00004A4B" w:rsidP="00B408D8">
      <w:pPr>
        <w:ind w:left="-142" w:right="-425"/>
        <w:jc w:val="both"/>
        <w:rPr>
          <w:rFonts w:cs="Arial"/>
        </w:rPr>
      </w:pPr>
      <w:r>
        <w:rPr>
          <w:rFonts w:cs="Arial"/>
        </w:rPr>
        <w:t>No</w:t>
      </w:r>
      <w:r w:rsidR="00BD5CF2">
        <w:rPr>
          <w:rFonts w:cs="Arial"/>
        </w:rPr>
        <w:t xml:space="preserve"> </w:t>
      </w:r>
      <w:r w:rsidR="00CA1B19">
        <w:rPr>
          <w:rFonts w:cs="Arial"/>
        </w:rPr>
        <w:t xml:space="preserve">amend/end </w:t>
      </w:r>
      <w:r w:rsidR="00B408D8">
        <w:rPr>
          <w:rFonts w:cs="Arial"/>
        </w:rPr>
        <w:t>application</w:t>
      </w:r>
      <w:r w:rsidR="00593C4E">
        <w:rPr>
          <w:rFonts w:cs="Arial"/>
        </w:rPr>
        <w:t>s</w:t>
      </w:r>
      <w:r w:rsidR="00CA1B19">
        <w:rPr>
          <w:rFonts w:cs="Arial"/>
        </w:rPr>
        <w:t xml:space="preserve"> for </w:t>
      </w:r>
      <w:r w:rsidR="00446508">
        <w:rPr>
          <w:rFonts w:cs="Arial"/>
        </w:rPr>
        <w:t xml:space="preserve">a </w:t>
      </w:r>
      <w:r w:rsidR="00CA1B19">
        <w:rPr>
          <w:rFonts w:cs="Arial"/>
        </w:rPr>
        <w:t xml:space="preserve">Family Responsibilities </w:t>
      </w:r>
      <w:r w:rsidR="00987C15">
        <w:rPr>
          <w:rFonts w:cs="Arial"/>
        </w:rPr>
        <w:t xml:space="preserve">Agreement or Order </w:t>
      </w:r>
      <w:r w:rsidR="00446508">
        <w:rPr>
          <w:rFonts w:cs="Arial"/>
        </w:rPr>
        <w:t>w</w:t>
      </w:r>
      <w:r w:rsidR="001A02F3">
        <w:rPr>
          <w:rFonts w:cs="Arial"/>
        </w:rPr>
        <w:t>ere</w:t>
      </w:r>
      <w:r w:rsidR="00446508">
        <w:rPr>
          <w:rFonts w:cs="Arial"/>
        </w:rPr>
        <w:t xml:space="preserve"> </w:t>
      </w:r>
      <w:r w:rsidR="00CA1B19">
        <w:rPr>
          <w:rFonts w:cs="Arial"/>
        </w:rPr>
        <w:t xml:space="preserve">decided </w:t>
      </w:r>
      <w:r w:rsidR="00B408D8">
        <w:rPr>
          <w:rFonts w:cs="Arial"/>
        </w:rPr>
        <w:t xml:space="preserve">in quarter </w:t>
      </w:r>
      <w:r w:rsidR="00BC09BB">
        <w:rPr>
          <w:rFonts w:cs="Arial"/>
        </w:rPr>
        <w:t>6</w:t>
      </w:r>
      <w:r>
        <w:rPr>
          <w:rFonts w:cs="Arial"/>
        </w:rPr>
        <w:t xml:space="preserve">4 as no amend/applications were received </w:t>
      </w:r>
      <w:r w:rsidR="00987C15">
        <w:rPr>
          <w:rFonts w:cs="Arial"/>
        </w:rPr>
        <w:t xml:space="preserve">for FRAs or orders </w:t>
      </w:r>
      <w:r>
        <w:rPr>
          <w:rFonts w:cs="Arial"/>
        </w:rPr>
        <w:t>in the quarter.</w:t>
      </w:r>
    </w:p>
    <w:p w14:paraId="14C1CE35" w14:textId="77777777" w:rsidR="0052778A" w:rsidRDefault="0052778A" w:rsidP="00B408D8">
      <w:pPr>
        <w:ind w:left="-142" w:right="-425"/>
        <w:jc w:val="both"/>
        <w:rPr>
          <w:rFonts w:cs="Arial"/>
        </w:rPr>
      </w:pPr>
    </w:p>
    <w:p w14:paraId="44D0AC43" w14:textId="79719C25" w:rsidR="00B9549C" w:rsidRDefault="00004A4B" w:rsidP="00B408D8">
      <w:pPr>
        <w:ind w:left="-142" w:right="-425"/>
        <w:jc w:val="both"/>
        <w:rPr>
          <w:rFonts w:cs="Arial"/>
        </w:rPr>
      </w:pPr>
      <w:r>
        <w:rPr>
          <w:rFonts w:cs="Arial"/>
        </w:rPr>
        <w:t>Six</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5</w:t>
      </w:r>
      <w:r w:rsidR="00514981">
        <w:rPr>
          <w:rFonts w:cs="Arial"/>
        </w:rPr>
        <w:t xml:space="preserve"> of the </w:t>
      </w:r>
      <w:r>
        <w:rPr>
          <w:rFonts w:cs="Arial"/>
        </w:rPr>
        <w:t>6</w:t>
      </w:r>
      <w:r w:rsidR="00514981">
        <w:rPr>
          <w:rFonts w:cs="Arial"/>
        </w:rPr>
        <w:t xml:space="preserve"> </w:t>
      </w:r>
      <w:r w:rsidR="00211380">
        <w:rPr>
          <w:rFonts w:cs="Arial"/>
        </w:rPr>
        <w:t>applications made by clients accepted by the FRC</w:t>
      </w:r>
      <w:r w:rsidR="00C37FA9">
        <w:rPr>
          <w:rFonts w:cs="Arial"/>
        </w:rPr>
        <w:t>.</w:t>
      </w:r>
      <w:r w:rsidR="00211380">
        <w:rPr>
          <w:rFonts w:cs="Arial"/>
        </w:rPr>
        <w:t xml:space="preserve"> A breakdown of the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54415418" w:rsidR="00C029A0" w:rsidRDefault="003529AF"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3</w:t>
      </w:r>
      <w:r w:rsidR="00514981"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07162A">
        <w:rPr>
          <w:rFonts w:ascii="Verdana" w:hAnsi="Verdana" w:cs="Arial"/>
          <w:sz w:val="20"/>
          <w:szCs w:val="20"/>
        </w:rPr>
        <w:t>.</w:t>
      </w:r>
    </w:p>
    <w:p w14:paraId="5C111FC8" w14:textId="4E53EEF1" w:rsidR="003529AF" w:rsidRDefault="003529AF"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1 Application was accepted and voluntary income management agreement amended from 90% to 60% for the remaining period of the existing agreement.</w:t>
      </w:r>
    </w:p>
    <w:p w14:paraId="499B1460" w14:textId="004F497F" w:rsidR="00593C4E" w:rsidRPr="003529AF" w:rsidRDefault="003529AF" w:rsidP="0006211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3529AF">
        <w:rPr>
          <w:rFonts w:ascii="Verdana" w:hAnsi="Verdana" w:cs="Arial"/>
          <w:sz w:val="20"/>
          <w:szCs w:val="20"/>
        </w:rPr>
        <w:t xml:space="preserve">1 </w:t>
      </w:r>
      <w:r>
        <w:rPr>
          <w:rFonts w:ascii="Verdana" w:hAnsi="Verdana" w:cs="Arial"/>
          <w:sz w:val="20"/>
          <w:szCs w:val="20"/>
        </w:rPr>
        <w:t>Application was accepted and voluntary income management agreement amended from 60% to 90% for the remaining period of the existing agreement.</w:t>
      </w:r>
      <w:r w:rsidRPr="003529AF">
        <w:rPr>
          <w:rFonts w:ascii="Verdana" w:hAnsi="Verdana" w:cs="Arial"/>
          <w:sz w:val="20"/>
          <w:szCs w:val="20"/>
        </w:rPr>
        <w:t>1</w:t>
      </w:r>
      <w:r w:rsidR="00593C4E" w:rsidRPr="003529AF">
        <w:rPr>
          <w:rFonts w:ascii="Verdana" w:hAnsi="Verdana" w:cs="Arial"/>
          <w:sz w:val="20"/>
          <w:szCs w:val="20"/>
        </w:rPr>
        <w:t xml:space="preserve"> Application </w:t>
      </w:r>
      <w:r w:rsidR="004D4C8D" w:rsidRPr="003529AF">
        <w:rPr>
          <w:rFonts w:ascii="Verdana" w:hAnsi="Verdana" w:cs="Arial"/>
          <w:sz w:val="20"/>
          <w:szCs w:val="20"/>
        </w:rPr>
        <w:t xml:space="preserve">to end the client’s </w:t>
      </w:r>
      <w:r w:rsidR="00593C4E" w:rsidRPr="003529AF">
        <w:rPr>
          <w:rFonts w:ascii="Verdana" w:hAnsi="Verdana" w:cs="Arial"/>
          <w:sz w:val="20"/>
          <w:szCs w:val="20"/>
        </w:rPr>
        <w:t xml:space="preserve">voluntary income management </w:t>
      </w:r>
      <w:r w:rsidR="004D4C8D" w:rsidRPr="003529AF">
        <w:rPr>
          <w:rFonts w:ascii="Verdana" w:hAnsi="Verdana" w:cs="Arial"/>
          <w:sz w:val="20"/>
          <w:szCs w:val="20"/>
        </w:rPr>
        <w:t>agreement was refused.</w:t>
      </w:r>
    </w:p>
    <w:p w14:paraId="50DBFCDE" w14:textId="77777777" w:rsidR="00643E4F" w:rsidRDefault="00643E4F" w:rsidP="00FF351C">
      <w:pPr>
        <w:ind w:left="-142" w:right="-425"/>
        <w:jc w:val="both"/>
      </w:pPr>
    </w:p>
    <w:p w14:paraId="487734F6" w14:textId="063A3F04" w:rsidR="00964C44" w:rsidRPr="00FC688D" w:rsidRDefault="00353EB2" w:rsidP="00FF351C">
      <w:pPr>
        <w:ind w:left="-142" w:right="-425"/>
        <w:jc w:val="both"/>
        <w:rPr>
          <w:rFonts w:cs="Arial"/>
        </w:rPr>
      </w:pPr>
      <w:r w:rsidRPr="00FC688D">
        <w:rPr>
          <w:rFonts w:cs="Arial"/>
        </w:rPr>
        <w:t>Th</w:t>
      </w:r>
      <w:r w:rsidR="005A5B78" w:rsidRPr="00FC688D">
        <w:rPr>
          <w:rFonts w:cs="Arial"/>
        </w:rPr>
        <w:t>e Commission continues to encourage clients to participa</w:t>
      </w:r>
      <w:r w:rsidR="0061573D" w:rsidRPr="00FC688D">
        <w:rPr>
          <w:rFonts w:cs="Arial"/>
        </w:rPr>
        <w:t xml:space="preserve">te in the </w:t>
      </w:r>
      <w:r w:rsidR="007A7B2F" w:rsidRPr="00FC688D">
        <w:rPr>
          <w:rFonts w:cs="Arial"/>
        </w:rPr>
        <w:t>a</w:t>
      </w:r>
      <w:r w:rsidR="0061573D" w:rsidRPr="00FC688D">
        <w:rPr>
          <w:rFonts w:cs="Arial"/>
        </w:rPr>
        <w:t xml:space="preserve">mend or </w:t>
      </w:r>
      <w:r w:rsidR="007A7B2F" w:rsidRPr="00FC688D">
        <w:rPr>
          <w:rFonts w:cs="Arial"/>
        </w:rPr>
        <w:t>e</w:t>
      </w:r>
      <w:r w:rsidR="0061573D" w:rsidRPr="00FC688D">
        <w:rPr>
          <w:rFonts w:cs="Arial"/>
        </w:rPr>
        <w:t>nd process.</w:t>
      </w:r>
      <w:r w:rsidR="005A5B78" w:rsidRPr="00FC688D">
        <w:rPr>
          <w:rFonts w:cs="Arial"/>
        </w:rPr>
        <w:t xml:space="preserve"> Commissioners </w:t>
      </w:r>
      <w:r w:rsidR="00FB4B1F" w:rsidRPr="00FC688D">
        <w:rPr>
          <w:rFonts w:cs="Arial"/>
        </w:rPr>
        <w:t>consider that the participation of clients in the amend/end process is indicative of c</w:t>
      </w:r>
      <w:r w:rsidR="005A5B78" w:rsidRPr="00FC688D">
        <w:rPr>
          <w:rFonts w:cs="Arial"/>
        </w:rPr>
        <w:t>lient confidence to question decisions and the reasons behind decisions, both for decisions delivered by the Commission and decisions delivered by external agencies and bodies.</w:t>
      </w:r>
      <w:bookmarkStart w:id="26" w:name="_Toc222226583"/>
      <w:bookmarkStart w:id="27" w:name="_Toc304386232"/>
      <w:bookmarkStart w:id="28" w:name="_Toc304386309"/>
      <w:bookmarkStart w:id="29"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124DB6">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3A3B7B44" w:rsidR="0013112F" w:rsidRDefault="0013112F" w:rsidP="0013112F">
      <w:pPr>
        <w:ind w:left="-142"/>
        <w:jc w:val="both"/>
      </w:pPr>
      <w:r w:rsidRPr="006C6A65">
        <w:rPr>
          <w:b/>
          <w:sz w:val="16"/>
          <w:szCs w:val="16"/>
        </w:rPr>
        <w:t xml:space="preserve">Table </w:t>
      </w:r>
      <w:r w:rsidR="00026BA0">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BC09BB">
        <w:rPr>
          <w:sz w:val="16"/>
          <w:szCs w:val="16"/>
        </w:rPr>
        <w:t xml:space="preserve">1 </w:t>
      </w:r>
      <w:r w:rsidR="00B81347">
        <w:rPr>
          <w:sz w:val="16"/>
          <w:szCs w:val="16"/>
        </w:rPr>
        <w:t xml:space="preserve">April </w:t>
      </w:r>
      <w:r w:rsidR="00BC09BB">
        <w:rPr>
          <w:sz w:val="16"/>
          <w:szCs w:val="16"/>
        </w:rPr>
        <w:t>2024 to 3</w:t>
      </w:r>
      <w:r w:rsidR="00B81347">
        <w:rPr>
          <w:sz w:val="16"/>
          <w:szCs w:val="16"/>
        </w:rPr>
        <w:t xml:space="preserve">0 June </w:t>
      </w:r>
      <w:r w:rsidR="00BC09BB">
        <w:rPr>
          <w:sz w:val="16"/>
          <w:szCs w:val="16"/>
        </w:rPr>
        <w:t>2024</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B81347" w14:paraId="0C5B3812" w14:textId="77777777" w:rsidTr="00925DD5">
        <w:tc>
          <w:tcPr>
            <w:tcW w:w="5127" w:type="dxa"/>
          </w:tcPr>
          <w:p w14:paraId="465196A7" w14:textId="2741AD5F" w:rsidR="00B81347" w:rsidRDefault="00B81347" w:rsidP="00B81347">
            <w:pPr>
              <w:spacing w:line="240" w:lineRule="auto"/>
            </w:pPr>
            <w:r>
              <w:t>Clients for whom a notice was received</w:t>
            </w:r>
            <w:r>
              <w:rPr>
                <w:rStyle w:val="FootnoteReference"/>
              </w:rPr>
              <w:footnoteReference w:id="11"/>
            </w:r>
          </w:p>
        </w:tc>
        <w:tc>
          <w:tcPr>
            <w:tcW w:w="1026" w:type="dxa"/>
            <w:vAlign w:val="center"/>
          </w:tcPr>
          <w:p w14:paraId="430D610E" w14:textId="763DB9BF" w:rsidR="00B81347" w:rsidRPr="00EF2D65" w:rsidRDefault="00B81347" w:rsidP="00B81347">
            <w:pPr>
              <w:spacing w:line="240" w:lineRule="auto"/>
              <w:jc w:val="right"/>
            </w:pPr>
            <w:r>
              <w:rPr>
                <w:rFonts w:cs="Arial"/>
              </w:rPr>
              <w:t>434</w:t>
            </w:r>
          </w:p>
        </w:tc>
        <w:tc>
          <w:tcPr>
            <w:tcW w:w="875" w:type="dxa"/>
            <w:vAlign w:val="center"/>
          </w:tcPr>
          <w:p w14:paraId="73512E80" w14:textId="14E7A231" w:rsidR="00B81347" w:rsidRPr="00EF2D65" w:rsidRDefault="00B81347" w:rsidP="00B81347">
            <w:pPr>
              <w:spacing w:line="240" w:lineRule="auto"/>
              <w:jc w:val="right"/>
            </w:pPr>
            <w:r>
              <w:rPr>
                <w:rFonts w:cs="Arial"/>
              </w:rPr>
              <w:t>233</w:t>
            </w:r>
          </w:p>
        </w:tc>
        <w:tc>
          <w:tcPr>
            <w:tcW w:w="463" w:type="dxa"/>
            <w:vAlign w:val="center"/>
          </w:tcPr>
          <w:p w14:paraId="0C71CB3B" w14:textId="56E896B3" w:rsidR="00B81347" w:rsidRPr="00EF2D65" w:rsidRDefault="00B81347" w:rsidP="00B81347">
            <w:pPr>
              <w:spacing w:line="240" w:lineRule="auto"/>
              <w:jc w:val="right"/>
            </w:pPr>
          </w:p>
        </w:tc>
        <w:tc>
          <w:tcPr>
            <w:tcW w:w="1140" w:type="dxa"/>
            <w:vAlign w:val="center"/>
          </w:tcPr>
          <w:p w14:paraId="048E4B1D" w14:textId="29170CC7" w:rsidR="00B81347" w:rsidRPr="00EF2D65" w:rsidRDefault="00B81347" w:rsidP="00B81347">
            <w:pPr>
              <w:spacing w:line="240" w:lineRule="auto"/>
              <w:jc w:val="right"/>
            </w:pPr>
            <w:r>
              <w:rPr>
                <w:rFonts w:cs="Arial"/>
              </w:rPr>
              <w:t>38</w:t>
            </w:r>
          </w:p>
        </w:tc>
        <w:tc>
          <w:tcPr>
            <w:tcW w:w="1140" w:type="dxa"/>
            <w:vAlign w:val="center"/>
          </w:tcPr>
          <w:p w14:paraId="61E43F3F" w14:textId="7451E836" w:rsidR="00B81347" w:rsidRPr="00EF2D65" w:rsidRDefault="00B81347" w:rsidP="00B81347">
            <w:pPr>
              <w:spacing w:line="240" w:lineRule="auto"/>
              <w:jc w:val="right"/>
            </w:pPr>
            <w:r>
              <w:rPr>
                <w:rFonts w:cs="Arial"/>
              </w:rPr>
              <w:t>38</w:t>
            </w:r>
          </w:p>
        </w:tc>
      </w:tr>
      <w:tr w:rsidR="00B81347" w14:paraId="0C43D4D1" w14:textId="77777777" w:rsidTr="00925DD5">
        <w:tc>
          <w:tcPr>
            <w:tcW w:w="5127" w:type="dxa"/>
          </w:tcPr>
          <w:p w14:paraId="2282B866" w14:textId="484D223C" w:rsidR="00B81347" w:rsidRDefault="00B81347" w:rsidP="00B81347">
            <w:pPr>
              <w:spacing w:line="240" w:lineRule="auto"/>
            </w:pPr>
            <w:r>
              <w:t>Clients conferenced</w:t>
            </w:r>
            <w:r>
              <w:rPr>
                <w:rStyle w:val="FootnoteReference"/>
              </w:rPr>
              <w:footnoteReference w:id="12"/>
            </w:r>
          </w:p>
        </w:tc>
        <w:tc>
          <w:tcPr>
            <w:tcW w:w="1026" w:type="dxa"/>
            <w:vAlign w:val="center"/>
          </w:tcPr>
          <w:p w14:paraId="0BE8DAD4" w14:textId="1545E1E8" w:rsidR="00B81347" w:rsidRPr="00143912" w:rsidRDefault="00B81347" w:rsidP="00B81347">
            <w:pPr>
              <w:spacing w:line="240" w:lineRule="auto"/>
              <w:jc w:val="right"/>
            </w:pPr>
            <w:r>
              <w:rPr>
                <w:rFonts w:cs="Arial"/>
              </w:rPr>
              <w:t>120</w:t>
            </w:r>
          </w:p>
        </w:tc>
        <w:tc>
          <w:tcPr>
            <w:tcW w:w="875" w:type="dxa"/>
            <w:vAlign w:val="center"/>
          </w:tcPr>
          <w:p w14:paraId="7F1FAC36" w14:textId="34F84C49" w:rsidR="00B81347" w:rsidRPr="00143912" w:rsidRDefault="00B81347" w:rsidP="00B81347">
            <w:pPr>
              <w:spacing w:line="240" w:lineRule="auto"/>
              <w:jc w:val="right"/>
            </w:pPr>
            <w:r>
              <w:rPr>
                <w:rFonts w:cs="Arial"/>
              </w:rPr>
              <w:t>52</w:t>
            </w:r>
          </w:p>
        </w:tc>
        <w:tc>
          <w:tcPr>
            <w:tcW w:w="463" w:type="dxa"/>
            <w:vAlign w:val="center"/>
          </w:tcPr>
          <w:p w14:paraId="7D1E9278" w14:textId="17AAA070" w:rsidR="00B81347" w:rsidRPr="00EF2D65" w:rsidRDefault="00B81347" w:rsidP="00B81347">
            <w:pPr>
              <w:spacing w:line="240" w:lineRule="auto"/>
              <w:jc w:val="right"/>
            </w:pPr>
          </w:p>
        </w:tc>
        <w:tc>
          <w:tcPr>
            <w:tcW w:w="1140" w:type="dxa"/>
            <w:vAlign w:val="center"/>
          </w:tcPr>
          <w:p w14:paraId="18E5F35E" w14:textId="0546491F" w:rsidR="00B81347" w:rsidRPr="00143912" w:rsidRDefault="00B81347" w:rsidP="00B81347">
            <w:pPr>
              <w:spacing w:line="240" w:lineRule="auto"/>
              <w:jc w:val="right"/>
            </w:pPr>
            <w:r>
              <w:rPr>
                <w:rFonts w:cs="Arial"/>
              </w:rPr>
              <w:t>37</w:t>
            </w:r>
          </w:p>
        </w:tc>
        <w:tc>
          <w:tcPr>
            <w:tcW w:w="1140" w:type="dxa"/>
            <w:vAlign w:val="center"/>
          </w:tcPr>
          <w:p w14:paraId="48B614AC" w14:textId="746FD425" w:rsidR="00B81347" w:rsidRPr="00143912" w:rsidRDefault="00B81347" w:rsidP="00B81347">
            <w:pPr>
              <w:spacing w:line="240" w:lineRule="auto"/>
              <w:jc w:val="right"/>
            </w:pPr>
            <w:r>
              <w:rPr>
                <w:rFonts w:cs="Arial"/>
              </w:rPr>
              <w:t>34</w:t>
            </w:r>
          </w:p>
        </w:tc>
      </w:tr>
      <w:tr w:rsidR="00B81347" w14:paraId="4205C91F" w14:textId="77777777" w:rsidTr="00925DD5">
        <w:tc>
          <w:tcPr>
            <w:tcW w:w="5127" w:type="dxa"/>
          </w:tcPr>
          <w:p w14:paraId="2820947A" w14:textId="0B2D1E31" w:rsidR="00B81347" w:rsidRDefault="00B81347" w:rsidP="00B81347">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34935F8B" w:rsidR="00B81347" w:rsidRPr="00143912" w:rsidRDefault="00B81347" w:rsidP="00B81347">
            <w:pPr>
              <w:spacing w:line="240" w:lineRule="auto"/>
              <w:jc w:val="right"/>
            </w:pPr>
            <w:r>
              <w:rPr>
                <w:rFonts w:cs="Arial"/>
              </w:rPr>
              <w:t>48</w:t>
            </w:r>
          </w:p>
        </w:tc>
        <w:tc>
          <w:tcPr>
            <w:tcW w:w="875" w:type="dxa"/>
            <w:vAlign w:val="center"/>
          </w:tcPr>
          <w:p w14:paraId="09F9C19D" w14:textId="14C514DE" w:rsidR="00B81347" w:rsidRPr="00143912" w:rsidRDefault="00B81347" w:rsidP="00B81347">
            <w:pPr>
              <w:spacing w:line="240" w:lineRule="auto"/>
              <w:jc w:val="right"/>
            </w:pPr>
            <w:r>
              <w:rPr>
                <w:rFonts w:cs="Arial"/>
              </w:rPr>
              <w:t>34</w:t>
            </w:r>
          </w:p>
        </w:tc>
        <w:tc>
          <w:tcPr>
            <w:tcW w:w="463" w:type="dxa"/>
            <w:vAlign w:val="center"/>
          </w:tcPr>
          <w:p w14:paraId="4D854BAC" w14:textId="2321B6FA" w:rsidR="00B81347" w:rsidRPr="00EF2D65" w:rsidRDefault="00B81347" w:rsidP="00B81347">
            <w:pPr>
              <w:spacing w:line="240" w:lineRule="auto"/>
              <w:jc w:val="right"/>
            </w:pPr>
          </w:p>
        </w:tc>
        <w:tc>
          <w:tcPr>
            <w:tcW w:w="1140" w:type="dxa"/>
            <w:vAlign w:val="center"/>
          </w:tcPr>
          <w:p w14:paraId="0DB4E2B3" w14:textId="012A7DE4" w:rsidR="00B81347" w:rsidRPr="00143912" w:rsidRDefault="00B81347" w:rsidP="00B81347">
            <w:pPr>
              <w:spacing w:line="240" w:lineRule="auto"/>
              <w:jc w:val="right"/>
            </w:pPr>
            <w:r>
              <w:rPr>
                <w:rFonts w:cs="Arial"/>
              </w:rPr>
              <w:t>33</w:t>
            </w:r>
          </w:p>
        </w:tc>
        <w:tc>
          <w:tcPr>
            <w:tcW w:w="1140" w:type="dxa"/>
            <w:vAlign w:val="center"/>
          </w:tcPr>
          <w:p w14:paraId="6F699F00" w14:textId="562C3D6A" w:rsidR="00B81347" w:rsidRPr="00143912" w:rsidRDefault="00B81347" w:rsidP="00B81347">
            <w:pPr>
              <w:spacing w:line="240" w:lineRule="auto"/>
              <w:jc w:val="right"/>
            </w:pPr>
            <w:r>
              <w:rPr>
                <w:rFonts w:cs="Arial"/>
              </w:rPr>
              <w:t>32</w:t>
            </w:r>
          </w:p>
        </w:tc>
      </w:tr>
      <w:tr w:rsidR="00B81347" w14:paraId="70BB454E" w14:textId="77777777" w:rsidTr="00A242DD">
        <w:tc>
          <w:tcPr>
            <w:tcW w:w="5127" w:type="dxa"/>
          </w:tcPr>
          <w:p w14:paraId="5B5E85C7" w14:textId="7C85BD17" w:rsidR="00B81347" w:rsidRPr="00C6538C" w:rsidRDefault="00B81347" w:rsidP="00B81347">
            <w:pPr>
              <w:spacing w:line="240" w:lineRule="auto"/>
            </w:pPr>
            <w:r w:rsidRPr="00423006">
              <w:t>Clients placed on CIM</w:t>
            </w:r>
            <w:r w:rsidRPr="00C6538C">
              <w:rPr>
                <w:rStyle w:val="FootnoteReference"/>
              </w:rPr>
              <w:footnoteReference w:id="14"/>
            </w:r>
          </w:p>
        </w:tc>
        <w:tc>
          <w:tcPr>
            <w:tcW w:w="1026" w:type="dxa"/>
            <w:vAlign w:val="center"/>
          </w:tcPr>
          <w:p w14:paraId="543F073F" w14:textId="67BE330E" w:rsidR="00B81347" w:rsidRPr="00143912" w:rsidRDefault="00B81347" w:rsidP="00B81347">
            <w:pPr>
              <w:spacing w:line="240" w:lineRule="auto"/>
              <w:jc w:val="right"/>
              <w:rPr>
                <w:rFonts w:cs="Arial"/>
              </w:rPr>
            </w:pPr>
            <w:r>
              <w:rPr>
                <w:rFonts w:cs="Arial"/>
              </w:rPr>
              <w:t>3</w:t>
            </w:r>
          </w:p>
        </w:tc>
        <w:tc>
          <w:tcPr>
            <w:tcW w:w="875" w:type="dxa"/>
            <w:vAlign w:val="center"/>
          </w:tcPr>
          <w:p w14:paraId="1105ED08" w14:textId="06B998F3" w:rsidR="00B81347" w:rsidRPr="00143912" w:rsidRDefault="00B81347" w:rsidP="00B81347">
            <w:pPr>
              <w:spacing w:line="240" w:lineRule="auto"/>
              <w:jc w:val="right"/>
              <w:rPr>
                <w:rFonts w:cs="Arial"/>
              </w:rPr>
            </w:pPr>
            <w:r>
              <w:rPr>
                <w:rFonts w:cs="Arial"/>
              </w:rPr>
              <w:t>1</w:t>
            </w:r>
          </w:p>
        </w:tc>
        <w:tc>
          <w:tcPr>
            <w:tcW w:w="463" w:type="dxa"/>
            <w:vAlign w:val="center"/>
          </w:tcPr>
          <w:p w14:paraId="2B630A06" w14:textId="3E165827" w:rsidR="00B81347" w:rsidRPr="00EF2D65" w:rsidRDefault="00B81347" w:rsidP="00B81347">
            <w:pPr>
              <w:spacing w:line="240" w:lineRule="auto"/>
              <w:jc w:val="right"/>
              <w:rPr>
                <w:rFonts w:cs="Arial"/>
              </w:rPr>
            </w:pPr>
          </w:p>
        </w:tc>
        <w:tc>
          <w:tcPr>
            <w:tcW w:w="1140" w:type="dxa"/>
            <w:vAlign w:val="center"/>
          </w:tcPr>
          <w:p w14:paraId="118451EA" w14:textId="7A3CDE14" w:rsidR="00B81347" w:rsidRPr="00143912" w:rsidRDefault="00B81347" w:rsidP="00B81347">
            <w:pPr>
              <w:spacing w:line="240" w:lineRule="auto"/>
              <w:jc w:val="right"/>
              <w:rPr>
                <w:rFonts w:cs="Arial"/>
              </w:rPr>
            </w:pPr>
            <w:r>
              <w:rPr>
                <w:rFonts w:cs="Arial"/>
              </w:rPr>
              <w:t>41</w:t>
            </w:r>
          </w:p>
        </w:tc>
        <w:tc>
          <w:tcPr>
            <w:tcW w:w="1140" w:type="dxa"/>
            <w:vAlign w:val="center"/>
          </w:tcPr>
          <w:p w14:paraId="1C47274C" w14:textId="0C209104" w:rsidR="00B81347" w:rsidRPr="00143912" w:rsidRDefault="00B81347" w:rsidP="00B81347">
            <w:pPr>
              <w:spacing w:line="240" w:lineRule="auto"/>
              <w:jc w:val="right"/>
              <w:rPr>
                <w:rFonts w:cs="Arial"/>
              </w:rPr>
            </w:pPr>
            <w:r>
              <w:rPr>
                <w:rFonts w:cs="Arial"/>
              </w:rPr>
              <w:t>24</w:t>
            </w:r>
          </w:p>
        </w:tc>
      </w:tr>
      <w:tr w:rsidR="00B81347" w14:paraId="5BC6E4C0" w14:textId="77777777" w:rsidTr="00DB33CA">
        <w:tc>
          <w:tcPr>
            <w:tcW w:w="5127" w:type="dxa"/>
          </w:tcPr>
          <w:p w14:paraId="1F3A9B4D" w14:textId="68F637B4" w:rsidR="00B81347" w:rsidRDefault="00B81347" w:rsidP="00B81347">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192D553B" w:rsidR="00B81347" w:rsidRPr="00143912" w:rsidRDefault="00B81347" w:rsidP="00B81347">
            <w:pPr>
              <w:spacing w:line="240" w:lineRule="auto"/>
              <w:jc w:val="right"/>
            </w:pPr>
            <w:r>
              <w:rPr>
                <w:rFonts w:cs="Arial"/>
              </w:rPr>
              <w:t>36</w:t>
            </w:r>
          </w:p>
        </w:tc>
        <w:tc>
          <w:tcPr>
            <w:tcW w:w="875" w:type="dxa"/>
            <w:vAlign w:val="center"/>
          </w:tcPr>
          <w:p w14:paraId="7B755D8C" w14:textId="7B2B7FB0" w:rsidR="00B81347" w:rsidRPr="00143912" w:rsidRDefault="00B81347" w:rsidP="00B81347">
            <w:pPr>
              <w:spacing w:line="240" w:lineRule="auto"/>
              <w:jc w:val="right"/>
            </w:pPr>
            <w:r>
              <w:rPr>
                <w:rFonts w:cs="Arial"/>
              </w:rPr>
              <w:t>19</w:t>
            </w:r>
          </w:p>
        </w:tc>
        <w:tc>
          <w:tcPr>
            <w:tcW w:w="463" w:type="dxa"/>
            <w:vAlign w:val="center"/>
          </w:tcPr>
          <w:p w14:paraId="6092C81B" w14:textId="1EC3390E" w:rsidR="00B81347" w:rsidRPr="00EF2D65" w:rsidRDefault="00B81347" w:rsidP="00B81347">
            <w:pPr>
              <w:spacing w:line="240" w:lineRule="auto"/>
              <w:jc w:val="right"/>
            </w:pPr>
          </w:p>
        </w:tc>
        <w:tc>
          <w:tcPr>
            <w:tcW w:w="1140" w:type="dxa"/>
            <w:vAlign w:val="center"/>
          </w:tcPr>
          <w:p w14:paraId="7A13A493" w14:textId="586801B8" w:rsidR="00B81347" w:rsidRPr="00143912" w:rsidRDefault="00B81347" w:rsidP="00B81347">
            <w:pPr>
              <w:spacing w:line="240" w:lineRule="auto"/>
              <w:jc w:val="right"/>
            </w:pPr>
            <w:r>
              <w:rPr>
                <w:rFonts w:cs="Arial"/>
              </w:rPr>
              <w:t>40</w:t>
            </w:r>
          </w:p>
        </w:tc>
        <w:tc>
          <w:tcPr>
            <w:tcW w:w="1140" w:type="dxa"/>
            <w:vAlign w:val="center"/>
          </w:tcPr>
          <w:p w14:paraId="5E9D8367" w14:textId="2916E3AF" w:rsidR="00B81347" w:rsidRPr="00143912" w:rsidRDefault="00B81347" w:rsidP="00B81347">
            <w:pPr>
              <w:spacing w:line="240" w:lineRule="auto"/>
              <w:jc w:val="right"/>
            </w:pPr>
            <w:r>
              <w:rPr>
                <w:rFonts w:cs="Arial"/>
              </w:rPr>
              <w:t>36</w:t>
            </w:r>
          </w:p>
        </w:tc>
      </w:tr>
      <w:tr w:rsidR="00B81347" w14:paraId="323DBB29" w14:textId="77777777" w:rsidTr="00DB33CA">
        <w:tc>
          <w:tcPr>
            <w:tcW w:w="5127" w:type="dxa"/>
          </w:tcPr>
          <w:p w14:paraId="2B63FDBC" w14:textId="0B2D08D4" w:rsidR="00B81347" w:rsidRDefault="00B81347" w:rsidP="00B81347">
            <w:pPr>
              <w:spacing w:line="240" w:lineRule="auto"/>
            </w:pPr>
            <w:r w:rsidRPr="00EB1F9E">
              <w:t>Clients who chose to participate in VIM</w:t>
            </w:r>
            <w:r>
              <w:rPr>
                <w:rStyle w:val="FootnoteReference"/>
              </w:rPr>
              <w:footnoteReference w:id="16"/>
            </w:r>
          </w:p>
        </w:tc>
        <w:tc>
          <w:tcPr>
            <w:tcW w:w="1026" w:type="dxa"/>
            <w:vAlign w:val="center"/>
          </w:tcPr>
          <w:p w14:paraId="3609E59F" w14:textId="4ECE792C" w:rsidR="00B81347" w:rsidRPr="00143912" w:rsidRDefault="00B81347" w:rsidP="00B81347">
            <w:pPr>
              <w:spacing w:line="240" w:lineRule="auto"/>
              <w:jc w:val="right"/>
              <w:rPr>
                <w:rFonts w:cs="Arial"/>
              </w:rPr>
            </w:pPr>
            <w:r>
              <w:rPr>
                <w:rFonts w:cs="Arial"/>
              </w:rPr>
              <w:t>24</w:t>
            </w:r>
          </w:p>
        </w:tc>
        <w:tc>
          <w:tcPr>
            <w:tcW w:w="875" w:type="dxa"/>
            <w:vAlign w:val="center"/>
          </w:tcPr>
          <w:p w14:paraId="34BAD3D0" w14:textId="620B7F19" w:rsidR="00B81347" w:rsidRPr="00143912" w:rsidRDefault="00B81347" w:rsidP="00B81347">
            <w:pPr>
              <w:spacing w:line="240" w:lineRule="auto"/>
              <w:jc w:val="right"/>
              <w:rPr>
                <w:rFonts w:cs="Arial"/>
              </w:rPr>
            </w:pPr>
            <w:r>
              <w:rPr>
                <w:rFonts w:cs="Arial"/>
              </w:rPr>
              <w:t>9</w:t>
            </w:r>
          </w:p>
        </w:tc>
        <w:tc>
          <w:tcPr>
            <w:tcW w:w="463" w:type="dxa"/>
            <w:vAlign w:val="center"/>
          </w:tcPr>
          <w:p w14:paraId="7E5C9E3D" w14:textId="29B4A906" w:rsidR="00B81347" w:rsidRPr="00EF2D65" w:rsidRDefault="00B81347" w:rsidP="00B81347">
            <w:pPr>
              <w:spacing w:line="240" w:lineRule="auto"/>
              <w:jc w:val="right"/>
            </w:pPr>
          </w:p>
        </w:tc>
        <w:tc>
          <w:tcPr>
            <w:tcW w:w="1140" w:type="dxa"/>
            <w:vAlign w:val="center"/>
          </w:tcPr>
          <w:p w14:paraId="422F7588" w14:textId="6E29835E" w:rsidR="00B81347" w:rsidRPr="00143912" w:rsidRDefault="00B81347" w:rsidP="00B81347">
            <w:pPr>
              <w:spacing w:line="240" w:lineRule="auto"/>
              <w:jc w:val="right"/>
              <w:rPr>
                <w:rFonts w:cs="Arial"/>
              </w:rPr>
            </w:pPr>
            <w:r>
              <w:rPr>
                <w:rFonts w:cs="Arial"/>
              </w:rPr>
              <w:t>46</w:t>
            </w:r>
          </w:p>
        </w:tc>
        <w:tc>
          <w:tcPr>
            <w:tcW w:w="1140" w:type="dxa"/>
            <w:vAlign w:val="center"/>
          </w:tcPr>
          <w:p w14:paraId="31BCC77C" w14:textId="49A1A256" w:rsidR="00B81347" w:rsidRPr="00143912" w:rsidRDefault="00B81347" w:rsidP="00B81347">
            <w:pPr>
              <w:spacing w:line="240" w:lineRule="auto"/>
              <w:jc w:val="right"/>
              <w:rPr>
                <w:rFonts w:cs="Arial"/>
              </w:rPr>
            </w:pPr>
            <w:r>
              <w:rPr>
                <w:rFonts w:cs="Arial"/>
              </w:rPr>
              <w:t>42</w:t>
            </w:r>
          </w:p>
        </w:tc>
      </w:tr>
      <w:tr w:rsidR="00B81347" w14:paraId="444AB815" w14:textId="77777777" w:rsidTr="00DB33CA">
        <w:tc>
          <w:tcPr>
            <w:tcW w:w="5127" w:type="dxa"/>
          </w:tcPr>
          <w:p w14:paraId="018D049C" w14:textId="2D915E58" w:rsidR="00B81347" w:rsidRPr="00423006" w:rsidRDefault="00B81347" w:rsidP="00B81347">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6E17D46C" w:rsidR="00B81347" w:rsidRPr="00143912" w:rsidRDefault="00B81347" w:rsidP="00B81347">
            <w:pPr>
              <w:spacing w:line="240" w:lineRule="auto"/>
              <w:jc w:val="right"/>
              <w:rPr>
                <w:rFonts w:cs="Arial"/>
              </w:rPr>
            </w:pPr>
            <w:r>
              <w:rPr>
                <w:rFonts w:cs="Arial"/>
              </w:rPr>
              <w:t>4</w:t>
            </w:r>
          </w:p>
        </w:tc>
        <w:tc>
          <w:tcPr>
            <w:tcW w:w="875" w:type="dxa"/>
            <w:vAlign w:val="center"/>
          </w:tcPr>
          <w:p w14:paraId="215C10C8" w14:textId="233D141E" w:rsidR="00B81347" w:rsidRPr="00143912" w:rsidRDefault="00B81347" w:rsidP="00B81347">
            <w:pPr>
              <w:spacing w:line="240" w:lineRule="auto"/>
              <w:jc w:val="right"/>
              <w:rPr>
                <w:rFonts w:cs="Arial"/>
              </w:rPr>
            </w:pPr>
            <w:r>
              <w:rPr>
                <w:rFonts w:cs="Arial"/>
              </w:rPr>
              <w:t>2</w:t>
            </w:r>
          </w:p>
        </w:tc>
        <w:tc>
          <w:tcPr>
            <w:tcW w:w="463" w:type="dxa"/>
            <w:vAlign w:val="center"/>
          </w:tcPr>
          <w:p w14:paraId="63FC96B1" w14:textId="3C12C620" w:rsidR="00B81347" w:rsidRPr="00EF2D65" w:rsidRDefault="00B81347" w:rsidP="00B81347">
            <w:pPr>
              <w:spacing w:line="240" w:lineRule="auto"/>
              <w:jc w:val="right"/>
            </w:pPr>
          </w:p>
        </w:tc>
        <w:tc>
          <w:tcPr>
            <w:tcW w:w="1140" w:type="dxa"/>
            <w:vAlign w:val="center"/>
          </w:tcPr>
          <w:p w14:paraId="6C2DF82D" w14:textId="58DD9A60" w:rsidR="00B81347" w:rsidRPr="00143912" w:rsidRDefault="00B81347" w:rsidP="00B81347">
            <w:pPr>
              <w:spacing w:line="240" w:lineRule="auto"/>
              <w:jc w:val="right"/>
              <w:rPr>
                <w:rFonts w:cs="Arial"/>
              </w:rPr>
            </w:pPr>
            <w:r>
              <w:rPr>
                <w:rFonts w:cs="Arial"/>
              </w:rPr>
              <w:t>54</w:t>
            </w:r>
          </w:p>
        </w:tc>
        <w:tc>
          <w:tcPr>
            <w:tcW w:w="1140" w:type="dxa"/>
            <w:vAlign w:val="center"/>
          </w:tcPr>
          <w:p w14:paraId="3A96BFD9" w14:textId="48784C9C" w:rsidR="00B81347" w:rsidRPr="00143912" w:rsidRDefault="00B81347" w:rsidP="00B81347">
            <w:pPr>
              <w:spacing w:line="240" w:lineRule="auto"/>
              <w:jc w:val="right"/>
              <w:rPr>
                <w:rFonts w:cs="Arial"/>
              </w:rPr>
            </w:pPr>
            <w:r>
              <w:rPr>
                <w:rFonts w:cs="Arial"/>
              </w:rPr>
              <w:t>66</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124DB6">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61178197"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B81347">
        <w:t>808</w:t>
      </w:r>
      <w:r w:rsidR="00B81347" w:rsidRPr="008E7494">
        <w:t xml:space="preserve"> </w:t>
      </w:r>
      <w:r w:rsidR="00F500CF" w:rsidRPr="008E7494">
        <w:t xml:space="preserve">people as at 30 June </w:t>
      </w:r>
      <w:bookmarkStart w:id="30" w:name="_Ref362343764"/>
      <w:bookmarkStart w:id="31" w:name="_Ref459716764"/>
      <w:r w:rsidR="00F500CF" w:rsidRPr="008E7494">
        <w:t>20</w:t>
      </w:r>
      <w:r w:rsidR="00C673E7">
        <w:t>2</w:t>
      </w:r>
      <w:r w:rsidR="00B81347">
        <w:t>3</w:t>
      </w:r>
      <w:bookmarkStart w:id="32" w:name="_Ref64367928"/>
      <w:r w:rsidR="00F500CF" w:rsidRPr="00F500CF">
        <w:rPr>
          <w:vertAlign w:val="superscript"/>
        </w:rPr>
        <w:footnoteReference w:id="18"/>
      </w:r>
      <w:bookmarkEnd w:id="30"/>
      <w:bookmarkEnd w:id="31"/>
      <w:bookmarkEnd w:id="32"/>
      <w:r w:rsidR="00F500CF" w:rsidRPr="00F500CF">
        <w:rPr>
          <w:vertAlign w:val="superscript"/>
        </w:rPr>
        <w:t>,</w:t>
      </w:r>
      <w:bookmarkStart w:id="33" w:name="_Ref459716829"/>
      <w:r w:rsidR="00F500CF" w:rsidRPr="00F500CF">
        <w:rPr>
          <w:vertAlign w:val="superscript"/>
        </w:rPr>
        <w:footnoteReference w:id="19"/>
      </w:r>
      <w:bookmarkEnd w:id="33"/>
      <w:r w:rsidR="00F500CF" w:rsidRPr="008E7494">
        <w:t>.</w:t>
      </w:r>
    </w:p>
    <w:p w14:paraId="1D1F7E14" w14:textId="77777777" w:rsidR="00F500CF" w:rsidRDefault="00F500CF" w:rsidP="00EC14C1">
      <w:pPr>
        <w:spacing w:line="240" w:lineRule="auto"/>
        <w:ind w:left="-142" w:right="-425"/>
        <w:jc w:val="both"/>
      </w:pPr>
    </w:p>
    <w:p w14:paraId="5C34875A" w14:textId="2D575C9D"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4" w:name="_Ref459717187"/>
      <w:r w:rsidR="006F1AA0">
        <w:t>20</w:t>
      </w:r>
      <w:r w:rsidR="00B81347">
        <w:t>4</w:t>
      </w:r>
      <w:r w:rsidR="006F1AA0" w:rsidRPr="008E7494">
        <w:t xml:space="preserve"> </w:t>
      </w:r>
      <w:r w:rsidR="00F500CF" w:rsidRPr="008E7494">
        <w:t>people as at 30 June 20</w:t>
      </w:r>
      <w:r w:rsidR="00C673E7">
        <w:t>2</w:t>
      </w:r>
      <w:r w:rsidR="00B81347">
        <w:t>3</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3542E6">
        <w:rPr>
          <w:vertAlign w:val="superscript"/>
        </w:rPr>
        <w:t>17</w:t>
      </w:r>
      <w:r w:rsidR="003D357C">
        <w:rPr>
          <w:vertAlign w:val="superscript"/>
        </w:rPr>
        <w:fldChar w:fldCharType="end"/>
      </w:r>
      <w:r w:rsidR="00F500CF" w:rsidRPr="00F500CF">
        <w:rPr>
          <w:vertAlign w:val="superscript"/>
        </w:rPr>
        <w:t>,</w:t>
      </w:r>
      <w:bookmarkStart w:id="35" w:name="_Ref74754871"/>
      <w:r w:rsidR="00F500CF" w:rsidRPr="00F500CF">
        <w:rPr>
          <w:vertAlign w:val="superscript"/>
        </w:rPr>
        <w:footnoteReference w:id="20"/>
      </w:r>
      <w:bookmarkEnd w:id="34"/>
      <w:bookmarkEnd w:id="35"/>
      <w:r w:rsidR="00F500CF" w:rsidRPr="008E7494">
        <w:t>.</w:t>
      </w:r>
    </w:p>
    <w:p w14:paraId="6639697A" w14:textId="77777777" w:rsidR="00F500CF" w:rsidRDefault="00F500CF" w:rsidP="00EC14C1">
      <w:pPr>
        <w:spacing w:line="240" w:lineRule="auto"/>
        <w:ind w:left="-142" w:right="-425"/>
        <w:jc w:val="both"/>
      </w:pPr>
    </w:p>
    <w:p w14:paraId="439048BC" w14:textId="570D647E"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B81347">
        <w:t>918</w:t>
      </w:r>
      <w:r w:rsidR="00B81347"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3542E6">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3542E6">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23F47A8E"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B81347">
        <w:t>667</w:t>
      </w:r>
      <w:r w:rsidR="00B81347"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3542E6">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3542E6">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44B16251"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B81347">
        <w:t>2</w:t>
      </w:r>
      <w:r w:rsidR="00587B7C"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3542E6">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36" w:name="_Toc39657992"/>
      <w:r w:rsidRPr="00E34093">
        <w:lastRenderedPageBreak/>
        <w:t>2.  Future Direction</w:t>
      </w:r>
      <w:bookmarkEnd w:id="26"/>
      <w:bookmarkEnd w:id="27"/>
      <w:bookmarkEnd w:id="28"/>
      <w:bookmarkEnd w:id="29"/>
      <w:r w:rsidRPr="00E34093">
        <w:t xml:space="preserve"> and Challenges</w:t>
      </w:r>
      <w:bookmarkEnd w:id="36"/>
    </w:p>
    <w:p w14:paraId="66A68EAB" w14:textId="5BC344B1" w:rsidR="005A5B78" w:rsidRPr="0060745C" w:rsidRDefault="005A5B78" w:rsidP="005A5B78">
      <w:pPr>
        <w:ind w:left="-142" w:right="-425"/>
        <w:jc w:val="both"/>
        <w:rPr>
          <w:rFonts w:cs="Arial"/>
          <w:bCs/>
        </w:rPr>
      </w:pPr>
    </w:p>
    <w:p w14:paraId="18956D1A" w14:textId="68D925B9" w:rsidR="00ED5285" w:rsidRDefault="00ED5285" w:rsidP="00124DB6">
      <w:pPr>
        <w:pStyle w:val="Heading2"/>
      </w:pPr>
      <w:bookmarkStart w:id="37" w:name="_Hlk130207001"/>
      <w:bookmarkStart w:id="38" w:name="_Hlk143596962"/>
      <w:r>
        <w:t>Submissions</w:t>
      </w:r>
    </w:p>
    <w:p w14:paraId="0799926D" w14:textId="4C873EB0" w:rsidR="00ED5285" w:rsidRPr="00ED5285" w:rsidRDefault="00ED5285" w:rsidP="00023E90">
      <w:pPr>
        <w:ind w:left="-142" w:right="-425"/>
        <w:jc w:val="both"/>
      </w:pPr>
      <w:r>
        <w:t xml:space="preserve">In line with the </w:t>
      </w:r>
      <w:r w:rsidR="00665006">
        <w:t>Commission’s strategic objective</w:t>
      </w:r>
      <w:r>
        <w:t xml:space="preserve"> </w:t>
      </w:r>
      <w:r w:rsidRPr="00ED5285">
        <w:t>to provide quality advice to our government and Parliamentary colleagues to inform policy,</w:t>
      </w:r>
      <w:r w:rsidR="00665006">
        <w:t xml:space="preserve"> </w:t>
      </w:r>
      <w:r w:rsidRPr="00ED5285">
        <w:t xml:space="preserve">legislation and service delivery to our </w:t>
      </w:r>
      <w:r w:rsidR="009117C3">
        <w:t>clients</w:t>
      </w:r>
      <w:r w:rsidR="00665006">
        <w:t>, the FRC spent considerable time on contributing to government policy and committees of inquiry during the quarter.</w:t>
      </w:r>
    </w:p>
    <w:p w14:paraId="16E5D382" w14:textId="77777777" w:rsidR="00665006" w:rsidRDefault="00665006" w:rsidP="00023E90">
      <w:pPr>
        <w:ind w:left="-142" w:right="-425"/>
        <w:jc w:val="both"/>
      </w:pPr>
    </w:p>
    <w:p w14:paraId="491FA7A5" w14:textId="69770ACA" w:rsidR="00391960" w:rsidRPr="001462FF" w:rsidRDefault="00391960" w:rsidP="00124DB6">
      <w:pPr>
        <w:pStyle w:val="Heading2"/>
      </w:pPr>
      <w:r w:rsidRPr="001462FF">
        <w:t>Submission to the Department of Justice and Attorney-General on the Anti-Discrimination Bill 2024</w:t>
      </w:r>
    </w:p>
    <w:p w14:paraId="43BA26D4" w14:textId="77777777" w:rsidR="007721D1" w:rsidRDefault="007721D1" w:rsidP="007721D1">
      <w:pPr>
        <w:ind w:left="-142" w:right="-425"/>
        <w:jc w:val="both"/>
      </w:pPr>
      <w:r w:rsidRPr="00224AA8">
        <w:t xml:space="preserve">In September 2022, the Queensland Human Rights Commission released its report: </w:t>
      </w:r>
      <w:r w:rsidRPr="007721D1">
        <w:rPr>
          <w:i/>
          <w:iCs/>
        </w:rPr>
        <w:t>Building Belonging: Review of Queensland’s Anti-Discrimination Act 1991</w:t>
      </w:r>
      <w:r w:rsidRPr="00224AA8">
        <w:t>. In its response to the report, the Queensland Government recognised that there was a need for new anti-discrimination legislation to be introduced that reflects contemporary best practice and is in keeping with modern community expectations and standards of behaviour. Accordingly, in February 2024, the Department of Justice and Attorney-General released an exposure draft of a new Anti-Discrimination Bill 2024 and sought community input.</w:t>
      </w:r>
    </w:p>
    <w:p w14:paraId="09A5A807" w14:textId="77777777" w:rsidR="007721D1" w:rsidRPr="00224AA8" w:rsidRDefault="007721D1" w:rsidP="007721D1">
      <w:pPr>
        <w:ind w:left="-142" w:right="-425"/>
        <w:jc w:val="both"/>
      </w:pPr>
    </w:p>
    <w:p w14:paraId="577068F5" w14:textId="77777777" w:rsidR="007721D1" w:rsidRDefault="007721D1" w:rsidP="007721D1">
      <w:pPr>
        <w:ind w:left="-142" w:right="-425"/>
        <w:jc w:val="both"/>
      </w:pPr>
      <w:r w:rsidRPr="00224AA8">
        <w:t>On 2 April 2024, the FRC made a submission to the Department of Justice and Attorney-General expressing support for many of the reforms proposed in the Bill. However, the Commission raised some specific concerns with the proposed requirements for affirmative measures for racial substantive equality. The FRC recommended specific amendments to certain clauses of the draft Bill to address legal uncertainty, ambiguity, operational challenges, and the need for genuine consultation with First Nations people. The submission highlighted the Commission’s commitment to human rights, shared decision-making and the importance of considering the implications of the draft Bill particularly on remote First Nations communities.</w:t>
      </w:r>
    </w:p>
    <w:p w14:paraId="292A2499" w14:textId="77777777" w:rsidR="00665006" w:rsidRDefault="00665006" w:rsidP="007721D1">
      <w:pPr>
        <w:ind w:left="-142" w:right="-425"/>
        <w:jc w:val="both"/>
      </w:pPr>
    </w:p>
    <w:p w14:paraId="4B629A00" w14:textId="77777777" w:rsidR="00665006" w:rsidRPr="00CA34C2" w:rsidRDefault="00665006" w:rsidP="00124DB6">
      <w:pPr>
        <w:pStyle w:val="Heading2"/>
      </w:pPr>
      <w:r w:rsidRPr="00CA34C2">
        <w:t>Submission to the Australian Parliamentary Joint Committee on Human Rights Inquiry into Compulsory Income Management</w:t>
      </w:r>
    </w:p>
    <w:p w14:paraId="20BACD1D" w14:textId="77777777" w:rsidR="00665006" w:rsidRDefault="00665006" w:rsidP="00665006">
      <w:pPr>
        <w:ind w:left="-142" w:right="-425"/>
        <w:jc w:val="both"/>
      </w:pPr>
      <w:r w:rsidRPr="00224AA8">
        <w:t>The FRC was invited by the Australian Parliamentary Joint Committee on Human Rights (PJCHR) to make a submission to its inquiry into compulsory income management. The PJCHR sought input on issues including whether compulsory income management had been successful in achieving its stated aims, and the extent to which compulsory income management is consistent with international human rights law.</w:t>
      </w:r>
    </w:p>
    <w:p w14:paraId="395BA694" w14:textId="77777777" w:rsidR="00665006" w:rsidRPr="00224AA8" w:rsidRDefault="00665006" w:rsidP="00665006">
      <w:pPr>
        <w:ind w:left="-142" w:right="-425"/>
        <w:jc w:val="both"/>
      </w:pPr>
    </w:p>
    <w:p w14:paraId="0C125BD4" w14:textId="77777777" w:rsidR="00665006" w:rsidRPr="00224AA8" w:rsidRDefault="00665006" w:rsidP="00665006">
      <w:pPr>
        <w:ind w:left="-142" w:right="-425"/>
        <w:jc w:val="both"/>
      </w:pPr>
      <w:r w:rsidRPr="00224AA8">
        <w:t>The submission outlined that after 15 years of working with clients and their families the FRC recognises that income management alone cannot rectify the complex issues of trauma, poverty, addiction, child abuse and neglect and domestic and family violence experienced in our First Nations communities. However, the flexible, client-centred, and nuanced model of income management implemented by the FRC can provide protection and stability for households in crisis; can be an effective catalyst to encourage behavioural change; and can be a helpful and effective tool for financial management. The Commission submitted that the FRC’s model of income management limits human rights only to the extent that is reasonable and proportionate in individual circumstances, and it is necessary to protect the rights of children and other vulnerable people.</w:t>
      </w:r>
    </w:p>
    <w:p w14:paraId="3759823F" w14:textId="77777777" w:rsidR="00665006" w:rsidRDefault="00665006" w:rsidP="00665006">
      <w:pPr>
        <w:ind w:left="-142" w:right="-425"/>
        <w:jc w:val="both"/>
      </w:pPr>
    </w:p>
    <w:p w14:paraId="7FE6877F" w14:textId="77777777" w:rsidR="00665006" w:rsidRDefault="00665006" w:rsidP="00665006">
      <w:pPr>
        <w:ind w:left="-142" w:right="-425"/>
        <w:jc w:val="both"/>
      </w:pPr>
      <w:r>
        <w:t>The submission made the following recommendations:</w:t>
      </w:r>
    </w:p>
    <w:p w14:paraId="49E90075" w14:textId="77777777" w:rsidR="00665006" w:rsidRPr="0049725E" w:rsidRDefault="00665006" w:rsidP="003D582F">
      <w:pPr>
        <w:pStyle w:val="ListParagraph"/>
        <w:numPr>
          <w:ilvl w:val="0"/>
          <w:numId w:val="27"/>
        </w:numPr>
        <w:spacing w:line="288" w:lineRule="auto"/>
        <w:ind w:left="357" w:hanging="357"/>
        <w:rPr>
          <w:rFonts w:ascii="Verdana" w:hAnsi="Verdana"/>
          <w:sz w:val="20"/>
          <w:szCs w:val="20"/>
        </w:rPr>
      </w:pPr>
      <w:r w:rsidRPr="0049725E">
        <w:rPr>
          <w:rFonts w:ascii="Verdana" w:hAnsi="Verdana"/>
          <w:sz w:val="20"/>
          <w:szCs w:val="20"/>
        </w:rPr>
        <w:t>The PJCHR endorse the FRC model of income management, with its complementary case management approach to clients, as one that is compatible with human rights.</w:t>
      </w:r>
    </w:p>
    <w:p w14:paraId="0AC362F2" w14:textId="77777777" w:rsidR="00665006" w:rsidRPr="0049725E" w:rsidRDefault="00665006" w:rsidP="003D582F">
      <w:pPr>
        <w:pStyle w:val="ListParagraph"/>
        <w:numPr>
          <w:ilvl w:val="0"/>
          <w:numId w:val="27"/>
        </w:numPr>
        <w:spacing w:line="288" w:lineRule="auto"/>
        <w:ind w:left="357" w:hanging="357"/>
        <w:rPr>
          <w:rFonts w:ascii="Verdana" w:hAnsi="Verdana"/>
          <w:sz w:val="20"/>
          <w:szCs w:val="20"/>
        </w:rPr>
      </w:pPr>
      <w:r w:rsidRPr="0049725E">
        <w:rPr>
          <w:rFonts w:ascii="Verdana" w:hAnsi="Verdana"/>
          <w:sz w:val="20"/>
          <w:szCs w:val="20"/>
        </w:rPr>
        <w:t>The Australian Government continues to invest in the FRC and maintain its legislative and policy settings.</w:t>
      </w:r>
    </w:p>
    <w:p w14:paraId="04B79A9C" w14:textId="77777777" w:rsidR="00665006" w:rsidRPr="0049725E" w:rsidRDefault="00665006" w:rsidP="003D582F">
      <w:pPr>
        <w:pStyle w:val="ListParagraph"/>
        <w:numPr>
          <w:ilvl w:val="0"/>
          <w:numId w:val="27"/>
        </w:numPr>
        <w:spacing w:line="288" w:lineRule="auto"/>
        <w:ind w:left="357" w:hanging="357"/>
        <w:rPr>
          <w:rFonts w:ascii="Verdana" w:hAnsi="Verdana"/>
          <w:sz w:val="20"/>
          <w:szCs w:val="20"/>
        </w:rPr>
      </w:pPr>
      <w:r w:rsidRPr="0049725E">
        <w:rPr>
          <w:rFonts w:ascii="Verdana" w:hAnsi="Verdana"/>
          <w:sz w:val="20"/>
          <w:szCs w:val="20"/>
        </w:rPr>
        <w:lastRenderedPageBreak/>
        <w:t>The Australian Government supports the FRC to administer its model of voluntary income management to interested persons across Queensland and considers greater flexibility and autonomy to participants in deciding the percentage to be voluntarily quarantined.</w:t>
      </w:r>
    </w:p>
    <w:p w14:paraId="12B30B19" w14:textId="77777777" w:rsidR="00665006" w:rsidRPr="0049725E" w:rsidRDefault="00665006" w:rsidP="003D582F">
      <w:pPr>
        <w:pStyle w:val="ListParagraph"/>
        <w:numPr>
          <w:ilvl w:val="0"/>
          <w:numId w:val="27"/>
        </w:numPr>
        <w:spacing w:line="288" w:lineRule="auto"/>
        <w:ind w:left="357" w:hanging="357"/>
        <w:rPr>
          <w:rFonts w:ascii="Verdana" w:hAnsi="Verdana"/>
          <w:sz w:val="20"/>
          <w:szCs w:val="20"/>
        </w:rPr>
      </w:pPr>
      <w:r w:rsidRPr="0049725E">
        <w:rPr>
          <w:rFonts w:ascii="Verdana" w:hAnsi="Verdana"/>
          <w:sz w:val="20"/>
          <w:szCs w:val="20"/>
        </w:rPr>
        <w:t>The Australian Government continues to invest in support services, and employment and training opportunities, in the five remote communities in which the FRC operates, that are effective and responsive to the evolving needs and aspirations of community members.</w:t>
      </w:r>
    </w:p>
    <w:p w14:paraId="5FBF8DD1" w14:textId="77777777" w:rsidR="00665006" w:rsidRPr="00EA4968" w:rsidRDefault="00665006" w:rsidP="00665006">
      <w:pPr>
        <w:ind w:left="-142" w:right="-425"/>
        <w:jc w:val="both"/>
      </w:pPr>
    </w:p>
    <w:p w14:paraId="5062094F" w14:textId="77777777" w:rsidR="009117C3" w:rsidRDefault="00665006" w:rsidP="00124DB6">
      <w:pPr>
        <w:pStyle w:val="Heading2"/>
      </w:pPr>
      <w:r w:rsidRPr="00EA4968">
        <w:t>Submissions to the Queensland Parliament regarding the operationalisation of the FRC’s ‘Childrens Court trigger’</w:t>
      </w:r>
    </w:p>
    <w:p w14:paraId="00835067" w14:textId="45E8515B" w:rsidR="00665006" w:rsidRPr="00665006" w:rsidRDefault="00665006" w:rsidP="003D582F">
      <w:pPr>
        <w:ind w:left="-142" w:right="-425"/>
        <w:jc w:val="both"/>
      </w:pPr>
      <w:r>
        <w:t xml:space="preserve">During </w:t>
      </w:r>
      <w:r w:rsidR="009117C3">
        <w:t>q</w:t>
      </w:r>
      <w:r>
        <w:t>uarter 64, the FRC made two detailed submissions to the Queensland Parliament</w:t>
      </w:r>
      <w:r w:rsidR="009117C3">
        <w:t xml:space="preserve">. </w:t>
      </w:r>
      <w:r w:rsidRPr="00665006">
        <w:t>On 15 March 2024 the FRC lodged a submission to the Queensland Government’s Youth Justice Reform Select (YJRS) Committee’s inquiry into ongoing reforms to the youth justice system and support for victims of crime.</w:t>
      </w:r>
    </w:p>
    <w:p w14:paraId="48B03EE2" w14:textId="77777777" w:rsidR="00665006" w:rsidRPr="00665006" w:rsidRDefault="00665006" w:rsidP="00665006">
      <w:pPr>
        <w:ind w:left="-142" w:right="-425"/>
        <w:jc w:val="both"/>
      </w:pPr>
    </w:p>
    <w:p w14:paraId="0306FF11" w14:textId="77777777" w:rsidR="00665006" w:rsidRPr="00665006" w:rsidRDefault="00665006" w:rsidP="00665006">
      <w:pPr>
        <w:ind w:left="-142" w:right="-425"/>
        <w:jc w:val="both"/>
      </w:pPr>
      <w:r w:rsidRPr="00665006">
        <w:t>In mid-April 2024, the YJRS Committee released its draft interim report. Recommendation 11 specifically related to the FRC and amending the FRC Act per the Commission’s submission:</w:t>
      </w:r>
    </w:p>
    <w:p w14:paraId="3E73E0C7" w14:textId="77777777" w:rsidR="00665006" w:rsidRPr="00665006" w:rsidRDefault="00665006" w:rsidP="003D582F">
      <w:pPr>
        <w:ind w:left="720" w:right="-425"/>
        <w:jc w:val="both"/>
        <w:rPr>
          <w:i/>
          <w:iCs/>
        </w:rPr>
      </w:pPr>
      <w:r w:rsidRPr="00665006">
        <w:rPr>
          <w:i/>
          <w:iCs/>
        </w:rPr>
        <w:t>‘That the Queensland Government consider introducing legislation seeking to operationalise the ‘Childrens Court Trigger’ in accordance with section 43(2) of the Family Responsibilities Commission Act 2008, to enable the Childrens Court to provide court advice notices to the Family Responsibilities Commission in relation to a child or young person who has been convicted of an offence.’</w:t>
      </w:r>
    </w:p>
    <w:p w14:paraId="7E831592" w14:textId="77777777" w:rsidR="00665006" w:rsidRPr="00665006" w:rsidRDefault="00665006" w:rsidP="00665006">
      <w:pPr>
        <w:ind w:left="-142" w:right="-425"/>
        <w:jc w:val="both"/>
      </w:pPr>
    </w:p>
    <w:p w14:paraId="26405E1E" w14:textId="77777777" w:rsidR="00665006" w:rsidRPr="00665006" w:rsidRDefault="00665006" w:rsidP="00665006">
      <w:pPr>
        <w:ind w:left="-142" w:right="-425"/>
        <w:jc w:val="both"/>
      </w:pPr>
      <w:r w:rsidRPr="00665006">
        <w:t>On 1 May 2024, the Queensland Government tabled in Parliament its response to the YJRS Committee, including its response to recommendation 11 specifically in relation to the FRC.</w:t>
      </w:r>
    </w:p>
    <w:p w14:paraId="0E677D3E" w14:textId="77777777" w:rsidR="00665006" w:rsidRPr="00665006" w:rsidRDefault="00665006" w:rsidP="003D582F">
      <w:pPr>
        <w:ind w:left="720" w:right="-425"/>
        <w:jc w:val="both"/>
      </w:pPr>
      <w:r w:rsidRPr="00665006">
        <w:rPr>
          <w:i/>
          <w:iCs/>
        </w:rPr>
        <w:t>‘This matter has been considered by the Family Responsibilities Board and is now under further consideration by the Department of Youth Justice. This issue requires further policy analysis and consultation with impacted communities prior to consideration of legislative amendments.’</w:t>
      </w:r>
    </w:p>
    <w:p w14:paraId="333C6CEB" w14:textId="77777777" w:rsidR="00665006" w:rsidRPr="00665006" w:rsidRDefault="00665006" w:rsidP="00665006">
      <w:pPr>
        <w:ind w:left="-142" w:right="-425"/>
        <w:jc w:val="both"/>
      </w:pPr>
    </w:p>
    <w:p w14:paraId="705FFE9E" w14:textId="1802C0D1" w:rsidR="00665006" w:rsidRDefault="00665006" w:rsidP="00665006">
      <w:pPr>
        <w:ind w:left="-142" w:right="-425"/>
        <w:jc w:val="both"/>
      </w:pPr>
      <w:r w:rsidRPr="00665006">
        <w:t>On 16 May 2024, the FRC made a further submission to the Community Safety and Legal Affairs Committee which has the responsibility of examining the Queensland Community Safety Bill. The FRC’s recommendations can be summarised as follows:</w:t>
      </w:r>
    </w:p>
    <w:p w14:paraId="38154B18" w14:textId="2B1417CB" w:rsidR="003D582F" w:rsidRDefault="003D582F" w:rsidP="003D582F">
      <w:pPr>
        <w:pStyle w:val="ListParagraph"/>
        <w:numPr>
          <w:ilvl w:val="0"/>
          <w:numId w:val="29"/>
        </w:numPr>
        <w:spacing w:line="288" w:lineRule="auto"/>
        <w:ind w:left="572" w:right="-425" w:hanging="357"/>
        <w:jc w:val="both"/>
      </w:pPr>
      <w:r>
        <w:t xml:space="preserve">The </w:t>
      </w:r>
      <w:r w:rsidRPr="003D582F">
        <w:rPr>
          <w:rFonts w:ascii="Verdana" w:hAnsi="Verdana" w:cs="Arial"/>
          <w:sz w:val="20"/>
          <w:szCs w:val="20"/>
        </w:rPr>
        <w:t>Queensland Government reconsiders its response to the YJRS Committee’s draft interim report, specifically in relation to recommendation 11 as it relates to the Family Responsibilities Commission; and</w:t>
      </w:r>
    </w:p>
    <w:p w14:paraId="337D825C" w14:textId="0AEF4EBE" w:rsidR="003D582F" w:rsidRDefault="003D582F" w:rsidP="003D582F">
      <w:pPr>
        <w:pStyle w:val="ListParagraph"/>
        <w:numPr>
          <w:ilvl w:val="0"/>
          <w:numId w:val="29"/>
        </w:numPr>
        <w:spacing w:line="288" w:lineRule="auto"/>
        <w:ind w:left="572" w:right="-425" w:hanging="357"/>
        <w:jc w:val="both"/>
      </w:pPr>
      <w:r>
        <w:t xml:space="preserve">The </w:t>
      </w:r>
      <w:r w:rsidRPr="003D582F">
        <w:rPr>
          <w:rFonts w:ascii="Verdana" w:hAnsi="Verdana" w:cs="Arial"/>
          <w:sz w:val="20"/>
          <w:szCs w:val="20"/>
        </w:rPr>
        <w:t>Queensland Community Safety Bill 2024 be amended so that the Family Responsibilities Commission can operationalise its existing power to receive notices from the Childrens Court.</w:t>
      </w:r>
    </w:p>
    <w:p w14:paraId="3ED62330" w14:textId="77777777" w:rsidR="00665006" w:rsidRPr="00665006" w:rsidRDefault="00665006" w:rsidP="00665006">
      <w:pPr>
        <w:ind w:left="-142" w:right="-425"/>
        <w:jc w:val="both"/>
      </w:pPr>
    </w:p>
    <w:p w14:paraId="6BE92D5B" w14:textId="4125CB6E" w:rsidR="00D2259E" w:rsidRDefault="00665006" w:rsidP="00665006">
      <w:pPr>
        <w:ind w:left="-142" w:right="-425"/>
        <w:jc w:val="both"/>
      </w:pPr>
      <w:r w:rsidRPr="00665006">
        <w:t>The submission sought further consideration by both the Queensland Government and Parliament of progressing urgent amendments to the FRC Act.</w:t>
      </w:r>
    </w:p>
    <w:p w14:paraId="7E75D9F5" w14:textId="77777777" w:rsidR="00D2259E" w:rsidRDefault="00D2259E" w:rsidP="00665006">
      <w:pPr>
        <w:ind w:left="-142" w:right="-425"/>
        <w:jc w:val="both"/>
      </w:pPr>
    </w:p>
    <w:p w14:paraId="3810D11D" w14:textId="4C52AF90" w:rsidR="00665006" w:rsidRPr="00665006" w:rsidRDefault="00665006" w:rsidP="00665006">
      <w:pPr>
        <w:ind w:left="-142" w:right="-425"/>
        <w:jc w:val="both"/>
      </w:pPr>
      <w:r>
        <w:t xml:space="preserve">The Commission is pleased to report that the requested legislative changes have since been passed as part of the </w:t>
      </w:r>
      <w:r w:rsidRPr="003D582F">
        <w:rPr>
          <w:i/>
          <w:iCs/>
        </w:rPr>
        <w:t>Queensland Community Safety Act 2024</w:t>
      </w:r>
      <w:r>
        <w:t xml:space="preserve">. Further information about the </w:t>
      </w:r>
      <w:r w:rsidR="00D2259E">
        <w:t xml:space="preserve">passage of the legislation and the FRC’s implementation plan will be provided in the next </w:t>
      </w:r>
      <w:r w:rsidR="003D582F">
        <w:t>q</w:t>
      </w:r>
      <w:r w:rsidR="00D2259E">
        <w:t xml:space="preserve">uarterly </w:t>
      </w:r>
      <w:r w:rsidR="003D582F">
        <w:t>r</w:t>
      </w:r>
      <w:r w:rsidR="00D2259E">
        <w:t>eport.</w:t>
      </w:r>
    </w:p>
    <w:p w14:paraId="4725E663" w14:textId="77777777" w:rsidR="00665006" w:rsidRPr="00224AA8" w:rsidRDefault="00665006" w:rsidP="007721D1">
      <w:pPr>
        <w:ind w:left="-142" w:right="-425"/>
        <w:jc w:val="both"/>
      </w:pPr>
    </w:p>
    <w:p w14:paraId="0B4D5E18" w14:textId="77777777" w:rsidR="003D582F" w:rsidRPr="003D582F" w:rsidRDefault="003D582F" w:rsidP="003D582F">
      <w:pPr>
        <w:ind w:left="-142" w:right="-425"/>
        <w:jc w:val="both"/>
      </w:pPr>
      <w:r>
        <w:br w:type="page"/>
      </w:r>
    </w:p>
    <w:p w14:paraId="52945104" w14:textId="120956A3" w:rsidR="00391960" w:rsidRPr="00C375EC" w:rsidRDefault="00391960" w:rsidP="00124DB6">
      <w:pPr>
        <w:pStyle w:val="Heading2"/>
      </w:pPr>
      <w:r w:rsidRPr="00C375EC">
        <w:lastRenderedPageBreak/>
        <w:t>Meeting with the Community Support and Services Committee</w:t>
      </w:r>
    </w:p>
    <w:p w14:paraId="1C5DA97D" w14:textId="77777777" w:rsidR="007721D1" w:rsidRDefault="007721D1" w:rsidP="007721D1">
      <w:pPr>
        <w:ind w:left="-142" w:right="-425"/>
        <w:jc w:val="both"/>
      </w:pPr>
      <w:r w:rsidRPr="00224AA8">
        <w:t>On 18 April 2024, by invitation, Commissioner Williams, Executive Officer (Corporate) Wayne Massey and Manager (Compliance and Legal Policy) Camille Banks appeared in person at a Public Briefing of the Community Support and Services Committee of the Queensland State Parliament. The purpose of the briefing was to assist the Committee with its oversight of the functions and performance of the Commission.</w:t>
      </w:r>
    </w:p>
    <w:p w14:paraId="4E91EC23" w14:textId="77777777" w:rsidR="007721D1" w:rsidRDefault="007721D1" w:rsidP="007721D1">
      <w:pPr>
        <w:ind w:left="-142" w:right="-425"/>
        <w:jc w:val="both"/>
      </w:pPr>
    </w:p>
    <w:p w14:paraId="76B4CECE" w14:textId="463A8876" w:rsidR="007721D1" w:rsidRPr="00224AA8" w:rsidRDefault="007721D1" w:rsidP="007721D1">
      <w:pPr>
        <w:ind w:left="-142" w:right="-425"/>
        <w:jc w:val="both"/>
      </w:pPr>
      <w:r w:rsidRPr="00224AA8">
        <w:t>At the briefing Commissioner Williams provided an update on:</w:t>
      </w:r>
    </w:p>
    <w:p w14:paraId="116EA48F" w14:textId="77777777" w:rsidR="007721D1" w:rsidRPr="00224AA8" w:rsidRDefault="007721D1" w:rsidP="003D582F">
      <w:pPr>
        <w:numPr>
          <w:ilvl w:val="0"/>
          <w:numId w:val="12"/>
        </w:numPr>
        <w:ind w:left="572" w:hanging="357"/>
      </w:pPr>
      <w:r w:rsidRPr="00224AA8">
        <w:t>the MoU for funding for three consecutive years resulting in continuity for Local Commissioner recruitment and employment</w:t>
      </w:r>
    </w:p>
    <w:p w14:paraId="5CABAED4" w14:textId="77777777" w:rsidR="007721D1" w:rsidRPr="00224AA8" w:rsidRDefault="007721D1" w:rsidP="003D582F">
      <w:pPr>
        <w:numPr>
          <w:ilvl w:val="0"/>
          <w:numId w:val="12"/>
        </w:numPr>
        <w:ind w:left="572" w:hanging="357"/>
      </w:pPr>
      <w:r w:rsidRPr="00224AA8">
        <w:t>Local Commissioner aging and gender balance issues; eligibility issues under the FRC Act and the difficulty of obtaining a blue card</w:t>
      </w:r>
    </w:p>
    <w:p w14:paraId="415EF3A7" w14:textId="77777777" w:rsidR="007721D1" w:rsidRPr="00224AA8" w:rsidRDefault="007721D1" w:rsidP="003D582F">
      <w:pPr>
        <w:numPr>
          <w:ilvl w:val="0"/>
          <w:numId w:val="12"/>
        </w:numPr>
        <w:ind w:left="572" w:hanging="357"/>
      </w:pPr>
      <w:r w:rsidRPr="00224AA8">
        <w:t>the importance of operationalising the Childrens Court trigger in the FRC Act</w:t>
      </w:r>
    </w:p>
    <w:p w14:paraId="72B61213" w14:textId="77777777" w:rsidR="007721D1" w:rsidRPr="00224AA8" w:rsidRDefault="007721D1" w:rsidP="003D582F">
      <w:pPr>
        <w:numPr>
          <w:ilvl w:val="0"/>
          <w:numId w:val="12"/>
        </w:numPr>
        <w:ind w:left="572" w:hanging="357"/>
      </w:pPr>
      <w:r w:rsidRPr="00224AA8">
        <w:t>the success of the ESR and resultant increase in school attendance data</w:t>
      </w:r>
    </w:p>
    <w:p w14:paraId="4DE05CE3" w14:textId="77777777" w:rsidR="007721D1" w:rsidRPr="00224AA8" w:rsidRDefault="007721D1" w:rsidP="003D582F">
      <w:pPr>
        <w:numPr>
          <w:ilvl w:val="0"/>
          <w:numId w:val="12"/>
        </w:numPr>
        <w:ind w:left="572" w:hanging="357"/>
      </w:pPr>
      <w:r w:rsidRPr="00224AA8">
        <w:t>the success of Client Engagement through VCPs and VIM</w:t>
      </w:r>
    </w:p>
    <w:p w14:paraId="33583F37" w14:textId="77777777" w:rsidR="007721D1" w:rsidRPr="00224AA8" w:rsidRDefault="007721D1" w:rsidP="003D582F">
      <w:pPr>
        <w:numPr>
          <w:ilvl w:val="0"/>
          <w:numId w:val="12"/>
        </w:numPr>
        <w:ind w:left="572" w:hanging="357"/>
      </w:pPr>
      <w:r w:rsidRPr="00224AA8">
        <w:t>capacity issues for service providers with the increased demand for their services.</w:t>
      </w:r>
    </w:p>
    <w:p w14:paraId="43EFBA5D" w14:textId="77777777" w:rsidR="007721D1" w:rsidRPr="00916C57" w:rsidRDefault="007721D1" w:rsidP="00916C57">
      <w:pPr>
        <w:ind w:left="-142" w:right="-425"/>
        <w:jc w:val="both"/>
      </w:pPr>
    </w:p>
    <w:p w14:paraId="6DD7A4E8" w14:textId="77777777" w:rsidR="00C41210" w:rsidRPr="00D9525D" w:rsidRDefault="00C41210" w:rsidP="00124DB6">
      <w:pPr>
        <w:pStyle w:val="Heading2"/>
      </w:pPr>
      <w:r w:rsidRPr="00D9525D">
        <w:t>Registrar</w:t>
      </w:r>
    </w:p>
    <w:p w14:paraId="04DE4B73" w14:textId="7A8BA9A3" w:rsidR="00C41210" w:rsidRDefault="007721D1" w:rsidP="00C41210">
      <w:pPr>
        <w:ind w:left="-142" w:right="-425"/>
        <w:jc w:val="both"/>
      </w:pPr>
      <w:r w:rsidRPr="00224AA8">
        <w:t xml:space="preserve">In early 2023 the Commission’s then Registrar, Maxine McLeod, indicated her intention to take long service leave later in the year. The position of Registrar is an essential role, provided for by the </w:t>
      </w:r>
      <w:r w:rsidRPr="00224AA8">
        <w:rPr>
          <w:i/>
          <w:iCs/>
        </w:rPr>
        <w:t>Family Responsibilities Commission Act 2008</w:t>
      </w:r>
      <w:r w:rsidRPr="00224AA8">
        <w:t>, and is responsible for managing the registry and the administrative affairs of the Commission</w:t>
      </w:r>
      <w:r w:rsidR="00C41210" w:rsidRPr="00FB51D8">
        <w:t>.</w:t>
      </w:r>
      <w:r w:rsidR="00C41210" w:rsidRPr="00193A27">
        <w:rPr>
          <w:vertAlign w:val="superscript"/>
        </w:rPr>
        <w:footnoteReference w:id="22"/>
      </w:r>
    </w:p>
    <w:p w14:paraId="5F01354B" w14:textId="77777777" w:rsidR="00C41210" w:rsidRPr="00FB51D8" w:rsidRDefault="00C41210" w:rsidP="00C41210">
      <w:pPr>
        <w:ind w:left="-142" w:right="-425"/>
        <w:jc w:val="both"/>
      </w:pPr>
    </w:p>
    <w:p w14:paraId="1C34D03D" w14:textId="5EF022E9" w:rsidR="007721D1" w:rsidRPr="00224AA8" w:rsidRDefault="007721D1" w:rsidP="007721D1">
      <w:pPr>
        <w:ind w:left="-142" w:right="-425"/>
        <w:jc w:val="both"/>
      </w:pPr>
      <w:r w:rsidRPr="00224AA8">
        <w:t xml:space="preserve">It has been an important consideration of the </w:t>
      </w:r>
      <w:r w:rsidR="00BF7217">
        <w:t>Executive Management Team (</w:t>
      </w:r>
      <w:r w:rsidRPr="00224AA8">
        <w:t>EMT</w:t>
      </w:r>
      <w:r w:rsidR="00BF7217">
        <w:t>)</w:t>
      </w:r>
      <w:r w:rsidRPr="00224AA8">
        <w:t xml:space="preserve"> to ensure the FRC continued to maintain efficient and effective operations throughout the Registrar’s period of leave.</w:t>
      </w:r>
    </w:p>
    <w:p w14:paraId="1241BCA2" w14:textId="77777777" w:rsidR="00C41210" w:rsidRPr="00FB51D8" w:rsidRDefault="00C41210" w:rsidP="00C41210">
      <w:pPr>
        <w:ind w:left="-142" w:right="-425"/>
        <w:jc w:val="both"/>
      </w:pPr>
    </w:p>
    <w:p w14:paraId="337562B4" w14:textId="77777777" w:rsidR="007721D1" w:rsidRDefault="007721D1" w:rsidP="007721D1">
      <w:pPr>
        <w:ind w:left="-142" w:right="-425"/>
        <w:jc w:val="both"/>
      </w:pPr>
      <w:r w:rsidRPr="00224AA8">
        <w:t>Maxine’s length of tenure in the role has meant the FRC has enjoyed some stability in its administration whilst there have been periods of uncertainty including a change of Commissioner/CEO. Recruiting an acting Registrar therefore required careful management and succession planning over many months.</w:t>
      </w:r>
    </w:p>
    <w:p w14:paraId="58A96D0A" w14:textId="77777777" w:rsidR="007721D1" w:rsidRPr="00224AA8" w:rsidRDefault="007721D1" w:rsidP="007721D1">
      <w:pPr>
        <w:ind w:left="-142" w:right="-425"/>
        <w:jc w:val="both"/>
      </w:pPr>
    </w:p>
    <w:p w14:paraId="39585BD9" w14:textId="77777777" w:rsidR="007721D1" w:rsidRPr="00224AA8" w:rsidRDefault="007721D1" w:rsidP="007721D1">
      <w:pPr>
        <w:ind w:left="-142" w:right="-425"/>
        <w:jc w:val="both"/>
      </w:pPr>
      <w:r w:rsidRPr="00224AA8">
        <w:t>Following an external recruitment process Helen Weedon was appointed acting Registrar in July 2023 for a period of 12 months. Maxine assisted with Helen’s onboarding in the weeks following her commencement. These strategies helped to maintain the Commission’s high standards of operations and business continuity.</w:t>
      </w:r>
    </w:p>
    <w:p w14:paraId="36261476" w14:textId="77777777" w:rsidR="00C41210" w:rsidRPr="00FB51D8" w:rsidRDefault="00C41210" w:rsidP="00C41210">
      <w:pPr>
        <w:ind w:left="-142" w:right="-425"/>
        <w:jc w:val="both"/>
      </w:pPr>
    </w:p>
    <w:p w14:paraId="0E769538" w14:textId="77777777" w:rsidR="007721D1" w:rsidRDefault="007721D1" w:rsidP="007721D1">
      <w:pPr>
        <w:ind w:left="-142" w:right="-425"/>
        <w:jc w:val="both"/>
      </w:pPr>
      <w:r w:rsidRPr="00224AA8">
        <w:t>At the conclusion of her leave in June 2024 Maxine gave notice of her intention to resign from the Registrar’s position. As of 1 July 2024, Helen Weedon was permanently appointed Registrar on a fulltime basis. The EMT is pleased Helen has agreed to continue working at the Commission after the expiry of her temporary contract. The EMT notes that in a relatively short period of time Helen has already made a positive impact on the Commission’s operations which has contributed to improved client outcomes.</w:t>
      </w:r>
    </w:p>
    <w:p w14:paraId="7403729D" w14:textId="77777777" w:rsidR="007721D1" w:rsidRPr="00224AA8" w:rsidRDefault="007721D1" w:rsidP="007721D1">
      <w:pPr>
        <w:ind w:left="-142" w:right="-425"/>
        <w:jc w:val="both"/>
      </w:pPr>
    </w:p>
    <w:p w14:paraId="76474A0D" w14:textId="77777777" w:rsidR="007721D1" w:rsidRPr="00224AA8" w:rsidRDefault="007721D1" w:rsidP="007721D1">
      <w:pPr>
        <w:ind w:left="-142" w:right="-425"/>
        <w:jc w:val="both"/>
      </w:pPr>
      <w:r w:rsidRPr="00224AA8">
        <w:t>The Commission extends sincere thanks to Maxine for her years of service, dedication and commitment to the FRC. As one of the longest serving members of FRC staff Maxine has developed enduring relationships with Local Commissioners, partners and staff and has been an extremely capable steward of the FRC’s operations through periods of instability, allowing the organisation and its staff to flourish.</w:t>
      </w:r>
    </w:p>
    <w:p w14:paraId="6106D425" w14:textId="77777777" w:rsidR="00D2259E" w:rsidRDefault="00D2259E" w:rsidP="00EA4968">
      <w:pPr>
        <w:ind w:left="-142" w:right="-425"/>
        <w:jc w:val="both"/>
      </w:pPr>
    </w:p>
    <w:p w14:paraId="0BE3CF4E" w14:textId="77777777" w:rsidR="003D582F" w:rsidRPr="003D582F" w:rsidRDefault="003D582F" w:rsidP="003D582F">
      <w:pPr>
        <w:ind w:left="-142" w:right="-425"/>
        <w:jc w:val="both"/>
      </w:pPr>
      <w:r>
        <w:br w:type="page"/>
      </w:r>
    </w:p>
    <w:p w14:paraId="3D4DD274" w14:textId="4AE69B62" w:rsidR="00B63804" w:rsidRDefault="00B63804" w:rsidP="00124DB6">
      <w:pPr>
        <w:pStyle w:val="Heading2"/>
      </w:pPr>
      <w:r>
        <w:lastRenderedPageBreak/>
        <w:t>Office space and workforce capacity</w:t>
      </w:r>
    </w:p>
    <w:p w14:paraId="7CB8FFE6" w14:textId="77777777" w:rsidR="007721D1" w:rsidRDefault="007721D1" w:rsidP="007721D1">
      <w:pPr>
        <w:ind w:left="-142" w:right="-425"/>
        <w:jc w:val="both"/>
      </w:pPr>
      <w:r w:rsidRPr="00224AA8">
        <w:t xml:space="preserve">The FRC’s </w:t>
      </w:r>
      <w:r>
        <w:t>r</w:t>
      </w:r>
      <w:r w:rsidRPr="00224AA8">
        <w:t>egistry in Cairns has occupied the same premises since 2008. The Commission’s workforce has grown in recent years in response to an increase in workloads and operational activities due to evolving client needs. The premises does not adequately address the FRC’s unique and specific service delivery needs. Years of short-term funding commitments meant the Commission was not able to consider alternative premises or commit to a refurbishment of existing accommodation. The relative stability now provided by the Queensland and Australian governments’ decision to fund the Commission’s operations at ‘full capacity’ for three-years means the EMT is finally able to address these issues.</w:t>
      </w:r>
    </w:p>
    <w:p w14:paraId="674156F9" w14:textId="77777777" w:rsidR="007721D1" w:rsidRPr="00224AA8" w:rsidRDefault="007721D1" w:rsidP="007721D1">
      <w:pPr>
        <w:ind w:left="-142" w:right="-425"/>
        <w:jc w:val="both"/>
      </w:pPr>
    </w:p>
    <w:p w14:paraId="603E25C5" w14:textId="77777777" w:rsidR="007721D1" w:rsidRPr="00224AA8" w:rsidRDefault="007721D1" w:rsidP="007721D1">
      <w:pPr>
        <w:ind w:left="-142" w:right="-425"/>
        <w:jc w:val="both"/>
      </w:pPr>
      <w:r w:rsidRPr="00224AA8">
        <w:t>As a public sector entity, the FRC is required to submit a Request for Accommodation application to the Department of Housing, Local Government and Public Works. While the application progresses through the assessment phase, the FRC will also explore other interim measures such as reconfiguring its existing premises to try to reduce existing pressures on current service delivery needs.</w:t>
      </w:r>
    </w:p>
    <w:p w14:paraId="4E2F5DA3" w14:textId="77777777" w:rsidR="00B63804" w:rsidRDefault="00B63804" w:rsidP="0049725E">
      <w:pPr>
        <w:ind w:left="-142" w:right="-425"/>
        <w:jc w:val="both"/>
      </w:pPr>
    </w:p>
    <w:p w14:paraId="30AB5633" w14:textId="6CA19EC9" w:rsidR="00241C79" w:rsidRDefault="00241C79">
      <w:pPr>
        <w:spacing w:line="240" w:lineRule="auto"/>
      </w:pPr>
      <w:r>
        <w:br w:type="page"/>
      </w:r>
    </w:p>
    <w:p w14:paraId="59FA8724" w14:textId="55F36592" w:rsidR="005A5B78" w:rsidRPr="00E34093" w:rsidRDefault="005A5B78" w:rsidP="005A5B78">
      <w:pPr>
        <w:pStyle w:val="Heading1"/>
        <w:ind w:left="-142" w:right="-426"/>
      </w:pPr>
      <w:bookmarkStart w:id="39" w:name="RANGE!A4:I20"/>
      <w:bookmarkStart w:id="40" w:name="_Toc39657993"/>
      <w:bookmarkEnd w:id="37"/>
      <w:bookmarkEnd w:id="38"/>
      <w:bookmarkEnd w:id="39"/>
      <w:r w:rsidRPr="00E34093">
        <w:lastRenderedPageBreak/>
        <w:t xml:space="preserve">3.  </w:t>
      </w:r>
      <w:r w:rsidR="000541CA">
        <w:t>Governance</w:t>
      </w:r>
      <w:bookmarkEnd w:id="40"/>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124DB6">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A6ACE3D" w14:textId="77777777" w:rsidR="005262F9" w:rsidRDefault="005262F9" w:rsidP="00FC008A">
      <w:pPr>
        <w:pStyle w:val="ListBullet"/>
        <w:ind w:left="2863" w:hanging="3005"/>
      </w:pPr>
      <w:r>
        <w:t>Ms Clare O’Connor</w:t>
      </w:r>
      <w:r w:rsidR="005A5B78" w:rsidRPr="00A42E2F">
        <w:tab/>
      </w:r>
      <w:r>
        <w:tab/>
      </w:r>
      <w:r w:rsidR="005A5B78" w:rsidRPr="00A42E2F">
        <w:t xml:space="preserve">Director-General, </w:t>
      </w:r>
      <w:r w:rsidRPr="005262F9">
        <w:t>Department of Treaty, Aboriginal and Torres Strait Islander Partnerships, Communities and the Arts</w:t>
      </w:r>
      <w:r>
        <w:t xml:space="preserve"> (Chair)</w:t>
      </w:r>
    </w:p>
    <w:p w14:paraId="53F6CEC1" w14:textId="1B7D2114" w:rsidR="00281E73" w:rsidRDefault="00B04535" w:rsidP="00FC008A">
      <w:pPr>
        <w:pStyle w:val="ListBullet"/>
        <w:ind w:left="2863" w:hanging="3005"/>
      </w:pPr>
      <w:r>
        <w:t>Ms Jody Broun</w:t>
      </w:r>
      <w:r w:rsidR="00A42E2F" w:rsidRPr="00A42E2F">
        <w:tab/>
      </w:r>
      <w:r w:rsidR="00A42E2F" w:rsidRPr="00A42E2F">
        <w:tab/>
      </w:r>
      <w:r>
        <w:t>CEO, National Indigenous Australians Agency</w:t>
      </w:r>
    </w:p>
    <w:p w14:paraId="1C4EBA4C" w14:textId="4434A087" w:rsidR="005262F9" w:rsidRPr="00A42E2F" w:rsidRDefault="005262F9" w:rsidP="005262F9">
      <w:pPr>
        <w:pStyle w:val="ListBullet"/>
        <w:ind w:left="2863" w:hanging="3005"/>
      </w:pPr>
      <w:r w:rsidRPr="00E34093">
        <w:t>Mr Noel Pearson</w:t>
      </w:r>
      <w:r w:rsidRPr="00A42E2F">
        <w:tab/>
      </w:r>
      <w:r w:rsidRPr="00A42E2F">
        <w:tab/>
      </w:r>
      <w:r>
        <w:t>Founder, Cape York Partnership representing the Cape York Institute.</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124DB6">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41" w:name="_Toc39657994"/>
      <w:r>
        <w:lastRenderedPageBreak/>
        <w:t>4</w:t>
      </w:r>
      <w:r w:rsidRPr="00E34093">
        <w:t>.  Financial Operations</w:t>
      </w:r>
      <w:bookmarkEnd w:id="41"/>
    </w:p>
    <w:p w14:paraId="3ABAF23C" w14:textId="77777777" w:rsidR="009637A0" w:rsidRPr="00E34093" w:rsidRDefault="009637A0" w:rsidP="005A5B78">
      <w:pPr>
        <w:ind w:left="-142" w:right="-425"/>
        <w:jc w:val="both"/>
        <w:rPr>
          <w:rFonts w:cs="Arial"/>
        </w:rPr>
      </w:pPr>
    </w:p>
    <w:p w14:paraId="5B9A8681" w14:textId="77777777" w:rsidR="00C2682B" w:rsidRPr="00BF1639" w:rsidRDefault="00C2682B" w:rsidP="00124DB6">
      <w:pPr>
        <w:pStyle w:val="Heading2"/>
      </w:pPr>
      <w:r w:rsidRPr="00BF1639">
        <w:t>Income:</w:t>
      </w:r>
    </w:p>
    <w:p w14:paraId="5226D79B" w14:textId="731E0CB4" w:rsidR="00C2682B" w:rsidRPr="00DF0816" w:rsidRDefault="00C2682B" w:rsidP="00C2682B">
      <w:pPr>
        <w:pStyle w:val="ListBullet"/>
        <w:ind w:left="215" w:hanging="357"/>
      </w:pPr>
      <w:r w:rsidRPr="00E66000">
        <w:t>Income of the Commission attributable to the quarter (</w:t>
      </w:r>
      <w:r w:rsidR="00BC09BB">
        <w:t xml:space="preserve">1 </w:t>
      </w:r>
      <w:r w:rsidR="00954B8D">
        <w:t xml:space="preserve">April </w:t>
      </w:r>
      <w:r w:rsidR="00BC09BB">
        <w:t>2024 to 3</w:t>
      </w:r>
      <w:r w:rsidR="00954B8D">
        <w:t xml:space="preserve">0 June </w:t>
      </w:r>
      <w:r w:rsidR="00BC09BB">
        <w:t>2024</w:t>
      </w:r>
      <w:r w:rsidRPr="00E66000">
        <w:t xml:space="preserve">) totalled </w:t>
      </w:r>
      <w:r w:rsidRPr="00DF0816">
        <w:t>$</w:t>
      </w:r>
      <w:r w:rsidR="00BA766D" w:rsidRPr="00DF0816">
        <w:t>1,</w:t>
      </w:r>
      <w:r w:rsidR="00DF0816" w:rsidRPr="00DF0816">
        <w:t>192,420</w:t>
      </w:r>
      <w:r w:rsidRPr="00DF0816">
        <w:t>. This income consisted of:</w:t>
      </w:r>
    </w:p>
    <w:p w14:paraId="372A3FDC" w14:textId="3577833D" w:rsidR="00C2682B" w:rsidRPr="00DF0816" w:rsidRDefault="00C2682B" w:rsidP="00C2682B">
      <w:pPr>
        <w:pStyle w:val="ListBullet2"/>
      </w:pPr>
      <w:r w:rsidRPr="00DF0816">
        <w:t>$</w:t>
      </w:r>
      <w:r w:rsidR="000566AA" w:rsidRPr="00DF0816">
        <w:t>641,250</w:t>
      </w:r>
      <w:r w:rsidRPr="00DF0816">
        <w:t xml:space="preserve"> Queensland Government funding</w:t>
      </w:r>
    </w:p>
    <w:p w14:paraId="6AE099A2" w14:textId="2F478800" w:rsidR="00C2682B" w:rsidRPr="00DF0816" w:rsidRDefault="00C2682B" w:rsidP="00C2682B">
      <w:pPr>
        <w:pStyle w:val="ListBullet2"/>
      </w:pPr>
      <w:r w:rsidRPr="00DF0816">
        <w:t>$</w:t>
      </w:r>
      <w:r w:rsidR="00E66000" w:rsidRPr="00DF0816">
        <w:t>500,00</w:t>
      </w:r>
      <w:r w:rsidR="00DF0816" w:rsidRPr="00DF0816">
        <w:t>3</w:t>
      </w:r>
      <w:r w:rsidRPr="00DF0816">
        <w:t xml:space="preserve"> Australian Government funding</w:t>
      </w:r>
    </w:p>
    <w:p w14:paraId="4572DD54" w14:textId="1E7FFDB7" w:rsidR="00C2682B" w:rsidRPr="00DF0816" w:rsidRDefault="00C2682B" w:rsidP="00C2682B">
      <w:pPr>
        <w:pStyle w:val="ListBullet2"/>
      </w:pPr>
      <w:r w:rsidRPr="00DF0816">
        <w:t>$</w:t>
      </w:r>
      <w:r w:rsidR="00DF0816" w:rsidRPr="00DF0816">
        <w:t>51,149</w:t>
      </w:r>
      <w:r w:rsidRPr="00DF0816">
        <w:t xml:space="preserve"> interest received</w:t>
      </w:r>
    </w:p>
    <w:p w14:paraId="62A1B48F" w14:textId="670D646A" w:rsidR="00C2682B" w:rsidRPr="00E66000" w:rsidRDefault="00C2682B" w:rsidP="00C2682B">
      <w:pPr>
        <w:pStyle w:val="ListBullet2"/>
      </w:pPr>
      <w:r w:rsidRPr="00DF0816">
        <w:t>$</w:t>
      </w:r>
      <w:r w:rsidR="00DF0816" w:rsidRPr="00DF0816">
        <w:t>18</w:t>
      </w:r>
      <w:r w:rsidR="00BA766D" w:rsidRPr="00DF0816">
        <w:t xml:space="preserve"> </w:t>
      </w:r>
      <w:r w:rsidRPr="00DF0816">
        <w:t>sundry</w:t>
      </w:r>
      <w:r w:rsidRPr="00E66000">
        <w:t xml:space="preserve"> income.</w:t>
      </w:r>
    </w:p>
    <w:p w14:paraId="7098B201" w14:textId="77777777" w:rsidR="00C2682B" w:rsidRDefault="00C2682B" w:rsidP="00C2682B">
      <w:pPr>
        <w:ind w:left="-142" w:right="-425"/>
        <w:jc w:val="both"/>
        <w:rPr>
          <w:rFonts w:cs="Arial"/>
        </w:rPr>
      </w:pPr>
    </w:p>
    <w:p w14:paraId="2CF1CB52" w14:textId="5FE3F4F4" w:rsidR="00C2682B" w:rsidRPr="00E66000" w:rsidRDefault="00C2682B" w:rsidP="00C2682B">
      <w:pPr>
        <w:ind w:left="-142" w:right="-425"/>
        <w:jc w:val="both"/>
        <w:rPr>
          <w:rFonts w:cs="Arial"/>
        </w:rPr>
      </w:pPr>
      <w:r w:rsidRPr="0073709D">
        <w:rPr>
          <w:rFonts w:cs="Arial"/>
        </w:rPr>
        <w:t xml:space="preserve">The balance of available funds in the bank as at </w:t>
      </w:r>
      <w:r>
        <w:rPr>
          <w:rFonts w:cs="Arial"/>
        </w:rPr>
        <w:t>3</w:t>
      </w:r>
      <w:r w:rsidR="00954B8D">
        <w:rPr>
          <w:rFonts w:cs="Arial"/>
        </w:rPr>
        <w:t xml:space="preserve">0 June </w:t>
      </w:r>
      <w:r>
        <w:rPr>
          <w:rFonts w:cs="Arial"/>
        </w:rPr>
        <w:t>202</w:t>
      </w:r>
      <w:r w:rsidR="0063631A">
        <w:rPr>
          <w:rFonts w:cs="Arial"/>
        </w:rPr>
        <w:t>4</w:t>
      </w:r>
      <w:r w:rsidRPr="0073709D">
        <w:rPr>
          <w:rFonts w:cs="Arial"/>
        </w:rPr>
        <w:t xml:space="preserve"> </w:t>
      </w:r>
      <w:r w:rsidRPr="008E6DBA">
        <w:rPr>
          <w:rFonts w:cs="Arial"/>
        </w:rPr>
        <w:t xml:space="preserve">is </w:t>
      </w:r>
      <w:r w:rsidRPr="00E66000">
        <w:rPr>
          <w:rFonts w:cs="Arial"/>
        </w:rPr>
        <w:t>$</w:t>
      </w:r>
      <w:r w:rsidR="00B001D4">
        <w:rPr>
          <w:rFonts w:cs="Arial"/>
        </w:rPr>
        <w:t>3,807,840</w:t>
      </w:r>
      <w:r w:rsidRPr="00E66000">
        <w:rPr>
          <w:rFonts w:cs="Arial"/>
        </w:rPr>
        <w:t>.</w:t>
      </w:r>
    </w:p>
    <w:p w14:paraId="5311E579" w14:textId="77777777" w:rsidR="00C2682B" w:rsidRPr="00E66000" w:rsidRDefault="00C2682B" w:rsidP="00C2682B">
      <w:pPr>
        <w:ind w:left="-142" w:right="-425"/>
        <w:jc w:val="both"/>
        <w:rPr>
          <w:rFonts w:cs="Arial"/>
        </w:rPr>
      </w:pPr>
    </w:p>
    <w:p w14:paraId="709D473E" w14:textId="77777777" w:rsidR="00C2682B" w:rsidRPr="00E66000" w:rsidRDefault="00C2682B" w:rsidP="00124DB6">
      <w:pPr>
        <w:pStyle w:val="Heading2"/>
      </w:pPr>
      <w:r w:rsidRPr="00E66000">
        <w:t>Expenditure:</w:t>
      </w:r>
    </w:p>
    <w:p w14:paraId="5CC31221" w14:textId="7D785E42" w:rsidR="00C2682B" w:rsidRPr="00E66000" w:rsidRDefault="00C2682B" w:rsidP="00C2682B">
      <w:pPr>
        <w:pStyle w:val="ListBullet"/>
        <w:ind w:left="2863" w:hanging="3005"/>
      </w:pPr>
      <w:r w:rsidRPr="00E66000">
        <w:t>Expenditure for the quarter (</w:t>
      </w:r>
      <w:r w:rsidR="00BC09BB">
        <w:t xml:space="preserve">1 </w:t>
      </w:r>
      <w:r w:rsidR="00954B8D">
        <w:t xml:space="preserve">April </w:t>
      </w:r>
      <w:r w:rsidR="00BC09BB">
        <w:t>2024 to 3</w:t>
      </w:r>
      <w:r w:rsidR="00954B8D">
        <w:t xml:space="preserve">0 June </w:t>
      </w:r>
      <w:r w:rsidR="00BC09BB">
        <w:t>2024</w:t>
      </w:r>
      <w:r w:rsidRPr="00E66000">
        <w:t>) was $</w:t>
      </w:r>
      <w:r w:rsidR="00B001D4">
        <w:t>1,066,124</w:t>
      </w:r>
      <w:r w:rsidRPr="00E66000">
        <w:t>.</w:t>
      </w:r>
    </w:p>
    <w:p w14:paraId="4555CA86" w14:textId="07475910" w:rsidR="00D840DE" w:rsidRDefault="00D840DE" w:rsidP="009F0A67">
      <w:pPr>
        <w:ind w:left="-142" w:right="-425"/>
        <w:jc w:val="both"/>
        <w:rPr>
          <w:rFonts w:cs="Arial"/>
        </w:rPr>
      </w:pPr>
    </w:p>
    <w:p w14:paraId="40442581" w14:textId="719E1479" w:rsidR="00EB0526" w:rsidRDefault="00EB0526" w:rsidP="009D766A">
      <w:pPr>
        <w:ind w:left="-142" w:right="-425"/>
        <w:jc w:val="both"/>
        <w:rPr>
          <w:rFonts w:cs="Arial"/>
          <w:sz w:val="16"/>
          <w:szCs w:val="16"/>
        </w:rPr>
      </w:pPr>
      <w:r w:rsidRPr="009D766A">
        <w:rPr>
          <w:rFonts w:cs="Arial"/>
          <w:b/>
          <w:sz w:val="16"/>
          <w:szCs w:val="16"/>
        </w:rPr>
        <w:t xml:space="preserve">Table </w:t>
      </w:r>
      <w:r w:rsidR="00026BA0">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BC09BB">
        <w:rPr>
          <w:rFonts w:cs="Arial"/>
          <w:sz w:val="16"/>
          <w:szCs w:val="16"/>
        </w:rPr>
        <w:t>6</w:t>
      </w:r>
      <w:r w:rsidR="00954B8D">
        <w:rPr>
          <w:rFonts w:cs="Arial"/>
          <w:sz w:val="16"/>
          <w:szCs w:val="16"/>
        </w:rPr>
        <w:t>4</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64622EDD" w:rsidR="009F0A67" w:rsidRPr="00872CBA" w:rsidRDefault="007B7E78" w:rsidP="009F55E0">
            <w:pPr>
              <w:pStyle w:val="StyleTableTextBoldCentered"/>
              <w:rPr>
                <w:lang w:eastAsia="en-AU"/>
              </w:rPr>
            </w:pPr>
            <w:r>
              <w:rPr>
                <w:lang w:eastAsia="en-AU"/>
              </w:rPr>
              <w:t xml:space="preserve">1 </w:t>
            </w:r>
            <w:r w:rsidR="00954B8D">
              <w:rPr>
                <w:lang w:eastAsia="en-AU"/>
              </w:rPr>
              <w:t xml:space="preserve">April </w:t>
            </w:r>
            <w:r w:rsidR="00413FAC">
              <w:rPr>
                <w:lang w:eastAsia="en-AU"/>
              </w:rPr>
              <w:t>202</w:t>
            </w:r>
            <w:r w:rsidR="0063631A">
              <w:rPr>
                <w:lang w:eastAsia="en-AU"/>
              </w:rPr>
              <w:t>4</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3ABD72E7" w:rsidR="009F0A67" w:rsidRPr="00872CBA" w:rsidRDefault="007B7E78" w:rsidP="009F55E0">
            <w:pPr>
              <w:pStyle w:val="StyleTableTextBoldCentered"/>
              <w:rPr>
                <w:lang w:eastAsia="en-AU"/>
              </w:rPr>
            </w:pPr>
            <w:r>
              <w:rPr>
                <w:lang w:eastAsia="en-AU"/>
              </w:rPr>
              <w:t xml:space="preserve">1 </w:t>
            </w:r>
            <w:r w:rsidR="00954B8D">
              <w:rPr>
                <w:lang w:eastAsia="en-AU"/>
              </w:rPr>
              <w:t xml:space="preserve">April </w:t>
            </w:r>
            <w:r w:rsidR="00413FAC">
              <w:rPr>
                <w:lang w:eastAsia="en-AU"/>
              </w:rPr>
              <w:t>202</w:t>
            </w:r>
            <w:r w:rsidR="0063631A">
              <w:rPr>
                <w:lang w:eastAsia="en-AU"/>
              </w:rPr>
              <w:t>4</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5111AF03" w:rsidR="009F0A67" w:rsidRPr="00872CBA" w:rsidRDefault="007B7E78" w:rsidP="009F55E0">
            <w:pPr>
              <w:pStyle w:val="StyleTableTextBoldCentered"/>
              <w:rPr>
                <w:lang w:eastAsia="en-AU"/>
              </w:rPr>
            </w:pPr>
            <w:r>
              <w:rPr>
                <w:lang w:eastAsia="en-AU"/>
              </w:rPr>
              <w:t>3</w:t>
            </w:r>
            <w:r w:rsidR="00954B8D">
              <w:rPr>
                <w:lang w:eastAsia="en-AU"/>
              </w:rPr>
              <w:t xml:space="preserve">0 June </w:t>
            </w:r>
            <w:r w:rsidR="00A70906">
              <w:rPr>
                <w:lang w:eastAsia="en-AU"/>
              </w:rPr>
              <w:t>202</w:t>
            </w:r>
            <w:r w:rsidR="0063631A">
              <w:rPr>
                <w:lang w:eastAsia="en-AU"/>
              </w:rPr>
              <w:t>4</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7354E7B3" w:rsidR="009F0A67" w:rsidRPr="00872CBA" w:rsidRDefault="009F0A67" w:rsidP="004F7197">
            <w:pPr>
              <w:pStyle w:val="StyleTableTextBoldCentered"/>
              <w:rPr>
                <w:lang w:eastAsia="en-AU"/>
              </w:rPr>
            </w:pPr>
            <w:r w:rsidRPr="00872CBA">
              <w:rPr>
                <w:lang w:eastAsia="en-AU"/>
              </w:rPr>
              <w:t xml:space="preserve">Qtr </w:t>
            </w:r>
            <w:r w:rsidR="00BC09BB">
              <w:rPr>
                <w:lang w:eastAsia="en-AU"/>
              </w:rPr>
              <w:t>6</w:t>
            </w:r>
            <w:r w:rsidR="00954B8D">
              <w:rPr>
                <w:lang w:eastAsia="en-AU"/>
              </w:rPr>
              <w:t>4</w:t>
            </w:r>
          </w:p>
        </w:tc>
        <w:tc>
          <w:tcPr>
            <w:tcW w:w="2552" w:type="dxa"/>
            <w:tcBorders>
              <w:top w:val="nil"/>
              <w:left w:val="nil"/>
              <w:bottom w:val="nil"/>
              <w:right w:val="single" w:sz="4" w:space="0" w:color="FFFFFF"/>
            </w:tcBorders>
            <w:shd w:val="clear" w:color="auto" w:fill="000000"/>
            <w:noWrap/>
            <w:vAlign w:val="bottom"/>
          </w:tcPr>
          <w:p w14:paraId="7FB7D45D" w14:textId="04ADDF06" w:rsidR="009F0A67" w:rsidRPr="00872CBA" w:rsidRDefault="007B7E78" w:rsidP="009F55E0">
            <w:pPr>
              <w:pStyle w:val="StyleTableTextBoldCentered"/>
              <w:rPr>
                <w:lang w:eastAsia="en-AU"/>
              </w:rPr>
            </w:pPr>
            <w:r>
              <w:rPr>
                <w:lang w:eastAsia="en-AU"/>
              </w:rPr>
              <w:t>3</w:t>
            </w:r>
            <w:r w:rsidR="00954B8D">
              <w:rPr>
                <w:lang w:eastAsia="en-AU"/>
              </w:rPr>
              <w:t xml:space="preserve">0 June </w:t>
            </w:r>
            <w:r w:rsidR="0039275D">
              <w:rPr>
                <w:lang w:eastAsia="en-AU"/>
              </w:rPr>
              <w:t>202</w:t>
            </w:r>
            <w:r w:rsidR="0063631A">
              <w:rPr>
                <w:lang w:eastAsia="en-AU"/>
              </w:rPr>
              <w:t>4</w:t>
            </w:r>
          </w:p>
        </w:tc>
        <w:tc>
          <w:tcPr>
            <w:tcW w:w="1701" w:type="dxa"/>
            <w:tcBorders>
              <w:top w:val="nil"/>
              <w:left w:val="nil"/>
              <w:bottom w:val="nil"/>
              <w:right w:val="nil"/>
            </w:tcBorders>
            <w:shd w:val="clear" w:color="auto" w:fill="000000"/>
            <w:noWrap/>
            <w:vAlign w:val="bottom"/>
          </w:tcPr>
          <w:p w14:paraId="4A5AEAEC" w14:textId="53647E76" w:rsidR="009F0A67" w:rsidRPr="00872CBA" w:rsidRDefault="009F0A67" w:rsidP="004F7197">
            <w:pPr>
              <w:pStyle w:val="StyleTableTextBoldCentered"/>
              <w:rPr>
                <w:lang w:eastAsia="en-AU"/>
              </w:rPr>
            </w:pPr>
            <w:r w:rsidRPr="00872CBA">
              <w:rPr>
                <w:lang w:eastAsia="en-AU"/>
              </w:rPr>
              <w:t xml:space="preserve">Qtr </w:t>
            </w:r>
            <w:r w:rsidR="00BC09BB">
              <w:rPr>
                <w:lang w:eastAsia="en-AU"/>
              </w:rPr>
              <w:t>6</w:t>
            </w:r>
            <w:r w:rsidR="00954B8D">
              <w:rPr>
                <w:lang w:eastAsia="en-AU"/>
              </w:rPr>
              <w:t>4</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2791C25B" w:rsidR="009F0A67" w:rsidRPr="00E66000" w:rsidRDefault="00F208DD" w:rsidP="002E59A0">
            <w:pPr>
              <w:jc w:val="right"/>
            </w:pPr>
            <w:r>
              <w:t>$599,454</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E66000" w:rsidRDefault="00C20DF5" w:rsidP="009F0A67">
            <w:pPr>
              <w:pStyle w:val="TableText"/>
            </w:pPr>
            <w:r w:rsidRPr="00E66000">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57006E5E" w:rsidR="009F0A67" w:rsidRPr="00E66000" w:rsidRDefault="009A02DC" w:rsidP="002E59A0">
            <w:pPr>
              <w:jc w:val="right"/>
            </w:pPr>
            <w:r>
              <w:t>$27,132</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685A6F69" w:rsidR="009F0A67" w:rsidRPr="00E66000" w:rsidRDefault="00F208DD" w:rsidP="002E59A0">
            <w:pPr>
              <w:jc w:val="right"/>
            </w:pPr>
            <w:r>
              <w:t>$99,950</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E66000" w:rsidRDefault="00C20DF5" w:rsidP="009F0A67">
            <w:pPr>
              <w:pStyle w:val="TableText"/>
            </w:pPr>
            <w:r w:rsidRPr="00E66000">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4AADA3EE" w:rsidR="009F0A67" w:rsidRPr="00E66000" w:rsidRDefault="009A02DC" w:rsidP="002E59A0">
            <w:pPr>
              <w:jc w:val="right"/>
            </w:pPr>
            <w:r>
              <w:t>$21,210</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37262722" w:rsidR="009F0A67" w:rsidRPr="00E66000" w:rsidRDefault="00F208DD" w:rsidP="002E59A0">
            <w:pPr>
              <w:jc w:val="right"/>
            </w:pPr>
            <w:r>
              <w:t>$114,112</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E66000" w:rsidRDefault="00C20DF5" w:rsidP="009F0A67">
            <w:pPr>
              <w:pStyle w:val="TableText"/>
            </w:pPr>
            <w:r w:rsidRPr="00E66000">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03070EA5" w:rsidR="009F0A67" w:rsidRPr="00E66000" w:rsidRDefault="009A02DC" w:rsidP="002E59A0">
            <w:pPr>
              <w:jc w:val="right"/>
            </w:pPr>
            <w:r>
              <w:t>$37,090</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6B25643" w14:textId="72A262E2" w:rsidR="009F0A67" w:rsidRDefault="009A02DC" w:rsidP="002E59A0">
            <w:pPr>
              <w:jc w:val="right"/>
            </w:pPr>
            <w:r>
              <w:t>$</w:t>
            </w:r>
            <w:r w:rsidR="00F208DD">
              <w:t>14,744</w:t>
            </w:r>
          </w:p>
          <w:p w14:paraId="745D0EF7" w14:textId="601F265C" w:rsidR="00F208DD" w:rsidRPr="00E66000" w:rsidRDefault="00F208DD" w:rsidP="002E59A0">
            <w:pPr>
              <w:jc w:val="right"/>
            </w:pP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E66000" w:rsidRDefault="00C20DF5" w:rsidP="009F0A67">
            <w:pPr>
              <w:pStyle w:val="TableText"/>
            </w:pPr>
            <w:r w:rsidRPr="00E66000">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554462CA" w:rsidR="009F0A67" w:rsidRPr="00E66000" w:rsidRDefault="009A02DC" w:rsidP="002E59A0">
            <w:pPr>
              <w:jc w:val="right"/>
            </w:pPr>
            <w:r>
              <w:t>$90,354</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64C9DE14" w:rsidR="009F0A67" w:rsidRPr="00872CBA" w:rsidRDefault="009F0A67" w:rsidP="009F0A67">
            <w:pPr>
              <w:pStyle w:val="TableText"/>
            </w:pPr>
            <w:r w:rsidRPr="00872CBA">
              <w:t>Other employment costs</w:t>
            </w:r>
            <w:r w:rsidR="00800800">
              <w:rPr>
                <w:rStyle w:val="FootnoteReference"/>
              </w:rPr>
              <w:footnoteReference w:id="23"/>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120EA047" w:rsidR="009F0A67" w:rsidRPr="00E66000" w:rsidRDefault="00B001D4" w:rsidP="002E59A0">
            <w:pPr>
              <w:jc w:val="right"/>
            </w:pPr>
            <w:r>
              <w:t>-$4,245</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E66000" w:rsidRDefault="00C20DF5" w:rsidP="009F0A67">
            <w:pPr>
              <w:pStyle w:val="TableText"/>
            </w:pPr>
            <w:r w:rsidRPr="00E66000">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1ED8D090" w:rsidR="009F0A67" w:rsidRPr="00E66000" w:rsidRDefault="009A02DC" w:rsidP="002E59A0">
            <w:pPr>
              <w:jc w:val="right"/>
            </w:pPr>
            <w:r>
              <w:t>$30,842</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739DB55B" w:rsidR="007966F3" w:rsidRPr="00E66000" w:rsidRDefault="009A02DC" w:rsidP="002E59A0">
            <w:pPr>
              <w:jc w:val="right"/>
            </w:pPr>
            <w:r>
              <w:t>$4,608</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E66000" w:rsidRDefault="00C20DF5" w:rsidP="009F0A67">
            <w:pPr>
              <w:pStyle w:val="TableText"/>
            </w:pPr>
            <w:r w:rsidRPr="00E66000">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37FE2F33" w:rsidR="007966F3" w:rsidRPr="00E66000" w:rsidRDefault="009A02DC" w:rsidP="002E59A0">
            <w:pPr>
              <w:jc w:val="right"/>
            </w:pPr>
            <w:r>
              <w:t>$30,873</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6E8A4C95" w:rsidR="009F0A67" w:rsidRPr="00E66000"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E66000" w:rsidRDefault="001458A2" w:rsidP="009F0A67">
            <w:pPr>
              <w:pStyle w:val="TableText"/>
              <w:rPr>
                <w:b/>
                <w:bCs/>
              </w:rPr>
            </w:pPr>
            <w:r w:rsidRPr="00E66000">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19A56C19" w:rsidR="009F0A67" w:rsidRPr="00E66000" w:rsidRDefault="009A02DC" w:rsidP="002E59A0">
            <w:pPr>
              <w:jc w:val="right"/>
              <w:rPr>
                <w:b/>
              </w:rPr>
            </w:pPr>
            <w:r>
              <w:rPr>
                <w:b/>
              </w:rPr>
              <w:t>$1,066,124</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A45527" w:rsidRDefault="00331081" w:rsidP="00CD4DBB">
      <w:pPr>
        <w:pStyle w:val="ListParagraph"/>
        <w:numPr>
          <w:ilvl w:val="0"/>
          <w:numId w:val="9"/>
        </w:numPr>
        <w:spacing w:after="120"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Community operations </w:t>
      </w:r>
      <w:r w:rsidRPr="00A45527">
        <w:rPr>
          <w:rFonts w:ascii="Verdana" w:hAnsi="Verdana" w:cs="Arial"/>
          <w:bCs/>
          <w:sz w:val="20"/>
          <w:szCs w:val="20"/>
        </w:rPr>
        <w:t>– further broken down into:</w:t>
      </w:r>
    </w:p>
    <w:p w14:paraId="400A74B2" w14:textId="6C93A1D0"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On-the-ground community operational expenses </w:t>
      </w:r>
      <w:r w:rsidR="00B12E4B" w:rsidRPr="00A45527">
        <w:rPr>
          <w:rFonts w:ascii="Verdana" w:hAnsi="Verdana" w:cs="Arial"/>
          <w:sz w:val="20"/>
          <w:szCs w:val="20"/>
        </w:rPr>
        <w:t>including the operational expenses in each of the five communities to conduct conferences and hearings, prepare and monitor case plans for clients for attendance at community support services and prepare and monitor income management orders and agreements.</w:t>
      </w:r>
    </w:p>
    <w:p w14:paraId="6C2BB238" w14:textId="5ECEC03E"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Support and facilitation expenses </w:t>
      </w:r>
      <w:r w:rsidR="00B12E4B" w:rsidRPr="00A45527">
        <w:rPr>
          <w:rFonts w:ascii="Verdana" w:hAnsi="Verdana" w:cs="Arial"/>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and agreements.</w:t>
      </w:r>
    </w:p>
    <w:p w14:paraId="6360FB36" w14:textId="19ADF334" w:rsidR="00331081" w:rsidRPr="00A45527" w:rsidRDefault="00331081" w:rsidP="00331081">
      <w:pPr>
        <w:pStyle w:val="ListParagraph"/>
        <w:numPr>
          <w:ilvl w:val="0"/>
          <w:numId w:val="9"/>
        </w:numPr>
        <w:spacing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Corporate governance </w:t>
      </w:r>
      <w:r w:rsidR="00B12E4B" w:rsidRPr="00A45527">
        <w:rPr>
          <w:rFonts w:ascii="Verdana" w:hAnsi="Verdana" w:cs="Arial"/>
          <w:sz w:val="20"/>
          <w:szCs w:val="20"/>
        </w:rPr>
        <w:t>includes finance, statistical reporting, corporate governance, compliance, IT, training and other administrative functions to ensure the effective and efficient operations of the Commission.</w:t>
      </w:r>
    </w:p>
    <w:p w14:paraId="55D8945D" w14:textId="35843ED3" w:rsidR="00C14FC9" w:rsidRPr="0020608D" w:rsidRDefault="00C14FC9" w:rsidP="0020608D">
      <w:pPr>
        <w:ind w:left="-142" w:right="-425"/>
        <w:jc w:val="both"/>
        <w:rPr>
          <w:rFonts w:cs="Arial"/>
        </w:rPr>
      </w:pPr>
      <w:r w:rsidRPr="0020608D">
        <w:rPr>
          <w:rFonts w:cs="Arial"/>
        </w:rPr>
        <w:lastRenderedPageBreak/>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863906D" w14:textId="3FC03CE5" w:rsidR="00C2682B" w:rsidRDefault="00C2682B" w:rsidP="00C2682B">
      <w:pPr>
        <w:ind w:left="-142" w:right="-425"/>
        <w:jc w:val="both"/>
        <w:rPr>
          <w:rFonts w:cs="Arial"/>
        </w:rPr>
      </w:pPr>
      <w:r>
        <w:rPr>
          <w:rFonts w:cs="Arial"/>
        </w:rPr>
        <w:t xml:space="preserve">As can be observed in </w:t>
      </w:r>
      <w:r w:rsidR="00085FF5">
        <w:rPr>
          <w:rFonts w:cs="Arial"/>
        </w:rPr>
        <w:t>Table 24</w:t>
      </w:r>
      <w:r>
        <w:rPr>
          <w:rFonts w:cs="Arial"/>
        </w:rPr>
        <w:t xml:space="preserve"> below which displays the allocation of </w:t>
      </w:r>
      <w:r w:rsidRPr="00B156C7">
        <w:rPr>
          <w:rFonts w:cs="Arial"/>
        </w:rPr>
        <w:t>FRC costs</w:t>
      </w:r>
      <w:r w:rsidRPr="0020608D">
        <w:rPr>
          <w:rFonts w:cs="Arial"/>
        </w:rPr>
        <w:t xml:space="preserve"> </w:t>
      </w:r>
      <w:r>
        <w:rPr>
          <w:rFonts w:cs="Arial"/>
        </w:rPr>
        <w:t xml:space="preserve">across the core functions in quarter </w:t>
      </w:r>
      <w:r w:rsidR="00BC09BB">
        <w:rPr>
          <w:rFonts w:cs="Arial"/>
        </w:rPr>
        <w:t>6</w:t>
      </w:r>
      <w:r w:rsidR="00954B8D">
        <w:rPr>
          <w:rFonts w:cs="Arial"/>
        </w:rPr>
        <w:t>4</w:t>
      </w:r>
      <w:r>
        <w:rPr>
          <w:rFonts w:cs="Arial"/>
        </w:rPr>
        <w:t xml:space="preserve">, the largest allocation during the reporting period is in relation to community </w:t>
      </w:r>
      <w:r w:rsidRPr="00B001D4">
        <w:rPr>
          <w:rFonts w:cs="Arial"/>
        </w:rPr>
        <w:t>operations (</w:t>
      </w:r>
      <w:r w:rsidR="00B001D4" w:rsidRPr="00133EE4">
        <w:rPr>
          <w:rFonts w:cs="Arial"/>
        </w:rPr>
        <w:t>72.4</w:t>
      </w:r>
      <w:r w:rsidR="00DD36DF" w:rsidRPr="00B001D4">
        <w:rPr>
          <w:rFonts w:cs="Arial"/>
        </w:rPr>
        <w:t>%</w:t>
      </w:r>
      <w:r w:rsidRPr="00B001D4">
        <w:rPr>
          <w:rFonts w:cs="Arial"/>
        </w:rPr>
        <w:t>).</w:t>
      </w:r>
    </w:p>
    <w:p w14:paraId="71AC6C50" w14:textId="77777777" w:rsidR="00026BA0" w:rsidRDefault="00026BA0" w:rsidP="0020608D">
      <w:pPr>
        <w:ind w:left="-142" w:right="-425"/>
        <w:jc w:val="both"/>
        <w:rPr>
          <w:rFonts w:cs="Arial"/>
        </w:rPr>
      </w:pPr>
    </w:p>
    <w:p w14:paraId="39CBD201" w14:textId="46AB78B5" w:rsidR="00026BA0" w:rsidRDefault="00026BA0" w:rsidP="00026BA0">
      <w:pPr>
        <w:spacing w:line="240" w:lineRule="auto"/>
        <w:ind w:left="-142"/>
        <w:jc w:val="both"/>
        <w:rPr>
          <w:rFonts w:cs="Arial"/>
          <w:sz w:val="16"/>
          <w:szCs w:val="16"/>
        </w:rPr>
      </w:pPr>
      <w:r>
        <w:rPr>
          <w:rFonts w:cs="Arial"/>
          <w:b/>
          <w:sz w:val="16"/>
          <w:szCs w:val="16"/>
        </w:rPr>
        <w:t>Table 24</w:t>
      </w:r>
      <w:r w:rsidRPr="006A4DD7">
        <w:rPr>
          <w:rFonts w:cs="Arial"/>
          <w:b/>
          <w:sz w:val="16"/>
          <w:szCs w:val="16"/>
        </w:rPr>
        <w:t xml:space="preserve">: </w:t>
      </w:r>
      <w:r>
        <w:rPr>
          <w:rFonts w:cs="Arial"/>
          <w:sz w:val="16"/>
          <w:szCs w:val="16"/>
        </w:rPr>
        <w:t xml:space="preserve">Allocation of expenses 1 </w:t>
      </w:r>
      <w:r>
        <w:rPr>
          <w:rFonts w:cs="Arial"/>
          <w:sz w:val="16"/>
          <w:szCs w:val="16"/>
        </w:rPr>
        <w:t>April</w:t>
      </w:r>
      <w:r>
        <w:rPr>
          <w:rFonts w:cs="Arial"/>
          <w:sz w:val="16"/>
          <w:szCs w:val="16"/>
        </w:rPr>
        <w:t xml:space="preserve"> 2024 to 3</w:t>
      </w:r>
      <w:r>
        <w:rPr>
          <w:rFonts w:cs="Arial"/>
          <w:sz w:val="16"/>
          <w:szCs w:val="16"/>
        </w:rPr>
        <w:t xml:space="preserve">0 June </w:t>
      </w:r>
      <w:r>
        <w:rPr>
          <w:rFonts w:cs="Arial"/>
          <w:sz w:val="16"/>
          <w:szCs w:val="16"/>
        </w:rPr>
        <w:t>2024</w:t>
      </w:r>
    </w:p>
    <w:p w14:paraId="5B443F09" w14:textId="77777777" w:rsidR="00026BA0" w:rsidRPr="0070366B" w:rsidRDefault="00026BA0" w:rsidP="00026BA0">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026BA0" w:rsidRPr="00920636" w14:paraId="25ECA068" w14:textId="77777777" w:rsidTr="00D744B8">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643331D5" w14:textId="77777777" w:rsidR="00026BA0" w:rsidRPr="000F130C" w:rsidRDefault="00026BA0" w:rsidP="00D744B8">
            <w:pPr>
              <w:pStyle w:val="TableText"/>
              <w:ind w:left="49"/>
              <w:rPr>
                <w:b/>
                <w:lang w:eastAsia="en-AU"/>
              </w:rPr>
            </w:pPr>
            <w:bookmarkStart w:id="42"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1B0B91FF" w14:textId="77777777" w:rsidR="00026BA0" w:rsidRDefault="00026BA0" w:rsidP="00D744B8">
            <w:pPr>
              <w:pStyle w:val="TableText"/>
              <w:jc w:val="right"/>
              <w:rPr>
                <w:b/>
                <w:lang w:eastAsia="en-AU"/>
              </w:rPr>
            </w:pPr>
            <w:r>
              <w:rPr>
                <w:b/>
                <w:lang w:eastAsia="en-AU"/>
              </w:rPr>
              <w:t>Percentage of Allocated Expenses</w:t>
            </w:r>
          </w:p>
        </w:tc>
      </w:tr>
      <w:tr w:rsidR="00026BA0" w:rsidRPr="00920636" w14:paraId="6BB8B04F" w14:textId="77777777" w:rsidTr="00D744B8">
        <w:trPr>
          <w:trHeight w:val="255"/>
        </w:trPr>
        <w:tc>
          <w:tcPr>
            <w:tcW w:w="3871" w:type="dxa"/>
            <w:tcBorders>
              <w:top w:val="nil"/>
              <w:left w:val="single" w:sz="4" w:space="0" w:color="auto"/>
              <w:bottom w:val="single" w:sz="4" w:space="0" w:color="auto"/>
              <w:right w:val="single" w:sz="4" w:space="0" w:color="auto"/>
            </w:tcBorders>
            <w:noWrap/>
          </w:tcPr>
          <w:p w14:paraId="01D2752D" w14:textId="77777777" w:rsidR="00026BA0" w:rsidRPr="00E72DFB" w:rsidRDefault="00026BA0" w:rsidP="00D744B8">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01E5E617" w14:textId="6E97F6B5" w:rsidR="00026BA0" w:rsidRDefault="00026BA0" w:rsidP="00D744B8">
            <w:pPr>
              <w:pStyle w:val="TableText"/>
              <w:jc w:val="right"/>
              <w:rPr>
                <w:lang w:eastAsia="en-AU"/>
              </w:rPr>
            </w:pPr>
            <w:r>
              <w:rPr>
                <w:lang w:eastAsia="en-AU"/>
              </w:rPr>
              <w:t>27</w:t>
            </w:r>
            <w:r>
              <w:rPr>
                <w:lang w:eastAsia="en-AU"/>
              </w:rPr>
              <w:t>.</w:t>
            </w:r>
            <w:r>
              <w:rPr>
                <w:lang w:eastAsia="en-AU"/>
              </w:rPr>
              <w:t>6</w:t>
            </w:r>
            <w:r>
              <w:rPr>
                <w:lang w:eastAsia="en-AU"/>
              </w:rPr>
              <w:t>%</w:t>
            </w:r>
          </w:p>
        </w:tc>
      </w:tr>
      <w:tr w:rsidR="00026BA0" w:rsidRPr="00920636" w14:paraId="0E6538D1" w14:textId="77777777" w:rsidTr="00D744B8">
        <w:trPr>
          <w:trHeight w:val="255"/>
        </w:trPr>
        <w:tc>
          <w:tcPr>
            <w:tcW w:w="3871" w:type="dxa"/>
            <w:tcBorders>
              <w:top w:val="nil"/>
              <w:left w:val="single" w:sz="4" w:space="0" w:color="auto"/>
              <w:bottom w:val="single" w:sz="4" w:space="0" w:color="auto"/>
              <w:right w:val="single" w:sz="4" w:space="0" w:color="auto"/>
            </w:tcBorders>
            <w:noWrap/>
            <w:hideMark/>
          </w:tcPr>
          <w:p w14:paraId="2750C121" w14:textId="77777777" w:rsidR="00026BA0" w:rsidRPr="00E72DFB" w:rsidRDefault="00026BA0" w:rsidP="00D744B8">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600DD9B1" w14:textId="43822C64" w:rsidR="00026BA0" w:rsidRDefault="00026BA0" w:rsidP="00D744B8">
            <w:pPr>
              <w:pStyle w:val="TableText"/>
              <w:jc w:val="right"/>
              <w:rPr>
                <w:lang w:eastAsia="en-AU"/>
              </w:rPr>
            </w:pPr>
            <w:r>
              <w:rPr>
                <w:lang w:eastAsia="en-AU"/>
              </w:rPr>
              <w:t>72.4</w:t>
            </w:r>
            <w:r>
              <w:rPr>
                <w:lang w:eastAsia="en-AU"/>
              </w:rPr>
              <w:t>%</w:t>
            </w:r>
          </w:p>
        </w:tc>
      </w:tr>
      <w:tr w:rsidR="00026BA0" w:rsidRPr="00920636" w14:paraId="4DF2BF3D" w14:textId="77777777" w:rsidTr="00D744B8">
        <w:trPr>
          <w:trHeight w:val="255"/>
        </w:trPr>
        <w:tc>
          <w:tcPr>
            <w:tcW w:w="3871" w:type="dxa"/>
            <w:tcBorders>
              <w:top w:val="nil"/>
              <w:left w:val="single" w:sz="4" w:space="0" w:color="auto"/>
              <w:bottom w:val="single" w:sz="4" w:space="0" w:color="auto"/>
              <w:right w:val="single" w:sz="4" w:space="0" w:color="auto"/>
            </w:tcBorders>
            <w:noWrap/>
            <w:hideMark/>
          </w:tcPr>
          <w:p w14:paraId="5C415169" w14:textId="77777777" w:rsidR="00026BA0" w:rsidRPr="000F130C" w:rsidRDefault="00026BA0" w:rsidP="00D744B8">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50DD1EC8" w14:textId="77777777" w:rsidR="00026BA0" w:rsidRDefault="00026BA0" w:rsidP="00D744B8">
            <w:pPr>
              <w:pStyle w:val="TableText"/>
              <w:jc w:val="right"/>
              <w:rPr>
                <w:b/>
                <w:lang w:eastAsia="en-AU"/>
              </w:rPr>
            </w:pPr>
            <w:r>
              <w:rPr>
                <w:b/>
                <w:lang w:eastAsia="en-AU"/>
              </w:rPr>
              <w:t>100.0%</w:t>
            </w:r>
          </w:p>
        </w:tc>
      </w:tr>
      <w:bookmarkEnd w:id="42"/>
    </w:tbl>
    <w:p w14:paraId="749F662B" w14:textId="77777777" w:rsidR="00026BA0" w:rsidRDefault="00026BA0" w:rsidP="00026BA0">
      <w:pPr>
        <w:ind w:left="-142" w:right="-425"/>
        <w:jc w:val="both"/>
        <w:rPr>
          <w:rFonts w:cs="Arial"/>
        </w:rPr>
      </w:pPr>
    </w:p>
    <w:p w14:paraId="43471FC5" w14:textId="324C8D6D"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3DDA6DE8" w14:textId="77777777" w:rsidR="003536A6" w:rsidRDefault="003536A6" w:rsidP="00994941">
      <w:pPr>
        <w:ind w:left="-142" w:right="-425"/>
        <w:jc w:val="both"/>
        <w:rPr>
          <w:rFonts w:cs="Arial"/>
        </w:rPr>
      </w:pPr>
    </w:p>
    <w:p w14:paraId="7D671D31" w14:textId="06D5E944" w:rsidR="00026BA0" w:rsidRDefault="00026BA0" w:rsidP="00026BA0">
      <w:pPr>
        <w:ind w:left="-142" w:right="-425"/>
        <w:jc w:val="both"/>
        <w:rPr>
          <w:rFonts w:cs="Arial"/>
          <w:sz w:val="16"/>
          <w:szCs w:val="16"/>
        </w:rPr>
      </w:pPr>
      <w:r>
        <w:rPr>
          <w:rFonts w:cs="Arial"/>
          <w:b/>
          <w:sz w:val="16"/>
          <w:szCs w:val="16"/>
        </w:rPr>
        <w:t>Table 25</w:t>
      </w:r>
      <w:r w:rsidRPr="006A4DD7">
        <w:rPr>
          <w:rFonts w:cs="Arial"/>
          <w:b/>
          <w:sz w:val="16"/>
          <w:szCs w:val="16"/>
        </w:rPr>
        <w:t xml:space="preserve">: </w:t>
      </w:r>
      <w:r>
        <w:rPr>
          <w:rFonts w:cs="Arial"/>
          <w:sz w:val="16"/>
          <w:szCs w:val="16"/>
        </w:rPr>
        <w:t>Operating c</w:t>
      </w:r>
      <w:r w:rsidRPr="006A4DD7">
        <w:rPr>
          <w:rFonts w:cs="Arial"/>
          <w:sz w:val="16"/>
          <w:szCs w:val="16"/>
        </w:rPr>
        <w:t xml:space="preserve">osts by remote </w:t>
      </w:r>
      <w:r w:rsidRPr="0031561D">
        <w:rPr>
          <w:rFonts w:cs="Arial"/>
          <w:sz w:val="16"/>
          <w:szCs w:val="16"/>
        </w:rPr>
        <w:t xml:space="preserve">location </w:t>
      </w:r>
      <w:r>
        <w:rPr>
          <w:rFonts w:cs="Arial"/>
          <w:sz w:val="16"/>
          <w:szCs w:val="16"/>
        </w:rPr>
        <w:t xml:space="preserve">1 </w:t>
      </w:r>
      <w:r>
        <w:rPr>
          <w:rFonts w:cs="Arial"/>
          <w:sz w:val="16"/>
          <w:szCs w:val="16"/>
        </w:rPr>
        <w:t>April</w:t>
      </w:r>
      <w:r>
        <w:rPr>
          <w:rFonts w:cs="Arial"/>
          <w:sz w:val="16"/>
          <w:szCs w:val="16"/>
        </w:rPr>
        <w:t xml:space="preserve"> 2023 to 3</w:t>
      </w:r>
      <w:r>
        <w:rPr>
          <w:rFonts w:cs="Arial"/>
          <w:sz w:val="16"/>
          <w:szCs w:val="16"/>
        </w:rPr>
        <w:t xml:space="preserve">0 June </w:t>
      </w:r>
      <w:r>
        <w:rPr>
          <w:rFonts w:cs="Arial"/>
          <w:sz w:val="16"/>
          <w:szCs w:val="16"/>
        </w:rPr>
        <w:t>2024</w:t>
      </w:r>
    </w:p>
    <w:p w14:paraId="77D7DF6D" w14:textId="77777777" w:rsidR="00026BA0" w:rsidRPr="0070366B" w:rsidRDefault="00026BA0" w:rsidP="00026BA0">
      <w:pPr>
        <w:spacing w:line="240" w:lineRule="auto"/>
        <w:ind w:left="-142"/>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026BA0" w:rsidRPr="000F130C" w14:paraId="7B24CF13" w14:textId="77777777" w:rsidTr="00D744B8">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2FA357E7" w14:textId="77777777" w:rsidR="00026BA0" w:rsidRPr="000F130C" w:rsidRDefault="00026BA0" w:rsidP="00026BA0">
            <w:pPr>
              <w:pStyle w:val="TableText"/>
              <w:ind w:left="49"/>
              <w:rPr>
                <w:b/>
                <w:lang w:eastAsia="en-AU"/>
              </w:rPr>
            </w:pPr>
            <w:bookmarkStart w:id="43"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287003C6" w14:textId="7E87DE86" w:rsidR="00026BA0" w:rsidRDefault="00026BA0" w:rsidP="00026BA0">
            <w:pPr>
              <w:pStyle w:val="TableText"/>
              <w:jc w:val="right"/>
              <w:rPr>
                <w:b/>
                <w:lang w:eastAsia="en-AU"/>
              </w:rPr>
            </w:pPr>
            <w:r>
              <w:rPr>
                <w:b/>
                <w:lang w:eastAsia="en-AU"/>
              </w:rPr>
              <w:t>Qtr 60</w:t>
            </w:r>
          </w:p>
        </w:tc>
        <w:tc>
          <w:tcPr>
            <w:tcW w:w="1242" w:type="dxa"/>
            <w:tcBorders>
              <w:top w:val="single" w:sz="4" w:space="0" w:color="auto"/>
              <w:left w:val="nil"/>
              <w:bottom w:val="single" w:sz="4" w:space="0" w:color="auto"/>
              <w:right w:val="single" w:sz="4" w:space="0" w:color="auto"/>
            </w:tcBorders>
          </w:tcPr>
          <w:p w14:paraId="6C4D8803" w14:textId="2A50AFBF" w:rsidR="00026BA0" w:rsidRDefault="00026BA0" w:rsidP="00026BA0">
            <w:pPr>
              <w:pStyle w:val="TableText"/>
              <w:jc w:val="right"/>
              <w:rPr>
                <w:b/>
                <w:lang w:eastAsia="en-AU"/>
              </w:rPr>
            </w:pPr>
            <w:r>
              <w:rPr>
                <w:b/>
                <w:lang w:eastAsia="en-AU"/>
              </w:rPr>
              <w:t>Qtr 61</w:t>
            </w:r>
          </w:p>
        </w:tc>
        <w:tc>
          <w:tcPr>
            <w:tcW w:w="1242" w:type="dxa"/>
            <w:tcBorders>
              <w:top w:val="single" w:sz="4" w:space="0" w:color="auto"/>
              <w:left w:val="nil"/>
              <w:bottom w:val="single" w:sz="4" w:space="0" w:color="auto"/>
              <w:right w:val="single" w:sz="4" w:space="0" w:color="auto"/>
            </w:tcBorders>
          </w:tcPr>
          <w:p w14:paraId="7567C70F" w14:textId="77A9B84A" w:rsidR="00026BA0" w:rsidRDefault="00026BA0" w:rsidP="00026BA0">
            <w:pPr>
              <w:pStyle w:val="TableText"/>
              <w:jc w:val="right"/>
              <w:rPr>
                <w:b/>
                <w:lang w:eastAsia="en-AU"/>
              </w:rPr>
            </w:pPr>
            <w:r>
              <w:rPr>
                <w:b/>
                <w:lang w:eastAsia="en-AU"/>
              </w:rPr>
              <w:t>Qtr 62</w:t>
            </w:r>
          </w:p>
        </w:tc>
        <w:tc>
          <w:tcPr>
            <w:tcW w:w="1242" w:type="dxa"/>
            <w:tcBorders>
              <w:top w:val="single" w:sz="4" w:space="0" w:color="auto"/>
              <w:left w:val="nil"/>
              <w:bottom w:val="single" w:sz="4" w:space="0" w:color="auto"/>
              <w:right w:val="single" w:sz="4" w:space="0" w:color="auto"/>
            </w:tcBorders>
          </w:tcPr>
          <w:p w14:paraId="294C80EA" w14:textId="0E233E73" w:rsidR="00026BA0" w:rsidRDefault="00026BA0" w:rsidP="00026BA0">
            <w:pPr>
              <w:pStyle w:val="TableText"/>
              <w:jc w:val="right"/>
              <w:rPr>
                <w:b/>
                <w:lang w:eastAsia="en-AU"/>
              </w:rPr>
            </w:pPr>
            <w:r>
              <w:rPr>
                <w:b/>
                <w:lang w:eastAsia="en-AU"/>
              </w:rPr>
              <w:t>Qtr 63</w:t>
            </w:r>
          </w:p>
        </w:tc>
        <w:tc>
          <w:tcPr>
            <w:tcW w:w="1242" w:type="dxa"/>
            <w:tcBorders>
              <w:top w:val="single" w:sz="4" w:space="0" w:color="auto"/>
              <w:left w:val="nil"/>
              <w:bottom w:val="single" w:sz="4" w:space="0" w:color="auto"/>
              <w:right w:val="single" w:sz="4" w:space="0" w:color="auto"/>
            </w:tcBorders>
          </w:tcPr>
          <w:p w14:paraId="76FA4B39" w14:textId="41A161BD" w:rsidR="00026BA0" w:rsidRDefault="00026BA0" w:rsidP="00026BA0">
            <w:pPr>
              <w:pStyle w:val="TableText"/>
              <w:jc w:val="right"/>
              <w:rPr>
                <w:b/>
                <w:lang w:eastAsia="en-AU"/>
              </w:rPr>
            </w:pPr>
            <w:r>
              <w:rPr>
                <w:b/>
                <w:lang w:eastAsia="en-AU"/>
              </w:rPr>
              <w:t>Qtr 6</w:t>
            </w:r>
            <w:r>
              <w:rPr>
                <w:b/>
                <w:lang w:eastAsia="en-AU"/>
              </w:rPr>
              <w:t>4</w:t>
            </w:r>
          </w:p>
        </w:tc>
      </w:tr>
      <w:tr w:rsidR="00F700AE" w:rsidRPr="000F130C" w14:paraId="1763831F" w14:textId="77777777" w:rsidTr="00D65A80">
        <w:trPr>
          <w:trHeight w:val="255"/>
        </w:trPr>
        <w:tc>
          <w:tcPr>
            <w:tcW w:w="2596" w:type="dxa"/>
            <w:tcBorders>
              <w:top w:val="nil"/>
              <w:left w:val="single" w:sz="4" w:space="0" w:color="auto"/>
              <w:bottom w:val="single" w:sz="4" w:space="0" w:color="auto"/>
              <w:right w:val="single" w:sz="4" w:space="0" w:color="auto"/>
            </w:tcBorders>
            <w:noWrap/>
            <w:hideMark/>
          </w:tcPr>
          <w:p w14:paraId="4E291864" w14:textId="77777777" w:rsidR="00F700AE" w:rsidRPr="000F130C" w:rsidRDefault="00F700AE" w:rsidP="00F700AE">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1999A459" w14:textId="4A154B6D" w:rsidR="00F700AE" w:rsidRDefault="00F700AE" w:rsidP="00F700AE">
            <w:pPr>
              <w:pStyle w:val="TableText"/>
              <w:jc w:val="right"/>
              <w:rPr>
                <w:rFonts w:cs="Calibri"/>
                <w:color w:val="000000"/>
              </w:rPr>
            </w:pPr>
            <w:r>
              <w:rPr>
                <w:rFonts w:cs="Calibri"/>
                <w:color w:val="000000"/>
              </w:rPr>
              <w:t>119K</w:t>
            </w:r>
          </w:p>
        </w:tc>
        <w:tc>
          <w:tcPr>
            <w:tcW w:w="1242" w:type="dxa"/>
            <w:tcBorders>
              <w:top w:val="nil"/>
              <w:left w:val="nil"/>
              <w:bottom w:val="single" w:sz="4" w:space="0" w:color="auto"/>
              <w:right w:val="single" w:sz="4" w:space="0" w:color="auto"/>
            </w:tcBorders>
          </w:tcPr>
          <w:p w14:paraId="3642B303" w14:textId="23F07788" w:rsidR="00F700AE" w:rsidRDefault="00F700AE" w:rsidP="00F700AE">
            <w:pPr>
              <w:pStyle w:val="TableText"/>
              <w:jc w:val="right"/>
              <w:rPr>
                <w:rFonts w:cs="Calibri"/>
                <w:color w:val="000000"/>
              </w:rPr>
            </w:pPr>
            <w:r>
              <w:rPr>
                <w:rFonts w:cs="Calibri"/>
                <w:color w:val="000000"/>
              </w:rPr>
              <w:t>146K</w:t>
            </w:r>
          </w:p>
        </w:tc>
        <w:tc>
          <w:tcPr>
            <w:tcW w:w="1242" w:type="dxa"/>
            <w:tcBorders>
              <w:top w:val="nil"/>
              <w:left w:val="nil"/>
              <w:bottom w:val="single" w:sz="4" w:space="0" w:color="auto"/>
              <w:right w:val="single" w:sz="4" w:space="0" w:color="auto"/>
            </w:tcBorders>
          </w:tcPr>
          <w:p w14:paraId="37DA5B46" w14:textId="69EA0AB7" w:rsidR="00F700AE" w:rsidRDefault="00F700AE" w:rsidP="00F700AE">
            <w:pPr>
              <w:pStyle w:val="TableText"/>
              <w:jc w:val="right"/>
              <w:rPr>
                <w:rFonts w:cs="Calibri"/>
                <w:color w:val="000000"/>
              </w:rPr>
            </w:pPr>
            <w:r>
              <w:rPr>
                <w:rFonts w:cs="Calibri"/>
                <w:color w:val="000000"/>
              </w:rPr>
              <w:t>105K</w:t>
            </w:r>
          </w:p>
        </w:tc>
        <w:tc>
          <w:tcPr>
            <w:tcW w:w="1242" w:type="dxa"/>
            <w:tcBorders>
              <w:top w:val="nil"/>
              <w:left w:val="nil"/>
              <w:bottom w:val="single" w:sz="4" w:space="0" w:color="auto"/>
              <w:right w:val="single" w:sz="4" w:space="0" w:color="auto"/>
            </w:tcBorders>
          </w:tcPr>
          <w:p w14:paraId="4EEC5675" w14:textId="610DA0BA" w:rsidR="00F700AE" w:rsidRDefault="00F700AE" w:rsidP="00F700AE">
            <w:pPr>
              <w:pStyle w:val="TableText"/>
              <w:jc w:val="right"/>
              <w:rPr>
                <w:rFonts w:cs="Calibri"/>
                <w:color w:val="000000"/>
              </w:rPr>
            </w:pPr>
            <w:r>
              <w:rPr>
                <w:rFonts w:cs="Calibri"/>
                <w:color w:val="000000"/>
              </w:rPr>
              <w:t>112K</w:t>
            </w:r>
          </w:p>
        </w:tc>
        <w:tc>
          <w:tcPr>
            <w:tcW w:w="1242" w:type="dxa"/>
            <w:tcBorders>
              <w:top w:val="nil"/>
              <w:left w:val="nil"/>
              <w:bottom w:val="single" w:sz="4" w:space="0" w:color="auto"/>
              <w:right w:val="single" w:sz="4" w:space="0" w:color="auto"/>
            </w:tcBorders>
            <w:vAlign w:val="bottom"/>
          </w:tcPr>
          <w:p w14:paraId="5BBDB206" w14:textId="78521F86" w:rsidR="00F700AE" w:rsidRDefault="00F700AE" w:rsidP="00F700AE">
            <w:pPr>
              <w:pStyle w:val="TableText"/>
              <w:jc w:val="right"/>
              <w:rPr>
                <w:rFonts w:cs="Calibri"/>
                <w:color w:val="000000"/>
              </w:rPr>
            </w:pPr>
            <w:r w:rsidRPr="00F700AE">
              <w:rPr>
                <w:rFonts w:cs="Calibri"/>
                <w:color w:val="000000"/>
              </w:rPr>
              <w:t>107K</w:t>
            </w:r>
          </w:p>
        </w:tc>
      </w:tr>
      <w:tr w:rsidR="00F700AE" w:rsidRPr="000F130C" w14:paraId="7BD2B40D" w14:textId="77777777" w:rsidTr="00D65A80">
        <w:trPr>
          <w:trHeight w:val="255"/>
        </w:trPr>
        <w:tc>
          <w:tcPr>
            <w:tcW w:w="2596" w:type="dxa"/>
            <w:tcBorders>
              <w:top w:val="nil"/>
              <w:left w:val="single" w:sz="4" w:space="0" w:color="auto"/>
              <w:bottom w:val="single" w:sz="4" w:space="0" w:color="auto"/>
              <w:right w:val="single" w:sz="4" w:space="0" w:color="auto"/>
            </w:tcBorders>
            <w:noWrap/>
            <w:hideMark/>
          </w:tcPr>
          <w:p w14:paraId="5FAA082A" w14:textId="77777777" w:rsidR="00F700AE" w:rsidRPr="000F130C" w:rsidRDefault="00F700AE" w:rsidP="00F700AE">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19080D2D" w14:textId="2A667DD5" w:rsidR="00F700AE" w:rsidRDefault="00F700AE" w:rsidP="00F700AE">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64EE299F" w14:textId="531F1CA4" w:rsidR="00F700AE" w:rsidRDefault="00F700AE" w:rsidP="00F700AE">
            <w:pPr>
              <w:pStyle w:val="TableText"/>
              <w:jc w:val="right"/>
              <w:rPr>
                <w:rFonts w:cs="Calibri"/>
                <w:color w:val="000000"/>
              </w:rPr>
            </w:pPr>
            <w:r>
              <w:rPr>
                <w:rFonts w:cs="Calibri"/>
                <w:color w:val="000000"/>
              </w:rPr>
              <w:t>67k</w:t>
            </w:r>
          </w:p>
        </w:tc>
        <w:tc>
          <w:tcPr>
            <w:tcW w:w="1242" w:type="dxa"/>
            <w:tcBorders>
              <w:top w:val="nil"/>
              <w:left w:val="nil"/>
              <w:bottom w:val="single" w:sz="4" w:space="0" w:color="auto"/>
              <w:right w:val="single" w:sz="4" w:space="0" w:color="auto"/>
            </w:tcBorders>
          </w:tcPr>
          <w:p w14:paraId="1FBFB465" w14:textId="272A1675" w:rsidR="00F700AE" w:rsidRDefault="00F700AE" w:rsidP="00F700AE">
            <w:pPr>
              <w:pStyle w:val="TableText"/>
              <w:jc w:val="right"/>
              <w:rPr>
                <w:rFonts w:cs="Calibri"/>
                <w:color w:val="000000"/>
              </w:rPr>
            </w:pPr>
            <w:r>
              <w:rPr>
                <w:rFonts w:cs="Calibri"/>
                <w:color w:val="000000"/>
              </w:rPr>
              <w:t>31K</w:t>
            </w:r>
          </w:p>
        </w:tc>
        <w:tc>
          <w:tcPr>
            <w:tcW w:w="1242" w:type="dxa"/>
            <w:tcBorders>
              <w:top w:val="nil"/>
              <w:left w:val="nil"/>
              <w:bottom w:val="single" w:sz="4" w:space="0" w:color="auto"/>
              <w:right w:val="single" w:sz="4" w:space="0" w:color="auto"/>
            </w:tcBorders>
          </w:tcPr>
          <w:p w14:paraId="1878554B" w14:textId="2F139A07" w:rsidR="00F700AE" w:rsidRDefault="00F700AE" w:rsidP="00F700AE">
            <w:pPr>
              <w:pStyle w:val="TableText"/>
              <w:jc w:val="right"/>
              <w:rPr>
                <w:rFonts w:cs="Calibri"/>
                <w:color w:val="000000"/>
              </w:rPr>
            </w:pPr>
            <w:r>
              <w:rPr>
                <w:rFonts w:cs="Calibri"/>
                <w:color w:val="000000"/>
              </w:rPr>
              <w:t>22K</w:t>
            </w:r>
          </w:p>
        </w:tc>
        <w:tc>
          <w:tcPr>
            <w:tcW w:w="1242" w:type="dxa"/>
            <w:tcBorders>
              <w:top w:val="nil"/>
              <w:left w:val="nil"/>
              <w:bottom w:val="single" w:sz="4" w:space="0" w:color="auto"/>
              <w:right w:val="single" w:sz="4" w:space="0" w:color="auto"/>
            </w:tcBorders>
            <w:vAlign w:val="bottom"/>
          </w:tcPr>
          <w:p w14:paraId="5B6CE67A" w14:textId="01905C75" w:rsidR="00F700AE" w:rsidRDefault="00F700AE" w:rsidP="00F700AE">
            <w:pPr>
              <w:pStyle w:val="TableText"/>
              <w:jc w:val="right"/>
              <w:rPr>
                <w:rFonts w:cs="Calibri"/>
                <w:color w:val="000000"/>
              </w:rPr>
            </w:pPr>
            <w:r w:rsidRPr="00F700AE">
              <w:rPr>
                <w:rFonts w:cs="Calibri"/>
                <w:color w:val="000000"/>
              </w:rPr>
              <w:t>40K</w:t>
            </w:r>
          </w:p>
        </w:tc>
      </w:tr>
      <w:tr w:rsidR="00F700AE" w:rsidRPr="000F130C" w14:paraId="7C10ED94" w14:textId="77777777" w:rsidTr="00D65A80">
        <w:trPr>
          <w:trHeight w:val="255"/>
        </w:trPr>
        <w:tc>
          <w:tcPr>
            <w:tcW w:w="2596" w:type="dxa"/>
            <w:tcBorders>
              <w:top w:val="nil"/>
              <w:left w:val="single" w:sz="4" w:space="0" w:color="auto"/>
              <w:bottom w:val="single" w:sz="4" w:space="0" w:color="auto"/>
              <w:right w:val="single" w:sz="4" w:space="0" w:color="auto"/>
            </w:tcBorders>
            <w:noWrap/>
          </w:tcPr>
          <w:p w14:paraId="5D525FD7" w14:textId="77777777" w:rsidR="00F700AE" w:rsidRPr="000F130C" w:rsidRDefault="00F700AE" w:rsidP="00F700AE">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3C33A488" w14:textId="535F44E9" w:rsidR="00F700AE" w:rsidRDefault="00F700AE" w:rsidP="00F700AE">
            <w:pPr>
              <w:pStyle w:val="TableText"/>
              <w:jc w:val="right"/>
              <w:rPr>
                <w:rFonts w:cs="Calibri"/>
                <w:color w:val="000000"/>
              </w:rPr>
            </w:pPr>
            <w:r>
              <w:rPr>
                <w:rFonts w:cs="Calibri"/>
                <w:color w:val="000000"/>
              </w:rPr>
              <w:t>90K</w:t>
            </w:r>
          </w:p>
        </w:tc>
        <w:tc>
          <w:tcPr>
            <w:tcW w:w="1242" w:type="dxa"/>
            <w:tcBorders>
              <w:top w:val="nil"/>
              <w:left w:val="nil"/>
              <w:bottom w:val="single" w:sz="4" w:space="0" w:color="auto"/>
              <w:right w:val="single" w:sz="4" w:space="0" w:color="auto"/>
            </w:tcBorders>
          </w:tcPr>
          <w:p w14:paraId="243BBEB0" w14:textId="1D57D345" w:rsidR="00F700AE" w:rsidRDefault="00F700AE" w:rsidP="00F700AE">
            <w:pPr>
              <w:pStyle w:val="TableText"/>
              <w:jc w:val="right"/>
              <w:rPr>
                <w:rFonts w:cs="Calibri"/>
                <w:color w:val="000000"/>
              </w:rPr>
            </w:pPr>
            <w:r>
              <w:rPr>
                <w:rFonts w:cs="Calibri"/>
                <w:color w:val="000000"/>
              </w:rPr>
              <w:t>151k</w:t>
            </w:r>
          </w:p>
        </w:tc>
        <w:tc>
          <w:tcPr>
            <w:tcW w:w="1242" w:type="dxa"/>
            <w:tcBorders>
              <w:top w:val="nil"/>
              <w:left w:val="nil"/>
              <w:bottom w:val="single" w:sz="4" w:space="0" w:color="auto"/>
              <w:right w:val="single" w:sz="4" w:space="0" w:color="auto"/>
            </w:tcBorders>
          </w:tcPr>
          <w:p w14:paraId="230F3224" w14:textId="2B1CBA27" w:rsidR="00F700AE" w:rsidRDefault="00F700AE" w:rsidP="00F700AE">
            <w:pPr>
              <w:pStyle w:val="TableText"/>
              <w:jc w:val="right"/>
              <w:rPr>
                <w:rFonts w:cs="Calibri"/>
                <w:color w:val="000000"/>
              </w:rPr>
            </w:pPr>
            <w:r>
              <w:rPr>
                <w:rFonts w:cs="Calibri"/>
                <w:color w:val="000000"/>
              </w:rPr>
              <w:t>125K</w:t>
            </w:r>
          </w:p>
        </w:tc>
        <w:tc>
          <w:tcPr>
            <w:tcW w:w="1242" w:type="dxa"/>
            <w:tcBorders>
              <w:top w:val="nil"/>
              <w:left w:val="nil"/>
              <w:bottom w:val="single" w:sz="4" w:space="0" w:color="auto"/>
              <w:right w:val="single" w:sz="4" w:space="0" w:color="auto"/>
            </w:tcBorders>
          </w:tcPr>
          <w:p w14:paraId="19035E81" w14:textId="0AED605F" w:rsidR="00F700AE" w:rsidRDefault="00F700AE" w:rsidP="00F700AE">
            <w:pPr>
              <w:pStyle w:val="TableText"/>
              <w:jc w:val="right"/>
              <w:rPr>
                <w:rFonts w:cs="Calibri"/>
                <w:color w:val="000000"/>
              </w:rPr>
            </w:pPr>
            <w:r>
              <w:rPr>
                <w:rFonts w:cs="Calibri"/>
                <w:color w:val="000000"/>
              </w:rPr>
              <w:t>137K</w:t>
            </w:r>
          </w:p>
        </w:tc>
        <w:tc>
          <w:tcPr>
            <w:tcW w:w="1242" w:type="dxa"/>
            <w:tcBorders>
              <w:top w:val="nil"/>
              <w:left w:val="nil"/>
              <w:bottom w:val="single" w:sz="4" w:space="0" w:color="auto"/>
              <w:right w:val="single" w:sz="4" w:space="0" w:color="auto"/>
            </w:tcBorders>
            <w:vAlign w:val="bottom"/>
          </w:tcPr>
          <w:p w14:paraId="314D4305" w14:textId="1A37A2E3" w:rsidR="00F700AE" w:rsidRDefault="00F700AE" w:rsidP="00F700AE">
            <w:pPr>
              <w:pStyle w:val="TableText"/>
              <w:jc w:val="right"/>
              <w:rPr>
                <w:rFonts w:cs="Calibri"/>
                <w:color w:val="000000"/>
              </w:rPr>
            </w:pPr>
            <w:r w:rsidRPr="00F700AE">
              <w:rPr>
                <w:rFonts w:cs="Calibri"/>
                <w:color w:val="000000"/>
              </w:rPr>
              <w:t>110K</w:t>
            </w:r>
          </w:p>
        </w:tc>
      </w:tr>
      <w:tr w:rsidR="00F700AE" w:rsidRPr="000F130C" w14:paraId="407B543F" w14:textId="77777777" w:rsidTr="00D65A80">
        <w:trPr>
          <w:trHeight w:val="255"/>
        </w:trPr>
        <w:tc>
          <w:tcPr>
            <w:tcW w:w="2596" w:type="dxa"/>
            <w:tcBorders>
              <w:top w:val="nil"/>
              <w:left w:val="single" w:sz="4" w:space="0" w:color="auto"/>
              <w:bottom w:val="single" w:sz="4" w:space="0" w:color="auto"/>
              <w:right w:val="single" w:sz="4" w:space="0" w:color="auto"/>
            </w:tcBorders>
            <w:noWrap/>
            <w:hideMark/>
          </w:tcPr>
          <w:p w14:paraId="30775402" w14:textId="77777777" w:rsidR="00F700AE" w:rsidRPr="000F130C" w:rsidRDefault="00F700AE" w:rsidP="00F700AE">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6CDE9356" w14:textId="655A49BD" w:rsidR="00F700AE" w:rsidRDefault="00F700AE" w:rsidP="00F700AE">
            <w:pPr>
              <w:pStyle w:val="TableText"/>
              <w:jc w:val="right"/>
              <w:rPr>
                <w:rFonts w:cs="Calibri"/>
                <w:color w:val="000000"/>
              </w:rPr>
            </w:pPr>
            <w:r>
              <w:rPr>
                <w:rFonts w:cs="Calibri"/>
                <w:color w:val="000000"/>
              </w:rPr>
              <w:t>83K</w:t>
            </w:r>
          </w:p>
        </w:tc>
        <w:tc>
          <w:tcPr>
            <w:tcW w:w="1242" w:type="dxa"/>
            <w:tcBorders>
              <w:top w:val="nil"/>
              <w:left w:val="nil"/>
              <w:bottom w:val="single" w:sz="4" w:space="0" w:color="auto"/>
              <w:right w:val="single" w:sz="4" w:space="0" w:color="auto"/>
            </w:tcBorders>
          </w:tcPr>
          <w:p w14:paraId="31C73671" w14:textId="4B8A28F6" w:rsidR="00F700AE" w:rsidRDefault="00F700AE" w:rsidP="00F700AE">
            <w:pPr>
              <w:pStyle w:val="TableText"/>
              <w:jc w:val="right"/>
              <w:rPr>
                <w:rFonts w:cs="Calibri"/>
                <w:color w:val="000000"/>
              </w:rPr>
            </w:pPr>
            <w:r>
              <w:rPr>
                <w:rFonts w:cs="Calibri"/>
                <w:color w:val="000000"/>
              </w:rPr>
              <w:t>100k</w:t>
            </w:r>
          </w:p>
        </w:tc>
        <w:tc>
          <w:tcPr>
            <w:tcW w:w="1242" w:type="dxa"/>
            <w:tcBorders>
              <w:top w:val="nil"/>
              <w:left w:val="nil"/>
              <w:bottom w:val="single" w:sz="4" w:space="0" w:color="auto"/>
              <w:right w:val="single" w:sz="4" w:space="0" w:color="auto"/>
            </w:tcBorders>
          </w:tcPr>
          <w:p w14:paraId="42804B9E" w14:textId="03CB6BE1" w:rsidR="00F700AE" w:rsidRDefault="00F700AE" w:rsidP="00F700AE">
            <w:pPr>
              <w:pStyle w:val="TableText"/>
              <w:jc w:val="right"/>
              <w:rPr>
                <w:rFonts w:cs="Calibri"/>
                <w:color w:val="000000"/>
              </w:rPr>
            </w:pPr>
            <w:r>
              <w:rPr>
                <w:rFonts w:cs="Calibri"/>
                <w:color w:val="000000"/>
              </w:rPr>
              <w:t>88K</w:t>
            </w:r>
          </w:p>
        </w:tc>
        <w:tc>
          <w:tcPr>
            <w:tcW w:w="1242" w:type="dxa"/>
            <w:tcBorders>
              <w:top w:val="nil"/>
              <w:left w:val="nil"/>
              <w:bottom w:val="single" w:sz="4" w:space="0" w:color="auto"/>
              <w:right w:val="single" w:sz="4" w:space="0" w:color="auto"/>
            </w:tcBorders>
          </w:tcPr>
          <w:p w14:paraId="4EE1B993" w14:textId="5C22764F" w:rsidR="00F700AE" w:rsidRDefault="00F700AE" w:rsidP="00F700AE">
            <w:pPr>
              <w:pStyle w:val="TableText"/>
              <w:jc w:val="right"/>
              <w:rPr>
                <w:rFonts w:cs="Calibri"/>
                <w:color w:val="000000"/>
              </w:rPr>
            </w:pPr>
            <w:r>
              <w:rPr>
                <w:rFonts w:cs="Calibri"/>
                <w:color w:val="000000"/>
              </w:rPr>
              <w:t>84K</w:t>
            </w:r>
          </w:p>
        </w:tc>
        <w:tc>
          <w:tcPr>
            <w:tcW w:w="1242" w:type="dxa"/>
            <w:tcBorders>
              <w:top w:val="nil"/>
              <w:left w:val="nil"/>
              <w:bottom w:val="single" w:sz="4" w:space="0" w:color="auto"/>
              <w:right w:val="single" w:sz="4" w:space="0" w:color="auto"/>
            </w:tcBorders>
            <w:vAlign w:val="bottom"/>
          </w:tcPr>
          <w:p w14:paraId="449919B0" w14:textId="6370A2A6" w:rsidR="00F700AE" w:rsidRDefault="00F700AE" w:rsidP="00F700AE">
            <w:pPr>
              <w:pStyle w:val="TableText"/>
              <w:jc w:val="right"/>
              <w:rPr>
                <w:rFonts w:cs="Calibri"/>
                <w:color w:val="000000"/>
              </w:rPr>
            </w:pPr>
            <w:r w:rsidRPr="00F700AE">
              <w:rPr>
                <w:rFonts w:cs="Calibri"/>
                <w:color w:val="000000"/>
              </w:rPr>
              <w:t>75K</w:t>
            </w:r>
          </w:p>
        </w:tc>
      </w:tr>
      <w:tr w:rsidR="00F700AE" w:rsidRPr="000F130C" w14:paraId="5B555C1E" w14:textId="77777777" w:rsidTr="00D65A80">
        <w:trPr>
          <w:trHeight w:val="255"/>
        </w:trPr>
        <w:tc>
          <w:tcPr>
            <w:tcW w:w="2596" w:type="dxa"/>
            <w:tcBorders>
              <w:top w:val="nil"/>
              <w:left w:val="single" w:sz="4" w:space="0" w:color="auto"/>
              <w:bottom w:val="single" w:sz="4" w:space="0" w:color="auto"/>
              <w:right w:val="single" w:sz="4" w:space="0" w:color="auto"/>
            </w:tcBorders>
            <w:noWrap/>
            <w:hideMark/>
          </w:tcPr>
          <w:p w14:paraId="565BD086" w14:textId="77777777" w:rsidR="00F700AE" w:rsidRPr="000F130C" w:rsidRDefault="00F700AE" w:rsidP="00F700AE">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1B5B8424" w14:textId="6E915F5F" w:rsidR="00F700AE" w:rsidRDefault="00F700AE" w:rsidP="00F700AE">
            <w:pPr>
              <w:pStyle w:val="TableText"/>
              <w:jc w:val="right"/>
              <w:rPr>
                <w:rFonts w:cs="Calibri"/>
                <w:color w:val="000000"/>
              </w:rPr>
            </w:pPr>
            <w:r>
              <w:rPr>
                <w:rFonts w:cs="Calibri"/>
                <w:color w:val="000000"/>
              </w:rPr>
              <w:t>54K</w:t>
            </w:r>
          </w:p>
        </w:tc>
        <w:tc>
          <w:tcPr>
            <w:tcW w:w="1242" w:type="dxa"/>
            <w:tcBorders>
              <w:top w:val="nil"/>
              <w:left w:val="nil"/>
              <w:bottom w:val="single" w:sz="4" w:space="0" w:color="auto"/>
              <w:right w:val="single" w:sz="4" w:space="0" w:color="auto"/>
            </w:tcBorders>
          </w:tcPr>
          <w:p w14:paraId="20E91C4B" w14:textId="02DFA55F" w:rsidR="00F700AE" w:rsidRDefault="00F700AE" w:rsidP="00F700AE">
            <w:pPr>
              <w:pStyle w:val="TableText"/>
              <w:jc w:val="right"/>
              <w:rPr>
                <w:rFonts w:cs="Calibri"/>
                <w:color w:val="000000"/>
              </w:rPr>
            </w:pPr>
            <w:r>
              <w:rPr>
                <w:rFonts w:cs="Calibri"/>
                <w:color w:val="000000"/>
              </w:rPr>
              <w:t>65k</w:t>
            </w:r>
          </w:p>
        </w:tc>
        <w:tc>
          <w:tcPr>
            <w:tcW w:w="1242" w:type="dxa"/>
            <w:tcBorders>
              <w:top w:val="nil"/>
              <w:left w:val="nil"/>
              <w:bottom w:val="single" w:sz="4" w:space="0" w:color="auto"/>
              <w:right w:val="single" w:sz="4" w:space="0" w:color="auto"/>
            </w:tcBorders>
          </w:tcPr>
          <w:p w14:paraId="29EF1A1A" w14:textId="6A9D5594" w:rsidR="00F700AE" w:rsidRDefault="00F700AE" w:rsidP="00F700AE">
            <w:pPr>
              <w:pStyle w:val="TableText"/>
              <w:jc w:val="right"/>
              <w:rPr>
                <w:rFonts w:cs="Calibri"/>
                <w:color w:val="000000"/>
              </w:rPr>
            </w:pPr>
            <w:r>
              <w:rPr>
                <w:rFonts w:cs="Calibri"/>
                <w:color w:val="000000"/>
              </w:rPr>
              <w:t>51K</w:t>
            </w:r>
          </w:p>
        </w:tc>
        <w:tc>
          <w:tcPr>
            <w:tcW w:w="1242" w:type="dxa"/>
            <w:tcBorders>
              <w:top w:val="nil"/>
              <w:left w:val="nil"/>
              <w:bottom w:val="single" w:sz="4" w:space="0" w:color="auto"/>
              <w:right w:val="single" w:sz="4" w:space="0" w:color="auto"/>
            </w:tcBorders>
          </w:tcPr>
          <w:p w14:paraId="54C91B68" w14:textId="7338C814" w:rsidR="00F700AE" w:rsidRDefault="00F700AE" w:rsidP="00F700AE">
            <w:pPr>
              <w:pStyle w:val="TableText"/>
              <w:jc w:val="right"/>
              <w:rPr>
                <w:rFonts w:cs="Calibri"/>
                <w:color w:val="000000"/>
              </w:rPr>
            </w:pPr>
            <w:r>
              <w:rPr>
                <w:rFonts w:cs="Calibri"/>
                <w:color w:val="000000"/>
              </w:rPr>
              <w:t>48K</w:t>
            </w:r>
          </w:p>
        </w:tc>
        <w:tc>
          <w:tcPr>
            <w:tcW w:w="1242" w:type="dxa"/>
            <w:tcBorders>
              <w:top w:val="nil"/>
              <w:left w:val="nil"/>
              <w:bottom w:val="single" w:sz="4" w:space="0" w:color="auto"/>
              <w:right w:val="single" w:sz="4" w:space="0" w:color="auto"/>
            </w:tcBorders>
            <w:vAlign w:val="bottom"/>
          </w:tcPr>
          <w:p w14:paraId="422D34F4" w14:textId="731CAAE2" w:rsidR="00F700AE" w:rsidRDefault="00F700AE" w:rsidP="00F700AE">
            <w:pPr>
              <w:pStyle w:val="TableText"/>
              <w:jc w:val="right"/>
              <w:rPr>
                <w:rFonts w:cs="Calibri"/>
                <w:color w:val="000000"/>
              </w:rPr>
            </w:pPr>
            <w:r w:rsidRPr="00F700AE">
              <w:rPr>
                <w:rFonts w:cs="Calibri"/>
                <w:color w:val="000000"/>
              </w:rPr>
              <w:t>50K</w:t>
            </w:r>
          </w:p>
        </w:tc>
      </w:tr>
      <w:tr w:rsidR="00F700AE" w:rsidRPr="000F130C" w14:paraId="7F6D59DE" w14:textId="77777777" w:rsidTr="00D65A80">
        <w:trPr>
          <w:trHeight w:val="255"/>
        </w:trPr>
        <w:tc>
          <w:tcPr>
            <w:tcW w:w="2596" w:type="dxa"/>
            <w:tcBorders>
              <w:top w:val="nil"/>
              <w:left w:val="single" w:sz="4" w:space="0" w:color="auto"/>
              <w:bottom w:val="single" w:sz="4" w:space="0" w:color="auto"/>
              <w:right w:val="single" w:sz="4" w:space="0" w:color="auto"/>
            </w:tcBorders>
            <w:noWrap/>
            <w:hideMark/>
          </w:tcPr>
          <w:p w14:paraId="74BBBED1" w14:textId="77777777" w:rsidR="00F700AE" w:rsidRPr="000F130C" w:rsidRDefault="00F700AE" w:rsidP="00F700AE">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6194428C" w14:textId="6BA0B15B" w:rsidR="00F700AE" w:rsidRDefault="00F700AE" w:rsidP="00F700AE">
            <w:pPr>
              <w:pStyle w:val="TableText"/>
              <w:jc w:val="right"/>
              <w:rPr>
                <w:rFonts w:cs="Calibri"/>
                <w:b/>
                <w:bCs/>
                <w:color w:val="000000"/>
              </w:rPr>
            </w:pPr>
            <w:r>
              <w:rPr>
                <w:rFonts w:cs="Calibri"/>
                <w:b/>
                <w:bCs/>
                <w:color w:val="000000"/>
              </w:rPr>
              <w:t>374K</w:t>
            </w:r>
          </w:p>
        </w:tc>
        <w:tc>
          <w:tcPr>
            <w:tcW w:w="1242" w:type="dxa"/>
            <w:tcBorders>
              <w:top w:val="nil"/>
              <w:left w:val="nil"/>
              <w:bottom w:val="single" w:sz="4" w:space="0" w:color="auto"/>
              <w:right w:val="single" w:sz="4" w:space="0" w:color="auto"/>
            </w:tcBorders>
          </w:tcPr>
          <w:p w14:paraId="0FC9E0FC" w14:textId="172D95C9" w:rsidR="00F700AE" w:rsidRDefault="00F700AE" w:rsidP="00F700AE">
            <w:pPr>
              <w:pStyle w:val="TableText"/>
              <w:jc w:val="right"/>
              <w:rPr>
                <w:rFonts w:cs="Calibri"/>
                <w:b/>
                <w:bCs/>
                <w:color w:val="000000"/>
              </w:rPr>
            </w:pPr>
            <w:r>
              <w:rPr>
                <w:rFonts w:cs="Calibri"/>
                <w:b/>
                <w:bCs/>
                <w:color w:val="000000"/>
              </w:rPr>
              <w:t>529k</w:t>
            </w:r>
          </w:p>
        </w:tc>
        <w:tc>
          <w:tcPr>
            <w:tcW w:w="1242" w:type="dxa"/>
            <w:tcBorders>
              <w:top w:val="nil"/>
              <w:left w:val="nil"/>
              <w:bottom w:val="single" w:sz="4" w:space="0" w:color="auto"/>
              <w:right w:val="single" w:sz="4" w:space="0" w:color="auto"/>
            </w:tcBorders>
          </w:tcPr>
          <w:p w14:paraId="4EC8DB25" w14:textId="5D96136A" w:rsidR="00F700AE" w:rsidRDefault="00F700AE" w:rsidP="00F700AE">
            <w:pPr>
              <w:pStyle w:val="TableText"/>
              <w:jc w:val="right"/>
              <w:rPr>
                <w:rFonts w:cs="Calibri"/>
                <w:b/>
                <w:bCs/>
                <w:color w:val="000000"/>
              </w:rPr>
            </w:pPr>
            <w:r>
              <w:rPr>
                <w:rFonts w:cs="Calibri"/>
                <w:b/>
                <w:bCs/>
                <w:color w:val="000000"/>
              </w:rPr>
              <w:t>400K</w:t>
            </w:r>
          </w:p>
        </w:tc>
        <w:tc>
          <w:tcPr>
            <w:tcW w:w="1242" w:type="dxa"/>
            <w:tcBorders>
              <w:top w:val="nil"/>
              <w:left w:val="nil"/>
              <w:bottom w:val="single" w:sz="4" w:space="0" w:color="auto"/>
              <w:right w:val="single" w:sz="4" w:space="0" w:color="auto"/>
            </w:tcBorders>
          </w:tcPr>
          <w:p w14:paraId="0A8BEBBE" w14:textId="2DEF2C41" w:rsidR="00F700AE" w:rsidRDefault="00F700AE" w:rsidP="00F700AE">
            <w:pPr>
              <w:pStyle w:val="TableText"/>
              <w:jc w:val="right"/>
              <w:rPr>
                <w:rFonts w:cs="Calibri"/>
                <w:b/>
                <w:bCs/>
                <w:color w:val="000000"/>
              </w:rPr>
            </w:pPr>
            <w:r>
              <w:rPr>
                <w:rFonts w:cs="Calibri"/>
                <w:b/>
                <w:bCs/>
                <w:color w:val="000000"/>
              </w:rPr>
              <w:t>403K</w:t>
            </w:r>
          </w:p>
        </w:tc>
        <w:tc>
          <w:tcPr>
            <w:tcW w:w="1242" w:type="dxa"/>
            <w:tcBorders>
              <w:top w:val="nil"/>
              <w:left w:val="nil"/>
              <w:bottom w:val="single" w:sz="4" w:space="0" w:color="auto"/>
              <w:right w:val="single" w:sz="4" w:space="0" w:color="auto"/>
            </w:tcBorders>
            <w:vAlign w:val="bottom"/>
          </w:tcPr>
          <w:p w14:paraId="34DF8E92" w14:textId="2DD489E7" w:rsidR="00F700AE" w:rsidRDefault="00F700AE" w:rsidP="00F700AE">
            <w:pPr>
              <w:pStyle w:val="TableText"/>
              <w:jc w:val="right"/>
              <w:rPr>
                <w:rFonts w:cs="Calibri"/>
                <w:b/>
                <w:bCs/>
                <w:color w:val="000000"/>
              </w:rPr>
            </w:pPr>
            <w:r w:rsidRPr="00F700AE">
              <w:rPr>
                <w:rFonts w:cs="Calibri"/>
                <w:b/>
                <w:bCs/>
                <w:color w:val="000000"/>
              </w:rPr>
              <w:t>382K</w:t>
            </w:r>
          </w:p>
        </w:tc>
      </w:tr>
      <w:bookmarkEnd w:id="43"/>
    </w:tbl>
    <w:p w14:paraId="211D89E5" w14:textId="77777777" w:rsidR="00026BA0" w:rsidRDefault="00026BA0" w:rsidP="00026BA0">
      <w:pPr>
        <w:spacing w:line="240" w:lineRule="auto"/>
        <w:ind w:left="-142"/>
        <w:jc w:val="both"/>
        <w:rPr>
          <w:rFonts w:cs="Arial"/>
        </w:rPr>
      </w:pPr>
    </w:p>
    <w:p w14:paraId="1F933F3B" w14:textId="207F42F9" w:rsidR="00994941" w:rsidRDefault="00B20EFA" w:rsidP="00994941">
      <w:pPr>
        <w:ind w:left="-142" w:right="-425"/>
        <w:jc w:val="both"/>
        <w:rPr>
          <w:rFonts w:cs="Arial"/>
        </w:rPr>
      </w:pPr>
      <w:r>
        <w:rPr>
          <w:rFonts w:cs="Arial"/>
        </w:rPr>
        <w:t>Cairns Registry</w:t>
      </w:r>
      <w:r w:rsidR="00994941">
        <w:rPr>
          <w:rFonts w:cs="Arial"/>
        </w:rPr>
        <w:t xml:space="preserve"> expenditure for </w:t>
      </w:r>
      <w:r w:rsidR="00856C85">
        <w:rPr>
          <w:rFonts w:cs="Arial"/>
        </w:rPr>
        <w:t xml:space="preserve">quarter </w:t>
      </w:r>
      <w:r w:rsidR="00BC09BB">
        <w:rPr>
          <w:rFonts w:cs="Arial"/>
        </w:rPr>
        <w:t>6</w:t>
      </w:r>
      <w:r w:rsidR="002A5028">
        <w:rPr>
          <w:rFonts w:cs="Arial"/>
        </w:rPr>
        <w:t>4</w:t>
      </w:r>
      <w:r w:rsidR="001415BC">
        <w:rPr>
          <w:rFonts w:cs="Arial"/>
        </w:rPr>
        <w:t xml:space="preserve"> </w:t>
      </w:r>
      <w:r w:rsidR="00994941" w:rsidRPr="006A0DDF">
        <w:rPr>
          <w:rFonts w:cs="Arial"/>
        </w:rPr>
        <w:t xml:space="preserve">compared to </w:t>
      </w:r>
      <w:r w:rsidR="00994941">
        <w:rPr>
          <w:rFonts w:cs="Arial"/>
        </w:rPr>
        <w:t xml:space="preserve">the </w:t>
      </w:r>
      <w:r w:rsidR="00994941" w:rsidRPr="006A0DDF">
        <w:rPr>
          <w:rFonts w:cs="Arial"/>
        </w:rPr>
        <w:t xml:space="preserve">previous </w:t>
      </w:r>
      <w:r w:rsidR="00D144AA">
        <w:rPr>
          <w:rFonts w:cs="Arial"/>
        </w:rPr>
        <w:t>four</w:t>
      </w:r>
      <w:r w:rsidR="00FB4C44" w:rsidRPr="006A0DDF">
        <w:rPr>
          <w:rFonts w:cs="Arial"/>
        </w:rPr>
        <w:t xml:space="preserve"> </w:t>
      </w:r>
      <w:r w:rsidR="00994941" w:rsidRPr="006A0DDF">
        <w:rPr>
          <w:rFonts w:cs="Arial"/>
        </w:rPr>
        <w:t>quarter</w:t>
      </w:r>
      <w:r w:rsidR="00994941">
        <w:rPr>
          <w:rFonts w:cs="Arial"/>
        </w:rPr>
        <w:t>s.</w:t>
      </w:r>
    </w:p>
    <w:p w14:paraId="608B292F" w14:textId="1CE778A4" w:rsidR="00B24617" w:rsidRDefault="00B24617" w:rsidP="00994941">
      <w:pPr>
        <w:ind w:left="-142" w:right="-425"/>
        <w:jc w:val="both"/>
        <w:rPr>
          <w:rFonts w:cs="Arial"/>
        </w:rPr>
      </w:pPr>
    </w:p>
    <w:p w14:paraId="7F41D2D9" w14:textId="0BF95750" w:rsidR="00026BA0" w:rsidRDefault="00026BA0" w:rsidP="00026BA0">
      <w:pPr>
        <w:spacing w:line="240" w:lineRule="auto"/>
        <w:ind w:left="-142"/>
        <w:jc w:val="both"/>
        <w:rPr>
          <w:rFonts w:cs="Arial"/>
          <w:sz w:val="16"/>
          <w:szCs w:val="16"/>
        </w:rPr>
      </w:pPr>
      <w:r>
        <w:rPr>
          <w:rFonts w:cs="Arial"/>
          <w:b/>
          <w:sz w:val="16"/>
          <w:szCs w:val="16"/>
        </w:rPr>
        <w:t>Table 26</w:t>
      </w:r>
      <w:r w:rsidRPr="0089132B">
        <w:rPr>
          <w:rFonts w:cs="Arial"/>
          <w:b/>
          <w:sz w:val="16"/>
          <w:szCs w:val="16"/>
        </w:rPr>
        <w:t xml:space="preserve">: </w:t>
      </w:r>
      <w:r>
        <w:rPr>
          <w:rFonts w:cs="Arial"/>
          <w:sz w:val="16"/>
          <w:szCs w:val="16"/>
        </w:rPr>
        <w:t>Quarterly operating c</w:t>
      </w:r>
      <w:r w:rsidRPr="006C5060">
        <w:rPr>
          <w:rFonts w:cs="Arial"/>
          <w:sz w:val="16"/>
          <w:szCs w:val="16"/>
        </w:rPr>
        <w:t xml:space="preserve">osts Cairns </w:t>
      </w:r>
      <w:r>
        <w:rPr>
          <w:rFonts w:cs="Arial"/>
          <w:sz w:val="16"/>
          <w:szCs w:val="16"/>
        </w:rPr>
        <w:t xml:space="preserve">1 </w:t>
      </w:r>
      <w:r>
        <w:rPr>
          <w:rFonts w:cs="Arial"/>
          <w:sz w:val="16"/>
          <w:szCs w:val="16"/>
        </w:rPr>
        <w:t>April</w:t>
      </w:r>
      <w:r>
        <w:rPr>
          <w:rFonts w:cs="Arial"/>
          <w:sz w:val="16"/>
          <w:szCs w:val="16"/>
        </w:rPr>
        <w:t xml:space="preserve"> 2023 to 3</w:t>
      </w:r>
      <w:r>
        <w:rPr>
          <w:rFonts w:cs="Arial"/>
          <w:sz w:val="16"/>
          <w:szCs w:val="16"/>
        </w:rPr>
        <w:t xml:space="preserve">0 June </w:t>
      </w:r>
      <w:r>
        <w:rPr>
          <w:rFonts w:cs="Arial"/>
          <w:sz w:val="16"/>
          <w:szCs w:val="16"/>
        </w:rPr>
        <w:t>2024</w:t>
      </w:r>
    </w:p>
    <w:p w14:paraId="1B42C213" w14:textId="77777777" w:rsidR="00026BA0" w:rsidRPr="0070366B" w:rsidRDefault="00026BA0" w:rsidP="00026BA0">
      <w:pPr>
        <w:spacing w:line="240" w:lineRule="auto"/>
        <w:ind w:left="-142"/>
        <w:jc w:val="both"/>
        <w:rPr>
          <w:rFonts w:cs="Arial"/>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026BA0" w:rsidRPr="00920636" w14:paraId="73A2437E" w14:textId="77777777" w:rsidTr="00D744B8">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6B1C1476" w14:textId="77777777" w:rsidR="00026BA0" w:rsidRPr="000F130C" w:rsidRDefault="00026BA0" w:rsidP="00026BA0">
            <w:pPr>
              <w:pStyle w:val="TableText"/>
              <w:ind w:left="49"/>
              <w:rPr>
                <w:b/>
                <w:lang w:eastAsia="en-AU"/>
              </w:rPr>
            </w:pPr>
            <w:bookmarkStart w:id="44"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2F49F099" w14:textId="2A7A2A09" w:rsidR="00026BA0" w:rsidRDefault="00026BA0" w:rsidP="00026BA0">
            <w:pPr>
              <w:pStyle w:val="TableText"/>
              <w:jc w:val="right"/>
              <w:rPr>
                <w:b/>
                <w:lang w:eastAsia="en-AU"/>
              </w:rPr>
            </w:pPr>
            <w:r>
              <w:rPr>
                <w:b/>
                <w:lang w:eastAsia="en-AU"/>
              </w:rPr>
              <w:t>Qtr 60</w:t>
            </w:r>
          </w:p>
        </w:tc>
        <w:tc>
          <w:tcPr>
            <w:tcW w:w="1250" w:type="dxa"/>
            <w:tcBorders>
              <w:top w:val="single" w:sz="4" w:space="0" w:color="auto"/>
              <w:left w:val="nil"/>
              <w:bottom w:val="single" w:sz="4" w:space="0" w:color="auto"/>
              <w:right w:val="single" w:sz="4" w:space="0" w:color="auto"/>
            </w:tcBorders>
          </w:tcPr>
          <w:p w14:paraId="429FEFA1" w14:textId="6799944E" w:rsidR="00026BA0" w:rsidRDefault="00026BA0" w:rsidP="00026BA0">
            <w:pPr>
              <w:pStyle w:val="TableText"/>
              <w:jc w:val="right"/>
              <w:rPr>
                <w:b/>
                <w:lang w:eastAsia="en-AU"/>
              </w:rPr>
            </w:pPr>
            <w:r>
              <w:rPr>
                <w:b/>
                <w:lang w:eastAsia="en-AU"/>
              </w:rPr>
              <w:t>Qtr 61</w:t>
            </w:r>
          </w:p>
        </w:tc>
        <w:tc>
          <w:tcPr>
            <w:tcW w:w="1250" w:type="dxa"/>
            <w:tcBorders>
              <w:top w:val="single" w:sz="4" w:space="0" w:color="auto"/>
              <w:left w:val="nil"/>
              <w:bottom w:val="single" w:sz="4" w:space="0" w:color="auto"/>
              <w:right w:val="single" w:sz="4" w:space="0" w:color="auto"/>
            </w:tcBorders>
          </w:tcPr>
          <w:p w14:paraId="0CB8C95C" w14:textId="3FB16ABB" w:rsidR="00026BA0" w:rsidRDefault="00026BA0" w:rsidP="00026BA0">
            <w:pPr>
              <w:pStyle w:val="TableText"/>
              <w:jc w:val="right"/>
              <w:rPr>
                <w:b/>
                <w:lang w:eastAsia="en-AU"/>
              </w:rPr>
            </w:pPr>
            <w:r>
              <w:rPr>
                <w:b/>
                <w:lang w:eastAsia="en-AU"/>
              </w:rPr>
              <w:t>Qtr 62</w:t>
            </w:r>
          </w:p>
        </w:tc>
        <w:tc>
          <w:tcPr>
            <w:tcW w:w="1250" w:type="dxa"/>
            <w:tcBorders>
              <w:top w:val="single" w:sz="4" w:space="0" w:color="auto"/>
              <w:left w:val="nil"/>
              <w:bottom w:val="single" w:sz="4" w:space="0" w:color="auto"/>
              <w:right w:val="single" w:sz="4" w:space="0" w:color="auto"/>
            </w:tcBorders>
          </w:tcPr>
          <w:p w14:paraId="2811880B" w14:textId="1F860544" w:rsidR="00026BA0" w:rsidRDefault="00026BA0" w:rsidP="00026BA0">
            <w:pPr>
              <w:pStyle w:val="TableText"/>
              <w:jc w:val="right"/>
              <w:rPr>
                <w:b/>
                <w:lang w:eastAsia="en-AU"/>
              </w:rPr>
            </w:pPr>
            <w:r>
              <w:rPr>
                <w:b/>
                <w:lang w:eastAsia="en-AU"/>
              </w:rPr>
              <w:t>Qtr 63</w:t>
            </w:r>
          </w:p>
        </w:tc>
        <w:tc>
          <w:tcPr>
            <w:tcW w:w="1250" w:type="dxa"/>
            <w:tcBorders>
              <w:top w:val="single" w:sz="4" w:space="0" w:color="auto"/>
              <w:left w:val="nil"/>
              <w:bottom w:val="single" w:sz="4" w:space="0" w:color="auto"/>
              <w:right w:val="single" w:sz="4" w:space="0" w:color="auto"/>
            </w:tcBorders>
          </w:tcPr>
          <w:p w14:paraId="439CDB9F" w14:textId="6C4B0E66" w:rsidR="00026BA0" w:rsidRDefault="00026BA0" w:rsidP="00026BA0">
            <w:pPr>
              <w:pStyle w:val="TableText"/>
              <w:jc w:val="right"/>
              <w:rPr>
                <w:b/>
                <w:lang w:eastAsia="en-AU"/>
              </w:rPr>
            </w:pPr>
            <w:r>
              <w:rPr>
                <w:b/>
                <w:lang w:eastAsia="en-AU"/>
              </w:rPr>
              <w:t>Qtr 6</w:t>
            </w:r>
            <w:r>
              <w:rPr>
                <w:b/>
                <w:lang w:eastAsia="en-AU"/>
              </w:rPr>
              <w:t>4</w:t>
            </w:r>
          </w:p>
        </w:tc>
      </w:tr>
      <w:tr w:rsidR="00026BA0" w:rsidRPr="00920636" w14:paraId="686156C6" w14:textId="77777777" w:rsidTr="00D744B8">
        <w:trPr>
          <w:trHeight w:val="255"/>
        </w:trPr>
        <w:tc>
          <w:tcPr>
            <w:tcW w:w="2596" w:type="dxa"/>
            <w:tcBorders>
              <w:top w:val="nil"/>
              <w:left w:val="single" w:sz="4" w:space="0" w:color="auto"/>
              <w:bottom w:val="single" w:sz="4" w:space="0" w:color="auto"/>
              <w:right w:val="single" w:sz="4" w:space="0" w:color="auto"/>
            </w:tcBorders>
            <w:noWrap/>
          </w:tcPr>
          <w:p w14:paraId="330425B8" w14:textId="77777777" w:rsidR="00026BA0" w:rsidRPr="00E72DFB" w:rsidRDefault="00026BA0" w:rsidP="00026BA0">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4127E1E1" w14:textId="46AB85EC" w:rsidR="00026BA0" w:rsidRDefault="00026BA0" w:rsidP="00026BA0">
            <w:pPr>
              <w:pStyle w:val="TableText"/>
              <w:jc w:val="right"/>
              <w:rPr>
                <w:rFonts w:cs="Arial"/>
              </w:rPr>
            </w:pPr>
            <w:r>
              <w:rPr>
                <w:rFonts w:cs="Arial"/>
              </w:rPr>
              <w:t>360K</w:t>
            </w:r>
          </w:p>
        </w:tc>
        <w:tc>
          <w:tcPr>
            <w:tcW w:w="1250" w:type="dxa"/>
            <w:tcBorders>
              <w:top w:val="nil"/>
              <w:left w:val="nil"/>
              <w:bottom w:val="single" w:sz="4" w:space="0" w:color="auto"/>
              <w:right w:val="single" w:sz="4" w:space="0" w:color="auto"/>
            </w:tcBorders>
          </w:tcPr>
          <w:p w14:paraId="32114D01" w14:textId="7F7BE0BD" w:rsidR="00026BA0" w:rsidRDefault="00026BA0" w:rsidP="00026BA0">
            <w:pPr>
              <w:pStyle w:val="TableText"/>
              <w:jc w:val="right"/>
              <w:rPr>
                <w:rFonts w:cs="Arial"/>
              </w:rPr>
            </w:pPr>
            <w:r>
              <w:rPr>
                <w:rFonts w:cs="Arial"/>
              </w:rPr>
              <w:t>405K</w:t>
            </w:r>
          </w:p>
        </w:tc>
        <w:tc>
          <w:tcPr>
            <w:tcW w:w="1250" w:type="dxa"/>
            <w:tcBorders>
              <w:top w:val="nil"/>
              <w:left w:val="nil"/>
              <w:bottom w:val="single" w:sz="4" w:space="0" w:color="auto"/>
              <w:right w:val="single" w:sz="4" w:space="0" w:color="auto"/>
            </w:tcBorders>
          </w:tcPr>
          <w:p w14:paraId="5CC3F827" w14:textId="48C3113D" w:rsidR="00026BA0" w:rsidRDefault="00026BA0" w:rsidP="00026BA0">
            <w:pPr>
              <w:pStyle w:val="TableText"/>
              <w:jc w:val="right"/>
              <w:rPr>
                <w:rFonts w:cs="Arial"/>
              </w:rPr>
            </w:pPr>
            <w:r>
              <w:rPr>
                <w:rFonts w:cs="Arial"/>
              </w:rPr>
              <w:t>432K</w:t>
            </w:r>
          </w:p>
        </w:tc>
        <w:tc>
          <w:tcPr>
            <w:tcW w:w="1250" w:type="dxa"/>
            <w:tcBorders>
              <w:top w:val="nil"/>
              <w:left w:val="nil"/>
              <w:bottom w:val="single" w:sz="4" w:space="0" w:color="auto"/>
              <w:right w:val="single" w:sz="4" w:space="0" w:color="auto"/>
            </w:tcBorders>
          </w:tcPr>
          <w:p w14:paraId="6513D35F" w14:textId="08AD1999" w:rsidR="00026BA0" w:rsidRDefault="00026BA0" w:rsidP="00026BA0">
            <w:pPr>
              <w:pStyle w:val="TableText"/>
              <w:jc w:val="right"/>
              <w:rPr>
                <w:rFonts w:cs="Arial"/>
              </w:rPr>
            </w:pPr>
            <w:r>
              <w:rPr>
                <w:rFonts w:cs="Arial"/>
              </w:rPr>
              <w:t>390K</w:t>
            </w:r>
          </w:p>
        </w:tc>
        <w:tc>
          <w:tcPr>
            <w:tcW w:w="1250" w:type="dxa"/>
            <w:tcBorders>
              <w:top w:val="nil"/>
              <w:left w:val="nil"/>
              <w:bottom w:val="single" w:sz="4" w:space="0" w:color="auto"/>
              <w:right w:val="single" w:sz="4" w:space="0" w:color="auto"/>
            </w:tcBorders>
          </w:tcPr>
          <w:p w14:paraId="44A0D03C" w14:textId="06C974A1" w:rsidR="00026BA0" w:rsidRDefault="00F700AE" w:rsidP="00026BA0">
            <w:pPr>
              <w:pStyle w:val="TableText"/>
              <w:jc w:val="right"/>
              <w:rPr>
                <w:rFonts w:cs="Arial"/>
              </w:rPr>
            </w:pPr>
            <w:r>
              <w:rPr>
                <w:rFonts w:cs="Arial"/>
              </w:rPr>
              <w:t>294K</w:t>
            </w:r>
          </w:p>
        </w:tc>
      </w:tr>
      <w:tr w:rsidR="00026BA0" w:rsidRPr="00920636" w14:paraId="6CA1FF14" w14:textId="77777777" w:rsidTr="00D744B8">
        <w:trPr>
          <w:trHeight w:val="255"/>
        </w:trPr>
        <w:tc>
          <w:tcPr>
            <w:tcW w:w="2596" w:type="dxa"/>
            <w:tcBorders>
              <w:top w:val="nil"/>
              <w:left w:val="single" w:sz="4" w:space="0" w:color="auto"/>
              <w:bottom w:val="single" w:sz="4" w:space="0" w:color="auto"/>
              <w:right w:val="single" w:sz="4" w:space="0" w:color="auto"/>
            </w:tcBorders>
            <w:noWrap/>
            <w:hideMark/>
          </w:tcPr>
          <w:p w14:paraId="794AE6FB" w14:textId="77777777" w:rsidR="00026BA0" w:rsidRPr="00E72DFB" w:rsidRDefault="00026BA0" w:rsidP="00026BA0">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498C3174" w14:textId="0594547C" w:rsidR="00026BA0" w:rsidRDefault="00026BA0" w:rsidP="00026BA0">
            <w:pPr>
              <w:pStyle w:val="TableText"/>
              <w:jc w:val="right"/>
              <w:rPr>
                <w:rFonts w:cs="Arial"/>
              </w:rPr>
            </w:pPr>
            <w:r>
              <w:rPr>
                <w:rFonts w:cs="Arial"/>
              </w:rPr>
              <w:t>384K</w:t>
            </w:r>
          </w:p>
        </w:tc>
        <w:tc>
          <w:tcPr>
            <w:tcW w:w="1250" w:type="dxa"/>
            <w:tcBorders>
              <w:top w:val="nil"/>
              <w:left w:val="nil"/>
              <w:bottom w:val="single" w:sz="4" w:space="0" w:color="auto"/>
              <w:right w:val="single" w:sz="4" w:space="0" w:color="auto"/>
            </w:tcBorders>
          </w:tcPr>
          <w:p w14:paraId="22521C2A" w14:textId="28D90BAA" w:rsidR="00026BA0" w:rsidRDefault="00026BA0" w:rsidP="00026BA0">
            <w:pPr>
              <w:pStyle w:val="TableText"/>
              <w:jc w:val="right"/>
              <w:rPr>
                <w:rFonts w:cs="Arial"/>
              </w:rPr>
            </w:pPr>
            <w:r>
              <w:rPr>
                <w:rFonts w:cs="Arial"/>
              </w:rPr>
              <w:t>417K</w:t>
            </w:r>
          </w:p>
        </w:tc>
        <w:tc>
          <w:tcPr>
            <w:tcW w:w="1250" w:type="dxa"/>
            <w:tcBorders>
              <w:top w:val="nil"/>
              <w:left w:val="nil"/>
              <w:bottom w:val="single" w:sz="4" w:space="0" w:color="auto"/>
              <w:right w:val="single" w:sz="4" w:space="0" w:color="auto"/>
            </w:tcBorders>
          </w:tcPr>
          <w:p w14:paraId="430F35C0" w14:textId="2B525B9F" w:rsidR="00026BA0" w:rsidRDefault="00026BA0" w:rsidP="00026BA0">
            <w:pPr>
              <w:pStyle w:val="TableText"/>
              <w:jc w:val="right"/>
              <w:rPr>
                <w:rFonts w:cs="Arial"/>
              </w:rPr>
            </w:pPr>
            <w:r>
              <w:rPr>
                <w:rFonts w:cs="Arial"/>
              </w:rPr>
              <w:t>444K</w:t>
            </w:r>
          </w:p>
        </w:tc>
        <w:tc>
          <w:tcPr>
            <w:tcW w:w="1250" w:type="dxa"/>
            <w:tcBorders>
              <w:top w:val="nil"/>
              <w:left w:val="nil"/>
              <w:bottom w:val="single" w:sz="4" w:space="0" w:color="auto"/>
              <w:right w:val="single" w:sz="4" w:space="0" w:color="auto"/>
            </w:tcBorders>
          </w:tcPr>
          <w:p w14:paraId="398DCCF5" w14:textId="1AA1E3CC" w:rsidR="00026BA0" w:rsidRDefault="00026BA0" w:rsidP="00026BA0">
            <w:pPr>
              <w:pStyle w:val="TableText"/>
              <w:jc w:val="right"/>
              <w:rPr>
                <w:rFonts w:cs="Arial"/>
              </w:rPr>
            </w:pPr>
            <w:r>
              <w:rPr>
                <w:rFonts w:cs="Arial"/>
              </w:rPr>
              <w:t>387K</w:t>
            </w:r>
          </w:p>
        </w:tc>
        <w:tc>
          <w:tcPr>
            <w:tcW w:w="1250" w:type="dxa"/>
            <w:tcBorders>
              <w:top w:val="nil"/>
              <w:left w:val="nil"/>
              <w:bottom w:val="single" w:sz="4" w:space="0" w:color="auto"/>
              <w:right w:val="single" w:sz="4" w:space="0" w:color="auto"/>
            </w:tcBorders>
          </w:tcPr>
          <w:p w14:paraId="0FFCB46A" w14:textId="6A77A194" w:rsidR="00026BA0" w:rsidRDefault="00F700AE" w:rsidP="00026BA0">
            <w:pPr>
              <w:pStyle w:val="TableText"/>
              <w:jc w:val="right"/>
              <w:rPr>
                <w:rFonts w:cs="Arial"/>
              </w:rPr>
            </w:pPr>
            <w:r>
              <w:rPr>
                <w:rFonts w:cs="Arial"/>
              </w:rPr>
              <w:t>391K</w:t>
            </w:r>
          </w:p>
        </w:tc>
      </w:tr>
      <w:tr w:rsidR="00026BA0" w:rsidRPr="00920636" w14:paraId="20F347D0" w14:textId="77777777" w:rsidTr="00D744B8">
        <w:trPr>
          <w:trHeight w:val="255"/>
        </w:trPr>
        <w:tc>
          <w:tcPr>
            <w:tcW w:w="2596" w:type="dxa"/>
            <w:tcBorders>
              <w:top w:val="nil"/>
              <w:left w:val="single" w:sz="4" w:space="0" w:color="auto"/>
              <w:bottom w:val="single" w:sz="4" w:space="0" w:color="auto"/>
              <w:right w:val="single" w:sz="4" w:space="0" w:color="auto"/>
            </w:tcBorders>
            <w:noWrap/>
            <w:hideMark/>
          </w:tcPr>
          <w:p w14:paraId="1DC3816D" w14:textId="77777777" w:rsidR="00026BA0" w:rsidRPr="000F130C" w:rsidRDefault="00026BA0" w:rsidP="00026BA0">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70490072" w14:textId="34A2ABF0" w:rsidR="00026BA0" w:rsidRDefault="00026BA0" w:rsidP="00026BA0">
            <w:pPr>
              <w:pStyle w:val="TableText"/>
              <w:jc w:val="right"/>
              <w:rPr>
                <w:rFonts w:cs="Arial"/>
                <w:b/>
                <w:bCs/>
              </w:rPr>
            </w:pPr>
            <w:r>
              <w:rPr>
                <w:rFonts w:cs="Arial"/>
                <w:b/>
                <w:bCs/>
              </w:rPr>
              <w:t>744K</w:t>
            </w:r>
          </w:p>
        </w:tc>
        <w:tc>
          <w:tcPr>
            <w:tcW w:w="1250" w:type="dxa"/>
            <w:tcBorders>
              <w:top w:val="nil"/>
              <w:left w:val="nil"/>
              <w:bottom w:val="single" w:sz="4" w:space="0" w:color="auto"/>
              <w:right w:val="single" w:sz="4" w:space="0" w:color="auto"/>
            </w:tcBorders>
          </w:tcPr>
          <w:p w14:paraId="3BA30B0D" w14:textId="37773FE0" w:rsidR="00026BA0" w:rsidRDefault="00026BA0" w:rsidP="00026BA0">
            <w:pPr>
              <w:pStyle w:val="TableText"/>
              <w:jc w:val="right"/>
              <w:rPr>
                <w:rFonts w:cs="Arial"/>
                <w:b/>
                <w:bCs/>
              </w:rPr>
            </w:pPr>
            <w:r>
              <w:rPr>
                <w:rFonts w:cs="Arial"/>
                <w:b/>
                <w:bCs/>
              </w:rPr>
              <w:t>822K</w:t>
            </w:r>
          </w:p>
        </w:tc>
        <w:tc>
          <w:tcPr>
            <w:tcW w:w="1250" w:type="dxa"/>
            <w:tcBorders>
              <w:top w:val="nil"/>
              <w:left w:val="nil"/>
              <w:bottom w:val="single" w:sz="4" w:space="0" w:color="auto"/>
              <w:right w:val="single" w:sz="4" w:space="0" w:color="auto"/>
            </w:tcBorders>
          </w:tcPr>
          <w:p w14:paraId="78EBD274" w14:textId="775615DF" w:rsidR="00026BA0" w:rsidRDefault="00026BA0" w:rsidP="00026BA0">
            <w:pPr>
              <w:pStyle w:val="TableText"/>
              <w:jc w:val="right"/>
              <w:rPr>
                <w:rFonts w:cs="Arial"/>
                <w:b/>
                <w:bCs/>
              </w:rPr>
            </w:pPr>
            <w:r>
              <w:rPr>
                <w:rFonts w:cs="Arial"/>
                <w:b/>
                <w:bCs/>
              </w:rPr>
              <w:t>876K</w:t>
            </w:r>
          </w:p>
        </w:tc>
        <w:tc>
          <w:tcPr>
            <w:tcW w:w="1250" w:type="dxa"/>
            <w:tcBorders>
              <w:top w:val="nil"/>
              <w:left w:val="nil"/>
              <w:bottom w:val="single" w:sz="4" w:space="0" w:color="auto"/>
              <w:right w:val="single" w:sz="4" w:space="0" w:color="auto"/>
            </w:tcBorders>
          </w:tcPr>
          <w:p w14:paraId="09F59917" w14:textId="493EF37D" w:rsidR="00026BA0" w:rsidRDefault="00026BA0" w:rsidP="00026BA0">
            <w:pPr>
              <w:pStyle w:val="TableText"/>
              <w:jc w:val="right"/>
              <w:rPr>
                <w:rFonts w:cs="Arial"/>
                <w:b/>
                <w:bCs/>
              </w:rPr>
            </w:pPr>
            <w:r>
              <w:rPr>
                <w:rFonts w:cs="Arial"/>
                <w:b/>
                <w:bCs/>
              </w:rPr>
              <w:t>777K</w:t>
            </w:r>
          </w:p>
        </w:tc>
        <w:tc>
          <w:tcPr>
            <w:tcW w:w="1250" w:type="dxa"/>
            <w:tcBorders>
              <w:top w:val="nil"/>
              <w:left w:val="nil"/>
              <w:bottom w:val="single" w:sz="4" w:space="0" w:color="auto"/>
              <w:right w:val="single" w:sz="4" w:space="0" w:color="auto"/>
            </w:tcBorders>
          </w:tcPr>
          <w:p w14:paraId="2DFEBF07" w14:textId="6DBCF130" w:rsidR="00026BA0" w:rsidRDefault="00F700AE" w:rsidP="00026BA0">
            <w:pPr>
              <w:pStyle w:val="TableText"/>
              <w:jc w:val="right"/>
              <w:rPr>
                <w:rFonts w:cs="Arial"/>
                <w:b/>
                <w:bCs/>
              </w:rPr>
            </w:pPr>
            <w:r>
              <w:rPr>
                <w:rFonts w:cs="Arial"/>
                <w:b/>
                <w:bCs/>
              </w:rPr>
              <w:t>685K</w:t>
            </w:r>
          </w:p>
        </w:tc>
      </w:tr>
      <w:bookmarkEnd w:id="44"/>
    </w:tbl>
    <w:p w14:paraId="3016A8FE" w14:textId="77777777" w:rsidR="00026BA0" w:rsidRDefault="00026BA0" w:rsidP="00026BA0">
      <w:pPr>
        <w:ind w:left="-142" w:right="-425"/>
        <w:jc w:val="both"/>
        <w:rPr>
          <w:rFonts w:cs="Arial"/>
        </w:rPr>
      </w:pPr>
    </w:p>
    <w:p w14:paraId="1187ED81" w14:textId="550404C7" w:rsidR="00F04376" w:rsidRDefault="00F04376" w:rsidP="00994941">
      <w:pPr>
        <w:spacing w:line="240" w:lineRule="auto"/>
        <w:ind w:left="-142"/>
        <w:jc w:val="both"/>
        <w:rPr>
          <w:rFonts w:cs="Arial"/>
          <w:sz w:val="16"/>
          <w:szCs w:val="16"/>
        </w:rPr>
      </w:pPr>
      <w:r>
        <w:rPr>
          <w:rFonts w:cs="Arial"/>
          <w:sz w:val="16"/>
          <w:szCs w:val="16"/>
        </w:rPr>
        <w:t>The reduction in Q</w:t>
      </w:r>
      <w:r w:rsidR="006C7A23">
        <w:rPr>
          <w:rFonts w:cs="Arial"/>
          <w:sz w:val="16"/>
          <w:szCs w:val="16"/>
        </w:rPr>
        <w:t xml:space="preserve">tr </w:t>
      </w:r>
      <w:r>
        <w:rPr>
          <w:rFonts w:cs="Arial"/>
          <w:sz w:val="16"/>
          <w:szCs w:val="16"/>
        </w:rPr>
        <w:t xml:space="preserve">64 Corporate Governance costs </w:t>
      </w:r>
      <w:r w:rsidR="006C7A23">
        <w:rPr>
          <w:rFonts w:cs="Arial"/>
          <w:sz w:val="16"/>
          <w:szCs w:val="16"/>
        </w:rPr>
        <w:t xml:space="preserve">as compared to previous quarters </w:t>
      </w:r>
      <w:r>
        <w:rPr>
          <w:rFonts w:cs="Arial"/>
          <w:sz w:val="16"/>
          <w:szCs w:val="16"/>
        </w:rPr>
        <w:t>relate to lower staff agency costs</w:t>
      </w:r>
      <w:r w:rsidR="006C7A23">
        <w:rPr>
          <w:rFonts w:cs="Arial"/>
          <w:sz w:val="16"/>
          <w:szCs w:val="16"/>
        </w:rPr>
        <w:t>,</w:t>
      </w:r>
      <w:r>
        <w:rPr>
          <w:rFonts w:cs="Arial"/>
          <w:sz w:val="16"/>
          <w:szCs w:val="16"/>
        </w:rPr>
        <w:t xml:space="preserve"> staff on long service leave and related </w:t>
      </w:r>
      <w:r w:rsidR="006C7A23">
        <w:rPr>
          <w:rFonts w:cs="Arial"/>
          <w:sz w:val="16"/>
          <w:szCs w:val="16"/>
        </w:rPr>
        <w:t>long service leave</w:t>
      </w:r>
      <w:r>
        <w:rPr>
          <w:rFonts w:cs="Arial"/>
          <w:sz w:val="16"/>
          <w:szCs w:val="16"/>
        </w:rPr>
        <w:t xml:space="preserve"> on cost recoveries and the </w:t>
      </w:r>
      <w:r w:rsidRPr="00F04376">
        <w:rPr>
          <w:rFonts w:cs="Arial"/>
          <w:sz w:val="16"/>
          <w:szCs w:val="16"/>
        </w:rPr>
        <w:t>over accrual of fringe benefits tax</w:t>
      </w:r>
      <w:r>
        <w:rPr>
          <w:rFonts w:cs="Arial"/>
          <w:sz w:val="16"/>
          <w:szCs w:val="16"/>
        </w:rPr>
        <w:t xml:space="preserve"> from previous </w:t>
      </w:r>
      <w:r w:rsidR="006C7A23">
        <w:rPr>
          <w:rFonts w:cs="Arial"/>
          <w:sz w:val="16"/>
          <w:szCs w:val="16"/>
        </w:rPr>
        <w:t>q</w:t>
      </w:r>
      <w:r>
        <w:rPr>
          <w:rFonts w:cs="Arial"/>
          <w:sz w:val="16"/>
          <w:szCs w:val="16"/>
        </w:rPr>
        <w:t>uarters.</w:t>
      </w:r>
    </w:p>
    <w:p w14:paraId="27769A17" w14:textId="77777777" w:rsidR="00F04376" w:rsidRDefault="00F04376" w:rsidP="00994941">
      <w:pPr>
        <w:spacing w:line="240" w:lineRule="auto"/>
        <w:ind w:left="-142"/>
        <w:jc w:val="both"/>
        <w:rPr>
          <w:rFonts w:cs="Arial"/>
          <w:sz w:val="16"/>
          <w:szCs w:val="16"/>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34"/>
        <w:gridCol w:w="1134"/>
        <w:gridCol w:w="1418"/>
        <w:gridCol w:w="1417"/>
        <w:gridCol w:w="1276"/>
        <w:gridCol w:w="1234"/>
        <w:gridCol w:w="3245"/>
      </w:tblGrid>
      <w:tr w:rsidR="000D6508" w:rsidRPr="0056129C" w14:paraId="23D22753" w14:textId="77777777" w:rsidTr="009416EA">
        <w:trPr>
          <w:trHeight w:val="279"/>
          <w:tblHeader/>
        </w:trPr>
        <w:tc>
          <w:tcPr>
            <w:tcW w:w="10858" w:type="dxa"/>
            <w:gridSpan w:val="7"/>
            <w:tcBorders>
              <w:top w:val="nil"/>
              <w:left w:val="nil"/>
              <w:bottom w:val="nil"/>
              <w:right w:val="nil"/>
            </w:tcBorders>
            <w:shd w:val="clear" w:color="auto" w:fill="auto"/>
            <w:vAlign w:val="center"/>
          </w:tcPr>
          <w:p w14:paraId="218C70DA" w14:textId="2EA2AB90" w:rsidR="000D6508" w:rsidRPr="00B22AF8" w:rsidRDefault="000D6508" w:rsidP="000D6508">
            <w:pPr>
              <w:rPr>
                <w:noProof/>
                <w:lang w:eastAsia="en-AU"/>
              </w:rPr>
            </w:pPr>
            <w:r>
              <w:rPr>
                <w:rFonts w:cs="Arial"/>
                <w:b/>
              </w:rPr>
              <w:t xml:space="preserve">APPENDIX </w:t>
            </w:r>
            <w:r w:rsidRPr="00E65AEC">
              <w:rPr>
                <w:rFonts w:cs="Arial"/>
                <w:b/>
              </w:rPr>
              <w:t>A</w:t>
            </w:r>
          </w:p>
        </w:tc>
      </w:tr>
      <w:tr w:rsidR="00D017C0" w:rsidRPr="0056129C" w14:paraId="344929DC" w14:textId="77777777" w:rsidTr="009416EA">
        <w:trPr>
          <w:trHeight w:val="1140"/>
          <w:tblHeader/>
        </w:trPr>
        <w:tc>
          <w:tcPr>
            <w:tcW w:w="1134" w:type="dxa"/>
            <w:tcBorders>
              <w:top w:val="nil"/>
              <w:left w:val="nil"/>
              <w:bottom w:val="single" w:sz="18" w:space="0" w:color="auto"/>
              <w:right w:val="nil"/>
            </w:tcBorders>
            <w:shd w:val="clear" w:color="auto" w:fill="auto"/>
            <w:vAlign w:val="center"/>
          </w:tcPr>
          <w:p w14:paraId="503B639B" w14:textId="5F0D33F0" w:rsidR="00D017C0" w:rsidRPr="0056129C" w:rsidRDefault="00D017C0" w:rsidP="00E37E96">
            <w:pPr>
              <w:ind w:right="-100"/>
              <w:rPr>
                <w:rFonts w:ascii="Arial Narrow" w:hAnsi="Arial Narrow" w:cs="Arial"/>
                <w:b/>
                <w:bCs/>
              </w:rPr>
            </w:pPr>
            <w:r w:rsidRPr="00B9709A">
              <w:rPr>
                <w:rFonts w:cs="Arial"/>
              </w:rPr>
              <w:br w:type="page"/>
            </w:r>
          </w:p>
        </w:tc>
        <w:tc>
          <w:tcPr>
            <w:tcW w:w="6479" w:type="dxa"/>
            <w:gridSpan w:val="5"/>
            <w:tcBorders>
              <w:top w:val="nil"/>
              <w:left w:val="nil"/>
              <w:bottom w:val="single" w:sz="18" w:space="0" w:color="auto"/>
              <w:right w:val="nil"/>
            </w:tcBorders>
            <w:shd w:val="clear" w:color="auto" w:fill="auto"/>
            <w:vAlign w:val="center"/>
          </w:tcPr>
          <w:p w14:paraId="116923F4" w14:textId="38788BBE"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w:t>
            </w:r>
            <w:r w:rsidR="00613477">
              <w:rPr>
                <w:rFonts w:ascii="Arial" w:hAnsi="Arial" w:cs="Arial"/>
                <w:b/>
                <w:bCs/>
                <w:noProof/>
                <w:lang w:val="en-US"/>
              </w:rPr>
              <w:t xml:space="preserve">AND CLIENT ENGAGEMENT </w:t>
            </w:r>
            <w:r w:rsidRPr="00BC00C8">
              <w:rPr>
                <w:rFonts w:ascii="Arial" w:hAnsi="Arial" w:cs="Arial"/>
                <w:b/>
                <w:bCs/>
                <w:noProof/>
                <w:lang w:val="en-US"/>
              </w:rPr>
              <w:t xml:space="preserve">CALENDAR </w:t>
            </w:r>
            <w:r>
              <w:rPr>
                <w:rFonts w:ascii="Arial" w:hAnsi="Arial" w:cs="Arial"/>
                <w:b/>
                <w:bCs/>
                <w:noProof/>
                <w:lang w:val="en-US"/>
              </w:rPr>
              <w:t>20</w:t>
            </w:r>
            <w:r w:rsidR="001A5CE8">
              <w:rPr>
                <w:rFonts w:ascii="Arial" w:hAnsi="Arial" w:cs="Arial"/>
                <w:b/>
                <w:bCs/>
                <w:noProof/>
                <w:lang w:val="en-US"/>
              </w:rPr>
              <w:t>2</w:t>
            </w:r>
            <w:r w:rsidR="008A2ABA">
              <w:rPr>
                <w:rFonts w:ascii="Arial" w:hAnsi="Arial" w:cs="Arial"/>
                <w:b/>
                <w:bCs/>
                <w:noProof/>
                <w:lang w:val="en-US"/>
              </w:rPr>
              <w:t>4</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4FBA7483"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8A2ABA">
              <w:rPr>
                <w:rFonts w:ascii="Arial" w:hAnsi="Arial" w:cs="Arial"/>
                <w:b/>
                <w:bCs/>
                <w:noProof/>
                <w:lang w:val="en-US"/>
              </w:rPr>
              <w:t>January</w:t>
            </w:r>
            <w:r w:rsidR="00920BC4">
              <w:rPr>
                <w:rFonts w:ascii="Arial" w:hAnsi="Arial" w:cs="Arial"/>
                <w:b/>
                <w:bCs/>
                <w:noProof/>
                <w:lang w:val="en-US"/>
              </w:rPr>
              <w:t xml:space="preserve"> 202</w:t>
            </w:r>
            <w:r w:rsidR="008A2ABA">
              <w:rPr>
                <w:rFonts w:ascii="Arial" w:hAnsi="Arial" w:cs="Arial"/>
                <w:b/>
                <w:bCs/>
                <w:noProof/>
                <w:lang w:val="en-US"/>
              </w:rPr>
              <w:t>4</w:t>
            </w:r>
            <w:r>
              <w:rPr>
                <w:rFonts w:ascii="Arial" w:hAnsi="Arial" w:cs="Arial"/>
                <w:b/>
                <w:bCs/>
                <w:noProof/>
                <w:lang w:val="en-US"/>
              </w:rPr>
              <w:t xml:space="preserve"> to 3</w:t>
            </w:r>
            <w:r w:rsidR="008A2ABA">
              <w:rPr>
                <w:rFonts w:ascii="Arial" w:hAnsi="Arial" w:cs="Arial"/>
                <w:b/>
                <w:bCs/>
                <w:noProof/>
                <w:lang w:val="en-US"/>
              </w:rPr>
              <w:t xml:space="preserve">0 June </w:t>
            </w:r>
            <w:r w:rsidR="00984BBB">
              <w:rPr>
                <w:rFonts w:ascii="Arial" w:hAnsi="Arial" w:cs="Arial"/>
                <w:b/>
                <w:bCs/>
                <w:noProof/>
                <w:lang w:val="en-US"/>
              </w:rPr>
              <w:t>202</w:t>
            </w:r>
            <w:r w:rsidR="008A2ABA">
              <w:rPr>
                <w:rFonts w:ascii="Arial" w:hAnsi="Arial" w:cs="Arial"/>
                <w:b/>
                <w:bCs/>
                <w:noProof/>
                <w:lang w:val="en-US"/>
              </w:rPr>
              <w:t>4</w:t>
            </w:r>
          </w:p>
        </w:tc>
        <w:tc>
          <w:tcPr>
            <w:tcW w:w="3245" w:type="dxa"/>
            <w:tcBorders>
              <w:top w:val="nil"/>
              <w:left w:val="nil"/>
              <w:bottom w:val="single" w:sz="18" w:space="0" w:color="auto"/>
              <w:right w:val="nil"/>
            </w:tcBorders>
            <w:shd w:val="clear" w:color="auto" w:fill="auto"/>
            <w:vAlign w:val="center"/>
          </w:tcPr>
          <w:p w14:paraId="79EDD674" w14:textId="188E71A8" w:rsidR="00D017C0" w:rsidRPr="0056129C" w:rsidRDefault="00D017C0" w:rsidP="00E37E96">
            <w:pPr>
              <w:jc w:val="right"/>
              <w:rPr>
                <w:rFonts w:ascii="Arial Narrow" w:hAnsi="Arial Narrow" w:cs="Arial"/>
                <w:b/>
                <w:bCs/>
              </w:rPr>
            </w:pPr>
          </w:p>
        </w:tc>
      </w:tr>
      <w:tr w:rsidR="009416EA" w:rsidRPr="00BC2C5D" w14:paraId="2D8D131F" w14:textId="77777777" w:rsidTr="00247AC2">
        <w:trPr>
          <w:trHeight w:val="567"/>
          <w:tblHeader/>
        </w:trPr>
        <w:tc>
          <w:tcPr>
            <w:tcW w:w="1134"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34"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245" w:type="dxa"/>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F279EF" w:rsidRPr="00BC2C5D" w14:paraId="137E730A" w14:textId="77777777" w:rsidTr="000A0210">
        <w:trPr>
          <w:trHeight w:val="567"/>
        </w:trPr>
        <w:tc>
          <w:tcPr>
            <w:tcW w:w="1134"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2EC9BBE7" w:rsidR="00F279EF" w:rsidRPr="00A634FA" w:rsidRDefault="00F279EF" w:rsidP="00F279EF">
            <w:pPr>
              <w:jc w:val="center"/>
              <w:rPr>
                <w:rFonts w:ascii="Arial Narrow" w:hAnsi="Arial Narrow" w:cs="Arial"/>
                <w:sz w:val="16"/>
                <w:szCs w:val="16"/>
              </w:rPr>
            </w:pPr>
            <w:r>
              <w:rPr>
                <w:rFonts w:ascii="Arial Narrow" w:hAnsi="Arial Narrow" w:cs="Arial"/>
                <w:sz w:val="16"/>
                <w:szCs w:val="16"/>
              </w:rPr>
              <w:t>1 January</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58461057" w:rsidR="00F279EF" w:rsidRPr="004D1666" w:rsidRDefault="000A0210" w:rsidP="00F279EF">
            <w:pPr>
              <w:jc w:val="center"/>
              <w:rPr>
                <w:rFonts w:ascii="Arial Narrow" w:hAnsi="Arial Narrow" w:cs="Arial"/>
                <w:sz w:val="15"/>
                <w:szCs w:val="15"/>
              </w:rPr>
            </w:pPr>
            <w:r w:rsidRPr="004D1666">
              <w:rPr>
                <w:rFonts w:ascii="Arial Narrow" w:hAnsi="Arial Narrow" w:cs="Arial"/>
                <w:b/>
                <w:bCs/>
                <w:sz w:val="15"/>
                <w:szCs w:val="15"/>
              </w:rPr>
              <w:t>Public Holiday</w:t>
            </w: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F279EF" w:rsidRPr="00A634FA" w:rsidRDefault="00F279EF" w:rsidP="00F279EF">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F279EF" w:rsidRPr="00A634FA" w:rsidRDefault="00F279EF" w:rsidP="00F279EF">
            <w:pPr>
              <w:jc w:val="center"/>
              <w:rPr>
                <w:rFonts w:ascii="Arial Narrow" w:hAnsi="Arial Narrow" w:cs="Arial"/>
                <w:sz w:val="16"/>
                <w:szCs w:val="16"/>
              </w:rPr>
            </w:pPr>
          </w:p>
        </w:tc>
        <w:tc>
          <w:tcPr>
            <w:tcW w:w="1276"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F279EF" w:rsidRPr="00A634FA" w:rsidRDefault="00F279EF" w:rsidP="00F279EF">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6FAC65F6" w:rsidR="00F279EF" w:rsidRPr="000A0210" w:rsidRDefault="00F279EF" w:rsidP="00F279EF">
            <w:pPr>
              <w:jc w:val="center"/>
              <w:rPr>
                <w:rFonts w:ascii="Arial Narrow" w:hAnsi="Arial Narrow" w:cs="Arial"/>
                <w:sz w:val="15"/>
                <w:szCs w:val="15"/>
              </w:rPr>
            </w:pPr>
          </w:p>
        </w:tc>
        <w:tc>
          <w:tcPr>
            <w:tcW w:w="3245" w:type="dxa"/>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33BAD457" w:rsidR="00F279EF" w:rsidRPr="000A0210" w:rsidRDefault="00F279EF" w:rsidP="00F279EF">
            <w:pPr>
              <w:jc w:val="center"/>
              <w:rPr>
                <w:rFonts w:ascii="Arial Narrow" w:hAnsi="Arial Narrow" w:cs="Arial"/>
                <w:b/>
                <w:bCs/>
                <w:sz w:val="16"/>
                <w:szCs w:val="16"/>
              </w:rPr>
            </w:pPr>
            <w:r w:rsidRPr="000A0210">
              <w:rPr>
                <w:rFonts w:ascii="Arial Narrow" w:hAnsi="Arial Narrow" w:cs="Arial"/>
                <w:b/>
                <w:bCs/>
                <w:sz w:val="16"/>
                <w:szCs w:val="16"/>
              </w:rPr>
              <w:t>1 New Year’s Day Public Holiday</w:t>
            </w:r>
          </w:p>
        </w:tc>
      </w:tr>
      <w:tr w:rsidR="00F279EF" w:rsidRPr="00BC2C5D" w14:paraId="7C66C142" w14:textId="77777777" w:rsidTr="000A0210">
        <w:trPr>
          <w:trHeight w:val="567"/>
        </w:trPr>
        <w:tc>
          <w:tcPr>
            <w:tcW w:w="1134" w:type="dxa"/>
            <w:tcBorders>
              <w:top w:val="single" w:sz="18" w:space="0" w:color="C0C0C0"/>
              <w:left w:val="single" w:sz="18" w:space="0" w:color="auto"/>
              <w:right w:val="single" w:sz="18" w:space="0" w:color="C0C0C0"/>
            </w:tcBorders>
            <w:shd w:val="clear" w:color="auto" w:fill="auto"/>
            <w:vAlign w:val="center"/>
          </w:tcPr>
          <w:p w14:paraId="750FF1B7" w14:textId="2B0A90B5" w:rsidR="00F279EF" w:rsidRPr="00A634FA" w:rsidRDefault="00F279EF" w:rsidP="00F279EF">
            <w:pPr>
              <w:jc w:val="center"/>
              <w:rPr>
                <w:rFonts w:ascii="Arial Narrow" w:hAnsi="Arial Narrow" w:cs="Arial"/>
                <w:sz w:val="16"/>
                <w:szCs w:val="16"/>
              </w:rPr>
            </w:pPr>
            <w:r>
              <w:rPr>
                <w:rFonts w:ascii="Arial Narrow" w:hAnsi="Arial Narrow" w:cs="Arial"/>
                <w:sz w:val="16"/>
                <w:szCs w:val="16"/>
              </w:rPr>
              <w:t>8 January</w:t>
            </w:r>
          </w:p>
        </w:tc>
        <w:tc>
          <w:tcPr>
            <w:tcW w:w="1134" w:type="dxa"/>
            <w:tcBorders>
              <w:top w:val="single" w:sz="18" w:space="0" w:color="C0C0C0"/>
              <w:left w:val="single" w:sz="18" w:space="0" w:color="C0C0C0"/>
              <w:right w:val="single" w:sz="18" w:space="0" w:color="C0C0C0"/>
            </w:tcBorders>
            <w:shd w:val="clear" w:color="auto" w:fill="D9D9D9" w:themeFill="background1" w:themeFillShade="D9"/>
            <w:vAlign w:val="center"/>
          </w:tcPr>
          <w:p w14:paraId="7FB8E453" w14:textId="77777777" w:rsidR="00F279EF" w:rsidRPr="004D1666" w:rsidRDefault="00F279EF" w:rsidP="00F279EF">
            <w:pPr>
              <w:jc w:val="center"/>
              <w:rPr>
                <w:rFonts w:ascii="Arial Narrow" w:hAnsi="Arial Narrow" w:cs="Arial"/>
                <w:sz w:val="15"/>
                <w:szCs w:val="15"/>
              </w:rPr>
            </w:pPr>
          </w:p>
        </w:tc>
        <w:tc>
          <w:tcPr>
            <w:tcW w:w="1418" w:type="dxa"/>
            <w:tcBorders>
              <w:top w:val="single" w:sz="18" w:space="0" w:color="C0C0C0"/>
              <w:left w:val="single" w:sz="18" w:space="0" w:color="C0C0C0"/>
              <w:right w:val="single" w:sz="18" w:space="0" w:color="BFBFBF"/>
            </w:tcBorders>
            <w:shd w:val="clear" w:color="auto" w:fill="D9D9D9" w:themeFill="background1" w:themeFillShade="D9"/>
            <w:vAlign w:val="center"/>
          </w:tcPr>
          <w:p w14:paraId="731C4540" w14:textId="3926523A" w:rsidR="00F279EF" w:rsidRPr="000A0210" w:rsidRDefault="00F279EF" w:rsidP="00F279EF">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D9D9D9" w:themeFill="background1" w:themeFillShade="D9"/>
            <w:vAlign w:val="center"/>
          </w:tcPr>
          <w:p w14:paraId="1E99A741" w14:textId="29478E2E" w:rsidR="00F279EF" w:rsidRPr="000A0210" w:rsidRDefault="00F279EF" w:rsidP="00F279EF">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shd w:val="clear" w:color="auto" w:fill="D9D9D9" w:themeFill="background1" w:themeFillShade="D9"/>
            <w:vAlign w:val="center"/>
          </w:tcPr>
          <w:p w14:paraId="07B23DF6" w14:textId="381C1B14" w:rsidR="00F279EF" w:rsidRPr="000A0210" w:rsidRDefault="00F279EF" w:rsidP="00F279EF">
            <w:pPr>
              <w:jc w:val="center"/>
              <w:rPr>
                <w:rFonts w:ascii="Arial Narrow" w:hAnsi="Arial Narrow" w:cs="Arial"/>
                <w:sz w:val="16"/>
                <w:szCs w:val="16"/>
              </w:rPr>
            </w:pPr>
          </w:p>
        </w:tc>
        <w:tc>
          <w:tcPr>
            <w:tcW w:w="1234" w:type="dxa"/>
            <w:tcBorders>
              <w:top w:val="single" w:sz="18" w:space="0" w:color="C0C0C0"/>
              <w:left w:val="single" w:sz="18" w:space="0" w:color="C0C0C0"/>
              <w:right w:val="single" w:sz="18" w:space="0" w:color="auto"/>
            </w:tcBorders>
            <w:shd w:val="clear" w:color="auto" w:fill="D9D9D9" w:themeFill="background1" w:themeFillShade="D9"/>
            <w:vAlign w:val="center"/>
          </w:tcPr>
          <w:p w14:paraId="5BFFB592" w14:textId="33428B97" w:rsidR="00F279EF" w:rsidRPr="004D1666" w:rsidRDefault="00F279EF" w:rsidP="00F279EF">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shd w:val="clear" w:color="auto" w:fill="D9D9D9" w:themeFill="background1" w:themeFillShade="D9"/>
            <w:vAlign w:val="center"/>
          </w:tcPr>
          <w:p w14:paraId="2170DD42" w14:textId="77777777" w:rsidR="00F279EF" w:rsidRPr="000A0210" w:rsidRDefault="00F279EF" w:rsidP="00F279EF">
            <w:pPr>
              <w:jc w:val="center"/>
              <w:rPr>
                <w:rFonts w:ascii="Arial Narrow" w:hAnsi="Arial Narrow"/>
                <w:color w:val="31849B"/>
                <w:sz w:val="16"/>
                <w:szCs w:val="16"/>
              </w:rPr>
            </w:pPr>
            <w:r w:rsidRPr="000A0210">
              <w:rPr>
                <w:rFonts w:ascii="Arial Narrow" w:hAnsi="Arial Narrow"/>
                <w:color w:val="31849B"/>
                <w:sz w:val="16"/>
                <w:szCs w:val="16"/>
              </w:rPr>
              <w:t>Cooktown Circuit</w:t>
            </w:r>
          </w:p>
          <w:p w14:paraId="304C5BB3" w14:textId="01E4E3AE" w:rsidR="00F279EF" w:rsidRPr="000A0210" w:rsidRDefault="00F279EF" w:rsidP="00F279EF">
            <w:pPr>
              <w:jc w:val="center"/>
              <w:rPr>
                <w:rFonts w:ascii="Arial Narrow" w:hAnsi="Arial Narrow"/>
                <w:sz w:val="16"/>
                <w:szCs w:val="16"/>
              </w:rPr>
            </w:pPr>
            <w:r w:rsidRPr="000A0210">
              <w:rPr>
                <w:rFonts w:ascii="Arial Narrow" w:hAnsi="Arial Narrow"/>
                <w:color w:val="31849B"/>
                <w:sz w:val="16"/>
                <w:szCs w:val="16"/>
              </w:rPr>
              <w:t>Hope Vale Circuit</w:t>
            </w:r>
          </w:p>
        </w:tc>
      </w:tr>
      <w:tr w:rsidR="00F279EF" w:rsidRPr="00BC2C5D" w14:paraId="5BA53CBD" w14:textId="77777777" w:rsidTr="000A0210">
        <w:trPr>
          <w:trHeight w:val="567"/>
        </w:trPr>
        <w:tc>
          <w:tcPr>
            <w:tcW w:w="1134" w:type="dxa"/>
            <w:tcBorders>
              <w:top w:val="single" w:sz="18" w:space="0" w:color="BFBFBF"/>
              <w:left w:val="single" w:sz="18" w:space="0" w:color="auto"/>
              <w:right w:val="single" w:sz="18" w:space="0" w:color="C0C0C0"/>
            </w:tcBorders>
            <w:shd w:val="clear" w:color="auto" w:fill="auto"/>
            <w:vAlign w:val="center"/>
          </w:tcPr>
          <w:p w14:paraId="0D10FC03" w14:textId="6D4D6B36" w:rsidR="00F279EF" w:rsidRPr="00A634FA" w:rsidRDefault="00F279EF" w:rsidP="00F279EF">
            <w:pPr>
              <w:jc w:val="center"/>
              <w:rPr>
                <w:rFonts w:ascii="Arial Narrow" w:hAnsi="Arial Narrow" w:cs="Arial"/>
                <w:sz w:val="16"/>
                <w:szCs w:val="16"/>
              </w:rPr>
            </w:pPr>
            <w:r>
              <w:rPr>
                <w:rFonts w:ascii="Arial Narrow" w:hAnsi="Arial Narrow" w:cs="Arial"/>
                <w:sz w:val="16"/>
                <w:szCs w:val="16"/>
              </w:rPr>
              <w:t>15 January</w:t>
            </w:r>
          </w:p>
        </w:tc>
        <w:tc>
          <w:tcPr>
            <w:tcW w:w="1134" w:type="dxa"/>
            <w:tcBorders>
              <w:top w:val="single" w:sz="18" w:space="0" w:color="BFBFBF"/>
              <w:left w:val="single" w:sz="18" w:space="0" w:color="C0C0C0"/>
              <w:right w:val="single" w:sz="18" w:space="0" w:color="C0C0C0"/>
            </w:tcBorders>
            <w:shd w:val="clear" w:color="auto" w:fill="D9D9D9" w:themeFill="background1" w:themeFillShade="D9"/>
            <w:vAlign w:val="center"/>
          </w:tcPr>
          <w:p w14:paraId="5FA0BC74" w14:textId="1101B3A4" w:rsidR="00F279EF" w:rsidRPr="004D1666" w:rsidRDefault="00F279EF" w:rsidP="00F279EF">
            <w:pPr>
              <w:jc w:val="center"/>
              <w:rPr>
                <w:rFonts w:ascii="Arial Narrow" w:hAnsi="Arial Narrow" w:cs="Arial"/>
                <w:sz w:val="15"/>
                <w:szCs w:val="15"/>
              </w:rPr>
            </w:pPr>
          </w:p>
        </w:tc>
        <w:tc>
          <w:tcPr>
            <w:tcW w:w="1418" w:type="dxa"/>
            <w:tcBorders>
              <w:top w:val="single" w:sz="18" w:space="0" w:color="BFBFBF"/>
              <w:left w:val="single" w:sz="18" w:space="0" w:color="C0C0C0"/>
              <w:right w:val="single" w:sz="18" w:space="0" w:color="BFBFBF"/>
              <w:tr2bl w:val="nil"/>
            </w:tcBorders>
            <w:shd w:val="clear" w:color="auto" w:fill="D9D9D9" w:themeFill="background1" w:themeFillShade="D9"/>
            <w:vAlign w:val="center"/>
          </w:tcPr>
          <w:p w14:paraId="346AA547" w14:textId="7749FC72" w:rsidR="00F279EF" w:rsidRPr="000A0210" w:rsidRDefault="00F279EF" w:rsidP="00F279EF">
            <w:pPr>
              <w:jc w:val="center"/>
              <w:rPr>
                <w:rFonts w:ascii="Arial Narrow" w:hAnsi="Arial Narrow" w:cs="Arial"/>
                <w:sz w:val="16"/>
                <w:szCs w:val="16"/>
              </w:rPr>
            </w:pPr>
          </w:p>
        </w:tc>
        <w:tc>
          <w:tcPr>
            <w:tcW w:w="1417" w:type="dxa"/>
            <w:tcBorders>
              <w:top w:val="single" w:sz="18" w:space="0" w:color="BFBFBF"/>
              <w:left w:val="single" w:sz="18" w:space="0" w:color="BFBFBF"/>
              <w:right w:val="single" w:sz="18" w:space="0" w:color="C0C0C0"/>
            </w:tcBorders>
            <w:shd w:val="clear" w:color="auto" w:fill="D9D9D9" w:themeFill="background1" w:themeFillShade="D9"/>
            <w:vAlign w:val="center"/>
          </w:tcPr>
          <w:p w14:paraId="7A536749" w14:textId="4BF45411" w:rsidR="00F279EF" w:rsidRPr="000A0210" w:rsidRDefault="00F279EF" w:rsidP="00F279EF">
            <w:pPr>
              <w:jc w:val="center"/>
              <w:rPr>
                <w:rFonts w:ascii="Arial Narrow" w:hAnsi="Arial Narrow" w:cs="Arial"/>
                <w:sz w:val="16"/>
                <w:szCs w:val="16"/>
              </w:rPr>
            </w:pPr>
          </w:p>
        </w:tc>
        <w:tc>
          <w:tcPr>
            <w:tcW w:w="1276" w:type="dxa"/>
            <w:tcBorders>
              <w:top w:val="single" w:sz="18" w:space="0" w:color="BFBFBF"/>
              <w:left w:val="single" w:sz="18" w:space="0" w:color="C0C0C0"/>
              <w:right w:val="single" w:sz="18" w:space="0" w:color="C0C0C0"/>
            </w:tcBorders>
            <w:shd w:val="clear" w:color="auto" w:fill="D9D9D9" w:themeFill="background1" w:themeFillShade="D9"/>
            <w:vAlign w:val="center"/>
          </w:tcPr>
          <w:p w14:paraId="6CAE5B32" w14:textId="7D0535F8" w:rsidR="00F279EF" w:rsidRPr="000A0210" w:rsidRDefault="00F279EF" w:rsidP="00F279EF">
            <w:pPr>
              <w:jc w:val="center"/>
              <w:rPr>
                <w:rFonts w:ascii="Arial Narrow" w:hAnsi="Arial Narrow" w:cs="Arial"/>
                <w:sz w:val="16"/>
                <w:szCs w:val="16"/>
              </w:rPr>
            </w:pPr>
          </w:p>
        </w:tc>
        <w:tc>
          <w:tcPr>
            <w:tcW w:w="1234" w:type="dxa"/>
            <w:tcBorders>
              <w:top w:val="single" w:sz="18" w:space="0" w:color="BFBFBF"/>
              <w:left w:val="single" w:sz="18" w:space="0" w:color="C0C0C0"/>
              <w:right w:val="single" w:sz="18" w:space="0" w:color="auto"/>
            </w:tcBorders>
            <w:shd w:val="clear" w:color="auto" w:fill="D9D9D9" w:themeFill="background1" w:themeFillShade="D9"/>
            <w:vAlign w:val="center"/>
          </w:tcPr>
          <w:p w14:paraId="77ED7AC8" w14:textId="0E2D5AE8" w:rsidR="00F279EF" w:rsidRPr="004D1666" w:rsidRDefault="00F279EF" w:rsidP="00F279EF">
            <w:pPr>
              <w:jc w:val="center"/>
              <w:rPr>
                <w:rFonts w:ascii="Arial Narrow" w:hAnsi="Arial Narrow" w:cs="Arial"/>
                <w:sz w:val="15"/>
                <w:szCs w:val="15"/>
              </w:rPr>
            </w:pPr>
          </w:p>
        </w:tc>
        <w:tc>
          <w:tcPr>
            <w:tcW w:w="3245" w:type="dxa"/>
            <w:tcBorders>
              <w:top w:val="single" w:sz="18" w:space="0" w:color="BFBFBF"/>
              <w:left w:val="single" w:sz="18" w:space="0" w:color="auto"/>
              <w:right w:val="single" w:sz="18" w:space="0" w:color="auto"/>
            </w:tcBorders>
            <w:shd w:val="clear" w:color="auto" w:fill="D9D9D9" w:themeFill="background1" w:themeFillShade="D9"/>
            <w:vAlign w:val="center"/>
          </w:tcPr>
          <w:p w14:paraId="44FF2E40" w14:textId="77777777" w:rsidR="00F279EF" w:rsidRPr="000A0210" w:rsidRDefault="00F279EF" w:rsidP="00F279EF">
            <w:pPr>
              <w:jc w:val="center"/>
              <w:rPr>
                <w:rFonts w:ascii="Arial Narrow" w:hAnsi="Arial Narrow" w:cs="Arial"/>
                <w:b/>
                <w:bCs/>
                <w:sz w:val="16"/>
                <w:szCs w:val="16"/>
              </w:rPr>
            </w:pPr>
            <w:r w:rsidRPr="000A0210">
              <w:rPr>
                <w:rFonts w:ascii="Arial Narrow" w:hAnsi="Arial Narrow" w:cs="Arial"/>
                <w:b/>
                <w:bCs/>
                <w:sz w:val="16"/>
                <w:szCs w:val="16"/>
              </w:rPr>
              <w:t>FRC community &amp; client engagement in all communities</w:t>
            </w:r>
          </w:p>
          <w:p w14:paraId="0C9E3542" w14:textId="77777777" w:rsidR="00F279EF" w:rsidRPr="000A0210" w:rsidRDefault="00F279EF" w:rsidP="00F279EF">
            <w:pPr>
              <w:jc w:val="center"/>
              <w:rPr>
                <w:rFonts w:ascii="Arial Narrow" w:hAnsi="Arial Narrow"/>
                <w:color w:val="31849B"/>
                <w:sz w:val="16"/>
                <w:szCs w:val="16"/>
              </w:rPr>
            </w:pPr>
            <w:r w:rsidRPr="000A0210">
              <w:rPr>
                <w:rFonts w:ascii="Arial Narrow" w:hAnsi="Arial Narrow"/>
                <w:color w:val="31849B"/>
                <w:sz w:val="16"/>
                <w:szCs w:val="16"/>
              </w:rPr>
              <w:t>Aurukun Cape B &amp; Coen Cape A Circuit</w:t>
            </w:r>
          </w:p>
          <w:p w14:paraId="6C8C40F7" w14:textId="2C6DCD97" w:rsidR="00F279EF" w:rsidRPr="000A0210" w:rsidRDefault="00F279EF" w:rsidP="00F279EF">
            <w:pPr>
              <w:jc w:val="center"/>
              <w:rPr>
                <w:rFonts w:ascii="Arial Narrow" w:hAnsi="Arial Narrow"/>
                <w:sz w:val="16"/>
                <w:szCs w:val="16"/>
              </w:rPr>
            </w:pPr>
            <w:r w:rsidRPr="000A0210">
              <w:rPr>
                <w:rFonts w:ascii="Arial Narrow" w:hAnsi="Arial Narrow"/>
                <w:color w:val="31849B"/>
                <w:sz w:val="16"/>
                <w:szCs w:val="16"/>
              </w:rPr>
              <w:t>Doomadgee Gulf Circuit</w:t>
            </w:r>
          </w:p>
        </w:tc>
      </w:tr>
      <w:tr w:rsidR="00773C10" w:rsidRPr="00BC2C5D" w14:paraId="3FC520FE" w14:textId="77777777" w:rsidTr="00773C10">
        <w:trPr>
          <w:trHeight w:val="285"/>
        </w:trPr>
        <w:tc>
          <w:tcPr>
            <w:tcW w:w="1134" w:type="dxa"/>
            <w:vMerge w:val="restart"/>
            <w:tcBorders>
              <w:top w:val="single" w:sz="18" w:space="0" w:color="BFBFBF"/>
              <w:left w:val="single" w:sz="18" w:space="0" w:color="auto"/>
              <w:right w:val="single" w:sz="18" w:space="0" w:color="C0C0C0"/>
            </w:tcBorders>
            <w:shd w:val="clear" w:color="auto" w:fill="auto"/>
            <w:vAlign w:val="center"/>
          </w:tcPr>
          <w:p w14:paraId="6D1805FC" w14:textId="3C541643" w:rsidR="00773C10" w:rsidRPr="00A634FA" w:rsidRDefault="00773C10" w:rsidP="00773C10">
            <w:pPr>
              <w:jc w:val="center"/>
              <w:rPr>
                <w:rFonts w:ascii="Arial Narrow" w:hAnsi="Arial Narrow" w:cs="Arial"/>
                <w:sz w:val="16"/>
                <w:szCs w:val="16"/>
              </w:rPr>
            </w:pPr>
            <w:r>
              <w:rPr>
                <w:rFonts w:ascii="Arial Narrow" w:hAnsi="Arial Narrow" w:cs="Arial"/>
                <w:sz w:val="16"/>
                <w:szCs w:val="16"/>
              </w:rPr>
              <w:t>22 January</w:t>
            </w:r>
          </w:p>
        </w:tc>
        <w:tc>
          <w:tcPr>
            <w:tcW w:w="1134" w:type="dxa"/>
            <w:tcBorders>
              <w:top w:val="single" w:sz="18" w:space="0" w:color="BFBFBF"/>
              <w:left w:val="single" w:sz="18" w:space="0" w:color="C0C0C0"/>
              <w:bottom w:val="nil"/>
              <w:right w:val="single" w:sz="18" w:space="0" w:color="C0C0C0"/>
            </w:tcBorders>
            <w:shd w:val="clear" w:color="auto" w:fill="A972A9"/>
            <w:vAlign w:val="center"/>
          </w:tcPr>
          <w:p w14:paraId="4DAA80E5" w14:textId="0EF515DC" w:rsidR="00773C10" w:rsidRPr="00196E8F" w:rsidRDefault="00196E8F" w:rsidP="00773C10">
            <w:pPr>
              <w:jc w:val="center"/>
              <w:rPr>
                <w:rFonts w:ascii="Arial Narrow" w:hAnsi="Arial Narrow" w:cs="Arial"/>
                <w:b/>
                <w:bCs/>
                <w:color w:val="FFFFFF" w:themeColor="background1"/>
                <w:sz w:val="16"/>
                <w:szCs w:val="16"/>
              </w:rPr>
            </w:pPr>
            <w:r w:rsidRPr="00196E8F">
              <w:rPr>
                <w:rFonts w:ascii="Arial Narrow" w:hAnsi="Arial Narrow" w:cs="Arial"/>
                <w:b/>
                <w:bCs/>
                <w:color w:val="FFFFFF" w:themeColor="background1"/>
                <w:sz w:val="16"/>
                <w:szCs w:val="16"/>
              </w:rPr>
              <w:t>22 CE</w:t>
            </w:r>
          </w:p>
        </w:tc>
        <w:tc>
          <w:tcPr>
            <w:tcW w:w="1418" w:type="dxa"/>
            <w:vMerge w:val="restart"/>
            <w:tcBorders>
              <w:top w:val="single" w:sz="18" w:space="0" w:color="C0C0C0"/>
              <w:left w:val="single" w:sz="18" w:space="0" w:color="C0C0C0"/>
              <w:right w:val="single" w:sz="18" w:space="0" w:color="BFBFBF"/>
              <w:tr2bl w:val="nil"/>
            </w:tcBorders>
            <w:shd w:val="clear" w:color="auto" w:fill="FFFF00"/>
            <w:vAlign w:val="center"/>
          </w:tcPr>
          <w:p w14:paraId="211F9DD8" w14:textId="0D1CF1C3" w:rsidR="00773C10" w:rsidRPr="00773C10" w:rsidRDefault="00196E8F" w:rsidP="00773C10">
            <w:pPr>
              <w:jc w:val="center"/>
              <w:rPr>
                <w:rFonts w:ascii="Arial Narrow" w:hAnsi="Arial Narrow" w:cs="Arial"/>
                <w:b/>
                <w:bCs/>
                <w:sz w:val="16"/>
                <w:szCs w:val="16"/>
              </w:rPr>
            </w:pPr>
            <w:r>
              <w:rPr>
                <w:rFonts w:ascii="Arial Narrow" w:hAnsi="Arial Narrow" w:cs="Arial"/>
                <w:b/>
                <w:bCs/>
                <w:sz w:val="16"/>
                <w:szCs w:val="16"/>
              </w:rPr>
              <w:t>23</w:t>
            </w:r>
          </w:p>
        </w:tc>
        <w:tc>
          <w:tcPr>
            <w:tcW w:w="1417" w:type="dxa"/>
            <w:vMerge w:val="restart"/>
            <w:tcBorders>
              <w:top w:val="single" w:sz="18" w:space="0" w:color="C0C0C0"/>
              <w:left w:val="single" w:sz="18" w:space="0" w:color="BFBFBF"/>
              <w:right w:val="single" w:sz="18" w:space="0" w:color="C0C0C0"/>
            </w:tcBorders>
            <w:shd w:val="clear" w:color="auto" w:fill="auto"/>
            <w:vAlign w:val="center"/>
          </w:tcPr>
          <w:p w14:paraId="54F73A57" w14:textId="3547FF1E" w:rsidR="00773C10" w:rsidRPr="000A0210" w:rsidRDefault="00773C10" w:rsidP="00773C10">
            <w:pPr>
              <w:jc w:val="center"/>
              <w:rPr>
                <w:rFonts w:ascii="Arial Narrow" w:hAnsi="Arial Narrow" w:cs="Arial"/>
                <w:sz w:val="16"/>
                <w:szCs w:val="16"/>
              </w:rPr>
            </w:pP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2B85F166" w14:textId="6C668D4F" w:rsidR="00773C10" w:rsidRPr="000A0210" w:rsidRDefault="00773C10" w:rsidP="00773C10">
            <w:pPr>
              <w:jc w:val="center"/>
              <w:rPr>
                <w:rFonts w:ascii="Arial Narrow" w:hAnsi="Arial Narrow" w:cs="Arial"/>
                <w:sz w:val="16"/>
                <w:szCs w:val="16"/>
              </w:rPr>
            </w:pPr>
          </w:p>
        </w:tc>
        <w:tc>
          <w:tcPr>
            <w:tcW w:w="1234" w:type="dxa"/>
            <w:vMerge w:val="restart"/>
            <w:tcBorders>
              <w:top w:val="single" w:sz="18" w:space="0" w:color="BFBFBF"/>
              <w:left w:val="single" w:sz="18" w:space="0" w:color="C0C0C0"/>
              <w:right w:val="single" w:sz="18" w:space="0" w:color="auto"/>
            </w:tcBorders>
            <w:shd w:val="clear" w:color="auto" w:fill="auto"/>
            <w:vAlign w:val="center"/>
          </w:tcPr>
          <w:p w14:paraId="4C8AAF12" w14:textId="12EDB3BF" w:rsidR="00773C10" w:rsidRPr="004D1666" w:rsidRDefault="00773C10" w:rsidP="00773C10">
            <w:pPr>
              <w:jc w:val="center"/>
              <w:rPr>
                <w:rFonts w:ascii="Arial Narrow" w:hAnsi="Arial Narrow" w:cs="Arial"/>
                <w:sz w:val="15"/>
                <w:szCs w:val="15"/>
              </w:rPr>
            </w:pPr>
            <w:r w:rsidRPr="004D1666">
              <w:rPr>
                <w:rFonts w:ascii="Arial Narrow" w:hAnsi="Arial Narrow" w:cs="Arial"/>
                <w:b/>
                <w:bCs/>
                <w:sz w:val="15"/>
                <w:szCs w:val="15"/>
              </w:rPr>
              <w:t>Public Holiday</w:t>
            </w:r>
          </w:p>
        </w:tc>
        <w:tc>
          <w:tcPr>
            <w:tcW w:w="3245" w:type="dxa"/>
            <w:vMerge w:val="restart"/>
            <w:tcBorders>
              <w:top w:val="single" w:sz="18" w:space="0" w:color="BFBFBF"/>
              <w:left w:val="single" w:sz="18" w:space="0" w:color="auto"/>
              <w:right w:val="single" w:sz="18" w:space="0" w:color="auto"/>
            </w:tcBorders>
            <w:shd w:val="clear" w:color="auto" w:fill="auto"/>
            <w:vAlign w:val="center"/>
          </w:tcPr>
          <w:p w14:paraId="4A692BE1" w14:textId="0B74DE91" w:rsidR="00773C10" w:rsidRPr="000A0210" w:rsidRDefault="00773C10" w:rsidP="00773C10">
            <w:pPr>
              <w:jc w:val="center"/>
              <w:rPr>
                <w:rFonts w:ascii="Arial Narrow" w:hAnsi="Arial Narrow" w:cs="Arial"/>
                <w:sz w:val="16"/>
                <w:szCs w:val="16"/>
              </w:rPr>
            </w:pPr>
            <w:r w:rsidRPr="000A0210">
              <w:rPr>
                <w:rFonts w:ascii="Arial Narrow" w:hAnsi="Arial Narrow" w:cs="Arial"/>
                <w:b/>
                <w:bCs/>
                <w:sz w:val="16"/>
                <w:szCs w:val="16"/>
              </w:rPr>
              <w:t>26 Australia Day Public Holiday</w:t>
            </w:r>
          </w:p>
        </w:tc>
      </w:tr>
      <w:tr w:rsidR="00773C10" w:rsidRPr="00BC2C5D" w14:paraId="2F173FD9"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37553C11" w14:textId="77777777" w:rsidR="00773C10" w:rsidRDefault="00773C10" w:rsidP="00773C10">
            <w:pPr>
              <w:jc w:val="center"/>
              <w:rPr>
                <w:rFonts w:ascii="Arial Narrow" w:hAnsi="Arial Narrow" w:cs="Arial"/>
                <w:sz w:val="16"/>
                <w:szCs w:val="16"/>
              </w:rPr>
            </w:pPr>
          </w:p>
        </w:tc>
        <w:tc>
          <w:tcPr>
            <w:tcW w:w="1134"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5BEE3C6E" w14:textId="489C7ACF" w:rsidR="00773C10" w:rsidRPr="00196E8F" w:rsidRDefault="00196E8F" w:rsidP="00773C10">
            <w:pPr>
              <w:jc w:val="center"/>
              <w:rPr>
                <w:rFonts w:ascii="Arial Narrow" w:hAnsi="Arial Narrow" w:cs="Arial"/>
                <w:b/>
                <w:bCs/>
                <w:sz w:val="16"/>
                <w:szCs w:val="16"/>
              </w:rPr>
            </w:pPr>
            <w:r w:rsidRPr="00196E8F">
              <w:rPr>
                <w:rFonts w:ascii="Arial Narrow" w:hAnsi="Arial Narrow" w:cs="Arial"/>
                <w:b/>
                <w:bCs/>
                <w:sz w:val="16"/>
                <w:szCs w:val="16"/>
              </w:rPr>
              <w:t>22 CE</w:t>
            </w:r>
          </w:p>
        </w:tc>
        <w:tc>
          <w:tcPr>
            <w:tcW w:w="1418" w:type="dxa"/>
            <w:vMerge/>
            <w:tcBorders>
              <w:left w:val="single" w:sz="18" w:space="0" w:color="C0C0C0"/>
              <w:right w:val="single" w:sz="18" w:space="0" w:color="BFBFBF"/>
              <w:tr2bl w:val="nil"/>
            </w:tcBorders>
            <w:shd w:val="clear" w:color="auto" w:fill="FFFF00"/>
            <w:vAlign w:val="center"/>
          </w:tcPr>
          <w:p w14:paraId="5D912326" w14:textId="77777777" w:rsidR="00773C10" w:rsidRPr="000A0210" w:rsidRDefault="00773C10" w:rsidP="00773C10">
            <w:pPr>
              <w:jc w:val="center"/>
              <w:rPr>
                <w:rFonts w:ascii="Arial Narrow" w:hAnsi="Arial Narrow" w:cs="Arial"/>
                <w:sz w:val="16"/>
                <w:szCs w:val="16"/>
              </w:rPr>
            </w:pPr>
          </w:p>
        </w:tc>
        <w:tc>
          <w:tcPr>
            <w:tcW w:w="1417" w:type="dxa"/>
            <w:vMerge/>
            <w:tcBorders>
              <w:left w:val="single" w:sz="18" w:space="0" w:color="BFBFBF"/>
              <w:right w:val="single" w:sz="18" w:space="0" w:color="C0C0C0"/>
            </w:tcBorders>
            <w:shd w:val="clear" w:color="auto" w:fill="auto"/>
            <w:vAlign w:val="center"/>
          </w:tcPr>
          <w:p w14:paraId="23FE44D2" w14:textId="77777777" w:rsidR="00773C10" w:rsidRPr="000A0210" w:rsidRDefault="00773C10" w:rsidP="00773C10">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auto"/>
            <w:vAlign w:val="center"/>
          </w:tcPr>
          <w:p w14:paraId="6CA2E1DC"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3FBFB041" w14:textId="77777777" w:rsidR="00773C10" w:rsidRPr="004D1666" w:rsidRDefault="00773C10" w:rsidP="00773C10">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37D986DB" w14:textId="77777777" w:rsidR="00773C10" w:rsidRPr="000A0210" w:rsidRDefault="00773C10" w:rsidP="00773C10">
            <w:pPr>
              <w:jc w:val="center"/>
              <w:rPr>
                <w:rFonts w:ascii="Arial Narrow" w:hAnsi="Arial Narrow" w:cs="Arial"/>
                <w:b/>
                <w:bCs/>
                <w:sz w:val="16"/>
                <w:szCs w:val="16"/>
              </w:rPr>
            </w:pPr>
          </w:p>
        </w:tc>
      </w:tr>
      <w:tr w:rsidR="00773C10" w:rsidRPr="00BC2C5D" w14:paraId="2A3C72E2" w14:textId="77777777" w:rsidTr="00773C10">
        <w:trPr>
          <w:trHeight w:val="190"/>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2C84293E" w14:textId="3E9D755D" w:rsidR="00773C10" w:rsidRDefault="00773C10" w:rsidP="00773C10">
            <w:pPr>
              <w:jc w:val="center"/>
              <w:rPr>
                <w:rFonts w:ascii="Arial Narrow" w:hAnsi="Arial Narrow" w:cs="Arial"/>
                <w:sz w:val="16"/>
                <w:szCs w:val="16"/>
              </w:rPr>
            </w:pPr>
            <w:r>
              <w:rPr>
                <w:rFonts w:ascii="Arial Narrow" w:hAnsi="Arial Narrow" w:cs="Arial"/>
                <w:sz w:val="16"/>
                <w:szCs w:val="16"/>
              </w:rPr>
              <w:t>29 January</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52F01DE" w14:textId="77777777" w:rsidR="00773C10" w:rsidRPr="004D1666" w:rsidRDefault="00773C10" w:rsidP="00773C10">
            <w:pPr>
              <w:jc w:val="center"/>
              <w:rPr>
                <w:rFonts w:ascii="Arial Narrow" w:hAnsi="Arial Narrow" w:cs="Arial"/>
                <w:sz w:val="15"/>
                <w:szCs w:val="15"/>
              </w:rPr>
            </w:pPr>
          </w:p>
        </w:tc>
        <w:tc>
          <w:tcPr>
            <w:tcW w:w="1418" w:type="dxa"/>
            <w:tcBorders>
              <w:top w:val="single" w:sz="18" w:space="0" w:color="BFBFBF" w:themeColor="background1" w:themeShade="BF"/>
              <w:left w:val="single" w:sz="18" w:space="0" w:color="C0C0C0"/>
              <w:bottom w:val="nil"/>
              <w:right w:val="single" w:sz="18" w:space="0" w:color="BFBFBF"/>
              <w:tr2bl w:val="nil"/>
            </w:tcBorders>
            <w:shd w:val="clear" w:color="auto" w:fill="A972A9"/>
            <w:vAlign w:val="center"/>
          </w:tcPr>
          <w:p w14:paraId="57679363" w14:textId="31DEC135"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3B8E32D4" w14:textId="1F571E1B"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31</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5940BE24" w14:textId="6C2AB0A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3CB3DBA" w14:textId="27E73F96" w:rsidR="00773C10" w:rsidRPr="004D1666" w:rsidRDefault="00773C10" w:rsidP="00773C10">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70BC975" w14:textId="414B2994" w:rsidR="00773C10" w:rsidRPr="000A0210" w:rsidRDefault="00773C10" w:rsidP="00773C10">
            <w:pPr>
              <w:jc w:val="center"/>
              <w:rPr>
                <w:rFonts w:ascii="Arial Narrow" w:hAnsi="Arial Narrow"/>
                <w:sz w:val="16"/>
                <w:szCs w:val="16"/>
              </w:rPr>
            </w:pPr>
          </w:p>
        </w:tc>
      </w:tr>
      <w:tr w:rsidR="00773C10" w:rsidRPr="00BC2C5D" w14:paraId="10F55162" w14:textId="77777777" w:rsidTr="00773C10">
        <w:trPr>
          <w:trHeight w:val="190"/>
        </w:trPr>
        <w:tc>
          <w:tcPr>
            <w:tcW w:w="1134" w:type="dxa"/>
            <w:vMerge/>
            <w:tcBorders>
              <w:left w:val="single" w:sz="18" w:space="0" w:color="auto"/>
              <w:right w:val="single" w:sz="18" w:space="0" w:color="C0C0C0"/>
            </w:tcBorders>
            <w:shd w:val="clear" w:color="auto" w:fill="auto"/>
            <w:vAlign w:val="center"/>
          </w:tcPr>
          <w:p w14:paraId="54ED6487"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2366E0E" w14:textId="77777777" w:rsidR="00773C10" w:rsidRPr="004D1666" w:rsidRDefault="00773C10" w:rsidP="00773C10">
            <w:pPr>
              <w:jc w:val="center"/>
              <w:rPr>
                <w:rFonts w:ascii="Arial Narrow" w:hAnsi="Arial Narrow" w:cs="Arial"/>
                <w:sz w:val="15"/>
                <w:szCs w:val="15"/>
              </w:rPr>
            </w:pPr>
          </w:p>
        </w:tc>
        <w:tc>
          <w:tcPr>
            <w:tcW w:w="1418" w:type="dxa"/>
            <w:tcBorders>
              <w:top w:val="nil"/>
              <w:left w:val="single" w:sz="18" w:space="0" w:color="C0C0C0"/>
              <w:bottom w:val="nil"/>
              <w:right w:val="single" w:sz="18" w:space="0" w:color="BFBFBF"/>
              <w:tr2bl w:val="nil"/>
            </w:tcBorders>
            <w:shd w:val="clear" w:color="auto" w:fill="769250"/>
            <w:vAlign w:val="center"/>
          </w:tcPr>
          <w:p w14:paraId="6D28CED9" w14:textId="362CAF83"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CE</w:t>
            </w:r>
          </w:p>
        </w:tc>
        <w:tc>
          <w:tcPr>
            <w:tcW w:w="1417" w:type="dxa"/>
            <w:tcBorders>
              <w:top w:val="nil"/>
              <w:left w:val="single" w:sz="18" w:space="0" w:color="BFBFBF"/>
              <w:bottom w:val="nil"/>
              <w:right w:val="single" w:sz="18" w:space="0" w:color="C0C0C0"/>
            </w:tcBorders>
            <w:shd w:val="clear" w:color="auto" w:fill="769250"/>
            <w:vAlign w:val="center"/>
          </w:tcPr>
          <w:p w14:paraId="51944AC6" w14:textId="60A515E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31</w:t>
            </w:r>
          </w:p>
        </w:tc>
        <w:tc>
          <w:tcPr>
            <w:tcW w:w="1276" w:type="dxa"/>
            <w:tcBorders>
              <w:top w:val="nil"/>
              <w:left w:val="single" w:sz="18" w:space="0" w:color="C0C0C0"/>
              <w:bottom w:val="nil"/>
              <w:right w:val="single" w:sz="18" w:space="0" w:color="C0C0C0"/>
            </w:tcBorders>
            <w:shd w:val="clear" w:color="auto" w:fill="769250"/>
            <w:vAlign w:val="center"/>
          </w:tcPr>
          <w:p w14:paraId="41057628" w14:textId="25BBCCE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 CE</w:t>
            </w:r>
          </w:p>
        </w:tc>
        <w:tc>
          <w:tcPr>
            <w:tcW w:w="1234" w:type="dxa"/>
            <w:vMerge/>
            <w:tcBorders>
              <w:left w:val="single" w:sz="18" w:space="0" w:color="C0C0C0"/>
              <w:right w:val="single" w:sz="18" w:space="0" w:color="auto"/>
            </w:tcBorders>
            <w:shd w:val="clear" w:color="auto" w:fill="auto"/>
            <w:vAlign w:val="center"/>
          </w:tcPr>
          <w:p w14:paraId="0992A969"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5A79E28E" w14:textId="77777777" w:rsidR="00773C10" w:rsidRPr="000A0210" w:rsidRDefault="00773C10" w:rsidP="00773C10">
            <w:pPr>
              <w:jc w:val="center"/>
              <w:rPr>
                <w:rFonts w:ascii="Arial Narrow" w:hAnsi="Arial Narrow"/>
                <w:sz w:val="16"/>
                <w:szCs w:val="16"/>
              </w:rPr>
            </w:pPr>
          </w:p>
        </w:tc>
      </w:tr>
      <w:tr w:rsidR="00773C10" w:rsidRPr="00BC2C5D" w14:paraId="40A11EBD" w14:textId="77777777" w:rsidTr="00773C10">
        <w:trPr>
          <w:trHeight w:val="190"/>
        </w:trPr>
        <w:tc>
          <w:tcPr>
            <w:tcW w:w="1134" w:type="dxa"/>
            <w:vMerge/>
            <w:tcBorders>
              <w:left w:val="single" w:sz="18" w:space="0" w:color="auto"/>
              <w:right w:val="single" w:sz="18" w:space="0" w:color="C0C0C0"/>
            </w:tcBorders>
            <w:shd w:val="clear" w:color="auto" w:fill="auto"/>
            <w:vAlign w:val="center"/>
          </w:tcPr>
          <w:p w14:paraId="2E3FD061"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129E06B" w14:textId="77777777" w:rsidR="00773C10" w:rsidRPr="004D1666" w:rsidRDefault="00773C10" w:rsidP="00773C10">
            <w:pPr>
              <w:jc w:val="center"/>
              <w:rPr>
                <w:rFonts w:ascii="Arial Narrow" w:hAnsi="Arial Narrow" w:cs="Arial"/>
                <w:sz w:val="15"/>
                <w:szCs w:val="15"/>
              </w:rPr>
            </w:pPr>
          </w:p>
        </w:tc>
        <w:tc>
          <w:tcPr>
            <w:tcW w:w="1418" w:type="dxa"/>
            <w:tcBorders>
              <w:top w:val="nil"/>
              <w:left w:val="single" w:sz="18" w:space="0" w:color="C0C0C0"/>
              <w:right w:val="single" w:sz="18" w:space="0" w:color="BFBFBF"/>
              <w:tr2bl w:val="nil"/>
            </w:tcBorders>
            <w:shd w:val="clear" w:color="auto" w:fill="auto"/>
            <w:vAlign w:val="center"/>
          </w:tcPr>
          <w:p w14:paraId="1E935824"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right w:val="single" w:sz="18" w:space="0" w:color="C0C0C0"/>
            </w:tcBorders>
            <w:shd w:val="clear" w:color="auto" w:fill="FF0000"/>
            <w:vAlign w:val="center"/>
          </w:tcPr>
          <w:p w14:paraId="15A92CCE" w14:textId="1FF0E848"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31</w:t>
            </w:r>
          </w:p>
        </w:tc>
        <w:tc>
          <w:tcPr>
            <w:tcW w:w="1276" w:type="dxa"/>
            <w:tcBorders>
              <w:top w:val="nil"/>
              <w:left w:val="single" w:sz="18" w:space="0" w:color="C0C0C0"/>
              <w:right w:val="single" w:sz="18" w:space="0" w:color="C0C0C0"/>
            </w:tcBorders>
            <w:shd w:val="clear" w:color="auto" w:fill="auto"/>
            <w:vAlign w:val="center"/>
          </w:tcPr>
          <w:p w14:paraId="16289881"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2E6F5326"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7FD59AD0" w14:textId="77777777" w:rsidR="00773C10" w:rsidRPr="000A0210" w:rsidRDefault="00773C10" w:rsidP="00773C10">
            <w:pPr>
              <w:jc w:val="center"/>
              <w:rPr>
                <w:rFonts w:ascii="Arial Narrow" w:hAnsi="Arial Narrow"/>
                <w:sz w:val="16"/>
                <w:szCs w:val="16"/>
              </w:rPr>
            </w:pPr>
          </w:p>
        </w:tc>
      </w:tr>
      <w:tr w:rsidR="00773C10" w:rsidRPr="00BC2C5D" w14:paraId="20327535" w14:textId="77777777" w:rsidTr="00773C10">
        <w:trPr>
          <w:trHeight w:val="285"/>
        </w:trPr>
        <w:tc>
          <w:tcPr>
            <w:tcW w:w="1134" w:type="dxa"/>
            <w:vMerge w:val="restart"/>
            <w:tcBorders>
              <w:top w:val="single" w:sz="18" w:space="0" w:color="auto"/>
              <w:left w:val="single" w:sz="18" w:space="0" w:color="auto"/>
              <w:right w:val="single" w:sz="18" w:space="0" w:color="C0C0C0"/>
            </w:tcBorders>
            <w:shd w:val="clear" w:color="auto" w:fill="auto"/>
            <w:vAlign w:val="center"/>
          </w:tcPr>
          <w:p w14:paraId="088F8A57" w14:textId="5E0B68CE" w:rsidR="00773C10" w:rsidRPr="00A634FA" w:rsidRDefault="00773C10" w:rsidP="00773C10">
            <w:pPr>
              <w:jc w:val="center"/>
              <w:rPr>
                <w:rFonts w:ascii="Arial Narrow" w:hAnsi="Arial Narrow" w:cs="Arial"/>
                <w:sz w:val="16"/>
                <w:szCs w:val="16"/>
              </w:rPr>
            </w:pPr>
            <w:r>
              <w:rPr>
                <w:rFonts w:ascii="Arial Narrow" w:hAnsi="Arial Narrow" w:cs="Arial"/>
                <w:sz w:val="16"/>
                <w:szCs w:val="16"/>
              </w:rPr>
              <w:t>5 February</w:t>
            </w:r>
          </w:p>
        </w:tc>
        <w:tc>
          <w:tcPr>
            <w:tcW w:w="1134" w:type="dxa"/>
            <w:vMerge w:val="restart"/>
            <w:tcBorders>
              <w:top w:val="single" w:sz="18" w:space="0" w:color="auto"/>
              <w:left w:val="single" w:sz="18" w:space="0" w:color="C0C0C0"/>
              <w:right w:val="single" w:sz="18" w:space="0" w:color="C0C0C0"/>
            </w:tcBorders>
            <w:shd w:val="clear" w:color="auto" w:fill="FF0000"/>
            <w:vAlign w:val="center"/>
          </w:tcPr>
          <w:p w14:paraId="05BAEBD3" w14:textId="55505EF4" w:rsidR="00773C10" w:rsidRPr="00196E8F" w:rsidRDefault="00196E8F" w:rsidP="00773C10">
            <w:pPr>
              <w:jc w:val="center"/>
              <w:rPr>
                <w:rFonts w:ascii="Arial Narrow" w:hAnsi="Arial Narrow" w:cs="Arial"/>
                <w:b/>
                <w:bCs/>
                <w:color w:val="FFFFFF" w:themeColor="background1"/>
                <w:sz w:val="16"/>
                <w:szCs w:val="16"/>
              </w:rPr>
            </w:pPr>
            <w:r w:rsidRPr="00196E8F">
              <w:rPr>
                <w:rFonts w:ascii="Arial Narrow" w:hAnsi="Arial Narrow" w:cs="Arial"/>
                <w:b/>
                <w:bCs/>
                <w:color w:val="FFFFFF" w:themeColor="background1"/>
                <w:sz w:val="16"/>
                <w:szCs w:val="16"/>
              </w:rPr>
              <w:t>5 CE</w:t>
            </w:r>
          </w:p>
        </w:tc>
        <w:tc>
          <w:tcPr>
            <w:tcW w:w="1418" w:type="dxa"/>
            <w:vMerge w:val="restart"/>
            <w:tcBorders>
              <w:top w:val="single" w:sz="18" w:space="0" w:color="auto"/>
              <w:left w:val="single" w:sz="18" w:space="0" w:color="C0C0C0"/>
              <w:right w:val="single" w:sz="18" w:space="0" w:color="BFBFBF"/>
            </w:tcBorders>
            <w:shd w:val="clear" w:color="auto" w:fill="FF0000"/>
            <w:vAlign w:val="center"/>
          </w:tcPr>
          <w:p w14:paraId="6EF5A450" w14:textId="5CA8F69B" w:rsidR="00773C10" w:rsidRPr="00196E8F" w:rsidRDefault="00196E8F" w:rsidP="00773C10">
            <w:pPr>
              <w:jc w:val="center"/>
              <w:rPr>
                <w:rFonts w:ascii="Arial Narrow" w:hAnsi="Arial Narrow" w:cs="Arial"/>
                <w:b/>
                <w:bCs/>
                <w:color w:val="FFFFFF" w:themeColor="background1"/>
                <w:sz w:val="16"/>
                <w:szCs w:val="16"/>
              </w:rPr>
            </w:pPr>
            <w:r w:rsidRPr="00196E8F">
              <w:rPr>
                <w:rFonts w:ascii="Arial Narrow" w:hAnsi="Arial Narrow" w:cs="Arial"/>
                <w:b/>
                <w:bCs/>
                <w:color w:val="FFFFFF" w:themeColor="background1"/>
                <w:sz w:val="16"/>
                <w:szCs w:val="16"/>
              </w:rPr>
              <w:t>6</w:t>
            </w:r>
          </w:p>
        </w:tc>
        <w:tc>
          <w:tcPr>
            <w:tcW w:w="1417" w:type="dxa"/>
            <w:tcBorders>
              <w:top w:val="single" w:sz="18" w:space="0" w:color="auto"/>
              <w:left w:val="single" w:sz="18" w:space="0" w:color="BFBFBF"/>
              <w:bottom w:val="nil"/>
              <w:right w:val="single" w:sz="18" w:space="0" w:color="C0C0C0"/>
            </w:tcBorders>
            <w:shd w:val="clear" w:color="auto" w:fill="FF0000"/>
            <w:vAlign w:val="center"/>
          </w:tcPr>
          <w:p w14:paraId="60AD86C6" w14:textId="59098926"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7</w:t>
            </w:r>
          </w:p>
        </w:tc>
        <w:tc>
          <w:tcPr>
            <w:tcW w:w="1276" w:type="dxa"/>
            <w:tcBorders>
              <w:top w:val="single" w:sz="18" w:space="0" w:color="auto"/>
              <w:left w:val="single" w:sz="18" w:space="0" w:color="C0C0C0"/>
              <w:bottom w:val="nil"/>
              <w:right w:val="single" w:sz="18" w:space="0" w:color="C0C0C0"/>
            </w:tcBorders>
            <w:shd w:val="clear" w:color="auto" w:fill="FF0000"/>
            <w:vAlign w:val="center"/>
          </w:tcPr>
          <w:p w14:paraId="7C18418D" w14:textId="789A1000"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8 CE</w:t>
            </w:r>
          </w:p>
        </w:tc>
        <w:tc>
          <w:tcPr>
            <w:tcW w:w="1234"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773C10" w:rsidRPr="004D1666" w:rsidRDefault="00773C10" w:rsidP="00773C10">
            <w:pPr>
              <w:jc w:val="center"/>
              <w:rPr>
                <w:rFonts w:ascii="Arial Narrow" w:hAnsi="Arial Narrow" w:cs="Arial"/>
                <w:sz w:val="15"/>
                <w:szCs w:val="15"/>
              </w:rPr>
            </w:pPr>
          </w:p>
        </w:tc>
        <w:tc>
          <w:tcPr>
            <w:tcW w:w="3245" w:type="dxa"/>
            <w:vMerge w:val="restart"/>
            <w:tcBorders>
              <w:top w:val="single" w:sz="18" w:space="0" w:color="auto"/>
              <w:left w:val="single" w:sz="18" w:space="0" w:color="auto"/>
              <w:right w:val="single" w:sz="18" w:space="0" w:color="auto"/>
            </w:tcBorders>
            <w:shd w:val="clear" w:color="auto" w:fill="auto"/>
            <w:vAlign w:val="center"/>
          </w:tcPr>
          <w:p w14:paraId="6394626A" w14:textId="77777777" w:rsidR="00773C10" w:rsidRPr="000A0210" w:rsidRDefault="00773C10" w:rsidP="00773C10">
            <w:pPr>
              <w:jc w:val="center"/>
              <w:rPr>
                <w:rFonts w:ascii="Arial Narrow" w:hAnsi="Arial Narrow"/>
                <w:color w:val="31849B"/>
                <w:sz w:val="16"/>
                <w:szCs w:val="16"/>
              </w:rPr>
            </w:pPr>
            <w:r w:rsidRPr="000A0210">
              <w:rPr>
                <w:rFonts w:ascii="Arial Narrow" w:hAnsi="Arial Narrow"/>
                <w:color w:val="31849B"/>
                <w:sz w:val="16"/>
                <w:szCs w:val="16"/>
              </w:rPr>
              <w:t>Cooktown Circuit</w:t>
            </w:r>
          </w:p>
          <w:p w14:paraId="71568B7F" w14:textId="4E9058E5"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Hope Vale Circuit</w:t>
            </w:r>
          </w:p>
        </w:tc>
      </w:tr>
      <w:tr w:rsidR="00773C10" w:rsidRPr="00BC2C5D" w14:paraId="109AE253"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2A5BBFF7"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1CE036E8" w14:textId="77777777" w:rsidR="00773C10" w:rsidRPr="00773C10" w:rsidRDefault="00773C10" w:rsidP="00773C10">
            <w:pPr>
              <w:jc w:val="center"/>
              <w:rPr>
                <w:rFonts w:ascii="Arial Narrow" w:hAnsi="Arial Narrow" w:cs="Arial"/>
                <w:b/>
                <w:bCs/>
                <w:color w:val="FFFFFF" w:themeColor="background1"/>
                <w:sz w:val="15"/>
                <w:szCs w:val="15"/>
              </w:rPr>
            </w:pPr>
          </w:p>
        </w:tc>
        <w:tc>
          <w:tcPr>
            <w:tcW w:w="1418" w:type="dxa"/>
            <w:vMerge/>
            <w:tcBorders>
              <w:left w:val="single" w:sz="18" w:space="0" w:color="C0C0C0"/>
              <w:right w:val="single" w:sz="18" w:space="0" w:color="BFBFBF"/>
            </w:tcBorders>
            <w:shd w:val="clear" w:color="auto" w:fill="FF0000"/>
            <w:vAlign w:val="center"/>
          </w:tcPr>
          <w:p w14:paraId="60A72364" w14:textId="77777777" w:rsidR="00773C10" w:rsidRPr="00773C10" w:rsidRDefault="00773C10" w:rsidP="00773C10">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20849B"/>
            <w:vAlign w:val="center"/>
          </w:tcPr>
          <w:p w14:paraId="0705AD9D" w14:textId="4964C676"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7</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20849B"/>
            <w:vAlign w:val="center"/>
          </w:tcPr>
          <w:p w14:paraId="7FE2244B" w14:textId="65F34A2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8 ½ day CE</w:t>
            </w:r>
          </w:p>
        </w:tc>
        <w:tc>
          <w:tcPr>
            <w:tcW w:w="1234" w:type="dxa"/>
            <w:vMerge/>
            <w:tcBorders>
              <w:left w:val="single" w:sz="18" w:space="0" w:color="C0C0C0"/>
              <w:right w:val="single" w:sz="18" w:space="0" w:color="auto"/>
            </w:tcBorders>
            <w:shd w:val="clear" w:color="auto" w:fill="auto"/>
            <w:vAlign w:val="center"/>
          </w:tcPr>
          <w:p w14:paraId="21973D4B"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2173D63" w14:textId="77777777" w:rsidR="00773C10" w:rsidRPr="000A0210" w:rsidRDefault="00773C10" w:rsidP="00773C10">
            <w:pPr>
              <w:jc w:val="center"/>
              <w:rPr>
                <w:rFonts w:ascii="Arial Narrow" w:hAnsi="Arial Narrow"/>
                <w:color w:val="31849B"/>
                <w:sz w:val="16"/>
                <w:szCs w:val="16"/>
              </w:rPr>
            </w:pPr>
          </w:p>
        </w:tc>
      </w:tr>
      <w:tr w:rsidR="00773C10" w:rsidRPr="00BC2C5D" w14:paraId="34AF6A84" w14:textId="77777777" w:rsidTr="00773C10">
        <w:trPr>
          <w:trHeight w:val="285"/>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1DBE17FB" w:rsidR="00773C10" w:rsidRDefault="00773C10" w:rsidP="00773C10">
            <w:pPr>
              <w:jc w:val="center"/>
              <w:rPr>
                <w:rFonts w:ascii="Arial Narrow" w:hAnsi="Arial Narrow" w:cs="Arial"/>
                <w:sz w:val="16"/>
                <w:szCs w:val="16"/>
              </w:rPr>
            </w:pPr>
            <w:r>
              <w:rPr>
                <w:rFonts w:ascii="Arial Narrow" w:hAnsi="Arial Narrow" w:cs="Arial"/>
                <w:sz w:val="16"/>
                <w:szCs w:val="16"/>
              </w:rPr>
              <w:t>12 February</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773C10" w:rsidRPr="004D1666" w:rsidRDefault="00773C10" w:rsidP="00773C10">
            <w:pPr>
              <w:jc w:val="center"/>
              <w:rPr>
                <w:rFonts w:ascii="Arial Narrow" w:hAnsi="Arial Narrow" w:cs="Arial"/>
                <w:sz w:val="15"/>
                <w:szCs w:val="15"/>
              </w:rPr>
            </w:pPr>
          </w:p>
        </w:tc>
        <w:tc>
          <w:tcPr>
            <w:tcW w:w="1418" w:type="dxa"/>
            <w:vMerge w:val="restart"/>
            <w:tcBorders>
              <w:top w:val="single" w:sz="18" w:space="0" w:color="BFBFBF" w:themeColor="background1" w:themeShade="BF"/>
              <w:left w:val="single" w:sz="18" w:space="0" w:color="C0C0C0"/>
              <w:right w:val="single" w:sz="18" w:space="0" w:color="BFBFBF"/>
            </w:tcBorders>
            <w:shd w:val="clear" w:color="auto" w:fill="FFFF00"/>
            <w:vAlign w:val="center"/>
          </w:tcPr>
          <w:p w14:paraId="34B4531E" w14:textId="30BB2C44" w:rsidR="00773C10" w:rsidRPr="00773C10" w:rsidRDefault="00196E8F" w:rsidP="00773C10">
            <w:pPr>
              <w:jc w:val="center"/>
              <w:rPr>
                <w:rFonts w:ascii="Arial Narrow" w:hAnsi="Arial Narrow" w:cs="Arial"/>
                <w:b/>
                <w:bCs/>
                <w:sz w:val="16"/>
                <w:szCs w:val="16"/>
              </w:rPr>
            </w:pPr>
            <w:r>
              <w:rPr>
                <w:rFonts w:ascii="Arial Narrow" w:hAnsi="Arial Narrow" w:cs="Arial"/>
                <w:b/>
                <w:bCs/>
                <w:sz w:val="16"/>
                <w:szCs w:val="16"/>
              </w:rPr>
              <w:t>13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04E57ED8" w14:textId="4E409CEA"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733FC8E2" w14:textId="21F84055"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15</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773C10" w:rsidRPr="004D1666" w:rsidRDefault="00773C10" w:rsidP="00773C10">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7A79FEF" w14:textId="69F21A3B"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Aurukun Cape B Circuit</w:t>
            </w:r>
          </w:p>
        </w:tc>
      </w:tr>
      <w:tr w:rsidR="00773C10" w:rsidRPr="00BC2C5D" w14:paraId="5BF38AD1" w14:textId="77777777" w:rsidTr="00773C10">
        <w:trPr>
          <w:trHeight w:val="285"/>
        </w:trPr>
        <w:tc>
          <w:tcPr>
            <w:tcW w:w="1134" w:type="dxa"/>
            <w:vMerge/>
            <w:tcBorders>
              <w:left w:val="single" w:sz="18" w:space="0" w:color="auto"/>
              <w:bottom w:val="single" w:sz="18" w:space="0" w:color="FFFFFF"/>
              <w:right w:val="single" w:sz="18" w:space="0" w:color="C0C0C0"/>
            </w:tcBorders>
            <w:shd w:val="clear" w:color="auto" w:fill="auto"/>
            <w:vAlign w:val="center"/>
          </w:tcPr>
          <w:p w14:paraId="24B4B2B7"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bottom w:val="single" w:sz="18" w:space="0" w:color="FFFFFF"/>
              <w:right w:val="single" w:sz="18" w:space="0" w:color="C0C0C0"/>
            </w:tcBorders>
            <w:shd w:val="clear" w:color="auto" w:fill="auto"/>
            <w:vAlign w:val="center"/>
          </w:tcPr>
          <w:p w14:paraId="4338DE30" w14:textId="77777777" w:rsidR="00773C10" w:rsidRPr="004D1666" w:rsidRDefault="00773C10" w:rsidP="00773C10">
            <w:pPr>
              <w:jc w:val="center"/>
              <w:rPr>
                <w:rFonts w:ascii="Arial Narrow" w:hAnsi="Arial Narrow" w:cs="Arial"/>
                <w:sz w:val="15"/>
                <w:szCs w:val="15"/>
              </w:rPr>
            </w:pPr>
          </w:p>
        </w:tc>
        <w:tc>
          <w:tcPr>
            <w:tcW w:w="1418" w:type="dxa"/>
            <w:vMerge/>
            <w:tcBorders>
              <w:left w:val="single" w:sz="18" w:space="0" w:color="C0C0C0"/>
              <w:bottom w:val="single" w:sz="18" w:space="0" w:color="FFFFFF"/>
              <w:right w:val="single" w:sz="18" w:space="0" w:color="BFBFBF"/>
            </w:tcBorders>
            <w:shd w:val="clear" w:color="auto" w:fill="FFFF00"/>
            <w:vAlign w:val="center"/>
          </w:tcPr>
          <w:p w14:paraId="77B0AAC1"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BFBFBF"/>
            </w:tcBorders>
            <w:shd w:val="clear" w:color="auto" w:fill="769250"/>
            <w:vAlign w:val="center"/>
          </w:tcPr>
          <w:p w14:paraId="4F93ADB7" w14:textId="6E759578"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w:t>
            </w:r>
          </w:p>
        </w:tc>
        <w:tc>
          <w:tcPr>
            <w:tcW w:w="1276" w:type="dxa"/>
            <w:tcBorders>
              <w:top w:val="nil"/>
              <w:left w:val="single" w:sz="18" w:space="0" w:color="BFBFBF"/>
              <w:bottom w:val="single" w:sz="18" w:space="0" w:color="C0C0C0"/>
              <w:right w:val="single" w:sz="18" w:space="0" w:color="C0C0C0"/>
            </w:tcBorders>
            <w:shd w:val="clear" w:color="auto" w:fill="769250"/>
            <w:vAlign w:val="center"/>
          </w:tcPr>
          <w:p w14:paraId="6F7C2C34" w14:textId="3F0DBD61"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15</w:t>
            </w:r>
          </w:p>
        </w:tc>
        <w:tc>
          <w:tcPr>
            <w:tcW w:w="1234" w:type="dxa"/>
            <w:vMerge/>
            <w:tcBorders>
              <w:left w:val="single" w:sz="18" w:space="0" w:color="C0C0C0"/>
              <w:bottom w:val="single" w:sz="18" w:space="0" w:color="FFFFFF"/>
              <w:right w:val="single" w:sz="18" w:space="0" w:color="auto"/>
            </w:tcBorders>
            <w:shd w:val="clear" w:color="auto" w:fill="auto"/>
            <w:vAlign w:val="center"/>
          </w:tcPr>
          <w:p w14:paraId="09B8C838"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bottom w:val="single" w:sz="18" w:space="0" w:color="FFFFFF"/>
              <w:right w:val="single" w:sz="18" w:space="0" w:color="auto"/>
            </w:tcBorders>
            <w:shd w:val="clear" w:color="auto" w:fill="auto"/>
            <w:vAlign w:val="center"/>
          </w:tcPr>
          <w:p w14:paraId="10E5D39B" w14:textId="77777777" w:rsidR="00773C10" w:rsidRPr="000A0210" w:rsidRDefault="00773C10" w:rsidP="00773C10">
            <w:pPr>
              <w:jc w:val="center"/>
              <w:rPr>
                <w:rFonts w:ascii="Arial Narrow" w:hAnsi="Arial Narrow"/>
                <w:color w:val="31849B"/>
                <w:sz w:val="16"/>
                <w:szCs w:val="16"/>
              </w:rPr>
            </w:pPr>
          </w:p>
        </w:tc>
      </w:tr>
      <w:tr w:rsidR="00773C10" w:rsidRPr="00BC2C5D" w14:paraId="2980BC10" w14:textId="77777777" w:rsidTr="00773C10">
        <w:trPr>
          <w:trHeight w:val="567"/>
        </w:trPr>
        <w:tc>
          <w:tcPr>
            <w:tcW w:w="1134" w:type="dxa"/>
            <w:tcBorders>
              <w:top w:val="single" w:sz="18" w:space="0" w:color="C0C0C0"/>
              <w:left w:val="single" w:sz="18" w:space="0" w:color="auto"/>
              <w:right w:val="single" w:sz="18" w:space="0" w:color="C0C0C0"/>
            </w:tcBorders>
            <w:shd w:val="clear" w:color="auto" w:fill="auto"/>
            <w:vAlign w:val="center"/>
          </w:tcPr>
          <w:p w14:paraId="4AC745A6" w14:textId="713C03C0" w:rsidR="00773C10" w:rsidRPr="00A634FA" w:rsidRDefault="00773C10" w:rsidP="00773C10">
            <w:pPr>
              <w:jc w:val="center"/>
              <w:rPr>
                <w:rFonts w:ascii="Arial Narrow" w:hAnsi="Arial Narrow" w:cs="Arial"/>
                <w:sz w:val="16"/>
                <w:szCs w:val="16"/>
              </w:rPr>
            </w:pPr>
            <w:r>
              <w:rPr>
                <w:rFonts w:ascii="Arial Narrow" w:hAnsi="Arial Narrow" w:cs="Arial"/>
                <w:sz w:val="16"/>
                <w:szCs w:val="16"/>
              </w:rPr>
              <w:t>19 February</w:t>
            </w:r>
          </w:p>
        </w:tc>
        <w:tc>
          <w:tcPr>
            <w:tcW w:w="1134" w:type="dxa"/>
            <w:tcBorders>
              <w:top w:val="single" w:sz="18" w:space="0" w:color="C0C0C0"/>
              <w:left w:val="single" w:sz="18" w:space="0" w:color="C0C0C0"/>
              <w:right w:val="single" w:sz="18" w:space="0" w:color="C0C0C0"/>
            </w:tcBorders>
            <w:shd w:val="clear" w:color="auto" w:fill="auto"/>
            <w:vAlign w:val="center"/>
          </w:tcPr>
          <w:p w14:paraId="59C7D183" w14:textId="77777777" w:rsidR="00773C10" w:rsidRPr="004D1666" w:rsidRDefault="00773C10" w:rsidP="00773C10">
            <w:pPr>
              <w:jc w:val="center"/>
              <w:rPr>
                <w:rFonts w:ascii="Arial Narrow" w:hAnsi="Arial Narrow" w:cs="Arial"/>
                <w:sz w:val="15"/>
                <w:szCs w:val="15"/>
              </w:rPr>
            </w:pPr>
          </w:p>
        </w:tc>
        <w:tc>
          <w:tcPr>
            <w:tcW w:w="1418" w:type="dxa"/>
            <w:tcBorders>
              <w:top w:val="single" w:sz="18" w:space="0" w:color="C0C0C0"/>
              <w:left w:val="single" w:sz="18" w:space="0" w:color="C0C0C0"/>
              <w:right w:val="single" w:sz="18" w:space="0" w:color="BFBFBF"/>
            </w:tcBorders>
            <w:shd w:val="clear" w:color="auto" w:fill="FF0000"/>
            <w:vAlign w:val="center"/>
          </w:tcPr>
          <w:p w14:paraId="61BD711E" w14:textId="2DED4E1A"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20</w:t>
            </w:r>
          </w:p>
        </w:tc>
        <w:tc>
          <w:tcPr>
            <w:tcW w:w="1417" w:type="dxa"/>
            <w:tcBorders>
              <w:top w:val="single" w:sz="18" w:space="0" w:color="C0C0C0"/>
              <w:left w:val="single" w:sz="18" w:space="0" w:color="BFBFBF"/>
              <w:right w:val="single" w:sz="18" w:space="0" w:color="C0C0C0"/>
            </w:tcBorders>
            <w:shd w:val="clear" w:color="auto" w:fill="FF0000"/>
            <w:vAlign w:val="center"/>
          </w:tcPr>
          <w:p w14:paraId="3BA986A2" w14:textId="602D462A"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21</w:t>
            </w:r>
          </w:p>
        </w:tc>
        <w:tc>
          <w:tcPr>
            <w:tcW w:w="1276" w:type="dxa"/>
            <w:tcBorders>
              <w:top w:val="single" w:sz="18" w:space="0" w:color="C0C0C0"/>
              <w:left w:val="single" w:sz="18" w:space="0" w:color="C0C0C0"/>
              <w:right w:val="single" w:sz="18" w:space="0" w:color="C0C0C0"/>
            </w:tcBorders>
            <w:shd w:val="clear" w:color="auto" w:fill="FF0000"/>
            <w:vAlign w:val="center"/>
          </w:tcPr>
          <w:p w14:paraId="719EBC8E" w14:textId="697A28D2"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22 CE</w:t>
            </w:r>
          </w:p>
        </w:tc>
        <w:tc>
          <w:tcPr>
            <w:tcW w:w="1234" w:type="dxa"/>
            <w:tcBorders>
              <w:top w:val="single" w:sz="18" w:space="0" w:color="C0C0C0"/>
              <w:left w:val="single" w:sz="18" w:space="0" w:color="C0C0C0"/>
              <w:right w:val="single" w:sz="18" w:space="0" w:color="auto"/>
            </w:tcBorders>
            <w:shd w:val="clear" w:color="auto" w:fill="auto"/>
            <w:vAlign w:val="center"/>
          </w:tcPr>
          <w:p w14:paraId="71B48D44" w14:textId="0E00D80E" w:rsidR="00773C10" w:rsidRPr="004D1666" w:rsidRDefault="00773C10" w:rsidP="00773C10">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shd w:val="clear" w:color="auto" w:fill="auto"/>
            <w:vAlign w:val="center"/>
          </w:tcPr>
          <w:p w14:paraId="369C694F" w14:textId="12AF219C"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Aurukun Cape B Circuit</w:t>
            </w:r>
          </w:p>
        </w:tc>
      </w:tr>
      <w:tr w:rsidR="00773C10" w:rsidRPr="00BC2C5D" w14:paraId="3066009B" w14:textId="77777777" w:rsidTr="00773C10">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4ABB8CC6" w14:textId="2BC38126" w:rsidR="00773C10" w:rsidRPr="00A634FA" w:rsidRDefault="00773C10" w:rsidP="00773C10">
            <w:pPr>
              <w:jc w:val="center"/>
              <w:rPr>
                <w:rFonts w:ascii="Arial Narrow" w:hAnsi="Arial Narrow" w:cs="Arial"/>
                <w:sz w:val="16"/>
                <w:szCs w:val="16"/>
              </w:rPr>
            </w:pPr>
            <w:r>
              <w:rPr>
                <w:rFonts w:ascii="Arial Narrow" w:hAnsi="Arial Narrow" w:cs="Arial"/>
                <w:sz w:val="16"/>
                <w:szCs w:val="16"/>
              </w:rPr>
              <w:t>26 February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773C10" w:rsidRPr="004D1666" w:rsidRDefault="00773C10" w:rsidP="00773C10">
            <w:pPr>
              <w:jc w:val="center"/>
              <w:rPr>
                <w:rFonts w:ascii="Arial Narrow" w:hAnsi="Arial Narrow" w:cs="Arial"/>
                <w:sz w:val="15"/>
                <w:szCs w:val="15"/>
              </w:rPr>
            </w:pPr>
          </w:p>
        </w:tc>
        <w:tc>
          <w:tcPr>
            <w:tcW w:w="1418" w:type="dxa"/>
            <w:vMerge w:val="restart"/>
            <w:tcBorders>
              <w:top w:val="single" w:sz="18" w:space="0" w:color="BFBFBF"/>
              <w:left w:val="single" w:sz="18" w:space="0" w:color="C0C0C0"/>
              <w:right w:val="single" w:sz="18" w:space="0" w:color="BFBFBF"/>
            </w:tcBorders>
            <w:shd w:val="clear" w:color="auto" w:fill="769250"/>
            <w:vAlign w:val="center"/>
          </w:tcPr>
          <w:p w14:paraId="63E8B25A" w14:textId="2719B3C2"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710F20E7" w14:textId="66499A4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6C6E2192" w14:textId="21FE92A7"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580ACE5B" w14:textId="6A890FFF" w:rsidR="00773C10" w:rsidRPr="004D1666" w:rsidRDefault="00773C10" w:rsidP="00773C1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319B5DB0" w14:textId="5D991A9C" w:rsidR="00773C10" w:rsidRPr="000A0210" w:rsidRDefault="00773C10" w:rsidP="00773C10">
            <w:pPr>
              <w:jc w:val="center"/>
              <w:rPr>
                <w:rFonts w:ascii="Arial Narrow" w:hAnsi="Arial Narrow"/>
                <w:sz w:val="16"/>
                <w:szCs w:val="16"/>
              </w:rPr>
            </w:pPr>
          </w:p>
        </w:tc>
      </w:tr>
      <w:tr w:rsidR="00773C10" w:rsidRPr="00BC2C5D" w14:paraId="0E9836F0"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5A0DF474"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467F9D4" w14:textId="77777777" w:rsidR="00773C10" w:rsidRPr="004D1666" w:rsidRDefault="00773C10" w:rsidP="00773C10">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769250"/>
            <w:vAlign w:val="center"/>
          </w:tcPr>
          <w:p w14:paraId="03E8253E"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bottom w:val="single" w:sz="18" w:space="0" w:color="auto"/>
              <w:right w:val="single" w:sz="18" w:space="0" w:color="C0C0C0"/>
            </w:tcBorders>
            <w:shd w:val="clear" w:color="auto" w:fill="769250"/>
            <w:vAlign w:val="center"/>
          </w:tcPr>
          <w:p w14:paraId="7BE96C39" w14:textId="5E3E5D9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CE</w:t>
            </w:r>
          </w:p>
        </w:tc>
        <w:tc>
          <w:tcPr>
            <w:tcW w:w="1276" w:type="dxa"/>
            <w:vMerge/>
            <w:tcBorders>
              <w:left w:val="single" w:sz="18" w:space="0" w:color="C0C0C0"/>
              <w:right w:val="single" w:sz="18" w:space="0" w:color="C0C0C0"/>
            </w:tcBorders>
            <w:shd w:val="clear" w:color="auto" w:fill="auto"/>
            <w:vAlign w:val="center"/>
          </w:tcPr>
          <w:p w14:paraId="44E9C975"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57E265FE"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236FAEF8" w14:textId="77777777" w:rsidR="00773C10" w:rsidRPr="000A0210" w:rsidRDefault="00773C10" w:rsidP="00773C10">
            <w:pPr>
              <w:jc w:val="center"/>
              <w:rPr>
                <w:rFonts w:ascii="Arial Narrow" w:hAnsi="Arial Narrow"/>
                <w:sz w:val="16"/>
                <w:szCs w:val="16"/>
              </w:rPr>
            </w:pPr>
          </w:p>
        </w:tc>
      </w:tr>
      <w:tr w:rsidR="00773C10" w:rsidRPr="00BC2C5D" w14:paraId="4F42726F" w14:textId="77777777" w:rsidTr="00773C10">
        <w:trPr>
          <w:trHeight w:val="285"/>
        </w:trPr>
        <w:tc>
          <w:tcPr>
            <w:tcW w:w="1134" w:type="dxa"/>
            <w:vMerge w:val="restart"/>
            <w:tcBorders>
              <w:top w:val="single" w:sz="18" w:space="0" w:color="auto"/>
              <w:left w:val="single" w:sz="18" w:space="0" w:color="auto"/>
              <w:right w:val="single" w:sz="18" w:space="0" w:color="C0C0C0"/>
            </w:tcBorders>
            <w:shd w:val="clear" w:color="auto" w:fill="auto"/>
            <w:vAlign w:val="center"/>
          </w:tcPr>
          <w:p w14:paraId="547AAE0E" w14:textId="3331760D" w:rsidR="00773C10" w:rsidRPr="00A634FA" w:rsidRDefault="00773C10" w:rsidP="00773C10">
            <w:pPr>
              <w:jc w:val="center"/>
              <w:rPr>
                <w:rFonts w:ascii="Arial Narrow" w:hAnsi="Arial Narrow" w:cs="Arial"/>
                <w:sz w:val="16"/>
                <w:szCs w:val="16"/>
              </w:rPr>
            </w:pPr>
            <w:r>
              <w:rPr>
                <w:rFonts w:ascii="Arial Narrow" w:hAnsi="Arial Narrow" w:cs="Arial"/>
                <w:sz w:val="16"/>
                <w:szCs w:val="16"/>
              </w:rPr>
              <w:t>4 March</w:t>
            </w:r>
          </w:p>
        </w:tc>
        <w:tc>
          <w:tcPr>
            <w:tcW w:w="1134" w:type="dxa"/>
            <w:vMerge w:val="restart"/>
            <w:tcBorders>
              <w:top w:val="single" w:sz="18" w:space="0" w:color="auto"/>
              <w:left w:val="single" w:sz="18" w:space="0" w:color="C0C0C0"/>
              <w:right w:val="single" w:sz="18" w:space="0" w:color="C0C0C0"/>
            </w:tcBorders>
            <w:shd w:val="clear" w:color="auto" w:fill="FFFF00"/>
            <w:vAlign w:val="center"/>
          </w:tcPr>
          <w:p w14:paraId="01743E49" w14:textId="67EC1837" w:rsidR="00773C10" w:rsidRPr="00773C10" w:rsidRDefault="00196E8F" w:rsidP="00773C10">
            <w:pPr>
              <w:jc w:val="center"/>
              <w:rPr>
                <w:rFonts w:ascii="Arial Narrow" w:hAnsi="Arial Narrow" w:cs="Arial"/>
                <w:b/>
                <w:bCs/>
                <w:sz w:val="15"/>
                <w:szCs w:val="15"/>
              </w:rPr>
            </w:pPr>
            <w:r>
              <w:rPr>
                <w:rFonts w:ascii="Arial Narrow" w:hAnsi="Arial Narrow" w:cs="Arial"/>
                <w:b/>
                <w:bCs/>
                <w:sz w:val="15"/>
                <w:szCs w:val="15"/>
              </w:rPr>
              <w:t>4 CE</w:t>
            </w:r>
          </w:p>
        </w:tc>
        <w:tc>
          <w:tcPr>
            <w:tcW w:w="1418" w:type="dxa"/>
            <w:tcBorders>
              <w:top w:val="single" w:sz="18" w:space="0" w:color="auto"/>
              <w:left w:val="single" w:sz="18" w:space="0" w:color="C0C0C0"/>
              <w:bottom w:val="nil"/>
              <w:right w:val="single" w:sz="18" w:space="0" w:color="BFBFBF"/>
            </w:tcBorders>
            <w:shd w:val="clear" w:color="auto" w:fill="FF0000"/>
            <w:vAlign w:val="center"/>
          </w:tcPr>
          <w:p w14:paraId="638618E9" w14:textId="46E962E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5 CE</w:t>
            </w:r>
          </w:p>
        </w:tc>
        <w:tc>
          <w:tcPr>
            <w:tcW w:w="1417" w:type="dxa"/>
            <w:vMerge w:val="restart"/>
            <w:tcBorders>
              <w:top w:val="single" w:sz="18" w:space="0" w:color="auto"/>
              <w:left w:val="single" w:sz="18" w:space="0" w:color="BFBFBF"/>
              <w:right w:val="single" w:sz="18" w:space="0" w:color="C0C0C0"/>
            </w:tcBorders>
            <w:shd w:val="clear" w:color="auto" w:fill="FF0000"/>
            <w:vAlign w:val="center"/>
          </w:tcPr>
          <w:p w14:paraId="2A768ACC" w14:textId="0284E2D0"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6</w:t>
            </w:r>
          </w:p>
        </w:tc>
        <w:tc>
          <w:tcPr>
            <w:tcW w:w="1276" w:type="dxa"/>
            <w:vMerge w:val="restart"/>
            <w:tcBorders>
              <w:top w:val="single" w:sz="18" w:space="0" w:color="auto"/>
              <w:left w:val="single" w:sz="18" w:space="0" w:color="C0C0C0"/>
              <w:right w:val="single" w:sz="18" w:space="0" w:color="C0C0C0"/>
            </w:tcBorders>
            <w:shd w:val="clear" w:color="auto" w:fill="FF0000"/>
            <w:vAlign w:val="center"/>
          </w:tcPr>
          <w:p w14:paraId="20B7857C" w14:textId="5AE983E0"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7 CE</w:t>
            </w:r>
          </w:p>
        </w:tc>
        <w:tc>
          <w:tcPr>
            <w:tcW w:w="1234" w:type="dxa"/>
            <w:vMerge w:val="restart"/>
            <w:tcBorders>
              <w:top w:val="single" w:sz="18" w:space="0" w:color="auto"/>
              <w:left w:val="single" w:sz="18" w:space="0" w:color="C0C0C0"/>
              <w:right w:val="single" w:sz="18" w:space="0" w:color="auto"/>
            </w:tcBorders>
            <w:shd w:val="clear" w:color="auto" w:fill="auto"/>
            <w:vAlign w:val="center"/>
          </w:tcPr>
          <w:p w14:paraId="3B88A390" w14:textId="77777777" w:rsidR="00773C10" w:rsidRPr="004D1666" w:rsidRDefault="00773C10" w:rsidP="00773C10">
            <w:pPr>
              <w:jc w:val="center"/>
              <w:rPr>
                <w:rFonts w:ascii="Arial Narrow" w:hAnsi="Arial Narrow" w:cs="Arial"/>
                <w:color w:val="000000"/>
                <w:sz w:val="15"/>
                <w:szCs w:val="15"/>
              </w:rPr>
            </w:pPr>
          </w:p>
        </w:tc>
        <w:tc>
          <w:tcPr>
            <w:tcW w:w="3245" w:type="dxa"/>
            <w:vMerge w:val="restart"/>
            <w:tcBorders>
              <w:top w:val="single" w:sz="18" w:space="0" w:color="auto"/>
              <w:left w:val="single" w:sz="18" w:space="0" w:color="auto"/>
              <w:right w:val="single" w:sz="18" w:space="0" w:color="auto"/>
            </w:tcBorders>
            <w:shd w:val="clear" w:color="auto" w:fill="auto"/>
            <w:vAlign w:val="center"/>
          </w:tcPr>
          <w:p w14:paraId="03F7AA07" w14:textId="20193D1A"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Cooktown Circuit</w:t>
            </w:r>
          </w:p>
        </w:tc>
      </w:tr>
      <w:tr w:rsidR="00773C10" w:rsidRPr="00BC2C5D" w14:paraId="6061DD98"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7E4C200B"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FF00"/>
            <w:vAlign w:val="center"/>
          </w:tcPr>
          <w:p w14:paraId="497649F2" w14:textId="77777777" w:rsidR="00773C10" w:rsidRPr="004D1666" w:rsidRDefault="00773C10" w:rsidP="00773C10">
            <w:pPr>
              <w:jc w:val="center"/>
              <w:rPr>
                <w:rFonts w:ascii="Arial Narrow" w:hAnsi="Arial Narrow" w:cs="Arial"/>
                <w:sz w:val="15"/>
                <w:szCs w:val="15"/>
              </w:rPr>
            </w:pPr>
          </w:p>
        </w:tc>
        <w:tc>
          <w:tcPr>
            <w:tcW w:w="1418" w:type="dxa"/>
            <w:tcBorders>
              <w:top w:val="nil"/>
              <w:left w:val="single" w:sz="18" w:space="0" w:color="C0C0C0"/>
              <w:bottom w:val="single" w:sz="18" w:space="0" w:color="C0C0C0"/>
              <w:right w:val="single" w:sz="18" w:space="0" w:color="BFBFBF"/>
            </w:tcBorders>
            <w:shd w:val="clear" w:color="auto" w:fill="FFFF00"/>
            <w:vAlign w:val="center"/>
          </w:tcPr>
          <w:p w14:paraId="1FF133E0" w14:textId="2C323BAD" w:rsidR="00773C10" w:rsidRDefault="00196E8F" w:rsidP="00773C10">
            <w:pPr>
              <w:jc w:val="center"/>
              <w:rPr>
                <w:rFonts w:ascii="Arial Narrow" w:hAnsi="Arial Narrow" w:cs="Arial"/>
                <w:b/>
                <w:bCs/>
                <w:sz w:val="16"/>
                <w:szCs w:val="16"/>
              </w:rPr>
            </w:pPr>
            <w:r>
              <w:rPr>
                <w:rFonts w:ascii="Arial Narrow" w:hAnsi="Arial Narrow" w:cs="Arial"/>
                <w:b/>
                <w:bCs/>
                <w:sz w:val="16"/>
                <w:szCs w:val="16"/>
              </w:rPr>
              <w:t>5 ½ day Conf</w:t>
            </w:r>
          </w:p>
          <w:p w14:paraId="59FF9DCE" w14:textId="55605CE4" w:rsidR="00196E8F" w:rsidRPr="00773C10" w:rsidRDefault="00196E8F" w:rsidP="00773C10">
            <w:pPr>
              <w:jc w:val="center"/>
              <w:rPr>
                <w:rFonts w:ascii="Arial Narrow" w:hAnsi="Arial Narrow" w:cs="Arial"/>
                <w:b/>
                <w:bCs/>
                <w:sz w:val="16"/>
                <w:szCs w:val="16"/>
              </w:rPr>
            </w:pPr>
            <w:r>
              <w:rPr>
                <w:rFonts w:ascii="Arial Narrow" w:hAnsi="Arial Narrow" w:cs="Arial"/>
                <w:b/>
                <w:bCs/>
                <w:sz w:val="16"/>
                <w:szCs w:val="16"/>
              </w:rPr>
              <w:t>5 ½ day CE</w:t>
            </w:r>
          </w:p>
        </w:tc>
        <w:tc>
          <w:tcPr>
            <w:tcW w:w="1417" w:type="dxa"/>
            <w:vMerge/>
            <w:tcBorders>
              <w:left w:val="single" w:sz="18" w:space="0" w:color="BFBFBF"/>
              <w:right w:val="single" w:sz="18" w:space="0" w:color="C0C0C0"/>
            </w:tcBorders>
            <w:shd w:val="clear" w:color="auto" w:fill="FF0000"/>
            <w:vAlign w:val="center"/>
          </w:tcPr>
          <w:p w14:paraId="3E55E052" w14:textId="77777777" w:rsidR="00773C10" w:rsidRPr="000A0210" w:rsidRDefault="00773C10" w:rsidP="00773C10">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FF0000"/>
            <w:vAlign w:val="center"/>
          </w:tcPr>
          <w:p w14:paraId="7F8B869F"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26B883FD" w14:textId="77777777" w:rsidR="00773C10" w:rsidRPr="004D1666" w:rsidRDefault="00773C10" w:rsidP="00773C10">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shd w:val="clear" w:color="auto" w:fill="auto"/>
            <w:vAlign w:val="center"/>
          </w:tcPr>
          <w:p w14:paraId="0FAC4F10" w14:textId="77777777" w:rsidR="00773C10" w:rsidRPr="000A0210" w:rsidRDefault="00773C10" w:rsidP="00773C10">
            <w:pPr>
              <w:jc w:val="center"/>
              <w:rPr>
                <w:rFonts w:ascii="Arial Narrow" w:hAnsi="Arial Narrow"/>
                <w:color w:val="31849B"/>
                <w:sz w:val="16"/>
                <w:szCs w:val="16"/>
              </w:rPr>
            </w:pPr>
          </w:p>
        </w:tc>
      </w:tr>
      <w:tr w:rsidR="00773C10" w:rsidRPr="00BC2C5D" w14:paraId="1709D6A1" w14:textId="77777777" w:rsidTr="00773C10">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1BF0A00" w14:textId="53FD7FD6" w:rsidR="00773C10" w:rsidRPr="00390B39" w:rsidRDefault="00773C10" w:rsidP="00773C10">
            <w:pPr>
              <w:jc w:val="center"/>
              <w:rPr>
                <w:rFonts w:ascii="Arial Narrow" w:hAnsi="Arial Narrow" w:cs="Arial"/>
                <w:sz w:val="16"/>
                <w:szCs w:val="16"/>
              </w:rPr>
            </w:pPr>
            <w:r>
              <w:rPr>
                <w:rFonts w:ascii="Arial Narrow" w:hAnsi="Arial Narrow" w:cs="Arial"/>
                <w:sz w:val="16"/>
                <w:szCs w:val="16"/>
              </w:rPr>
              <w:t>11 March</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8EF7F10" w14:textId="77777777" w:rsidR="00773C10" w:rsidRPr="004D1666" w:rsidRDefault="00773C10" w:rsidP="00773C10">
            <w:pPr>
              <w:jc w:val="center"/>
              <w:rPr>
                <w:rFonts w:ascii="Arial Narrow" w:hAnsi="Arial Narrow" w:cs="Arial"/>
                <w:color w:val="000000"/>
                <w:sz w:val="15"/>
                <w:szCs w:val="15"/>
              </w:rPr>
            </w:pPr>
          </w:p>
        </w:tc>
        <w:tc>
          <w:tcPr>
            <w:tcW w:w="1418" w:type="dxa"/>
            <w:vMerge w:val="restart"/>
            <w:tcBorders>
              <w:top w:val="single" w:sz="18" w:space="0" w:color="C0C0C0"/>
              <w:left w:val="single" w:sz="18" w:space="0" w:color="C0C0C0"/>
              <w:right w:val="single" w:sz="18" w:space="0" w:color="BFBFBF"/>
            </w:tcBorders>
            <w:shd w:val="clear" w:color="auto" w:fill="auto"/>
            <w:vAlign w:val="center"/>
          </w:tcPr>
          <w:p w14:paraId="06EA5338" w14:textId="4F1CC75D" w:rsidR="00773C10" w:rsidRPr="000A0210" w:rsidRDefault="00773C10" w:rsidP="00773C10">
            <w:pPr>
              <w:jc w:val="center"/>
              <w:rPr>
                <w:rFonts w:ascii="Arial Narrow" w:hAnsi="Arial Narrow" w:cs="Arial"/>
                <w:sz w:val="16"/>
                <w:szCs w:val="16"/>
              </w:rPr>
            </w:pP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66874CFB" w14:textId="0DC23BD7"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13</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6FB7CEB3" w14:textId="7E9E0801" w:rsid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 ½ day Conf</w:t>
            </w:r>
          </w:p>
          <w:p w14:paraId="6FA11784" w14:textId="35DBE98B" w:rsidR="00196E8F"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 ½ day CE</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2101718" w14:textId="77777777" w:rsidR="00773C10" w:rsidRPr="004D1666" w:rsidRDefault="00773C10" w:rsidP="00773C10">
            <w:pPr>
              <w:jc w:val="center"/>
              <w:rPr>
                <w:rFonts w:ascii="Arial Narrow" w:hAnsi="Arial Narrow" w:cs="Arial"/>
                <w:color w:val="000000"/>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0E52BC2E" w14:textId="5CACA9D7"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Aurukun Cape B &amp; Coen Cape A Circuit</w:t>
            </w:r>
          </w:p>
        </w:tc>
      </w:tr>
      <w:tr w:rsidR="00773C10" w:rsidRPr="00BC2C5D" w14:paraId="4DFA3A78"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2DBD2795"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CA459DE" w14:textId="77777777" w:rsidR="00773C10" w:rsidRPr="004D1666" w:rsidRDefault="00773C10" w:rsidP="00773C10">
            <w:pPr>
              <w:jc w:val="center"/>
              <w:rPr>
                <w:rFonts w:ascii="Arial Narrow" w:hAnsi="Arial Narrow" w:cs="Arial"/>
                <w:color w:val="000000"/>
                <w:sz w:val="15"/>
                <w:szCs w:val="15"/>
              </w:rPr>
            </w:pPr>
          </w:p>
        </w:tc>
        <w:tc>
          <w:tcPr>
            <w:tcW w:w="1418" w:type="dxa"/>
            <w:vMerge/>
            <w:tcBorders>
              <w:left w:val="single" w:sz="18" w:space="0" w:color="C0C0C0"/>
              <w:right w:val="single" w:sz="18" w:space="0" w:color="BFBFBF"/>
            </w:tcBorders>
            <w:shd w:val="clear" w:color="auto" w:fill="auto"/>
            <w:vAlign w:val="center"/>
          </w:tcPr>
          <w:p w14:paraId="58187236"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3CE27648" w14:textId="6051362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13</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56E07AE0" w14:textId="38BF9CF9"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w:t>
            </w:r>
          </w:p>
        </w:tc>
        <w:tc>
          <w:tcPr>
            <w:tcW w:w="1234" w:type="dxa"/>
            <w:vMerge/>
            <w:tcBorders>
              <w:left w:val="single" w:sz="18" w:space="0" w:color="C0C0C0"/>
              <w:right w:val="single" w:sz="18" w:space="0" w:color="auto"/>
            </w:tcBorders>
            <w:shd w:val="clear" w:color="auto" w:fill="auto"/>
            <w:vAlign w:val="center"/>
          </w:tcPr>
          <w:p w14:paraId="7CD6D197" w14:textId="77777777" w:rsidR="00773C10" w:rsidRPr="004D1666" w:rsidRDefault="00773C10" w:rsidP="00773C10">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shd w:val="clear" w:color="auto" w:fill="auto"/>
            <w:vAlign w:val="center"/>
          </w:tcPr>
          <w:p w14:paraId="58339579" w14:textId="77777777" w:rsidR="00773C10" w:rsidRPr="000A0210" w:rsidRDefault="00773C10" w:rsidP="00773C10">
            <w:pPr>
              <w:jc w:val="center"/>
              <w:rPr>
                <w:rFonts w:ascii="Arial Narrow" w:hAnsi="Arial Narrow"/>
                <w:color w:val="31849B"/>
                <w:sz w:val="16"/>
                <w:szCs w:val="16"/>
              </w:rPr>
            </w:pPr>
          </w:p>
        </w:tc>
      </w:tr>
      <w:tr w:rsidR="00773C10" w:rsidRPr="00BC2C5D" w14:paraId="73DF2101" w14:textId="77777777" w:rsidTr="00773C10">
        <w:trPr>
          <w:trHeight w:val="285"/>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41DB0515" w:rsidR="00773C10" w:rsidRPr="00390B39" w:rsidRDefault="00773C10" w:rsidP="00773C10">
            <w:pPr>
              <w:jc w:val="center"/>
              <w:rPr>
                <w:rFonts w:ascii="Arial Narrow" w:hAnsi="Arial Narrow" w:cs="Arial"/>
                <w:sz w:val="16"/>
                <w:szCs w:val="16"/>
              </w:rPr>
            </w:pPr>
            <w:r>
              <w:rPr>
                <w:rFonts w:ascii="Arial Narrow" w:hAnsi="Arial Narrow" w:cs="Arial"/>
                <w:sz w:val="16"/>
                <w:szCs w:val="16"/>
              </w:rPr>
              <w:t>18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1E1923FD" w:rsidR="00773C10" w:rsidRPr="004D1666" w:rsidRDefault="00773C10" w:rsidP="00773C10">
            <w:pPr>
              <w:jc w:val="center"/>
              <w:rPr>
                <w:rFonts w:ascii="Arial Narrow" w:hAnsi="Arial Narrow" w:cs="Arial"/>
                <w:color w:val="000000"/>
                <w:sz w:val="15"/>
                <w:szCs w:val="15"/>
              </w:rPr>
            </w:pP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023F7BD7" w14:textId="6E01C824"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19</w:t>
            </w:r>
          </w:p>
        </w:tc>
        <w:tc>
          <w:tcPr>
            <w:tcW w:w="1417"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587EA42C" w14:textId="123FE703"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20</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0D6D0741" w14:textId="4D3C018F"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21 CE</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773C10" w:rsidRPr="004D1666" w:rsidRDefault="00773C10" w:rsidP="00773C10">
            <w:pPr>
              <w:jc w:val="center"/>
              <w:rPr>
                <w:rFonts w:ascii="Arial Narrow" w:hAnsi="Arial Narrow" w:cs="Arial"/>
                <w:color w:val="000000"/>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523C66DE"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Doomadgee Gulf Circuit</w:t>
            </w:r>
          </w:p>
        </w:tc>
      </w:tr>
      <w:tr w:rsidR="00773C10" w:rsidRPr="00BC2C5D" w14:paraId="638E4844"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1C7F8791"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38076D4" w14:textId="77777777" w:rsidR="00773C10" w:rsidRPr="004D1666" w:rsidRDefault="00773C10" w:rsidP="00773C10">
            <w:pPr>
              <w:jc w:val="center"/>
              <w:rPr>
                <w:rFonts w:ascii="Arial Narrow" w:hAnsi="Arial Narrow" w:cs="Arial"/>
                <w:color w:val="000000"/>
                <w:sz w:val="15"/>
                <w:szCs w:val="15"/>
              </w:rPr>
            </w:pPr>
          </w:p>
        </w:tc>
        <w:tc>
          <w:tcPr>
            <w:tcW w:w="1418" w:type="dxa"/>
            <w:tcBorders>
              <w:top w:val="nil"/>
              <w:left w:val="single" w:sz="18" w:space="0" w:color="C0C0C0"/>
              <w:bottom w:val="single" w:sz="18" w:space="0" w:color="BFBFBF"/>
              <w:right w:val="single" w:sz="18" w:space="0" w:color="BFBFBF"/>
            </w:tcBorders>
            <w:shd w:val="clear" w:color="auto" w:fill="FFFF00"/>
            <w:vAlign w:val="center"/>
          </w:tcPr>
          <w:p w14:paraId="525B82D9" w14:textId="59C47758" w:rsidR="00773C10" w:rsidRPr="009416EA" w:rsidRDefault="00196E8F" w:rsidP="00773C10">
            <w:pPr>
              <w:jc w:val="center"/>
              <w:rPr>
                <w:rFonts w:ascii="Arial Narrow" w:hAnsi="Arial Narrow" w:cs="Arial"/>
                <w:b/>
                <w:bCs/>
                <w:sz w:val="16"/>
                <w:szCs w:val="16"/>
              </w:rPr>
            </w:pPr>
            <w:r>
              <w:rPr>
                <w:rFonts w:ascii="Arial Narrow" w:hAnsi="Arial Narrow" w:cs="Arial"/>
                <w:b/>
                <w:bCs/>
                <w:sz w:val="16"/>
                <w:szCs w:val="16"/>
              </w:rPr>
              <w:t>19 CE</w:t>
            </w:r>
          </w:p>
        </w:tc>
        <w:tc>
          <w:tcPr>
            <w:tcW w:w="1417" w:type="dxa"/>
            <w:vMerge/>
            <w:tcBorders>
              <w:left w:val="single" w:sz="18" w:space="0" w:color="BFBFBF"/>
              <w:right w:val="single" w:sz="18" w:space="0" w:color="C0C0C0"/>
            </w:tcBorders>
            <w:shd w:val="clear" w:color="auto" w:fill="FF0000"/>
            <w:vAlign w:val="center"/>
          </w:tcPr>
          <w:p w14:paraId="1BB7A4E3" w14:textId="77777777" w:rsidR="00773C10" w:rsidRPr="009416EA" w:rsidRDefault="00773C10" w:rsidP="00773C10">
            <w:pPr>
              <w:jc w:val="center"/>
              <w:rPr>
                <w:rFonts w:ascii="Arial Narrow" w:hAnsi="Arial Narrow" w:cs="Arial"/>
                <w:b/>
                <w:bCs/>
                <w:sz w:val="16"/>
                <w:szCs w:val="16"/>
              </w:rPr>
            </w:pPr>
          </w:p>
        </w:tc>
        <w:tc>
          <w:tcPr>
            <w:tcW w:w="1276" w:type="dxa"/>
            <w:vMerge/>
            <w:tcBorders>
              <w:left w:val="single" w:sz="18" w:space="0" w:color="C0C0C0"/>
              <w:right w:val="single" w:sz="18" w:space="0" w:color="C0C0C0"/>
            </w:tcBorders>
            <w:shd w:val="clear" w:color="auto" w:fill="FF0000"/>
            <w:vAlign w:val="center"/>
          </w:tcPr>
          <w:p w14:paraId="6F3D5B13" w14:textId="77777777" w:rsidR="00773C10" w:rsidRPr="009416EA" w:rsidRDefault="00773C10" w:rsidP="00773C10">
            <w:pPr>
              <w:jc w:val="center"/>
              <w:rPr>
                <w:rFonts w:ascii="Arial Narrow" w:hAnsi="Arial Narrow" w:cs="Arial"/>
                <w:b/>
                <w:bCs/>
                <w:sz w:val="16"/>
                <w:szCs w:val="16"/>
              </w:rPr>
            </w:pPr>
          </w:p>
        </w:tc>
        <w:tc>
          <w:tcPr>
            <w:tcW w:w="1234" w:type="dxa"/>
            <w:vMerge/>
            <w:tcBorders>
              <w:left w:val="single" w:sz="18" w:space="0" w:color="C0C0C0"/>
              <w:right w:val="single" w:sz="18" w:space="0" w:color="auto"/>
            </w:tcBorders>
            <w:shd w:val="clear" w:color="auto" w:fill="auto"/>
            <w:vAlign w:val="center"/>
          </w:tcPr>
          <w:p w14:paraId="1FDBD41A" w14:textId="77777777" w:rsidR="00773C10" w:rsidRPr="004D1666" w:rsidRDefault="00773C10" w:rsidP="00773C10">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shd w:val="clear" w:color="auto" w:fill="auto"/>
            <w:vAlign w:val="center"/>
          </w:tcPr>
          <w:p w14:paraId="4F64A803" w14:textId="77777777" w:rsidR="00773C10" w:rsidRPr="000A0210" w:rsidRDefault="00773C10" w:rsidP="00773C10">
            <w:pPr>
              <w:jc w:val="center"/>
              <w:rPr>
                <w:rFonts w:ascii="Arial Narrow" w:hAnsi="Arial Narrow"/>
                <w:color w:val="31849B"/>
                <w:sz w:val="16"/>
                <w:szCs w:val="16"/>
              </w:rPr>
            </w:pPr>
          </w:p>
        </w:tc>
      </w:tr>
      <w:tr w:rsidR="00773C10" w:rsidRPr="00BC2C5D" w14:paraId="307A9FC1" w14:textId="77777777" w:rsidTr="00773C10">
        <w:trPr>
          <w:trHeight w:val="190"/>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5E2FF411" w:rsidR="00773C10" w:rsidRPr="00390B39" w:rsidRDefault="00773C10" w:rsidP="00773C10">
            <w:pPr>
              <w:jc w:val="center"/>
              <w:rPr>
                <w:rFonts w:ascii="Arial Narrow" w:hAnsi="Arial Narrow" w:cs="Arial"/>
                <w:sz w:val="16"/>
                <w:szCs w:val="16"/>
              </w:rPr>
            </w:pPr>
            <w:r>
              <w:rPr>
                <w:rFonts w:ascii="Arial Narrow" w:hAnsi="Arial Narrow" w:cs="Arial"/>
                <w:sz w:val="16"/>
                <w:szCs w:val="16"/>
              </w:rPr>
              <w:t>25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B552431" w14:textId="7CE6FBF7" w:rsidR="00773C10" w:rsidRPr="009416EA" w:rsidRDefault="00773C10" w:rsidP="00773C10">
            <w:pPr>
              <w:jc w:val="center"/>
              <w:rPr>
                <w:rFonts w:ascii="Arial Narrow" w:hAnsi="Arial Narrow" w:cs="Arial"/>
                <w:color w:val="FFFFFF" w:themeColor="background1"/>
                <w:sz w:val="16"/>
                <w:szCs w:val="16"/>
              </w:rPr>
            </w:pPr>
          </w:p>
        </w:tc>
        <w:tc>
          <w:tcPr>
            <w:tcW w:w="1418" w:type="dxa"/>
            <w:tcBorders>
              <w:top w:val="single" w:sz="18" w:space="0" w:color="BFBFBF"/>
              <w:left w:val="single" w:sz="18" w:space="0" w:color="C0C0C0"/>
              <w:bottom w:val="nil"/>
              <w:right w:val="single" w:sz="18" w:space="0" w:color="BFBFBF"/>
            </w:tcBorders>
            <w:shd w:val="clear" w:color="auto" w:fill="A972A9"/>
            <w:vAlign w:val="center"/>
          </w:tcPr>
          <w:p w14:paraId="7C5A4051" w14:textId="760F6C31"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26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2D625F6F" w14:textId="4B410ED2"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31F3F07A" w14:textId="45865549" w:rsidR="00773C10" w:rsidRPr="000A0210" w:rsidRDefault="00773C10" w:rsidP="00773C10">
            <w:pPr>
              <w:jc w:val="center"/>
              <w:rPr>
                <w:rFonts w:ascii="Arial Narrow" w:hAnsi="Arial Narrow" w:cs="Arial"/>
                <w:sz w:val="16"/>
                <w:szCs w:val="16"/>
              </w:rPr>
            </w:pP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D9D9D9"/>
            <w:vAlign w:val="center"/>
          </w:tcPr>
          <w:p w14:paraId="765D5946" w14:textId="2C73EFB6" w:rsidR="00773C10" w:rsidRPr="004D1666" w:rsidRDefault="00773C10" w:rsidP="00773C10">
            <w:pPr>
              <w:jc w:val="center"/>
              <w:rPr>
                <w:rFonts w:ascii="Arial Narrow" w:hAnsi="Arial Narrow" w:cs="Arial"/>
                <w:sz w:val="15"/>
                <w:szCs w:val="15"/>
              </w:rPr>
            </w:pPr>
            <w:r w:rsidRPr="004D1666">
              <w:rPr>
                <w:rFonts w:ascii="Arial Narrow" w:hAnsi="Arial Narrow" w:cs="Arial"/>
                <w:b/>
                <w:bCs/>
                <w:sz w:val="15"/>
                <w:szCs w:val="15"/>
              </w:rPr>
              <w:t>Public Holiday</w:t>
            </w: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636D447" w14:textId="542DD69F" w:rsidR="00773C10" w:rsidRPr="000A0210" w:rsidRDefault="00773C10" w:rsidP="00773C10">
            <w:pPr>
              <w:jc w:val="center"/>
              <w:rPr>
                <w:rFonts w:ascii="Arial Narrow" w:hAnsi="Arial Narrow"/>
                <w:sz w:val="16"/>
                <w:szCs w:val="16"/>
              </w:rPr>
            </w:pPr>
            <w:r w:rsidRPr="000A0210">
              <w:rPr>
                <w:rFonts w:ascii="Arial Narrow" w:hAnsi="Arial Narrow" w:cs="Arial"/>
                <w:b/>
                <w:bCs/>
                <w:sz w:val="16"/>
                <w:szCs w:val="16"/>
              </w:rPr>
              <w:t>29 Good Friday Public Holiday</w:t>
            </w:r>
          </w:p>
        </w:tc>
      </w:tr>
      <w:tr w:rsidR="00773C10" w:rsidRPr="00BC2C5D" w14:paraId="7EF898A7" w14:textId="77777777" w:rsidTr="00773C10">
        <w:trPr>
          <w:trHeight w:val="190"/>
        </w:trPr>
        <w:tc>
          <w:tcPr>
            <w:tcW w:w="1134" w:type="dxa"/>
            <w:vMerge/>
            <w:tcBorders>
              <w:left w:val="single" w:sz="18" w:space="0" w:color="auto"/>
              <w:right w:val="single" w:sz="18" w:space="0" w:color="C0C0C0"/>
            </w:tcBorders>
            <w:shd w:val="clear" w:color="auto" w:fill="auto"/>
            <w:vAlign w:val="center"/>
          </w:tcPr>
          <w:p w14:paraId="5AD4AB0C"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BB2D3F6" w14:textId="77777777" w:rsidR="00773C10" w:rsidRPr="009416EA" w:rsidRDefault="00773C10" w:rsidP="00773C10">
            <w:pPr>
              <w:jc w:val="center"/>
              <w:rPr>
                <w:rFonts w:ascii="Arial Narrow" w:hAnsi="Arial Narrow" w:cs="Arial"/>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20849B"/>
            <w:vAlign w:val="center"/>
          </w:tcPr>
          <w:p w14:paraId="067A4DBA" w14:textId="7F521F7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26 CE</w:t>
            </w:r>
          </w:p>
        </w:tc>
        <w:tc>
          <w:tcPr>
            <w:tcW w:w="1417" w:type="dxa"/>
            <w:tcBorders>
              <w:top w:val="nil"/>
              <w:left w:val="single" w:sz="18" w:space="0" w:color="BFBFBF"/>
              <w:bottom w:val="nil"/>
              <w:right w:val="single" w:sz="18" w:space="0" w:color="C0C0C0"/>
            </w:tcBorders>
            <w:shd w:val="clear" w:color="auto" w:fill="20849B"/>
            <w:vAlign w:val="center"/>
          </w:tcPr>
          <w:p w14:paraId="1D048561" w14:textId="161BC08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276" w:type="dxa"/>
            <w:vMerge/>
            <w:tcBorders>
              <w:left w:val="single" w:sz="18" w:space="0" w:color="C0C0C0"/>
              <w:right w:val="single" w:sz="18" w:space="0" w:color="C0C0C0"/>
            </w:tcBorders>
            <w:shd w:val="clear" w:color="auto" w:fill="auto"/>
            <w:vAlign w:val="center"/>
          </w:tcPr>
          <w:p w14:paraId="517DA58A"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D9D9D9"/>
            <w:vAlign w:val="center"/>
          </w:tcPr>
          <w:p w14:paraId="5C448E06" w14:textId="77777777" w:rsidR="00773C10" w:rsidRPr="004D1666" w:rsidRDefault="00773C10" w:rsidP="00773C10">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4D0975CA" w14:textId="77777777" w:rsidR="00773C10" w:rsidRPr="000A0210" w:rsidRDefault="00773C10" w:rsidP="00773C10">
            <w:pPr>
              <w:jc w:val="center"/>
              <w:rPr>
                <w:rFonts w:ascii="Arial Narrow" w:hAnsi="Arial Narrow" w:cs="Arial"/>
                <w:b/>
                <w:bCs/>
                <w:sz w:val="16"/>
                <w:szCs w:val="16"/>
              </w:rPr>
            </w:pPr>
          </w:p>
        </w:tc>
      </w:tr>
      <w:tr w:rsidR="00773C10" w:rsidRPr="00BC2C5D" w14:paraId="0C23070D" w14:textId="77777777" w:rsidTr="00773C10">
        <w:trPr>
          <w:trHeight w:val="190"/>
        </w:trPr>
        <w:tc>
          <w:tcPr>
            <w:tcW w:w="1134" w:type="dxa"/>
            <w:vMerge/>
            <w:tcBorders>
              <w:left w:val="single" w:sz="18" w:space="0" w:color="auto"/>
              <w:right w:val="single" w:sz="18" w:space="0" w:color="C0C0C0"/>
            </w:tcBorders>
            <w:shd w:val="clear" w:color="auto" w:fill="auto"/>
            <w:vAlign w:val="center"/>
          </w:tcPr>
          <w:p w14:paraId="22052971"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B13A7BF" w14:textId="77777777" w:rsidR="00773C10" w:rsidRPr="009416EA" w:rsidRDefault="00773C10" w:rsidP="00773C10">
            <w:pPr>
              <w:jc w:val="center"/>
              <w:rPr>
                <w:rFonts w:ascii="Arial Narrow" w:hAnsi="Arial Narrow" w:cs="Arial"/>
                <w:color w:val="FFFFFF" w:themeColor="background1"/>
                <w:sz w:val="16"/>
                <w:szCs w:val="16"/>
              </w:rPr>
            </w:pPr>
          </w:p>
        </w:tc>
        <w:tc>
          <w:tcPr>
            <w:tcW w:w="1418" w:type="dxa"/>
            <w:tcBorders>
              <w:top w:val="nil"/>
              <w:left w:val="single" w:sz="18" w:space="0" w:color="C0C0C0"/>
              <w:right w:val="single" w:sz="18" w:space="0" w:color="BFBFBF"/>
            </w:tcBorders>
            <w:shd w:val="clear" w:color="auto" w:fill="auto"/>
            <w:vAlign w:val="center"/>
          </w:tcPr>
          <w:p w14:paraId="7C17201A"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right w:val="single" w:sz="18" w:space="0" w:color="C0C0C0"/>
            </w:tcBorders>
            <w:shd w:val="clear" w:color="auto" w:fill="769250"/>
            <w:vAlign w:val="center"/>
          </w:tcPr>
          <w:p w14:paraId="1E377DDC" w14:textId="169E2FBE"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w:t>
            </w:r>
          </w:p>
        </w:tc>
        <w:tc>
          <w:tcPr>
            <w:tcW w:w="1276" w:type="dxa"/>
            <w:vMerge/>
            <w:tcBorders>
              <w:left w:val="single" w:sz="18" w:space="0" w:color="C0C0C0"/>
              <w:right w:val="single" w:sz="18" w:space="0" w:color="C0C0C0"/>
            </w:tcBorders>
            <w:shd w:val="clear" w:color="auto" w:fill="auto"/>
            <w:vAlign w:val="center"/>
          </w:tcPr>
          <w:p w14:paraId="51E41080"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D9D9D9"/>
            <w:vAlign w:val="center"/>
          </w:tcPr>
          <w:p w14:paraId="3559E574" w14:textId="77777777" w:rsidR="00773C10" w:rsidRPr="004D1666" w:rsidRDefault="00773C10" w:rsidP="00773C10">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54C45CA5" w14:textId="77777777" w:rsidR="00773C10" w:rsidRPr="000A0210" w:rsidRDefault="00773C10" w:rsidP="00773C10">
            <w:pPr>
              <w:jc w:val="center"/>
              <w:rPr>
                <w:rFonts w:ascii="Arial Narrow" w:hAnsi="Arial Narrow" w:cs="Arial"/>
                <w:b/>
                <w:bCs/>
                <w:sz w:val="16"/>
                <w:szCs w:val="16"/>
              </w:rPr>
            </w:pPr>
          </w:p>
        </w:tc>
      </w:tr>
      <w:tr w:rsidR="00773C10" w:rsidRPr="00BC2C5D" w14:paraId="04B98309" w14:textId="77777777" w:rsidTr="000A0210">
        <w:trPr>
          <w:trHeight w:val="567"/>
        </w:trPr>
        <w:tc>
          <w:tcPr>
            <w:tcW w:w="1134" w:type="dxa"/>
            <w:tcBorders>
              <w:top w:val="single" w:sz="18" w:space="0" w:color="auto"/>
              <w:left w:val="single" w:sz="18" w:space="0" w:color="auto"/>
              <w:right w:val="single" w:sz="18" w:space="0" w:color="C0C0C0"/>
            </w:tcBorders>
            <w:shd w:val="clear" w:color="auto" w:fill="auto"/>
            <w:vAlign w:val="center"/>
          </w:tcPr>
          <w:p w14:paraId="6B4F819B" w14:textId="04A4E750" w:rsidR="00773C10" w:rsidRPr="00390B39" w:rsidRDefault="00773C10" w:rsidP="00773C10">
            <w:pPr>
              <w:jc w:val="center"/>
              <w:rPr>
                <w:rFonts w:ascii="Arial Narrow" w:hAnsi="Arial Narrow" w:cs="Arial"/>
                <w:sz w:val="16"/>
                <w:szCs w:val="16"/>
              </w:rPr>
            </w:pPr>
            <w:r>
              <w:rPr>
                <w:rFonts w:ascii="Arial Narrow" w:hAnsi="Arial Narrow" w:cs="Arial"/>
                <w:sz w:val="16"/>
                <w:szCs w:val="16"/>
              </w:rPr>
              <w:t>1 April</w:t>
            </w:r>
          </w:p>
        </w:tc>
        <w:tc>
          <w:tcPr>
            <w:tcW w:w="1134" w:type="dxa"/>
            <w:tcBorders>
              <w:top w:val="single" w:sz="18" w:space="0" w:color="auto"/>
              <w:left w:val="single" w:sz="18" w:space="0" w:color="C0C0C0"/>
              <w:right w:val="single" w:sz="18" w:space="0" w:color="C0C0C0"/>
            </w:tcBorders>
            <w:shd w:val="clear" w:color="auto" w:fill="D9D9D9" w:themeFill="background1" w:themeFillShade="D9"/>
            <w:vAlign w:val="center"/>
          </w:tcPr>
          <w:p w14:paraId="642C16FC" w14:textId="695E16F4" w:rsidR="00773C10" w:rsidRPr="004D1666" w:rsidRDefault="00773C10" w:rsidP="00773C10">
            <w:pPr>
              <w:jc w:val="center"/>
              <w:rPr>
                <w:rFonts w:ascii="Arial Narrow" w:hAnsi="Arial Narrow" w:cs="Arial"/>
                <w:sz w:val="15"/>
                <w:szCs w:val="15"/>
              </w:rPr>
            </w:pPr>
            <w:r w:rsidRPr="004D1666">
              <w:rPr>
                <w:rFonts w:ascii="Arial Narrow" w:hAnsi="Arial Narrow" w:cs="Arial"/>
                <w:b/>
                <w:bCs/>
                <w:sz w:val="15"/>
                <w:szCs w:val="15"/>
              </w:rPr>
              <w:t>Public Holiday</w:t>
            </w:r>
          </w:p>
        </w:tc>
        <w:tc>
          <w:tcPr>
            <w:tcW w:w="1418" w:type="dxa"/>
            <w:tcBorders>
              <w:top w:val="single" w:sz="18" w:space="0" w:color="auto"/>
              <w:left w:val="single" w:sz="18" w:space="0" w:color="C0C0C0"/>
              <w:right w:val="single" w:sz="18" w:space="0" w:color="BFBFBF"/>
            </w:tcBorders>
            <w:shd w:val="clear" w:color="auto" w:fill="D9D9D9" w:themeFill="background1" w:themeFillShade="D9"/>
            <w:vAlign w:val="center"/>
          </w:tcPr>
          <w:p w14:paraId="0A7AAF2C" w14:textId="7AD33B1D" w:rsidR="00773C10" w:rsidRPr="000A0210" w:rsidRDefault="00773C10" w:rsidP="00773C10">
            <w:pPr>
              <w:jc w:val="center"/>
              <w:rPr>
                <w:rFonts w:ascii="Arial Narrow" w:hAnsi="Arial Narrow" w:cs="Arial"/>
                <w:sz w:val="16"/>
                <w:szCs w:val="16"/>
              </w:rPr>
            </w:pPr>
          </w:p>
        </w:tc>
        <w:tc>
          <w:tcPr>
            <w:tcW w:w="1417" w:type="dxa"/>
            <w:tcBorders>
              <w:top w:val="single" w:sz="18" w:space="0" w:color="auto"/>
              <w:left w:val="single" w:sz="18" w:space="0" w:color="BFBFBF"/>
              <w:right w:val="single" w:sz="18" w:space="0" w:color="C0C0C0"/>
            </w:tcBorders>
            <w:shd w:val="clear" w:color="auto" w:fill="D9D9D9" w:themeFill="background1" w:themeFillShade="D9"/>
            <w:vAlign w:val="center"/>
          </w:tcPr>
          <w:p w14:paraId="1F9ED47F" w14:textId="039A1240" w:rsidR="00773C10" w:rsidRPr="000A0210" w:rsidRDefault="00773C10" w:rsidP="00773C10">
            <w:pPr>
              <w:jc w:val="center"/>
              <w:rPr>
                <w:rFonts w:ascii="Arial Narrow" w:hAnsi="Arial Narrow" w:cs="Arial"/>
                <w:sz w:val="16"/>
                <w:szCs w:val="16"/>
              </w:rPr>
            </w:pPr>
          </w:p>
        </w:tc>
        <w:tc>
          <w:tcPr>
            <w:tcW w:w="1276" w:type="dxa"/>
            <w:tcBorders>
              <w:top w:val="single" w:sz="18" w:space="0" w:color="auto"/>
              <w:left w:val="single" w:sz="18" w:space="0" w:color="C0C0C0"/>
              <w:right w:val="single" w:sz="18" w:space="0" w:color="C0C0C0"/>
            </w:tcBorders>
            <w:shd w:val="clear" w:color="auto" w:fill="D9D9D9" w:themeFill="background1" w:themeFillShade="D9"/>
            <w:vAlign w:val="center"/>
          </w:tcPr>
          <w:p w14:paraId="2B4AD7BE" w14:textId="2938D041" w:rsidR="00773C10" w:rsidRPr="000A0210" w:rsidRDefault="00773C10" w:rsidP="00773C10">
            <w:pPr>
              <w:jc w:val="center"/>
              <w:rPr>
                <w:rFonts w:ascii="Arial Narrow" w:hAnsi="Arial Narrow" w:cs="Arial"/>
                <w:sz w:val="16"/>
                <w:szCs w:val="16"/>
              </w:rPr>
            </w:pPr>
          </w:p>
        </w:tc>
        <w:tc>
          <w:tcPr>
            <w:tcW w:w="1234" w:type="dxa"/>
            <w:tcBorders>
              <w:top w:val="single" w:sz="18" w:space="0" w:color="auto"/>
              <w:left w:val="single" w:sz="18" w:space="0" w:color="C0C0C0"/>
              <w:right w:val="single" w:sz="18" w:space="0" w:color="auto"/>
            </w:tcBorders>
            <w:shd w:val="clear" w:color="auto" w:fill="D9D9D9" w:themeFill="background1" w:themeFillShade="D9"/>
            <w:vAlign w:val="center"/>
          </w:tcPr>
          <w:p w14:paraId="71435210" w14:textId="5F8E18E6" w:rsidR="00773C10" w:rsidRPr="004D1666" w:rsidRDefault="00773C10" w:rsidP="00773C10">
            <w:pPr>
              <w:jc w:val="center"/>
              <w:rPr>
                <w:rFonts w:ascii="Arial Narrow" w:hAnsi="Arial Narrow" w:cs="Arial"/>
                <w:sz w:val="15"/>
                <w:szCs w:val="15"/>
              </w:rPr>
            </w:pPr>
          </w:p>
        </w:tc>
        <w:tc>
          <w:tcPr>
            <w:tcW w:w="3245" w:type="dxa"/>
            <w:tcBorders>
              <w:top w:val="single" w:sz="18" w:space="0" w:color="auto"/>
              <w:left w:val="single" w:sz="18" w:space="0" w:color="auto"/>
              <w:right w:val="single" w:sz="18" w:space="0" w:color="auto"/>
            </w:tcBorders>
            <w:shd w:val="clear" w:color="auto" w:fill="D9D9D9" w:themeFill="background1" w:themeFillShade="D9"/>
            <w:vAlign w:val="center"/>
          </w:tcPr>
          <w:p w14:paraId="077C5159" w14:textId="77777777" w:rsidR="00773C10" w:rsidRPr="000A0210" w:rsidRDefault="00773C10" w:rsidP="00773C10">
            <w:pPr>
              <w:jc w:val="center"/>
              <w:rPr>
                <w:rFonts w:ascii="Arial Narrow" w:hAnsi="Arial Narrow"/>
                <w:color w:val="31849B"/>
                <w:sz w:val="16"/>
                <w:szCs w:val="16"/>
              </w:rPr>
            </w:pPr>
            <w:r w:rsidRPr="000A0210">
              <w:rPr>
                <w:rFonts w:ascii="Arial Narrow" w:hAnsi="Arial Narrow"/>
                <w:color w:val="31849B"/>
                <w:sz w:val="16"/>
                <w:szCs w:val="16"/>
              </w:rPr>
              <w:t>Cooktown Circuit</w:t>
            </w:r>
          </w:p>
          <w:p w14:paraId="3EB018F0" w14:textId="47496546" w:rsidR="00773C10" w:rsidRPr="000A0210" w:rsidRDefault="00773C10" w:rsidP="00773C10">
            <w:pPr>
              <w:jc w:val="center"/>
              <w:rPr>
                <w:rFonts w:ascii="Arial Narrow" w:hAnsi="Arial Narrow" w:cs="Arial"/>
                <w:b/>
                <w:bCs/>
                <w:sz w:val="16"/>
                <w:szCs w:val="16"/>
              </w:rPr>
            </w:pPr>
            <w:r w:rsidRPr="000A0210">
              <w:rPr>
                <w:rFonts w:ascii="Arial Narrow" w:hAnsi="Arial Narrow" w:cs="Arial"/>
                <w:b/>
                <w:bCs/>
                <w:sz w:val="16"/>
                <w:szCs w:val="16"/>
              </w:rPr>
              <w:t>1 Easter Monday Public Holiday</w:t>
            </w:r>
          </w:p>
        </w:tc>
      </w:tr>
      <w:tr w:rsidR="00773C10" w:rsidRPr="00BC2C5D" w14:paraId="1920F1D5" w14:textId="77777777" w:rsidTr="00855969">
        <w:trPr>
          <w:trHeight w:val="567"/>
        </w:trPr>
        <w:tc>
          <w:tcPr>
            <w:tcW w:w="1134" w:type="dxa"/>
            <w:tcBorders>
              <w:top w:val="single" w:sz="18" w:space="0" w:color="C0C0C0"/>
              <w:left w:val="single" w:sz="18" w:space="0" w:color="auto"/>
              <w:right w:val="single" w:sz="18" w:space="0" w:color="C0C0C0"/>
            </w:tcBorders>
            <w:shd w:val="clear" w:color="auto" w:fill="auto"/>
            <w:vAlign w:val="center"/>
          </w:tcPr>
          <w:p w14:paraId="79CA0660" w14:textId="252EBBB5" w:rsidR="00773C10" w:rsidRPr="00A634FA" w:rsidRDefault="00773C10" w:rsidP="00773C10">
            <w:pPr>
              <w:jc w:val="center"/>
              <w:rPr>
                <w:rFonts w:ascii="Arial Narrow" w:hAnsi="Arial Narrow" w:cs="Arial"/>
                <w:sz w:val="16"/>
                <w:szCs w:val="16"/>
              </w:rPr>
            </w:pPr>
            <w:r>
              <w:rPr>
                <w:rFonts w:ascii="Arial Narrow" w:hAnsi="Arial Narrow" w:cs="Arial"/>
                <w:sz w:val="16"/>
                <w:szCs w:val="16"/>
              </w:rPr>
              <w:t>8 April</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themeFill="background1" w:themeFillShade="D9"/>
            <w:vAlign w:val="center"/>
          </w:tcPr>
          <w:p w14:paraId="56638F21" w14:textId="59A381F4" w:rsidR="00773C10" w:rsidRPr="004D1666" w:rsidRDefault="00773C10" w:rsidP="00773C10">
            <w:pPr>
              <w:jc w:val="center"/>
              <w:rPr>
                <w:rFonts w:ascii="Arial Narrow" w:hAnsi="Arial Narrow" w:cs="Arial"/>
                <w:sz w:val="15"/>
                <w:szCs w:val="15"/>
              </w:rPr>
            </w:pPr>
          </w:p>
        </w:tc>
        <w:tc>
          <w:tcPr>
            <w:tcW w:w="1418" w:type="dxa"/>
            <w:tcBorders>
              <w:top w:val="single" w:sz="18" w:space="0" w:color="C0C0C0"/>
              <w:left w:val="single" w:sz="18" w:space="0" w:color="C0C0C0"/>
              <w:right w:val="single" w:sz="18" w:space="0" w:color="BFBFBF"/>
            </w:tcBorders>
            <w:shd w:val="clear" w:color="auto" w:fill="FF0000"/>
            <w:vAlign w:val="center"/>
          </w:tcPr>
          <w:p w14:paraId="4476C160" w14:textId="0B416AD5" w:rsidR="00773C10" w:rsidRPr="003D645A" w:rsidRDefault="003D645A" w:rsidP="00773C10">
            <w:pPr>
              <w:jc w:val="center"/>
              <w:rPr>
                <w:rFonts w:ascii="Arial Narrow" w:hAnsi="Arial Narrow" w:cs="Arial"/>
                <w:b/>
                <w:bCs/>
                <w:color w:val="FFFFFF" w:themeColor="background1"/>
                <w:sz w:val="16"/>
                <w:szCs w:val="16"/>
              </w:rPr>
            </w:pPr>
            <w:r w:rsidRPr="003D645A">
              <w:rPr>
                <w:rFonts w:ascii="Arial Narrow" w:hAnsi="Arial Narrow" w:cs="Arial"/>
                <w:b/>
                <w:bCs/>
                <w:color w:val="FFFFFF" w:themeColor="background1"/>
                <w:sz w:val="16"/>
                <w:szCs w:val="16"/>
              </w:rPr>
              <w:t>9 CE</w:t>
            </w:r>
          </w:p>
        </w:tc>
        <w:tc>
          <w:tcPr>
            <w:tcW w:w="1417" w:type="dxa"/>
            <w:tcBorders>
              <w:top w:val="single" w:sz="18" w:space="0" w:color="C0C0C0"/>
              <w:left w:val="single" w:sz="18" w:space="0" w:color="BFBFBF"/>
              <w:right w:val="single" w:sz="18" w:space="0" w:color="C0C0C0"/>
            </w:tcBorders>
            <w:shd w:val="clear" w:color="auto" w:fill="FF0000"/>
            <w:vAlign w:val="center"/>
          </w:tcPr>
          <w:p w14:paraId="1AE5584B" w14:textId="22A6CE48" w:rsidR="00773C10" w:rsidRPr="003D645A" w:rsidRDefault="003D645A" w:rsidP="00773C10">
            <w:pPr>
              <w:jc w:val="center"/>
              <w:rPr>
                <w:rFonts w:ascii="Arial Narrow" w:hAnsi="Arial Narrow" w:cs="Arial"/>
                <w:b/>
                <w:bCs/>
                <w:color w:val="FFFFFF" w:themeColor="background1"/>
                <w:sz w:val="16"/>
                <w:szCs w:val="16"/>
              </w:rPr>
            </w:pPr>
            <w:r w:rsidRPr="003D645A">
              <w:rPr>
                <w:rFonts w:ascii="Arial Narrow" w:hAnsi="Arial Narrow" w:cs="Arial"/>
                <w:b/>
                <w:bCs/>
                <w:color w:val="FFFFFF" w:themeColor="background1"/>
                <w:sz w:val="16"/>
                <w:szCs w:val="16"/>
              </w:rPr>
              <w:t>10 Conf</w:t>
            </w:r>
          </w:p>
        </w:tc>
        <w:tc>
          <w:tcPr>
            <w:tcW w:w="1276" w:type="dxa"/>
            <w:tcBorders>
              <w:top w:val="single" w:sz="18" w:space="0" w:color="C0C0C0"/>
              <w:left w:val="single" w:sz="18" w:space="0" w:color="C0C0C0"/>
              <w:right w:val="single" w:sz="18" w:space="0" w:color="C0C0C0"/>
            </w:tcBorders>
            <w:shd w:val="clear" w:color="auto" w:fill="D9D9D9" w:themeFill="background1" w:themeFillShade="D9"/>
            <w:vAlign w:val="center"/>
          </w:tcPr>
          <w:p w14:paraId="6B78F59B" w14:textId="48BAE369" w:rsidR="00773C10" w:rsidRPr="000A0210" w:rsidRDefault="00773C10" w:rsidP="00773C10">
            <w:pPr>
              <w:jc w:val="center"/>
              <w:rPr>
                <w:rFonts w:ascii="Arial Narrow" w:hAnsi="Arial Narrow" w:cs="Arial"/>
                <w:sz w:val="16"/>
                <w:szCs w:val="16"/>
              </w:rPr>
            </w:pPr>
          </w:p>
        </w:tc>
        <w:tc>
          <w:tcPr>
            <w:tcW w:w="1234" w:type="dxa"/>
            <w:tcBorders>
              <w:top w:val="single" w:sz="18" w:space="0" w:color="C0C0C0"/>
              <w:left w:val="single" w:sz="18" w:space="0" w:color="C0C0C0"/>
              <w:right w:val="single" w:sz="18" w:space="0" w:color="auto"/>
            </w:tcBorders>
            <w:shd w:val="clear" w:color="auto" w:fill="D9D9D9" w:themeFill="background1" w:themeFillShade="D9"/>
            <w:vAlign w:val="center"/>
          </w:tcPr>
          <w:p w14:paraId="1A733CA3" w14:textId="0748470A" w:rsidR="00773C10" w:rsidRPr="004D1666" w:rsidRDefault="00773C10" w:rsidP="00773C10">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shd w:val="clear" w:color="auto" w:fill="D9D9D9" w:themeFill="background1" w:themeFillShade="D9"/>
            <w:vAlign w:val="center"/>
          </w:tcPr>
          <w:p w14:paraId="51EA0079" w14:textId="68D4137D" w:rsidR="00773C10" w:rsidRPr="000A0210" w:rsidRDefault="00773C10" w:rsidP="00773C10">
            <w:pPr>
              <w:jc w:val="center"/>
              <w:rPr>
                <w:rFonts w:ascii="Arial Narrow" w:hAnsi="Arial Narrow" w:cs="Arial"/>
                <w:b/>
                <w:bCs/>
                <w:sz w:val="16"/>
                <w:szCs w:val="16"/>
              </w:rPr>
            </w:pPr>
            <w:r w:rsidRPr="000A0210">
              <w:rPr>
                <w:rFonts w:ascii="Arial Narrow" w:hAnsi="Arial Narrow"/>
                <w:color w:val="31849B"/>
                <w:sz w:val="16"/>
                <w:szCs w:val="16"/>
              </w:rPr>
              <w:t>Aurukun Cape B Circuit</w:t>
            </w:r>
          </w:p>
        </w:tc>
      </w:tr>
      <w:tr w:rsidR="003D645A" w:rsidRPr="00BC2C5D" w14:paraId="3D55130B" w14:textId="77777777" w:rsidTr="00855969">
        <w:trPr>
          <w:trHeight w:val="190"/>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0A09688" w14:textId="1A48565F" w:rsidR="003D645A" w:rsidRPr="00A634FA" w:rsidRDefault="003D645A" w:rsidP="00773C10">
            <w:pPr>
              <w:jc w:val="center"/>
              <w:rPr>
                <w:rFonts w:ascii="Arial Narrow" w:hAnsi="Arial Narrow" w:cs="Arial"/>
                <w:sz w:val="16"/>
                <w:szCs w:val="16"/>
              </w:rPr>
            </w:pPr>
            <w:r>
              <w:rPr>
                <w:rFonts w:ascii="Arial Narrow" w:hAnsi="Arial Narrow" w:cs="Arial"/>
                <w:sz w:val="16"/>
                <w:szCs w:val="16"/>
              </w:rPr>
              <w:t>15 April</w:t>
            </w:r>
          </w:p>
        </w:tc>
        <w:tc>
          <w:tcPr>
            <w:tcW w:w="1134" w:type="dxa"/>
            <w:tcBorders>
              <w:top w:val="single" w:sz="18" w:space="0" w:color="C0C0C0"/>
              <w:left w:val="single" w:sz="18" w:space="0" w:color="C0C0C0"/>
              <w:bottom w:val="nil"/>
              <w:right w:val="single" w:sz="18" w:space="0" w:color="C0C0C0"/>
            </w:tcBorders>
            <w:shd w:val="clear" w:color="auto" w:fill="A972A9"/>
            <w:vAlign w:val="center"/>
          </w:tcPr>
          <w:p w14:paraId="3BBBD21F" w14:textId="13305398"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15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2F78CCA0" w14:textId="134B79DC"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16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484ED60A" w14:textId="66685BD5"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17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13761527" w14:textId="60932A2D"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18 Conf</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3D645A" w:rsidRPr="004D1666" w:rsidRDefault="003D645A" w:rsidP="00773C1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184F82AE" w14:textId="2BB62C62" w:rsidR="003D645A" w:rsidRPr="000A0210" w:rsidRDefault="003D645A" w:rsidP="00773C10">
            <w:pPr>
              <w:jc w:val="center"/>
              <w:rPr>
                <w:rFonts w:ascii="Arial Narrow" w:hAnsi="Arial Narrow"/>
                <w:sz w:val="16"/>
                <w:szCs w:val="16"/>
              </w:rPr>
            </w:pPr>
            <w:r w:rsidRPr="000A0210">
              <w:rPr>
                <w:rFonts w:ascii="Arial Narrow" w:hAnsi="Arial Narrow"/>
                <w:color w:val="31849B"/>
                <w:sz w:val="16"/>
                <w:szCs w:val="16"/>
              </w:rPr>
              <w:t>Doomadgee Gulf Circuit</w:t>
            </w:r>
          </w:p>
        </w:tc>
      </w:tr>
      <w:tr w:rsidR="003D645A" w:rsidRPr="00BC2C5D" w14:paraId="2F5F327D" w14:textId="77777777" w:rsidTr="00855969">
        <w:trPr>
          <w:trHeight w:val="190"/>
        </w:trPr>
        <w:tc>
          <w:tcPr>
            <w:tcW w:w="1134" w:type="dxa"/>
            <w:vMerge/>
            <w:tcBorders>
              <w:left w:val="single" w:sz="18" w:space="0" w:color="auto"/>
              <w:right w:val="single" w:sz="18" w:space="0" w:color="C0C0C0"/>
            </w:tcBorders>
            <w:shd w:val="clear" w:color="auto" w:fill="auto"/>
            <w:vAlign w:val="center"/>
          </w:tcPr>
          <w:p w14:paraId="0A17E78E" w14:textId="77777777" w:rsidR="003D645A" w:rsidRDefault="003D645A" w:rsidP="00773C10">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uto"/>
            <w:vAlign w:val="center"/>
          </w:tcPr>
          <w:p w14:paraId="521AE277" w14:textId="77777777" w:rsidR="003D645A" w:rsidRPr="00855969" w:rsidRDefault="003D645A" w:rsidP="00773C10">
            <w:pPr>
              <w:jc w:val="center"/>
              <w:rPr>
                <w:rFonts w:ascii="Arial Narrow" w:hAnsi="Arial Narrow" w:cs="Arial"/>
                <w:b/>
                <w:bCs/>
                <w:sz w:val="16"/>
                <w:szCs w:val="16"/>
              </w:rPr>
            </w:pPr>
          </w:p>
        </w:tc>
        <w:tc>
          <w:tcPr>
            <w:tcW w:w="1418" w:type="dxa"/>
            <w:tcBorders>
              <w:top w:val="nil"/>
              <w:left w:val="single" w:sz="18" w:space="0" w:color="C0C0C0"/>
              <w:bottom w:val="nil"/>
              <w:right w:val="single" w:sz="18" w:space="0" w:color="BFBFBF"/>
            </w:tcBorders>
            <w:shd w:val="clear" w:color="auto" w:fill="20849B"/>
            <w:vAlign w:val="center"/>
          </w:tcPr>
          <w:p w14:paraId="6C6ECBB1" w14:textId="5FA8ECC0"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16 CE</w:t>
            </w:r>
          </w:p>
        </w:tc>
        <w:tc>
          <w:tcPr>
            <w:tcW w:w="1417" w:type="dxa"/>
            <w:tcBorders>
              <w:top w:val="nil"/>
              <w:left w:val="single" w:sz="18" w:space="0" w:color="BFBFBF"/>
              <w:bottom w:val="nil"/>
              <w:right w:val="single" w:sz="18" w:space="0" w:color="C0C0C0"/>
            </w:tcBorders>
            <w:shd w:val="clear" w:color="auto" w:fill="20849B"/>
            <w:vAlign w:val="center"/>
          </w:tcPr>
          <w:p w14:paraId="1EC618AE" w14:textId="77777777"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17 ½ day Conf</w:t>
            </w:r>
          </w:p>
          <w:p w14:paraId="718924AF" w14:textId="1A35C40B" w:rsidR="00855969"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17 ½ day CE</w:t>
            </w:r>
          </w:p>
        </w:tc>
        <w:tc>
          <w:tcPr>
            <w:tcW w:w="1276" w:type="dxa"/>
            <w:tcBorders>
              <w:top w:val="nil"/>
              <w:left w:val="single" w:sz="18" w:space="0" w:color="C0C0C0"/>
              <w:bottom w:val="nil"/>
              <w:right w:val="single" w:sz="18" w:space="0" w:color="C0C0C0"/>
            </w:tcBorders>
            <w:shd w:val="clear" w:color="auto" w:fill="20849B"/>
            <w:vAlign w:val="center"/>
          </w:tcPr>
          <w:p w14:paraId="35513041" w14:textId="0174F761"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18 ½ day CE</w:t>
            </w:r>
          </w:p>
        </w:tc>
        <w:tc>
          <w:tcPr>
            <w:tcW w:w="1234" w:type="dxa"/>
            <w:vMerge/>
            <w:tcBorders>
              <w:left w:val="single" w:sz="18" w:space="0" w:color="C0C0C0"/>
              <w:right w:val="single" w:sz="18" w:space="0" w:color="auto"/>
            </w:tcBorders>
            <w:shd w:val="clear" w:color="auto" w:fill="auto"/>
            <w:vAlign w:val="center"/>
          </w:tcPr>
          <w:p w14:paraId="06B50FFF" w14:textId="77777777" w:rsidR="003D645A" w:rsidRPr="004D1666" w:rsidRDefault="003D645A"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6B337011" w14:textId="77777777" w:rsidR="003D645A" w:rsidRPr="000A0210" w:rsidRDefault="003D645A" w:rsidP="00773C10">
            <w:pPr>
              <w:jc w:val="center"/>
              <w:rPr>
                <w:rFonts w:ascii="Arial Narrow" w:hAnsi="Arial Narrow"/>
                <w:color w:val="31849B"/>
                <w:sz w:val="16"/>
                <w:szCs w:val="16"/>
              </w:rPr>
            </w:pPr>
          </w:p>
        </w:tc>
      </w:tr>
      <w:tr w:rsidR="003D645A" w:rsidRPr="00BC2C5D" w14:paraId="23312239" w14:textId="77777777" w:rsidTr="00855969">
        <w:trPr>
          <w:trHeight w:val="190"/>
        </w:trPr>
        <w:tc>
          <w:tcPr>
            <w:tcW w:w="1134" w:type="dxa"/>
            <w:vMerge/>
            <w:tcBorders>
              <w:left w:val="single" w:sz="18" w:space="0" w:color="auto"/>
              <w:right w:val="single" w:sz="18" w:space="0" w:color="C0C0C0"/>
            </w:tcBorders>
            <w:shd w:val="clear" w:color="auto" w:fill="auto"/>
            <w:vAlign w:val="center"/>
          </w:tcPr>
          <w:p w14:paraId="7220B80E" w14:textId="77777777" w:rsidR="003D645A" w:rsidRDefault="003D645A" w:rsidP="00773C10">
            <w:pPr>
              <w:jc w:val="center"/>
              <w:rPr>
                <w:rFonts w:ascii="Arial Narrow" w:hAnsi="Arial Narrow" w:cs="Arial"/>
                <w:sz w:val="16"/>
                <w:szCs w:val="16"/>
              </w:rPr>
            </w:pPr>
          </w:p>
        </w:tc>
        <w:tc>
          <w:tcPr>
            <w:tcW w:w="1134" w:type="dxa"/>
            <w:tcBorders>
              <w:top w:val="nil"/>
              <w:left w:val="single" w:sz="18" w:space="0" w:color="C0C0C0"/>
              <w:bottom w:val="single" w:sz="18" w:space="0" w:color="C0C0C0"/>
              <w:right w:val="single" w:sz="18" w:space="0" w:color="C0C0C0"/>
            </w:tcBorders>
            <w:shd w:val="clear" w:color="auto" w:fill="FFFF00"/>
            <w:vAlign w:val="center"/>
          </w:tcPr>
          <w:p w14:paraId="6C41D856" w14:textId="2952AE68" w:rsidR="003D645A" w:rsidRPr="00855969" w:rsidRDefault="00855969" w:rsidP="00773C10">
            <w:pPr>
              <w:jc w:val="center"/>
              <w:rPr>
                <w:rFonts w:ascii="Arial Narrow" w:hAnsi="Arial Narrow" w:cs="Arial"/>
                <w:b/>
                <w:bCs/>
                <w:sz w:val="16"/>
                <w:szCs w:val="16"/>
              </w:rPr>
            </w:pPr>
            <w:r w:rsidRPr="00855969">
              <w:rPr>
                <w:rFonts w:ascii="Arial Narrow" w:hAnsi="Arial Narrow" w:cs="Arial"/>
                <w:b/>
                <w:bCs/>
                <w:sz w:val="16"/>
                <w:szCs w:val="16"/>
              </w:rPr>
              <w:t>15 CE</w:t>
            </w:r>
          </w:p>
        </w:tc>
        <w:tc>
          <w:tcPr>
            <w:tcW w:w="1418" w:type="dxa"/>
            <w:tcBorders>
              <w:top w:val="nil"/>
              <w:left w:val="single" w:sz="18" w:space="0" w:color="C0C0C0"/>
              <w:right w:val="single" w:sz="18" w:space="0" w:color="BFBFBF"/>
            </w:tcBorders>
            <w:shd w:val="clear" w:color="auto" w:fill="FF0000"/>
            <w:vAlign w:val="center"/>
          </w:tcPr>
          <w:p w14:paraId="351540C5" w14:textId="6FB2D737"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16 ½ day Conf</w:t>
            </w:r>
          </w:p>
        </w:tc>
        <w:tc>
          <w:tcPr>
            <w:tcW w:w="1417" w:type="dxa"/>
            <w:tcBorders>
              <w:top w:val="nil"/>
              <w:left w:val="single" w:sz="18" w:space="0" w:color="BFBFBF"/>
              <w:right w:val="single" w:sz="18" w:space="0" w:color="C0C0C0"/>
            </w:tcBorders>
            <w:shd w:val="clear" w:color="auto" w:fill="FF0000"/>
            <w:vAlign w:val="center"/>
          </w:tcPr>
          <w:p w14:paraId="0B62A434" w14:textId="479D87D8"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17 Conf</w:t>
            </w:r>
          </w:p>
        </w:tc>
        <w:tc>
          <w:tcPr>
            <w:tcW w:w="1276" w:type="dxa"/>
            <w:tcBorders>
              <w:top w:val="nil"/>
              <w:left w:val="single" w:sz="18" w:space="0" w:color="C0C0C0"/>
              <w:right w:val="single" w:sz="18" w:space="0" w:color="C0C0C0"/>
            </w:tcBorders>
            <w:shd w:val="clear" w:color="auto" w:fill="769250"/>
            <w:vAlign w:val="center"/>
          </w:tcPr>
          <w:p w14:paraId="6242222D" w14:textId="77FFE424"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18 CE</w:t>
            </w:r>
          </w:p>
        </w:tc>
        <w:tc>
          <w:tcPr>
            <w:tcW w:w="1234" w:type="dxa"/>
            <w:vMerge/>
            <w:tcBorders>
              <w:left w:val="single" w:sz="18" w:space="0" w:color="C0C0C0"/>
              <w:right w:val="single" w:sz="18" w:space="0" w:color="auto"/>
            </w:tcBorders>
            <w:shd w:val="clear" w:color="auto" w:fill="auto"/>
            <w:vAlign w:val="center"/>
          </w:tcPr>
          <w:p w14:paraId="1E25F689" w14:textId="77777777" w:rsidR="003D645A" w:rsidRPr="004D1666" w:rsidRDefault="003D645A"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316FA59C" w14:textId="77777777" w:rsidR="003D645A" w:rsidRPr="000A0210" w:rsidRDefault="003D645A" w:rsidP="00773C10">
            <w:pPr>
              <w:jc w:val="center"/>
              <w:rPr>
                <w:rFonts w:ascii="Arial Narrow" w:hAnsi="Arial Narrow"/>
                <w:color w:val="31849B"/>
                <w:sz w:val="16"/>
                <w:szCs w:val="16"/>
              </w:rPr>
            </w:pPr>
          </w:p>
        </w:tc>
      </w:tr>
      <w:tr w:rsidR="003D645A" w:rsidRPr="00BC2C5D" w14:paraId="172CB696" w14:textId="77777777" w:rsidTr="00840FC8">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03C871EE" w14:textId="1C13F371" w:rsidR="003D645A" w:rsidRPr="00A634FA" w:rsidRDefault="003D645A" w:rsidP="00773C10">
            <w:pPr>
              <w:jc w:val="center"/>
              <w:rPr>
                <w:rFonts w:ascii="Arial Narrow" w:hAnsi="Arial Narrow" w:cs="Arial"/>
                <w:sz w:val="16"/>
                <w:szCs w:val="16"/>
              </w:rPr>
            </w:pPr>
            <w:r>
              <w:rPr>
                <w:rFonts w:ascii="Arial Narrow" w:hAnsi="Arial Narrow" w:cs="Arial"/>
                <w:sz w:val="16"/>
                <w:szCs w:val="16"/>
              </w:rPr>
              <w:t>22 April</w:t>
            </w:r>
          </w:p>
        </w:tc>
        <w:tc>
          <w:tcPr>
            <w:tcW w:w="1134" w:type="dxa"/>
            <w:tcBorders>
              <w:top w:val="single" w:sz="18" w:space="0" w:color="C0C0C0"/>
              <w:left w:val="single" w:sz="18" w:space="0" w:color="C0C0C0"/>
              <w:bottom w:val="nil"/>
              <w:right w:val="single" w:sz="18" w:space="0" w:color="C0C0C0"/>
            </w:tcBorders>
            <w:shd w:val="clear" w:color="auto" w:fill="FFFF00"/>
            <w:vAlign w:val="center"/>
          </w:tcPr>
          <w:p w14:paraId="3BC75E46" w14:textId="70CF5DDE" w:rsidR="003D645A" w:rsidRPr="00840FC8" w:rsidRDefault="00840FC8" w:rsidP="00773C10">
            <w:pPr>
              <w:jc w:val="center"/>
              <w:rPr>
                <w:rFonts w:ascii="Arial Narrow" w:hAnsi="Arial Narrow" w:cs="Arial"/>
                <w:b/>
                <w:bCs/>
                <w:sz w:val="16"/>
                <w:szCs w:val="16"/>
              </w:rPr>
            </w:pPr>
            <w:r w:rsidRPr="00840FC8">
              <w:rPr>
                <w:rFonts w:ascii="Arial Narrow" w:hAnsi="Arial Narrow" w:cs="Arial"/>
                <w:b/>
                <w:bCs/>
                <w:sz w:val="16"/>
                <w:szCs w:val="16"/>
              </w:rPr>
              <w:t>22 CE</w:t>
            </w:r>
          </w:p>
        </w:tc>
        <w:tc>
          <w:tcPr>
            <w:tcW w:w="1418" w:type="dxa"/>
            <w:tcBorders>
              <w:top w:val="single" w:sz="18" w:space="0" w:color="C0C0C0"/>
              <w:left w:val="single" w:sz="18" w:space="0" w:color="C0C0C0"/>
              <w:bottom w:val="nil"/>
              <w:right w:val="single" w:sz="18" w:space="0" w:color="BFBFBF"/>
            </w:tcBorders>
            <w:shd w:val="clear" w:color="auto" w:fill="FFFF00"/>
            <w:vAlign w:val="center"/>
          </w:tcPr>
          <w:p w14:paraId="0D411168" w14:textId="77777777" w:rsidR="003D645A" w:rsidRPr="00840FC8" w:rsidRDefault="00840FC8" w:rsidP="00773C10">
            <w:pPr>
              <w:jc w:val="center"/>
              <w:rPr>
                <w:rFonts w:ascii="Arial Narrow" w:hAnsi="Arial Narrow" w:cs="Arial"/>
                <w:b/>
                <w:bCs/>
                <w:sz w:val="16"/>
                <w:szCs w:val="16"/>
              </w:rPr>
            </w:pPr>
            <w:r w:rsidRPr="00840FC8">
              <w:rPr>
                <w:rFonts w:ascii="Arial Narrow" w:hAnsi="Arial Narrow" w:cs="Arial"/>
                <w:b/>
                <w:bCs/>
                <w:sz w:val="16"/>
                <w:szCs w:val="16"/>
              </w:rPr>
              <w:t>23 ½ day Conf</w:t>
            </w:r>
          </w:p>
          <w:p w14:paraId="6A7880B7" w14:textId="02BC49CA" w:rsidR="00840FC8" w:rsidRPr="00840FC8" w:rsidRDefault="00840FC8" w:rsidP="00773C10">
            <w:pPr>
              <w:jc w:val="center"/>
              <w:rPr>
                <w:rFonts w:ascii="Arial Narrow" w:hAnsi="Arial Narrow" w:cs="Arial"/>
                <w:b/>
                <w:bCs/>
                <w:sz w:val="16"/>
                <w:szCs w:val="16"/>
              </w:rPr>
            </w:pPr>
            <w:r w:rsidRPr="00840FC8">
              <w:rPr>
                <w:rFonts w:ascii="Arial Narrow" w:hAnsi="Arial Narrow" w:cs="Arial"/>
                <w:b/>
                <w:bCs/>
                <w:sz w:val="16"/>
                <w:szCs w:val="16"/>
              </w:rPr>
              <w:t>23 ½ day CE</w:t>
            </w:r>
          </w:p>
        </w:tc>
        <w:tc>
          <w:tcPr>
            <w:tcW w:w="1417" w:type="dxa"/>
            <w:tcBorders>
              <w:top w:val="single" w:sz="18" w:space="0" w:color="C0C0C0"/>
              <w:left w:val="single" w:sz="18" w:space="0" w:color="BFBFBF"/>
              <w:bottom w:val="nil"/>
              <w:right w:val="single" w:sz="18" w:space="0" w:color="C0C0C0"/>
            </w:tcBorders>
            <w:shd w:val="clear" w:color="auto" w:fill="FFFF00"/>
            <w:vAlign w:val="center"/>
          </w:tcPr>
          <w:p w14:paraId="2BEECBCA" w14:textId="7B3B16BA" w:rsidR="003D645A" w:rsidRPr="00840FC8" w:rsidRDefault="00840FC8" w:rsidP="00773C10">
            <w:pPr>
              <w:jc w:val="center"/>
              <w:rPr>
                <w:rFonts w:ascii="Arial Narrow" w:hAnsi="Arial Narrow" w:cs="Arial"/>
                <w:b/>
                <w:bCs/>
                <w:sz w:val="16"/>
                <w:szCs w:val="16"/>
              </w:rPr>
            </w:pPr>
            <w:r w:rsidRPr="00840FC8">
              <w:rPr>
                <w:rFonts w:ascii="Arial Narrow" w:hAnsi="Arial Narrow" w:cs="Arial"/>
                <w:b/>
                <w:bCs/>
                <w:sz w:val="16"/>
                <w:szCs w:val="16"/>
              </w:rPr>
              <w:t>24 CE</w:t>
            </w: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030CE006" w14:textId="2D4CBDA8" w:rsidR="003D645A" w:rsidRPr="000A0210" w:rsidRDefault="003D645A" w:rsidP="00773C10">
            <w:pPr>
              <w:jc w:val="center"/>
              <w:rPr>
                <w:rFonts w:ascii="Arial Narrow" w:hAnsi="Arial Narrow" w:cs="Arial"/>
                <w:sz w:val="16"/>
                <w:szCs w:val="16"/>
              </w:rPr>
            </w:pPr>
            <w:r w:rsidRPr="004D1666">
              <w:rPr>
                <w:rFonts w:ascii="Arial Narrow" w:hAnsi="Arial Narrow" w:cs="Arial"/>
                <w:b/>
                <w:bCs/>
                <w:sz w:val="15"/>
                <w:szCs w:val="15"/>
              </w:rPr>
              <w:t>Public Holiday</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3D645A" w:rsidRPr="004D1666" w:rsidRDefault="003D645A" w:rsidP="00773C1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7B200A01" w14:textId="4E3BA9E9" w:rsidR="003D645A" w:rsidRPr="000A0210" w:rsidRDefault="003D645A" w:rsidP="00773C10">
            <w:pPr>
              <w:jc w:val="center"/>
              <w:rPr>
                <w:rFonts w:ascii="Arial Narrow" w:hAnsi="Arial Narrow" w:cs="Arial"/>
                <w:sz w:val="16"/>
                <w:szCs w:val="16"/>
              </w:rPr>
            </w:pPr>
            <w:r w:rsidRPr="000A0210">
              <w:rPr>
                <w:rFonts w:ascii="Arial Narrow" w:hAnsi="Arial Narrow" w:cs="Arial"/>
                <w:b/>
                <w:bCs/>
                <w:sz w:val="16"/>
                <w:szCs w:val="16"/>
              </w:rPr>
              <w:t>25 Anzac Day Public Holiday</w:t>
            </w:r>
          </w:p>
        </w:tc>
      </w:tr>
      <w:tr w:rsidR="003D645A" w:rsidRPr="00BC2C5D" w14:paraId="37DBCA00" w14:textId="77777777" w:rsidTr="00840FC8">
        <w:trPr>
          <w:trHeight w:val="285"/>
        </w:trPr>
        <w:tc>
          <w:tcPr>
            <w:tcW w:w="1134"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1F42DA00" w14:textId="77777777" w:rsidR="003D645A" w:rsidRDefault="003D645A" w:rsidP="00773C10">
            <w:pPr>
              <w:jc w:val="center"/>
              <w:rPr>
                <w:rFonts w:ascii="Arial Narrow" w:hAnsi="Arial Narrow" w:cs="Arial"/>
                <w:sz w:val="16"/>
                <w:szCs w:val="16"/>
              </w:rPr>
            </w:pPr>
          </w:p>
        </w:tc>
        <w:tc>
          <w:tcPr>
            <w:tcW w:w="1134"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62B2010C" w14:textId="08F03207" w:rsidR="003D645A" w:rsidRPr="00840FC8" w:rsidRDefault="00840FC8" w:rsidP="00773C10">
            <w:pPr>
              <w:jc w:val="center"/>
              <w:rPr>
                <w:rFonts w:ascii="Arial Narrow" w:hAnsi="Arial Narrow" w:cs="Arial"/>
                <w:b/>
                <w:bCs/>
                <w:color w:val="FFFFFF" w:themeColor="background1"/>
                <w:sz w:val="16"/>
                <w:szCs w:val="16"/>
              </w:rPr>
            </w:pPr>
            <w:r w:rsidRPr="00840FC8">
              <w:rPr>
                <w:rFonts w:ascii="Arial Narrow" w:hAnsi="Arial Narrow" w:cs="Arial"/>
                <w:b/>
                <w:bCs/>
                <w:color w:val="FFFFFF" w:themeColor="background1"/>
                <w:sz w:val="16"/>
                <w:szCs w:val="16"/>
              </w:rPr>
              <w:t>22 CE</w:t>
            </w:r>
          </w:p>
        </w:tc>
        <w:tc>
          <w:tcPr>
            <w:tcW w:w="1418" w:type="dxa"/>
            <w:tcBorders>
              <w:top w:val="nil"/>
              <w:left w:val="single" w:sz="18" w:space="0" w:color="C0C0C0"/>
              <w:bottom w:val="single" w:sz="18" w:space="0" w:color="BFBFBF" w:themeColor="background1" w:themeShade="BF"/>
              <w:right w:val="single" w:sz="18" w:space="0" w:color="BFBFBF"/>
            </w:tcBorders>
            <w:shd w:val="clear" w:color="auto" w:fill="auto"/>
            <w:vAlign w:val="center"/>
          </w:tcPr>
          <w:p w14:paraId="61DF1B66" w14:textId="77777777" w:rsidR="003D645A" w:rsidRPr="000A0210" w:rsidRDefault="003D645A" w:rsidP="00773C10">
            <w:pPr>
              <w:jc w:val="center"/>
              <w:rPr>
                <w:rFonts w:ascii="Arial Narrow" w:hAnsi="Arial Narrow" w:cs="Arial"/>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A972A9"/>
            <w:vAlign w:val="center"/>
          </w:tcPr>
          <w:p w14:paraId="472B036D" w14:textId="6AE2A16F" w:rsidR="003D645A" w:rsidRPr="00840FC8" w:rsidRDefault="00840FC8" w:rsidP="00773C10">
            <w:pPr>
              <w:jc w:val="center"/>
              <w:rPr>
                <w:rFonts w:ascii="Arial Narrow" w:hAnsi="Arial Narrow" w:cs="Arial"/>
                <w:b/>
                <w:bCs/>
                <w:color w:val="FFFFFF" w:themeColor="background1"/>
                <w:sz w:val="16"/>
                <w:szCs w:val="16"/>
              </w:rPr>
            </w:pPr>
            <w:r w:rsidRPr="00840FC8">
              <w:rPr>
                <w:rFonts w:ascii="Arial Narrow" w:hAnsi="Arial Narrow" w:cs="Arial"/>
                <w:b/>
                <w:bCs/>
                <w:color w:val="FFFFFF" w:themeColor="background1"/>
                <w:sz w:val="16"/>
                <w:szCs w:val="16"/>
              </w:rPr>
              <w:t>24 CE</w:t>
            </w:r>
          </w:p>
        </w:tc>
        <w:tc>
          <w:tcPr>
            <w:tcW w:w="1276"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582F519A" w14:textId="77777777" w:rsidR="003D645A" w:rsidRPr="004D1666" w:rsidRDefault="003D645A" w:rsidP="00773C10">
            <w:pPr>
              <w:jc w:val="center"/>
              <w:rPr>
                <w:rFonts w:ascii="Arial Narrow" w:hAnsi="Arial Narrow" w:cs="Arial"/>
                <w:b/>
                <w:bCs/>
                <w:sz w:val="15"/>
                <w:szCs w:val="15"/>
              </w:rPr>
            </w:pPr>
          </w:p>
        </w:tc>
        <w:tc>
          <w:tcPr>
            <w:tcW w:w="1234"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2A5A5517" w14:textId="77777777" w:rsidR="003D645A" w:rsidRPr="004D1666" w:rsidRDefault="003D645A" w:rsidP="00773C10">
            <w:pPr>
              <w:jc w:val="center"/>
              <w:rPr>
                <w:rFonts w:ascii="Arial Narrow" w:hAnsi="Arial Narrow" w:cs="Arial"/>
                <w:sz w:val="15"/>
                <w:szCs w:val="15"/>
              </w:rPr>
            </w:pPr>
          </w:p>
        </w:tc>
        <w:tc>
          <w:tcPr>
            <w:tcW w:w="3245" w:type="dxa"/>
            <w:vMerge/>
            <w:tcBorders>
              <w:left w:val="single" w:sz="18" w:space="0" w:color="auto"/>
              <w:bottom w:val="single" w:sz="18" w:space="0" w:color="BFBFBF" w:themeColor="background1" w:themeShade="BF"/>
              <w:right w:val="single" w:sz="18" w:space="0" w:color="auto"/>
            </w:tcBorders>
            <w:shd w:val="clear" w:color="auto" w:fill="auto"/>
            <w:vAlign w:val="center"/>
          </w:tcPr>
          <w:p w14:paraId="667F2C85" w14:textId="77777777" w:rsidR="003D645A" w:rsidRPr="000A0210" w:rsidRDefault="003D645A" w:rsidP="00773C10">
            <w:pPr>
              <w:jc w:val="center"/>
              <w:rPr>
                <w:rFonts w:ascii="Arial Narrow" w:hAnsi="Arial Narrow" w:cs="Arial"/>
                <w:b/>
                <w:bCs/>
                <w:sz w:val="16"/>
                <w:szCs w:val="16"/>
              </w:rPr>
            </w:pPr>
          </w:p>
        </w:tc>
      </w:tr>
    </w:tbl>
    <w:p w14:paraId="1D6FEBA2" w14:textId="77777777" w:rsidR="00FA7DA0" w:rsidRDefault="00FA7DA0"/>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11"/>
        <w:gridCol w:w="1134"/>
        <w:gridCol w:w="1418"/>
        <w:gridCol w:w="1417"/>
        <w:gridCol w:w="1276"/>
        <w:gridCol w:w="1276"/>
        <w:gridCol w:w="3226"/>
      </w:tblGrid>
      <w:tr w:rsidR="00C5507C" w:rsidRPr="00BC2C5D" w14:paraId="57F3478D" w14:textId="77777777" w:rsidTr="00247AC2">
        <w:trPr>
          <w:trHeight w:val="567"/>
        </w:trPr>
        <w:tc>
          <w:tcPr>
            <w:tcW w:w="1111"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76"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226"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FA7DA0" w:rsidRPr="00BC2C5D" w14:paraId="7138D829" w14:textId="77777777" w:rsidTr="00942274">
        <w:trPr>
          <w:trHeight w:val="144"/>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5D6A3F4D" w14:textId="09FB9522" w:rsidR="00FA7DA0" w:rsidRDefault="00FA7DA0" w:rsidP="00FA7DA0">
            <w:pPr>
              <w:jc w:val="center"/>
              <w:rPr>
                <w:rFonts w:ascii="Arial Narrow" w:hAnsi="Arial Narrow" w:cs="Arial"/>
                <w:sz w:val="16"/>
                <w:szCs w:val="16"/>
              </w:rPr>
            </w:pPr>
            <w:r>
              <w:rPr>
                <w:rFonts w:ascii="Arial Narrow" w:hAnsi="Arial Narrow" w:cs="Arial"/>
                <w:sz w:val="16"/>
                <w:szCs w:val="16"/>
              </w:rPr>
              <w:t>29 April</w:t>
            </w:r>
          </w:p>
        </w:tc>
        <w:tc>
          <w:tcPr>
            <w:tcW w:w="1134" w:type="dxa"/>
            <w:tcBorders>
              <w:top w:val="single" w:sz="18" w:space="0" w:color="C0C0C0"/>
              <w:left w:val="single" w:sz="18" w:space="0" w:color="C0C0C0"/>
              <w:bottom w:val="nil"/>
              <w:right w:val="single" w:sz="18" w:space="0" w:color="C0C0C0"/>
            </w:tcBorders>
            <w:shd w:val="clear" w:color="auto" w:fill="FF0000"/>
            <w:vAlign w:val="center"/>
          </w:tcPr>
          <w:p w14:paraId="500B5379" w14:textId="057B584D" w:rsidR="00FA7DA0" w:rsidRPr="00FA7DA0" w:rsidRDefault="00FA7DA0" w:rsidP="00FA7DA0">
            <w:pPr>
              <w:jc w:val="center"/>
              <w:rPr>
                <w:rFonts w:ascii="Arial Narrow" w:hAnsi="Arial Narrow" w:cs="Arial"/>
                <w:b/>
                <w:bCs/>
                <w:color w:val="FFFFFF" w:themeColor="background1"/>
                <w:sz w:val="15"/>
                <w:szCs w:val="15"/>
              </w:rPr>
            </w:pPr>
            <w:r w:rsidRPr="00FA7DA0">
              <w:rPr>
                <w:rFonts w:ascii="Arial Narrow" w:hAnsi="Arial Narrow" w:cs="Arial"/>
                <w:b/>
                <w:bCs/>
                <w:color w:val="FFFFFF" w:themeColor="background1"/>
                <w:sz w:val="16"/>
                <w:szCs w:val="16"/>
              </w:rPr>
              <w:t>29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5D8E3560" w14:textId="67F743E8"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30 CE</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33A29DB6" w14:textId="13F5157E"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1 CE</w:t>
            </w:r>
          </w:p>
        </w:tc>
        <w:tc>
          <w:tcPr>
            <w:tcW w:w="1276" w:type="dxa"/>
            <w:tcBorders>
              <w:top w:val="single" w:sz="18" w:space="0" w:color="C0C0C0"/>
              <w:left w:val="single" w:sz="18" w:space="0" w:color="C0C0C0"/>
              <w:bottom w:val="nil"/>
              <w:right w:val="single" w:sz="18" w:space="0" w:color="C0C0C0"/>
            </w:tcBorders>
            <w:shd w:val="clear" w:color="auto" w:fill="auto"/>
            <w:vAlign w:val="center"/>
          </w:tcPr>
          <w:p w14:paraId="00890FEF" w14:textId="0BA5EEE0" w:rsidR="00FA7DA0" w:rsidRPr="00D95C79" w:rsidRDefault="00FA7DA0" w:rsidP="00FA7DA0">
            <w:pPr>
              <w:jc w:val="center"/>
              <w:rPr>
                <w:rFonts w:ascii="Arial Narrow" w:hAnsi="Arial Narrow" w:cs="Arial"/>
                <w:sz w:val="16"/>
                <w:szCs w:val="16"/>
              </w:rPr>
            </w:pP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2534FBDF" w14:textId="77777777" w:rsidR="00FA7DA0" w:rsidRPr="009416EA" w:rsidRDefault="00FA7DA0" w:rsidP="00FA7DA0">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2A99A4E0" w14:textId="77777777" w:rsidR="00FA7DA0" w:rsidRPr="0055773B" w:rsidRDefault="0055773B" w:rsidP="00FA7DA0">
            <w:pPr>
              <w:jc w:val="center"/>
              <w:rPr>
                <w:rFonts w:ascii="Arial Narrow" w:hAnsi="Arial Narrow"/>
                <w:color w:val="31849B"/>
                <w:sz w:val="16"/>
                <w:szCs w:val="16"/>
              </w:rPr>
            </w:pPr>
            <w:r w:rsidRPr="0055773B">
              <w:rPr>
                <w:rFonts w:ascii="Arial Narrow" w:hAnsi="Arial Narrow"/>
                <w:color w:val="31849B"/>
                <w:sz w:val="16"/>
                <w:szCs w:val="16"/>
              </w:rPr>
              <w:t>Cooktown Circuit</w:t>
            </w:r>
          </w:p>
          <w:p w14:paraId="7CAF6EC1" w14:textId="00195EE7" w:rsidR="0055773B" w:rsidRPr="000A0210" w:rsidRDefault="0055773B" w:rsidP="00FA7DA0">
            <w:pPr>
              <w:jc w:val="center"/>
              <w:rPr>
                <w:rFonts w:ascii="Arial Narrow" w:hAnsi="Arial Narrow" w:cs="Arial"/>
                <w:b/>
                <w:bCs/>
                <w:sz w:val="16"/>
                <w:szCs w:val="16"/>
              </w:rPr>
            </w:pPr>
            <w:r w:rsidRPr="0055773B">
              <w:rPr>
                <w:rFonts w:ascii="Arial Narrow" w:hAnsi="Arial Narrow"/>
                <w:color w:val="31849B"/>
                <w:sz w:val="16"/>
                <w:szCs w:val="16"/>
              </w:rPr>
              <w:t>Hope Vale Circuit</w:t>
            </w:r>
          </w:p>
        </w:tc>
      </w:tr>
      <w:tr w:rsidR="00FA7DA0" w:rsidRPr="00BC2C5D" w14:paraId="181BE22A" w14:textId="77777777" w:rsidTr="00942274">
        <w:trPr>
          <w:trHeight w:val="142"/>
        </w:trPr>
        <w:tc>
          <w:tcPr>
            <w:tcW w:w="1111" w:type="dxa"/>
            <w:vMerge/>
            <w:tcBorders>
              <w:left w:val="single" w:sz="18" w:space="0" w:color="auto"/>
              <w:right w:val="single" w:sz="18" w:space="0" w:color="C0C0C0"/>
            </w:tcBorders>
            <w:shd w:val="clear" w:color="auto" w:fill="auto"/>
            <w:vAlign w:val="center"/>
          </w:tcPr>
          <w:p w14:paraId="200869DF" w14:textId="77777777" w:rsidR="00FA7DA0" w:rsidRDefault="00FA7DA0" w:rsidP="00FA7DA0">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7DD250BF" w14:textId="1DC46B69" w:rsidR="00FA7DA0" w:rsidRPr="00FA7DA0" w:rsidRDefault="00FA7DA0" w:rsidP="00FA7DA0">
            <w:pPr>
              <w:jc w:val="center"/>
              <w:rPr>
                <w:rFonts w:ascii="Arial Narrow" w:hAnsi="Arial Narrow" w:cs="Arial"/>
                <w:b/>
                <w:bCs/>
                <w:color w:val="FFFFFF" w:themeColor="background1"/>
                <w:sz w:val="15"/>
                <w:szCs w:val="15"/>
              </w:rPr>
            </w:pPr>
            <w:r w:rsidRPr="00FA7DA0">
              <w:rPr>
                <w:rFonts w:ascii="Arial Narrow" w:hAnsi="Arial Narrow" w:cs="Arial"/>
                <w:b/>
                <w:bCs/>
                <w:color w:val="FFFFFF" w:themeColor="background1"/>
                <w:sz w:val="16"/>
                <w:szCs w:val="16"/>
              </w:rPr>
              <w:t>29 CE</w:t>
            </w:r>
          </w:p>
        </w:tc>
        <w:tc>
          <w:tcPr>
            <w:tcW w:w="1418" w:type="dxa"/>
            <w:tcBorders>
              <w:top w:val="nil"/>
              <w:left w:val="single" w:sz="18" w:space="0" w:color="C0C0C0"/>
              <w:bottom w:val="nil"/>
              <w:right w:val="single" w:sz="18" w:space="0" w:color="BFBFBF"/>
            </w:tcBorders>
            <w:shd w:val="clear" w:color="auto" w:fill="A972A9"/>
            <w:vAlign w:val="center"/>
          </w:tcPr>
          <w:p w14:paraId="0870AD32" w14:textId="13595BE3"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30 CE</w:t>
            </w:r>
          </w:p>
        </w:tc>
        <w:tc>
          <w:tcPr>
            <w:tcW w:w="1417" w:type="dxa"/>
            <w:tcBorders>
              <w:top w:val="nil"/>
              <w:left w:val="single" w:sz="18" w:space="0" w:color="BFBFBF"/>
              <w:bottom w:val="nil"/>
              <w:right w:val="single" w:sz="18" w:space="0" w:color="C0C0C0"/>
            </w:tcBorders>
            <w:shd w:val="clear" w:color="auto" w:fill="A972A9"/>
            <w:vAlign w:val="center"/>
          </w:tcPr>
          <w:p w14:paraId="65B109BD" w14:textId="6626C48A"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1 Conf</w:t>
            </w:r>
          </w:p>
        </w:tc>
        <w:tc>
          <w:tcPr>
            <w:tcW w:w="1276" w:type="dxa"/>
            <w:tcBorders>
              <w:top w:val="nil"/>
              <w:left w:val="single" w:sz="18" w:space="0" w:color="C0C0C0"/>
              <w:bottom w:val="nil"/>
              <w:right w:val="single" w:sz="18" w:space="0" w:color="C0C0C0"/>
            </w:tcBorders>
            <w:shd w:val="clear" w:color="auto" w:fill="A972A9"/>
            <w:vAlign w:val="center"/>
          </w:tcPr>
          <w:p w14:paraId="1349E78B" w14:textId="77777777" w:rsid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 xml:space="preserve">2 </w:t>
            </w:r>
            <w:r w:rsidR="00D95C79">
              <w:rPr>
                <w:rFonts w:ascii="Arial Narrow" w:hAnsi="Arial Narrow" w:cs="Arial"/>
                <w:b/>
                <w:bCs/>
                <w:color w:val="FFFFFF" w:themeColor="background1"/>
                <w:sz w:val="16"/>
                <w:szCs w:val="16"/>
              </w:rPr>
              <w:t xml:space="preserve">½ day </w:t>
            </w:r>
            <w:r w:rsidRPr="00FA7DA0">
              <w:rPr>
                <w:rFonts w:ascii="Arial Narrow" w:hAnsi="Arial Narrow" w:cs="Arial"/>
                <w:b/>
                <w:bCs/>
                <w:color w:val="FFFFFF" w:themeColor="background1"/>
                <w:sz w:val="16"/>
                <w:szCs w:val="16"/>
              </w:rPr>
              <w:t>Conf</w:t>
            </w:r>
          </w:p>
          <w:p w14:paraId="53CF88CD" w14:textId="0BB84EC9" w:rsidR="00D95C79" w:rsidRPr="00FA7DA0" w:rsidRDefault="00D95C79" w:rsidP="00FA7DA0">
            <w:pPr>
              <w:jc w:val="center"/>
              <w:rPr>
                <w:rFonts w:ascii="Arial Narrow" w:hAnsi="Arial Narrow" w:cs="Arial"/>
                <w:color w:val="FFFFFF" w:themeColor="background1"/>
                <w:sz w:val="16"/>
                <w:szCs w:val="16"/>
              </w:rPr>
            </w:pPr>
            <w:r>
              <w:rPr>
                <w:rFonts w:ascii="Arial Narrow" w:hAnsi="Arial Narrow" w:cs="Arial"/>
                <w:b/>
                <w:bCs/>
                <w:color w:val="FFFFFF" w:themeColor="background1"/>
                <w:sz w:val="16"/>
                <w:szCs w:val="16"/>
              </w:rPr>
              <w:t>2 ½ day CE</w:t>
            </w:r>
          </w:p>
        </w:tc>
        <w:tc>
          <w:tcPr>
            <w:tcW w:w="1276" w:type="dxa"/>
            <w:vMerge/>
            <w:tcBorders>
              <w:left w:val="single" w:sz="18" w:space="0" w:color="C0C0C0"/>
              <w:right w:val="single" w:sz="18" w:space="0" w:color="auto"/>
            </w:tcBorders>
            <w:shd w:val="clear" w:color="auto" w:fill="auto"/>
            <w:vAlign w:val="center"/>
          </w:tcPr>
          <w:p w14:paraId="5BC004F3" w14:textId="77777777" w:rsidR="00FA7DA0" w:rsidRPr="009416EA" w:rsidRDefault="00FA7DA0" w:rsidP="00FA7DA0">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708ACE5E" w14:textId="77777777" w:rsidR="00FA7DA0" w:rsidRPr="000A0210" w:rsidRDefault="00FA7DA0" w:rsidP="00FA7DA0">
            <w:pPr>
              <w:jc w:val="center"/>
              <w:rPr>
                <w:rFonts w:ascii="Arial Narrow" w:hAnsi="Arial Narrow" w:cs="Arial"/>
                <w:b/>
                <w:bCs/>
                <w:sz w:val="16"/>
                <w:szCs w:val="16"/>
              </w:rPr>
            </w:pPr>
          </w:p>
        </w:tc>
      </w:tr>
      <w:tr w:rsidR="00FA7DA0" w:rsidRPr="00BC2C5D" w14:paraId="0826A8E8" w14:textId="77777777" w:rsidTr="00FA7DA0">
        <w:trPr>
          <w:trHeight w:val="142"/>
        </w:trPr>
        <w:tc>
          <w:tcPr>
            <w:tcW w:w="1111" w:type="dxa"/>
            <w:vMerge/>
            <w:tcBorders>
              <w:left w:val="single" w:sz="18" w:space="0" w:color="auto"/>
              <w:right w:val="single" w:sz="18" w:space="0" w:color="C0C0C0"/>
            </w:tcBorders>
            <w:shd w:val="clear" w:color="auto" w:fill="auto"/>
            <w:vAlign w:val="center"/>
          </w:tcPr>
          <w:p w14:paraId="00C01C09" w14:textId="77777777" w:rsidR="00FA7DA0" w:rsidRDefault="00FA7DA0" w:rsidP="00FA7DA0">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uto"/>
            <w:vAlign w:val="center"/>
          </w:tcPr>
          <w:p w14:paraId="65003047" w14:textId="77777777" w:rsidR="00FA7DA0" w:rsidRPr="00FA7DA0" w:rsidRDefault="00FA7DA0" w:rsidP="00FA7DA0">
            <w:pPr>
              <w:jc w:val="center"/>
              <w:rPr>
                <w:rFonts w:ascii="Arial Narrow" w:hAnsi="Arial Narrow" w:cs="Arial"/>
                <w:sz w:val="15"/>
                <w:szCs w:val="15"/>
              </w:rPr>
            </w:pPr>
          </w:p>
        </w:tc>
        <w:tc>
          <w:tcPr>
            <w:tcW w:w="1418" w:type="dxa"/>
            <w:tcBorders>
              <w:top w:val="nil"/>
              <w:left w:val="single" w:sz="18" w:space="0" w:color="C0C0C0"/>
              <w:bottom w:val="nil"/>
              <w:right w:val="single" w:sz="18" w:space="0" w:color="BFBFBF"/>
            </w:tcBorders>
            <w:shd w:val="clear" w:color="auto" w:fill="769250"/>
            <w:vAlign w:val="center"/>
          </w:tcPr>
          <w:p w14:paraId="5348F7AC" w14:textId="153B33B4"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30 ½ day CE</w:t>
            </w:r>
          </w:p>
        </w:tc>
        <w:tc>
          <w:tcPr>
            <w:tcW w:w="1417" w:type="dxa"/>
            <w:tcBorders>
              <w:top w:val="nil"/>
              <w:left w:val="single" w:sz="18" w:space="0" w:color="BFBFBF"/>
              <w:bottom w:val="nil"/>
              <w:right w:val="single" w:sz="18" w:space="0" w:color="C0C0C0"/>
            </w:tcBorders>
            <w:shd w:val="clear" w:color="auto" w:fill="769250"/>
            <w:vAlign w:val="center"/>
          </w:tcPr>
          <w:p w14:paraId="31526BA9" w14:textId="1B3B4015"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1 Conf</w:t>
            </w:r>
          </w:p>
        </w:tc>
        <w:tc>
          <w:tcPr>
            <w:tcW w:w="1276" w:type="dxa"/>
            <w:tcBorders>
              <w:top w:val="nil"/>
              <w:left w:val="single" w:sz="18" w:space="0" w:color="C0C0C0"/>
              <w:bottom w:val="nil"/>
              <w:right w:val="single" w:sz="18" w:space="0" w:color="C0C0C0"/>
            </w:tcBorders>
            <w:shd w:val="clear" w:color="auto" w:fill="769250"/>
            <w:vAlign w:val="center"/>
          </w:tcPr>
          <w:p w14:paraId="41F8F4A2" w14:textId="4B16283D" w:rsidR="00FA7DA0" w:rsidRPr="00FA7DA0" w:rsidRDefault="00FA7DA0" w:rsidP="00FA7DA0">
            <w:pPr>
              <w:jc w:val="center"/>
              <w:rPr>
                <w:rFonts w:ascii="Arial Narrow" w:hAnsi="Arial Narrow" w:cs="Arial"/>
                <w:color w:val="FFFFFF" w:themeColor="background1"/>
                <w:sz w:val="16"/>
                <w:szCs w:val="16"/>
              </w:rPr>
            </w:pPr>
            <w:r w:rsidRPr="00FA7DA0">
              <w:rPr>
                <w:rFonts w:ascii="Arial Narrow" w:hAnsi="Arial Narrow" w:cs="Arial"/>
                <w:b/>
                <w:bCs/>
                <w:color w:val="FFFFFF" w:themeColor="background1"/>
                <w:sz w:val="16"/>
                <w:szCs w:val="16"/>
              </w:rPr>
              <w:t>2 ½ day CE</w:t>
            </w:r>
          </w:p>
        </w:tc>
        <w:tc>
          <w:tcPr>
            <w:tcW w:w="1276" w:type="dxa"/>
            <w:vMerge/>
            <w:tcBorders>
              <w:left w:val="single" w:sz="18" w:space="0" w:color="C0C0C0"/>
              <w:right w:val="single" w:sz="18" w:space="0" w:color="auto"/>
            </w:tcBorders>
            <w:shd w:val="clear" w:color="auto" w:fill="auto"/>
            <w:vAlign w:val="center"/>
          </w:tcPr>
          <w:p w14:paraId="06CDB436" w14:textId="77777777" w:rsidR="00FA7DA0" w:rsidRPr="009416EA" w:rsidRDefault="00FA7DA0" w:rsidP="00FA7DA0">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1C87286D" w14:textId="77777777" w:rsidR="00FA7DA0" w:rsidRPr="000A0210" w:rsidRDefault="00FA7DA0" w:rsidP="00FA7DA0">
            <w:pPr>
              <w:jc w:val="center"/>
              <w:rPr>
                <w:rFonts w:ascii="Arial Narrow" w:hAnsi="Arial Narrow" w:cs="Arial"/>
                <w:b/>
                <w:bCs/>
                <w:sz w:val="16"/>
                <w:szCs w:val="16"/>
              </w:rPr>
            </w:pPr>
          </w:p>
        </w:tc>
      </w:tr>
      <w:tr w:rsidR="00FA7DA0" w:rsidRPr="00BC2C5D" w14:paraId="18B47D16" w14:textId="77777777" w:rsidTr="00D95C79">
        <w:trPr>
          <w:trHeight w:val="142"/>
        </w:trPr>
        <w:tc>
          <w:tcPr>
            <w:tcW w:w="1111" w:type="dxa"/>
            <w:vMerge/>
            <w:tcBorders>
              <w:left w:val="single" w:sz="18" w:space="0" w:color="auto"/>
              <w:right w:val="single" w:sz="18" w:space="0" w:color="C0C0C0"/>
            </w:tcBorders>
            <w:shd w:val="clear" w:color="auto" w:fill="auto"/>
            <w:vAlign w:val="center"/>
          </w:tcPr>
          <w:p w14:paraId="4E2A6E73" w14:textId="77777777" w:rsidR="00FA7DA0" w:rsidRDefault="00FA7DA0" w:rsidP="00E40E6A">
            <w:pPr>
              <w:jc w:val="center"/>
              <w:rPr>
                <w:rFonts w:ascii="Arial Narrow" w:hAnsi="Arial Narrow" w:cs="Arial"/>
                <w:sz w:val="16"/>
                <w:szCs w:val="16"/>
              </w:rPr>
            </w:pPr>
          </w:p>
        </w:tc>
        <w:tc>
          <w:tcPr>
            <w:tcW w:w="1134" w:type="dxa"/>
            <w:tcBorders>
              <w:top w:val="nil"/>
              <w:left w:val="single" w:sz="18" w:space="0" w:color="C0C0C0"/>
              <w:bottom w:val="single" w:sz="18" w:space="0" w:color="C0C0C0"/>
              <w:right w:val="single" w:sz="18" w:space="0" w:color="C0C0C0"/>
            </w:tcBorders>
            <w:shd w:val="clear" w:color="auto" w:fill="FFFF00"/>
            <w:vAlign w:val="center"/>
          </w:tcPr>
          <w:p w14:paraId="4CDC0506" w14:textId="1A7A2997" w:rsidR="00FA7DA0" w:rsidRPr="00D95C79" w:rsidRDefault="00D95C79" w:rsidP="00E40E6A">
            <w:pPr>
              <w:jc w:val="center"/>
              <w:rPr>
                <w:rFonts w:ascii="Arial Narrow" w:hAnsi="Arial Narrow" w:cs="Arial"/>
                <w:b/>
                <w:bCs/>
                <w:sz w:val="16"/>
                <w:szCs w:val="16"/>
              </w:rPr>
            </w:pPr>
            <w:r w:rsidRPr="00D95C79">
              <w:rPr>
                <w:rFonts w:ascii="Arial Narrow" w:hAnsi="Arial Narrow" w:cs="Arial"/>
                <w:b/>
                <w:bCs/>
                <w:sz w:val="16"/>
                <w:szCs w:val="16"/>
              </w:rPr>
              <w:t>29 ½ day CE</w:t>
            </w:r>
          </w:p>
        </w:tc>
        <w:tc>
          <w:tcPr>
            <w:tcW w:w="1418" w:type="dxa"/>
            <w:tcBorders>
              <w:top w:val="nil"/>
              <w:left w:val="single" w:sz="18" w:space="0" w:color="C0C0C0"/>
              <w:bottom w:val="single" w:sz="18" w:space="0" w:color="C0C0C0"/>
              <w:right w:val="single" w:sz="18" w:space="0" w:color="BFBFBF"/>
            </w:tcBorders>
            <w:shd w:val="clear" w:color="auto" w:fill="FFFF00"/>
            <w:vAlign w:val="center"/>
          </w:tcPr>
          <w:p w14:paraId="2FB98974" w14:textId="5F90E627" w:rsidR="00FA7DA0" w:rsidRPr="00D95C79" w:rsidRDefault="00D95C79" w:rsidP="00E40E6A">
            <w:pPr>
              <w:jc w:val="center"/>
              <w:rPr>
                <w:rFonts w:ascii="Arial Narrow" w:hAnsi="Arial Narrow" w:cs="Arial"/>
                <w:b/>
                <w:bCs/>
                <w:sz w:val="16"/>
                <w:szCs w:val="16"/>
              </w:rPr>
            </w:pPr>
            <w:r w:rsidRPr="00D95C79">
              <w:rPr>
                <w:rFonts w:ascii="Arial Narrow" w:hAnsi="Arial Narrow" w:cs="Arial"/>
                <w:b/>
                <w:bCs/>
                <w:sz w:val="16"/>
                <w:szCs w:val="16"/>
              </w:rPr>
              <w:t>30 CE</w:t>
            </w:r>
          </w:p>
        </w:tc>
        <w:tc>
          <w:tcPr>
            <w:tcW w:w="1417" w:type="dxa"/>
            <w:tcBorders>
              <w:top w:val="nil"/>
              <w:left w:val="single" w:sz="18" w:space="0" w:color="BFBFBF"/>
              <w:bottom w:val="single" w:sz="18" w:space="0" w:color="C0C0C0"/>
              <w:right w:val="single" w:sz="18" w:space="0" w:color="C0C0C0"/>
            </w:tcBorders>
            <w:shd w:val="clear" w:color="auto" w:fill="20849B"/>
            <w:vAlign w:val="center"/>
          </w:tcPr>
          <w:p w14:paraId="7BDAEB8C" w14:textId="142B9ECE" w:rsidR="00FA7DA0" w:rsidRPr="00FA7DA0" w:rsidRDefault="00FA7DA0" w:rsidP="00E40E6A">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1 CE</w:t>
            </w:r>
          </w:p>
        </w:tc>
        <w:tc>
          <w:tcPr>
            <w:tcW w:w="1276" w:type="dxa"/>
            <w:tcBorders>
              <w:top w:val="nil"/>
              <w:left w:val="single" w:sz="18" w:space="0" w:color="C0C0C0"/>
              <w:bottom w:val="single" w:sz="18" w:space="0" w:color="C0C0C0"/>
              <w:right w:val="single" w:sz="18" w:space="0" w:color="C0C0C0"/>
            </w:tcBorders>
            <w:shd w:val="clear" w:color="auto" w:fill="auto"/>
            <w:vAlign w:val="center"/>
          </w:tcPr>
          <w:p w14:paraId="188B53D8" w14:textId="77777777" w:rsidR="00FA7DA0" w:rsidRPr="000A0210" w:rsidRDefault="00FA7DA0" w:rsidP="00E40E6A">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341C5438" w14:textId="77777777" w:rsidR="00FA7DA0" w:rsidRPr="009416EA" w:rsidRDefault="00FA7DA0" w:rsidP="00E40E6A">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3DD7BE83" w14:textId="77777777" w:rsidR="00FA7DA0" w:rsidRPr="000A0210" w:rsidRDefault="00FA7DA0" w:rsidP="00E40E6A">
            <w:pPr>
              <w:jc w:val="center"/>
              <w:rPr>
                <w:rFonts w:ascii="Arial Narrow" w:hAnsi="Arial Narrow" w:cs="Arial"/>
                <w:b/>
                <w:bCs/>
                <w:sz w:val="16"/>
                <w:szCs w:val="16"/>
              </w:rPr>
            </w:pPr>
          </w:p>
        </w:tc>
      </w:tr>
      <w:tr w:rsidR="00247AC2" w:rsidRPr="00BC2C5D" w14:paraId="0CE321A3" w14:textId="77777777" w:rsidTr="00F74BE3">
        <w:trPr>
          <w:trHeight w:val="567"/>
        </w:trPr>
        <w:tc>
          <w:tcPr>
            <w:tcW w:w="1111" w:type="dxa"/>
            <w:tcBorders>
              <w:top w:val="single" w:sz="18" w:space="0" w:color="C0C0C0"/>
              <w:left w:val="single" w:sz="18" w:space="0" w:color="auto"/>
              <w:right w:val="single" w:sz="18" w:space="0" w:color="C0C0C0"/>
            </w:tcBorders>
            <w:shd w:val="clear" w:color="auto" w:fill="auto"/>
            <w:vAlign w:val="center"/>
          </w:tcPr>
          <w:p w14:paraId="696DAD36" w14:textId="0A771AE1" w:rsidR="00E40E6A" w:rsidRPr="00390B39" w:rsidRDefault="00E40E6A" w:rsidP="00E40E6A">
            <w:pPr>
              <w:jc w:val="center"/>
              <w:rPr>
                <w:rFonts w:ascii="Arial Narrow" w:hAnsi="Arial Narrow" w:cs="Arial"/>
                <w:sz w:val="16"/>
                <w:szCs w:val="16"/>
              </w:rPr>
            </w:pPr>
            <w:r>
              <w:rPr>
                <w:rFonts w:ascii="Arial Narrow" w:hAnsi="Arial Narrow" w:cs="Arial"/>
                <w:sz w:val="16"/>
                <w:szCs w:val="16"/>
              </w:rPr>
              <w:t xml:space="preserve">6 </w:t>
            </w:r>
            <w:r w:rsidR="00D238C3">
              <w:rPr>
                <w:rFonts w:ascii="Arial Narrow" w:hAnsi="Arial Narrow" w:cs="Arial"/>
                <w:sz w:val="16"/>
                <w:szCs w:val="16"/>
              </w:rPr>
              <w:t>May</w:t>
            </w:r>
          </w:p>
        </w:tc>
        <w:tc>
          <w:tcPr>
            <w:tcW w:w="1134" w:type="dxa"/>
            <w:tcBorders>
              <w:top w:val="single" w:sz="18" w:space="0" w:color="C0C0C0"/>
              <w:left w:val="single" w:sz="18" w:space="0" w:color="C0C0C0"/>
              <w:right w:val="single" w:sz="18" w:space="0" w:color="C0C0C0"/>
            </w:tcBorders>
            <w:shd w:val="clear" w:color="auto" w:fill="auto"/>
            <w:vAlign w:val="center"/>
          </w:tcPr>
          <w:p w14:paraId="2F9AEB6D" w14:textId="4AE96723" w:rsidR="00E40E6A" w:rsidRPr="009416EA" w:rsidRDefault="000A0210" w:rsidP="00E40E6A">
            <w:pPr>
              <w:jc w:val="center"/>
              <w:rPr>
                <w:rFonts w:ascii="Arial Narrow" w:hAnsi="Arial Narrow" w:cs="Arial"/>
                <w:sz w:val="16"/>
                <w:szCs w:val="16"/>
              </w:rPr>
            </w:pPr>
            <w:r w:rsidRPr="004D1666">
              <w:rPr>
                <w:rFonts w:ascii="Arial Narrow" w:hAnsi="Arial Narrow" w:cs="Arial"/>
                <w:b/>
                <w:bCs/>
                <w:sz w:val="15"/>
                <w:szCs w:val="15"/>
              </w:rPr>
              <w:t>Public Holiday</w:t>
            </w:r>
          </w:p>
        </w:tc>
        <w:tc>
          <w:tcPr>
            <w:tcW w:w="1418" w:type="dxa"/>
            <w:tcBorders>
              <w:top w:val="single" w:sz="18" w:space="0" w:color="C0C0C0"/>
              <w:left w:val="single" w:sz="18" w:space="0" w:color="C0C0C0"/>
              <w:right w:val="single" w:sz="18" w:space="0" w:color="BFBFBF"/>
            </w:tcBorders>
            <w:shd w:val="clear" w:color="auto" w:fill="auto"/>
            <w:vAlign w:val="center"/>
          </w:tcPr>
          <w:p w14:paraId="65468345" w14:textId="468B7E83" w:rsidR="00E40E6A" w:rsidRPr="00F74BE3" w:rsidRDefault="00E40E6A" w:rsidP="00E40E6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FFFF00"/>
            <w:vAlign w:val="center"/>
          </w:tcPr>
          <w:p w14:paraId="5D26E3A1" w14:textId="579C83D5" w:rsidR="00E40E6A" w:rsidRPr="00074080" w:rsidRDefault="00074080" w:rsidP="00E40E6A">
            <w:pPr>
              <w:jc w:val="center"/>
              <w:rPr>
                <w:rFonts w:ascii="Arial Narrow" w:hAnsi="Arial Narrow" w:cs="Arial"/>
                <w:b/>
                <w:bCs/>
                <w:sz w:val="16"/>
                <w:szCs w:val="16"/>
              </w:rPr>
            </w:pPr>
            <w:r w:rsidRPr="00074080">
              <w:rPr>
                <w:rFonts w:ascii="Arial Narrow" w:hAnsi="Arial Narrow" w:cs="Arial"/>
                <w:b/>
                <w:bCs/>
                <w:sz w:val="16"/>
                <w:szCs w:val="16"/>
              </w:rPr>
              <w:t>8 CE</w:t>
            </w:r>
          </w:p>
        </w:tc>
        <w:tc>
          <w:tcPr>
            <w:tcW w:w="1276" w:type="dxa"/>
            <w:tcBorders>
              <w:top w:val="single" w:sz="18" w:space="0" w:color="C0C0C0"/>
              <w:left w:val="single" w:sz="18" w:space="0" w:color="C0C0C0"/>
              <w:right w:val="single" w:sz="18" w:space="0" w:color="C0C0C0"/>
            </w:tcBorders>
            <w:shd w:val="clear" w:color="auto" w:fill="FFFF00"/>
            <w:vAlign w:val="center"/>
          </w:tcPr>
          <w:p w14:paraId="37F7711A" w14:textId="14764D25" w:rsidR="00E40E6A" w:rsidRPr="00F74BE3" w:rsidRDefault="00F74BE3" w:rsidP="00E40E6A">
            <w:pPr>
              <w:jc w:val="center"/>
              <w:rPr>
                <w:rFonts w:ascii="Arial Narrow" w:hAnsi="Arial Narrow" w:cs="Arial"/>
                <w:b/>
                <w:bCs/>
                <w:sz w:val="16"/>
                <w:szCs w:val="16"/>
              </w:rPr>
            </w:pPr>
            <w:r w:rsidRPr="00F74BE3">
              <w:rPr>
                <w:rFonts w:ascii="Arial Narrow" w:hAnsi="Arial Narrow" w:cs="Arial"/>
                <w:b/>
                <w:bCs/>
                <w:sz w:val="16"/>
                <w:szCs w:val="16"/>
              </w:rPr>
              <w:t>9 CE</w:t>
            </w:r>
          </w:p>
        </w:tc>
        <w:tc>
          <w:tcPr>
            <w:tcW w:w="1276" w:type="dxa"/>
            <w:tcBorders>
              <w:top w:val="single" w:sz="18" w:space="0" w:color="C0C0C0"/>
              <w:left w:val="single" w:sz="18" w:space="0" w:color="C0C0C0"/>
              <w:right w:val="single" w:sz="18" w:space="0" w:color="auto"/>
            </w:tcBorders>
            <w:shd w:val="clear" w:color="auto" w:fill="auto"/>
            <w:vAlign w:val="center"/>
          </w:tcPr>
          <w:p w14:paraId="2ABAD594" w14:textId="77777777" w:rsidR="00E40E6A" w:rsidRPr="009416EA" w:rsidRDefault="00E40E6A" w:rsidP="00E40E6A">
            <w:pPr>
              <w:jc w:val="center"/>
              <w:rPr>
                <w:rFonts w:ascii="Arial Narrow" w:hAnsi="Arial Narrow" w:cs="Arial"/>
                <w:sz w:val="16"/>
                <w:szCs w:val="16"/>
              </w:rPr>
            </w:pPr>
          </w:p>
        </w:tc>
        <w:tc>
          <w:tcPr>
            <w:tcW w:w="3226" w:type="dxa"/>
            <w:tcBorders>
              <w:top w:val="single" w:sz="18" w:space="0" w:color="C0C0C0"/>
              <w:left w:val="single" w:sz="18" w:space="0" w:color="auto"/>
              <w:right w:val="single" w:sz="18" w:space="0" w:color="auto"/>
            </w:tcBorders>
            <w:shd w:val="clear" w:color="auto" w:fill="auto"/>
            <w:vAlign w:val="center"/>
          </w:tcPr>
          <w:p w14:paraId="5CA04E27" w14:textId="6D6F5741" w:rsidR="00E40E6A" w:rsidRPr="000A0210" w:rsidRDefault="00F279EF" w:rsidP="00E40E6A">
            <w:pPr>
              <w:jc w:val="center"/>
              <w:rPr>
                <w:rFonts w:ascii="Arial Narrow" w:hAnsi="Arial Narrow"/>
                <w:sz w:val="16"/>
                <w:szCs w:val="16"/>
              </w:rPr>
            </w:pPr>
            <w:r w:rsidRPr="000A0210">
              <w:rPr>
                <w:rFonts w:ascii="Arial Narrow" w:hAnsi="Arial Narrow" w:cs="Arial"/>
                <w:b/>
                <w:bCs/>
                <w:sz w:val="16"/>
                <w:szCs w:val="16"/>
              </w:rPr>
              <w:t>6 Labour Day Public Holiday</w:t>
            </w:r>
          </w:p>
        </w:tc>
      </w:tr>
      <w:tr w:rsidR="00F74BE3" w:rsidRPr="00BC2C5D" w14:paraId="3EA964B8" w14:textId="77777777" w:rsidTr="00074080">
        <w:trPr>
          <w:trHeight w:val="285"/>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0A6385D6" w14:textId="4C1FF591" w:rsidR="00F74BE3" w:rsidRPr="00390B39" w:rsidRDefault="00F74BE3" w:rsidP="00E40E6A">
            <w:pPr>
              <w:jc w:val="center"/>
              <w:rPr>
                <w:rFonts w:ascii="Arial Narrow" w:hAnsi="Arial Narrow" w:cs="Arial"/>
                <w:sz w:val="16"/>
                <w:szCs w:val="16"/>
              </w:rPr>
            </w:pPr>
            <w:r>
              <w:rPr>
                <w:rFonts w:ascii="Arial Narrow" w:hAnsi="Arial Narrow" w:cs="Arial"/>
                <w:sz w:val="16"/>
                <w:szCs w:val="16"/>
              </w:rPr>
              <w:t>13 May</w:t>
            </w:r>
          </w:p>
        </w:tc>
        <w:tc>
          <w:tcPr>
            <w:tcW w:w="1134" w:type="dxa"/>
            <w:tcBorders>
              <w:top w:val="single" w:sz="18" w:space="0" w:color="C0C0C0"/>
              <w:left w:val="single" w:sz="18" w:space="0" w:color="C0C0C0"/>
              <w:bottom w:val="nil"/>
              <w:right w:val="single" w:sz="18" w:space="0" w:color="C0C0C0"/>
            </w:tcBorders>
            <w:shd w:val="clear" w:color="auto" w:fill="FF0000"/>
            <w:vAlign w:val="center"/>
          </w:tcPr>
          <w:p w14:paraId="27120716" w14:textId="75E69293"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13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79A68E23" w14:textId="58E5EE13"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14 Conf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7623B6B6" w14:textId="77777777" w:rsidR="00F74BE3" w:rsidRDefault="00F74BE3" w:rsidP="00D10D24">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 xml:space="preserve">15 </w:t>
            </w:r>
            <w:r w:rsidR="006D04BD">
              <w:rPr>
                <w:rFonts w:ascii="Arial Narrow" w:hAnsi="Arial Narrow" w:cs="Arial"/>
                <w:b/>
                <w:bCs/>
                <w:color w:val="FFFFFF" w:themeColor="background1"/>
                <w:sz w:val="16"/>
                <w:szCs w:val="16"/>
              </w:rPr>
              <w:t xml:space="preserve">½ day </w:t>
            </w:r>
            <w:r w:rsidRPr="00074080">
              <w:rPr>
                <w:rFonts w:ascii="Arial Narrow" w:hAnsi="Arial Narrow" w:cs="Arial"/>
                <w:b/>
                <w:bCs/>
                <w:color w:val="FFFFFF" w:themeColor="background1"/>
                <w:sz w:val="16"/>
                <w:szCs w:val="16"/>
              </w:rPr>
              <w:t>Conf</w:t>
            </w:r>
          </w:p>
          <w:p w14:paraId="05A7C8EF" w14:textId="730B84CE" w:rsidR="006D04BD" w:rsidRPr="00074080" w:rsidRDefault="006D04BD" w:rsidP="00D10D2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15 ½ day CE</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10D421D0" w14:textId="29BF2E07"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16 CE</w:t>
            </w: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F74BE3" w:rsidRPr="009416EA" w:rsidRDefault="00F74BE3" w:rsidP="00E40E6A">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008526D6" w14:textId="77777777" w:rsidR="00F74BE3" w:rsidRPr="000A0210" w:rsidRDefault="00F74BE3" w:rsidP="00F279EF">
            <w:pPr>
              <w:jc w:val="center"/>
              <w:rPr>
                <w:rFonts w:ascii="Arial Narrow" w:hAnsi="Arial Narrow"/>
                <w:color w:val="31849B"/>
                <w:sz w:val="16"/>
                <w:szCs w:val="16"/>
              </w:rPr>
            </w:pPr>
            <w:r w:rsidRPr="000A0210">
              <w:rPr>
                <w:rFonts w:ascii="Arial Narrow" w:hAnsi="Arial Narrow"/>
                <w:color w:val="31849B"/>
                <w:sz w:val="16"/>
                <w:szCs w:val="16"/>
              </w:rPr>
              <w:t>Aurukun Cape B &amp; Coen Cape A Circuit</w:t>
            </w:r>
          </w:p>
          <w:p w14:paraId="711145A3" w14:textId="0F2F8F8D" w:rsidR="00F74BE3" w:rsidRPr="000A0210" w:rsidRDefault="00F74BE3" w:rsidP="00F279EF">
            <w:pPr>
              <w:jc w:val="center"/>
              <w:rPr>
                <w:rFonts w:ascii="Arial Narrow" w:hAnsi="Arial Narrow"/>
                <w:sz w:val="16"/>
                <w:szCs w:val="16"/>
              </w:rPr>
            </w:pPr>
            <w:r w:rsidRPr="000A0210">
              <w:rPr>
                <w:rFonts w:ascii="Arial Narrow" w:hAnsi="Arial Narrow"/>
                <w:color w:val="31849B"/>
                <w:sz w:val="16"/>
                <w:szCs w:val="16"/>
              </w:rPr>
              <w:t>Doomadgee Gulf Circuit</w:t>
            </w:r>
          </w:p>
        </w:tc>
      </w:tr>
      <w:tr w:rsidR="00F74BE3" w:rsidRPr="00BC2C5D" w14:paraId="40742DC8" w14:textId="77777777" w:rsidTr="0093327F">
        <w:trPr>
          <w:trHeight w:val="143"/>
        </w:trPr>
        <w:tc>
          <w:tcPr>
            <w:tcW w:w="1111" w:type="dxa"/>
            <w:vMerge/>
            <w:tcBorders>
              <w:left w:val="single" w:sz="18" w:space="0" w:color="auto"/>
              <w:right w:val="single" w:sz="18" w:space="0" w:color="C0C0C0"/>
            </w:tcBorders>
            <w:shd w:val="clear" w:color="auto" w:fill="auto"/>
            <w:vAlign w:val="center"/>
          </w:tcPr>
          <w:p w14:paraId="79F25BD5" w14:textId="77777777" w:rsidR="00F74BE3" w:rsidRDefault="00F74BE3" w:rsidP="00E40E6A">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61B9E826" w14:textId="77497CE5"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13 CE</w:t>
            </w:r>
          </w:p>
        </w:tc>
        <w:tc>
          <w:tcPr>
            <w:tcW w:w="1418" w:type="dxa"/>
            <w:tcBorders>
              <w:top w:val="nil"/>
              <w:left w:val="single" w:sz="18" w:space="0" w:color="C0C0C0"/>
              <w:bottom w:val="nil"/>
              <w:right w:val="single" w:sz="18" w:space="0" w:color="BFBFBF"/>
            </w:tcBorders>
            <w:shd w:val="clear" w:color="auto" w:fill="A972A9"/>
            <w:vAlign w:val="center"/>
          </w:tcPr>
          <w:p w14:paraId="340BD7B1" w14:textId="19A0B18A"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14 CE</w:t>
            </w:r>
          </w:p>
        </w:tc>
        <w:tc>
          <w:tcPr>
            <w:tcW w:w="1417" w:type="dxa"/>
            <w:tcBorders>
              <w:top w:val="nil"/>
              <w:left w:val="single" w:sz="18" w:space="0" w:color="BFBFBF"/>
              <w:bottom w:val="nil"/>
              <w:right w:val="single" w:sz="18" w:space="0" w:color="C0C0C0"/>
            </w:tcBorders>
            <w:shd w:val="clear" w:color="auto" w:fill="A972A9"/>
            <w:vAlign w:val="center"/>
          </w:tcPr>
          <w:p w14:paraId="455E6BA1" w14:textId="7290273D" w:rsidR="00F74BE3" w:rsidRPr="00074080" w:rsidRDefault="00F74BE3" w:rsidP="00D10D24">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15 Conf</w:t>
            </w:r>
          </w:p>
        </w:tc>
        <w:tc>
          <w:tcPr>
            <w:tcW w:w="1276" w:type="dxa"/>
            <w:tcBorders>
              <w:top w:val="nil"/>
              <w:left w:val="single" w:sz="18" w:space="0" w:color="C0C0C0"/>
              <w:bottom w:val="nil"/>
              <w:right w:val="single" w:sz="18" w:space="0" w:color="C0C0C0"/>
            </w:tcBorders>
            <w:shd w:val="clear" w:color="auto" w:fill="A972A9"/>
            <w:vAlign w:val="center"/>
          </w:tcPr>
          <w:p w14:paraId="5253E085" w14:textId="71816A95"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16 ½ day Conf</w:t>
            </w:r>
          </w:p>
        </w:tc>
        <w:tc>
          <w:tcPr>
            <w:tcW w:w="1276" w:type="dxa"/>
            <w:vMerge/>
            <w:tcBorders>
              <w:left w:val="single" w:sz="18" w:space="0" w:color="C0C0C0"/>
              <w:right w:val="single" w:sz="18" w:space="0" w:color="auto"/>
            </w:tcBorders>
            <w:shd w:val="clear" w:color="auto" w:fill="auto"/>
            <w:vAlign w:val="center"/>
          </w:tcPr>
          <w:p w14:paraId="76D930C5" w14:textId="77777777" w:rsidR="00F74BE3" w:rsidRPr="009416EA" w:rsidRDefault="00F74BE3" w:rsidP="00E40E6A">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0530E956" w14:textId="77777777" w:rsidR="00F74BE3" w:rsidRPr="000A0210" w:rsidRDefault="00F74BE3" w:rsidP="00F279EF">
            <w:pPr>
              <w:jc w:val="center"/>
              <w:rPr>
                <w:rFonts w:ascii="Arial Narrow" w:hAnsi="Arial Narrow"/>
                <w:color w:val="31849B"/>
                <w:sz w:val="16"/>
                <w:szCs w:val="16"/>
              </w:rPr>
            </w:pPr>
          </w:p>
        </w:tc>
      </w:tr>
      <w:tr w:rsidR="00F74BE3" w:rsidRPr="00BC2C5D" w14:paraId="02AAB302" w14:textId="77777777" w:rsidTr="0093327F">
        <w:trPr>
          <w:trHeight w:val="142"/>
        </w:trPr>
        <w:tc>
          <w:tcPr>
            <w:tcW w:w="1111" w:type="dxa"/>
            <w:vMerge/>
            <w:tcBorders>
              <w:left w:val="single" w:sz="18" w:space="0" w:color="auto"/>
              <w:right w:val="single" w:sz="18" w:space="0" w:color="C0C0C0"/>
            </w:tcBorders>
            <w:shd w:val="clear" w:color="auto" w:fill="auto"/>
            <w:vAlign w:val="center"/>
          </w:tcPr>
          <w:p w14:paraId="267DD2AB" w14:textId="77777777" w:rsidR="00F74BE3" w:rsidRDefault="00F74BE3" w:rsidP="00E40E6A">
            <w:pPr>
              <w:jc w:val="center"/>
              <w:rPr>
                <w:rFonts w:ascii="Arial Narrow" w:hAnsi="Arial Narrow" w:cs="Arial"/>
                <w:sz w:val="16"/>
                <w:szCs w:val="16"/>
              </w:rPr>
            </w:pPr>
          </w:p>
        </w:tc>
        <w:tc>
          <w:tcPr>
            <w:tcW w:w="1134" w:type="dxa"/>
            <w:tcBorders>
              <w:top w:val="nil"/>
              <w:left w:val="single" w:sz="18" w:space="0" w:color="C0C0C0"/>
              <w:bottom w:val="single" w:sz="18" w:space="0" w:color="C0C0C0"/>
              <w:right w:val="single" w:sz="18" w:space="0" w:color="C0C0C0"/>
            </w:tcBorders>
            <w:shd w:val="clear" w:color="auto" w:fill="769250"/>
            <w:vAlign w:val="center"/>
          </w:tcPr>
          <w:p w14:paraId="4407B054" w14:textId="228DCBD4" w:rsidR="00F74BE3" w:rsidRPr="00074080" w:rsidRDefault="00F74BE3" w:rsidP="00E40E6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13 CE</w:t>
            </w:r>
          </w:p>
        </w:tc>
        <w:tc>
          <w:tcPr>
            <w:tcW w:w="1418" w:type="dxa"/>
            <w:tcBorders>
              <w:top w:val="nil"/>
              <w:left w:val="single" w:sz="18" w:space="0" w:color="C0C0C0"/>
              <w:bottom w:val="single" w:sz="18" w:space="0" w:color="C0C0C0"/>
              <w:right w:val="single" w:sz="18" w:space="0" w:color="BFBFBF"/>
            </w:tcBorders>
            <w:shd w:val="clear" w:color="auto" w:fill="769250"/>
            <w:vAlign w:val="center"/>
          </w:tcPr>
          <w:p w14:paraId="760467EB" w14:textId="07C9B009" w:rsidR="00F74BE3" w:rsidRPr="00074080" w:rsidRDefault="00F74BE3" w:rsidP="00E40E6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 CE</w:t>
            </w: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2213A7AC" w14:textId="38386A67" w:rsidR="00F74BE3" w:rsidRPr="00074080" w:rsidRDefault="00F74BE3" w:rsidP="00D10D2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15 C</w:t>
            </w:r>
            <w:r w:rsidR="0093327F">
              <w:rPr>
                <w:rFonts w:ascii="Arial Narrow" w:hAnsi="Arial Narrow" w:cs="Arial"/>
                <w:b/>
                <w:bCs/>
                <w:color w:val="FFFFFF" w:themeColor="background1"/>
                <w:sz w:val="16"/>
                <w:szCs w:val="16"/>
              </w:rPr>
              <w:t>E</w:t>
            </w:r>
          </w:p>
        </w:tc>
        <w:tc>
          <w:tcPr>
            <w:tcW w:w="1276" w:type="dxa"/>
            <w:tcBorders>
              <w:top w:val="nil"/>
              <w:left w:val="single" w:sz="18" w:space="0" w:color="C0C0C0"/>
              <w:bottom w:val="single" w:sz="18" w:space="0" w:color="C0C0C0"/>
              <w:right w:val="single" w:sz="18" w:space="0" w:color="C0C0C0"/>
            </w:tcBorders>
            <w:shd w:val="clear" w:color="auto" w:fill="auto"/>
            <w:vAlign w:val="center"/>
          </w:tcPr>
          <w:p w14:paraId="67142A5A" w14:textId="0769BCC1" w:rsidR="00F74BE3" w:rsidRPr="00076624" w:rsidRDefault="00F74BE3" w:rsidP="00E40E6A">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0BA9B9BB" w14:textId="77777777" w:rsidR="00F74BE3" w:rsidRPr="009416EA" w:rsidRDefault="00F74BE3" w:rsidP="00E40E6A">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0946F827" w14:textId="77777777" w:rsidR="00F74BE3" w:rsidRPr="000A0210" w:rsidRDefault="00F74BE3" w:rsidP="00F279EF">
            <w:pPr>
              <w:jc w:val="center"/>
              <w:rPr>
                <w:rFonts w:ascii="Arial Narrow" w:hAnsi="Arial Narrow"/>
                <w:color w:val="31849B"/>
                <w:sz w:val="16"/>
                <w:szCs w:val="16"/>
              </w:rPr>
            </w:pPr>
          </w:p>
        </w:tc>
      </w:tr>
      <w:tr w:rsidR="00F279EF" w:rsidRPr="00BC2C5D" w14:paraId="3766C4CB" w14:textId="77777777" w:rsidTr="00F74BE3">
        <w:trPr>
          <w:trHeight w:val="567"/>
        </w:trPr>
        <w:tc>
          <w:tcPr>
            <w:tcW w:w="1111" w:type="dxa"/>
            <w:tcBorders>
              <w:top w:val="single" w:sz="18" w:space="0" w:color="C0C0C0"/>
              <w:left w:val="single" w:sz="18" w:space="0" w:color="auto"/>
              <w:right w:val="single" w:sz="18" w:space="0" w:color="C0C0C0"/>
            </w:tcBorders>
            <w:shd w:val="clear" w:color="auto" w:fill="auto"/>
            <w:vAlign w:val="center"/>
          </w:tcPr>
          <w:p w14:paraId="0F542D29" w14:textId="5493DEC0" w:rsidR="00F279EF" w:rsidRDefault="00F279EF" w:rsidP="00E40E6A">
            <w:pPr>
              <w:jc w:val="center"/>
              <w:rPr>
                <w:rFonts w:ascii="Arial Narrow" w:hAnsi="Arial Narrow" w:cs="Arial"/>
                <w:sz w:val="16"/>
                <w:szCs w:val="16"/>
              </w:rPr>
            </w:pPr>
            <w:r>
              <w:rPr>
                <w:rFonts w:ascii="Arial Narrow" w:hAnsi="Arial Narrow" w:cs="Arial"/>
                <w:sz w:val="16"/>
                <w:szCs w:val="16"/>
              </w:rPr>
              <w:t>20 May</w:t>
            </w:r>
          </w:p>
        </w:tc>
        <w:tc>
          <w:tcPr>
            <w:tcW w:w="1134" w:type="dxa"/>
            <w:tcBorders>
              <w:top w:val="single" w:sz="18" w:space="0" w:color="C0C0C0"/>
              <w:left w:val="single" w:sz="18" w:space="0" w:color="C0C0C0"/>
              <w:right w:val="single" w:sz="18" w:space="0" w:color="C0C0C0"/>
            </w:tcBorders>
            <w:shd w:val="clear" w:color="auto" w:fill="auto"/>
            <w:vAlign w:val="center"/>
          </w:tcPr>
          <w:p w14:paraId="2B5526BB" w14:textId="1E6E3D89" w:rsidR="00F279EF" w:rsidRPr="00F74BE3" w:rsidRDefault="00F279EF" w:rsidP="00E40E6A">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auto"/>
            <w:vAlign w:val="center"/>
          </w:tcPr>
          <w:p w14:paraId="7CBBAD8B" w14:textId="17A3F907" w:rsidR="00F279EF" w:rsidRPr="00F74BE3" w:rsidRDefault="00F279EF" w:rsidP="00CE57E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auto"/>
            <w:vAlign w:val="center"/>
          </w:tcPr>
          <w:p w14:paraId="46FDB6FD" w14:textId="4F725981" w:rsidR="00F279EF" w:rsidRPr="00F74BE3" w:rsidRDefault="00F279EF" w:rsidP="00E40E6A">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shd w:val="clear" w:color="auto" w:fill="auto"/>
            <w:vAlign w:val="center"/>
          </w:tcPr>
          <w:p w14:paraId="0E61EDBE" w14:textId="6AD21532" w:rsidR="00F279EF" w:rsidRPr="00F74BE3" w:rsidRDefault="00F279EF" w:rsidP="00E40E6A">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auto"/>
            </w:tcBorders>
            <w:shd w:val="clear" w:color="auto" w:fill="auto"/>
            <w:vAlign w:val="center"/>
          </w:tcPr>
          <w:p w14:paraId="5DEA3FBA" w14:textId="77777777" w:rsidR="00F279EF" w:rsidRPr="009416EA" w:rsidRDefault="00F279EF" w:rsidP="00E40E6A">
            <w:pPr>
              <w:jc w:val="center"/>
              <w:rPr>
                <w:rFonts w:ascii="Arial Narrow" w:hAnsi="Arial Narrow" w:cs="Arial"/>
                <w:sz w:val="16"/>
                <w:szCs w:val="16"/>
              </w:rPr>
            </w:pPr>
          </w:p>
        </w:tc>
        <w:tc>
          <w:tcPr>
            <w:tcW w:w="3226" w:type="dxa"/>
            <w:tcBorders>
              <w:top w:val="single" w:sz="18" w:space="0" w:color="C0C0C0"/>
              <w:left w:val="single" w:sz="18" w:space="0" w:color="auto"/>
              <w:right w:val="single" w:sz="18" w:space="0" w:color="auto"/>
            </w:tcBorders>
            <w:shd w:val="clear" w:color="auto" w:fill="auto"/>
            <w:vAlign w:val="center"/>
          </w:tcPr>
          <w:p w14:paraId="7E9BBB20" w14:textId="34F4572A" w:rsidR="00F279EF" w:rsidRPr="000A0210" w:rsidRDefault="00F279EF" w:rsidP="00E40E6A">
            <w:pPr>
              <w:jc w:val="center"/>
              <w:rPr>
                <w:rFonts w:ascii="Arial Narrow" w:hAnsi="Arial Narrow" w:cs="Arial"/>
                <w:sz w:val="16"/>
                <w:szCs w:val="16"/>
                <w:highlight w:val="yellow"/>
              </w:rPr>
            </w:pPr>
          </w:p>
        </w:tc>
      </w:tr>
      <w:tr w:rsidR="00F74BE3" w:rsidRPr="00BC2C5D" w14:paraId="2952A691" w14:textId="77777777" w:rsidTr="00074080">
        <w:trPr>
          <w:trHeight w:val="190"/>
        </w:trPr>
        <w:tc>
          <w:tcPr>
            <w:tcW w:w="1111" w:type="dxa"/>
            <w:vMerge w:val="restart"/>
            <w:tcBorders>
              <w:top w:val="single" w:sz="18" w:space="0" w:color="BFBFBF"/>
              <w:left w:val="single" w:sz="18" w:space="0" w:color="auto"/>
              <w:right w:val="single" w:sz="18" w:space="0" w:color="C0C0C0"/>
            </w:tcBorders>
            <w:shd w:val="clear" w:color="auto" w:fill="auto"/>
            <w:vAlign w:val="center"/>
          </w:tcPr>
          <w:p w14:paraId="219AC89F" w14:textId="39B6554D" w:rsidR="00F74BE3" w:rsidRPr="00A634FA" w:rsidRDefault="00F74BE3" w:rsidP="00F90AE9">
            <w:pPr>
              <w:jc w:val="center"/>
              <w:rPr>
                <w:rFonts w:ascii="Arial Narrow" w:hAnsi="Arial Narrow" w:cs="Arial"/>
                <w:sz w:val="16"/>
                <w:szCs w:val="16"/>
              </w:rPr>
            </w:pPr>
            <w:r>
              <w:rPr>
                <w:rFonts w:ascii="Arial Narrow" w:hAnsi="Arial Narrow" w:cs="Arial"/>
                <w:sz w:val="16"/>
                <w:szCs w:val="16"/>
              </w:rPr>
              <w:t>27 May</w:t>
            </w:r>
          </w:p>
        </w:tc>
        <w:tc>
          <w:tcPr>
            <w:tcW w:w="1134" w:type="dxa"/>
            <w:tcBorders>
              <w:top w:val="single" w:sz="18" w:space="0" w:color="BFBFBF"/>
              <w:left w:val="single" w:sz="18" w:space="0" w:color="C0C0C0"/>
              <w:bottom w:val="nil"/>
              <w:right w:val="single" w:sz="18" w:space="0" w:color="C0C0C0"/>
            </w:tcBorders>
            <w:shd w:val="clear" w:color="auto" w:fill="FF0000"/>
            <w:vAlign w:val="center"/>
          </w:tcPr>
          <w:p w14:paraId="4A0F32FC" w14:textId="0A931BC4" w:rsidR="00F74BE3" w:rsidRPr="00074080" w:rsidRDefault="00F74BE3"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23C25E" w14:textId="7587AFAF" w:rsidR="00F74BE3" w:rsidRPr="00074080" w:rsidRDefault="00F74BE3" w:rsidP="00CC070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Conf</w:t>
            </w:r>
          </w:p>
        </w:tc>
        <w:tc>
          <w:tcPr>
            <w:tcW w:w="1417" w:type="dxa"/>
            <w:tcBorders>
              <w:top w:val="single" w:sz="18" w:space="0" w:color="BFBFBF"/>
              <w:left w:val="single" w:sz="18" w:space="0" w:color="BFBFBF"/>
              <w:bottom w:val="nil"/>
              <w:right w:val="single" w:sz="18" w:space="0" w:color="C0C0C0"/>
            </w:tcBorders>
            <w:shd w:val="clear" w:color="auto" w:fill="FF0000"/>
            <w:vAlign w:val="center"/>
          </w:tcPr>
          <w:p w14:paraId="2AE45B4E" w14:textId="585842D8" w:rsidR="00F74BE3" w:rsidRPr="00074080" w:rsidRDefault="00F74BE3" w:rsidP="004C17C6">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 Conf</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158F79EF" w14:textId="68462EFD" w:rsidR="00F74BE3" w:rsidRPr="00074080" w:rsidRDefault="00F74BE3" w:rsidP="000E090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½ day CE</w:t>
            </w:r>
          </w:p>
        </w:tc>
        <w:tc>
          <w:tcPr>
            <w:tcW w:w="1276"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F74BE3" w:rsidRPr="009416EA" w:rsidRDefault="00F74BE3" w:rsidP="00F90AE9">
            <w:pPr>
              <w:jc w:val="center"/>
              <w:rPr>
                <w:rFonts w:ascii="Arial Narrow" w:hAnsi="Arial Narrow" w:cs="Arial"/>
                <w:sz w:val="16"/>
                <w:szCs w:val="16"/>
              </w:rPr>
            </w:pPr>
          </w:p>
        </w:tc>
        <w:tc>
          <w:tcPr>
            <w:tcW w:w="3226" w:type="dxa"/>
            <w:vMerge w:val="restart"/>
            <w:tcBorders>
              <w:top w:val="single" w:sz="18" w:space="0" w:color="BFBFBF"/>
              <w:left w:val="single" w:sz="18" w:space="0" w:color="auto"/>
              <w:right w:val="single" w:sz="18" w:space="0" w:color="auto"/>
            </w:tcBorders>
            <w:shd w:val="clear" w:color="auto" w:fill="auto"/>
            <w:vAlign w:val="center"/>
          </w:tcPr>
          <w:p w14:paraId="6E6EBCEC" w14:textId="3AB2CAD2" w:rsidR="00F74BE3" w:rsidRPr="000A0210" w:rsidRDefault="00F74BE3" w:rsidP="00F90AE9">
            <w:pPr>
              <w:jc w:val="center"/>
              <w:rPr>
                <w:rFonts w:ascii="Arial Narrow" w:hAnsi="Arial Narrow" w:cs="Arial"/>
                <w:sz w:val="16"/>
                <w:szCs w:val="16"/>
              </w:rPr>
            </w:pPr>
            <w:r w:rsidRPr="000A0210">
              <w:rPr>
                <w:rFonts w:ascii="Arial Narrow" w:hAnsi="Arial Narrow"/>
                <w:color w:val="FF0000"/>
                <w:sz w:val="16"/>
                <w:szCs w:val="16"/>
              </w:rPr>
              <w:t xml:space="preserve">31 May – 1 June Camooweal </w:t>
            </w:r>
            <w:proofErr w:type="spellStart"/>
            <w:r w:rsidRPr="000A0210">
              <w:rPr>
                <w:rFonts w:ascii="Arial Narrow" w:hAnsi="Arial Narrow"/>
                <w:color w:val="FF0000"/>
                <w:sz w:val="16"/>
                <w:szCs w:val="16"/>
              </w:rPr>
              <w:t>Campdraft</w:t>
            </w:r>
            <w:proofErr w:type="spellEnd"/>
            <w:r w:rsidRPr="000A0210">
              <w:rPr>
                <w:rFonts w:ascii="Arial Narrow" w:hAnsi="Arial Narrow"/>
                <w:color w:val="FF0000"/>
                <w:sz w:val="16"/>
                <w:szCs w:val="16"/>
              </w:rPr>
              <w:t xml:space="preserve"> and Rodeo</w:t>
            </w:r>
          </w:p>
        </w:tc>
      </w:tr>
      <w:tr w:rsidR="00F74BE3" w:rsidRPr="00BC2C5D" w14:paraId="7326C838" w14:textId="77777777" w:rsidTr="00F74BE3">
        <w:trPr>
          <w:trHeight w:val="113"/>
        </w:trPr>
        <w:tc>
          <w:tcPr>
            <w:tcW w:w="1111" w:type="dxa"/>
            <w:vMerge/>
            <w:tcBorders>
              <w:left w:val="single" w:sz="18" w:space="0" w:color="auto"/>
              <w:right w:val="single" w:sz="18" w:space="0" w:color="C0C0C0"/>
            </w:tcBorders>
            <w:shd w:val="clear" w:color="auto" w:fill="auto"/>
            <w:vAlign w:val="center"/>
          </w:tcPr>
          <w:p w14:paraId="678203D6" w14:textId="77777777" w:rsidR="00F74BE3" w:rsidRDefault="00F74BE3" w:rsidP="00F90AE9">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769250"/>
            <w:vAlign w:val="center"/>
          </w:tcPr>
          <w:p w14:paraId="01DA0E93" w14:textId="4043D847" w:rsidR="00F74BE3" w:rsidRPr="00074080" w:rsidRDefault="00F74BE3"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418" w:type="dxa"/>
            <w:tcBorders>
              <w:top w:val="nil"/>
              <w:left w:val="single" w:sz="18" w:space="0" w:color="C0C0C0"/>
              <w:bottom w:val="nil"/>
              <w:right w:val="single" w:sz="18" w:space="0" w:color="BFBFBF"/>
            </w:tcBorders>
            <w:shd w:val="clear" w:color="auto" w:fill="769250"/>
            <w:vAlign w:val="center"/>
          </w:tcPr>
          <w:p w14:paraId="256DCB1C" w14:textId="13EEB0B5" w:rsidR="00F74BE3" w:rsidRPr="00074080" w:rsidRDefault="00F74BE3" w:rsidP="00CC070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CE</w:t>
            </w:r>
          </w:p>
        </w:tc>
        <w:tc>
          <w:tcPr>
            <w:tcW w:w="1417" w:type="dxa"/>
            <w:tcBorders>
              <w:top w:val="nil"/>
              <w:left w:val="single" w:sz="18" w:space="0" w:color="BFBFBF"/>
              <w:bottom w:val="nil"/>
              <w:right w:val="single" w:sz="18" w:space="0" w:color="C0C0C0"/>
            </w:tcBorders>
            <w:shd w:val="clear" w:color="auto" w:fill="769250"/>
            <w:vAlign w:val="center"/>
          </w:tcPr>
          <w:p w14:paraId="0015C360" w14:textId="31CC2594" w:rsidR="00F74BE3" w:rsidRPr="00074080" w:rsidRDefault="00F74BE3" w:rsidP="004C17C6">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 Conf</w:t>
            </w:r>
          </w:p>
        </w:tc>
        <w:tc>
          <w:tcPr>
            <w:tcW w:w="1276" w:type="dxa"/>
            <w:tcBorders>
              <w:top w:val="nil"/>
              <w:left w:val="single" w:sz="18" w:space="0" w:color="C0C0C0"/>
              <w:bottom w:val="nil"/>
              <w:right w:val="single" w:sz="18" w:space="0" w:color="C0C0C0"/>
            </w:tcBorders>
            <w:shd w:val="clear" w:color="auto" w:fill="769250"/>
            <w:vAlign w:val="center"/>
          </w:tcPr>
          <w:p w14:paraId="5DF4E7F4" w14:textId="651CA904" w:rsidR="00F74BE3" w:rsidRPr="00074080" w:rsidRDefault="00F74BE3" w:rsidP="000E090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½ day Conf</w:t>
            </w:r>
          </w:p>
        </w:tc>
        <w:tc>
          <w:tcPr>
            <w:tcW w:w="1276" w:type="dxa"/>
            <w:vMerge/>
            <w:tcBorders>
              <w:left w:val="single" w:sz="18" w:space="0" w:color="C0C0C0"/>
              <w:right w:val="single" w:sz="18" w:space="0" w:color="auto"/>
            </w:tcBorders>
            <w:shd w:val="clear" w:color="auto" w:fill="auto"/>
            <w:vAlign w:val="center"/>
          </w:tcPr>
          <w:p w14:paraId="177370AF" w14:textId="77777777" w:rsidR="00F74BE3" w:rsidRPr="009416EA" w:rsidRDefault="00F74BE3"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42B6A00C" w14:textId="77777777" w:rsidR="00F74BE3" w:rsidRPr="000A0210" w:rsidRDefault="00F74BE3" w:rsidP="00F90AE9">
            <w:pPr>
              <w:jc w:val="center"/>
              <w:rPr>
                <w:rFonts w:ascii="Arial Narrow" w:hAnsi="Arial Narrow"/>
                <w:color w:val="FF0000"/>
                <w:sz w:val="16"/>
                <w:szCs w:val="16"/>
              </w:rPr>
            </w:pPr>
          </w:p>
        </w:tc>
      </w:tr>
      <w:tr w:rsidR="00F74BE3" w:rsidRPr="00BC2C5D" w14:paraId="5DF12D0D" w14:textId="77777777" w:rsidTr="00F74BE3">
        <w:trPr>
          <w:trHeight w:val="112"/>
        </w:trPr>
        <w:tc>
          <w:tcPr>
            <w:tcW w:w="1111" w:type="dxa"/>
            <w:vMerge/>
            <w:tcBorders>
              <w:left w:val="single" w:sz="18" w:space="0" w:color="auto"/>
              <w:right w:val="single" w:sz="18" w:space="0" w:color="C0C0C0"/>
            </w:tcBorders>
            <w:shd w:val="clear" w:color="auto" w:fill="auto"/>
            <w:vAlign w:val="center"/>
          </w:tcPr>
          <w:p w14:paraId="68BDD3A7" w14:textId="77777777" w:rsidR="00F74BE3" w:rsidRDefault="00F74BE3" w:rsidP="00F90AE9">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556D8BED" w14:textId="1439BE4B" w:rsidR="00F74BE3" w:rsidRDefault="00F74BE3"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418" w:type="dxa"/>
            <w:tcBorders>
              <w:top w:val="nil"/>
              <w:left w:val="single" w:sz="18" w:space="0" w:color="C0C0C0"/>
              <w:bottom w:val="nil"/>
              <w:right w:val="single" w:sz="18" w:space="0" w:color="BFBFBF"/>
            </w:tcBorders>
            <w:shd w:val="clear" w:color="auto" w:fill="A972A9"/>
            <w:vAlign w:val="center"/>
          </w:tcPr>
          <w:p w14:paraId="669DF044" w14:textId="788CC285" w:rsidR="00F74BE3" w:rsidRDefault="00F74BE3" w:rsidP="00CC070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CE</w:t>
            </w:r>
          </w:p>
        </w:tc>
        <w:tc>
          <w:tcPr>
            <w:tcW w:w="1417" w:type="dxa"/>
            <w:tcBorders>
              <w:top w:val="nil"/>
              <w:left w:val="single" w:sz="18" w:space="0" w:color="BFBFBF"/>
              <w:bottom w:val="nil"/>
              <w:right w:val="single" w:sz="18" w:space="0" w:color="C0C0C0"/>
            </w:tcBorders>
            <w:shd w:val="clear" w:color="auto" w:fill="A972A9"/>
            <w:vAlign w:val="center"/>
          </w:tcPr>
          <w:p w14:paraId="5417537E" w14:textId="0B6B11A9" w:rsidR="00F74BE3" w:rsidRDefault="00F74BE3" w:rsidP="004C17C6">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 Conf</w:t>
            </w:r>
          </w:p>
        </w:tc>
        <w:tc>
          <w:tcPr>
            <w:tcW w:w="1276" w:type="dxa"/>
            <w:tcBorders>
              <w:top w:val="nil"/>
              <w:left w:val="single" w:sz="18" w:space="0" w:color="C0C0C0"/>
              <w:bottom w:val="nil"/>
              <w:right w:val="single" w:sz="18" w:space="0" w:color="C0C0C0"/>
            </w:tcBorders>
            <w:shd w:val="clear" w:color="auto" w:fill="A972A9"/>
            <w:vAlign w:val="center"/>
          </w:tcPr>
          <w:p w14:paraId="1DEAED1B" w14:textId="2D12A1F8" w:rsidR="00F74BE3" w:rsidRDefault="00F74BE3" w:rsidP="000E090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Conf</w:t>
            </w:r>
          </w:p>
        </w:tc>
        <w:tc>
          <w:tcPr>
            <w:tcW w:w="1276" w:type="dxa"/>
            <w:vMerge/>
            <w:tcBorders>
              <w:left w:val="single" w:sz="18" w:space="0" w:color="C0C0C0"/>
              <w:right w:val="single" w:sz="18" w:space="0" w:color="auto"/>
            </w:tcBorders>
            <w:shd w:val="clear" w:color="auto" w:fill="auto"/>
            <w:vAlign w:val="center"/>
          </w:tcPr>
          <w:p w14:paraId="5896E09A" w14:textId="77777777" w:rsidR="00F74BE3" w:rsidRPr="009416EA" w:rsidRDefault="00F74BE3"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2F334BD6" w14:textId="77777777" w:rsidR="00F74BE3" w:rsidRPr="000A0210" w:rsidRDefault="00F74BE3" w:rsidP="00F90AE9">
            <w:pPr>
              <w:jc w:val="center"/>
              <w:rPr>
                <w:rFonts w:ascii="Arial Narrow" w:hAnsi="Arial Narrow"/>
                <w:color w:val="FF0000"/>
                <w:sz w:val="16"/>
                <w:szCs w:val="16"/>
              </w:rPr>
            </w:pPr>
          </w:p>
        </w:tc>
      </w:tr>
      <w:tr w:rsidR="00F74BE3" w:rsidRPr="00BC2C5D" w14:paraId="3590BF66" w14:textId="77777777" w:rsidTr="00074080">
        <w:trPr>
          <w:trHeight w:val="190"/>
        </w:trPr>
        <w:tc>
          <w:tcPr>
            <w:tcW w:w="1111" w:type="dxa"/>
            <w:vMerge/>
            <w:tcBorders>
              <w:left w:val="single" w:sz="18" w:space="0" w:color="auto"/>
              <w:right w:val="single" w:sz="18" w:space="0" w:color="C0C0C0"/>
            </w:tcBorders>
            <w:shd w:val="clear" w:color="auto" w:fill="auto"/>
            <w:vAlign w:val="center"/>
          </w:tcPr>
          <w:p w14:paraId="31DC00B5" w14:textId="77777777" w:rsidR="00F74BE3" w:rsidRDefault="00F74BE3" w:rsidP="00F90AE9">
            <w:pPr>
              <w:jc w:val="center"/>
              <w:rPr>
                <w:rFonts w:ascii="Arial Narrow" w:hAnsi="Arial Narrow" w:cs="Arial"/>
                <w:sz w:val="16"/>
                <w:szCs w:val="16"/>
              </w:rPr>
            </w:pPr>
          </w:p>
        </w:tc>
        <w:tc>
          <w:tcPr>
            <w:tcW w:w="1134" w:type="dxa"/>
            <w:tcBorders>
              <w:top w:val="nil"/>
              <w:left w:val="single" w:sz="18" w:space="0" w:color="C0C0C0"/>
              <w:right w:val="single" w:sz="18" w:space="0" w:color="C0C0C0"/>
            </w:tcBorders>
            <w:shd w:val="clear" w:color="auto" w:fill="FFFF00"/>
            <w:vAlign w:val="center"/>
          </w:tcPr>
          <w:p w14:paraId="6013FD0A" w14:textId="0AE660A4" w:rsidR="00F74BE3" w:rsidRPr="00074080" w:rsidRDefault="00F74BE3" w:rsidP="00F90AE9">
            <w:pPr>
              <w:jc w:val="center"/>
              <w:rPr>
                <w:rFonts w:ascii="Arial Narrow" w:hAnsi="Arial Narrow" w:cs="Arial"/>
                <w:b/>
                <w:bCs/>
                <w:sz w:val="16"/>
                <w:szCs w:val="16"/>
              </w:rPr>
            </w:pPr>
            <w:r w:rsidRPr="00074080">
              <w:rPr>
                <w:rFonts w:ascii="Arial Narrow" w:hAnsi="Arial Narrow" w:cs="Arial"/>
                <w:b/>
                <w:bCs/>
                <w:sz w:val="16"/>
                <w:szCs w:val="16"/>
              </w:rPr>
              <w:t>27 ½ day CE</w:t>
            </w:r>
          </w:p>
        </w:tc>
        <w:tc>
          <w:tcPr>
            <w:tcW w:w="1418" w:type="dxa"/>
            <w:tcBorders>
              <w:top w:val="nil"/>
              <w:left w:val="single" w:sz="18" w:space="0" w:color="C0C0C0"/>
              <w:right w:val="single" w:sz="18" w:space="0" w:color="BFBFBF"/>
            </w:tcBorders>
            <w:shd w:val="clear" w:color="auto" w:fill="FFFF00"/>
            <w:vAlign w:val="center"/>
          </w:tcPr>
          <w:p w14:paraId="0B5BCE10" w14:textId="77777777" w:rsidR="00F74BE3" w:rsidRDefault="00F74BE3" w:rsidP="00CC0709">
            <w:pPr>
              <w:jc w:val="center"/>
              <w:rPr>
                <w:rFonts w:ascii="Arial Narrow" w:hAnsi="Arial Narrow" w:cs="Arial"/>
                <w:b/>
                <w:bCs/>
                <w:sz w:val="16"/>
                <w:szCs w:val="16"/>
              </w:rPr>
            </w:pPr>
            <w:r w:rsidRPr="00074080">
              <w:rPr>
                <w:rFonts w:ascii="Arial Narrow" w:hAnsi="Arial Narrow" w:cs="Arial"/>
                <w:b/>
                <w:bCs/>
                <w:sz w:val="16"/>
                <w:szCs w:val="16"/>
              </w:rPr>
              <w:t xml:space="preserve">28 </w:t>
            </w:r>
            <w:r w:rsidR="002A5E00">
              <w:rPr>
                <w:rFonts w:ascii="Arial Narrow" w:hAnsi="Arial Narrow" w:cs="Arial"/>
                <w:b/>
                <w:bCs/>
                <w:sz w:val="16"/>
                <w:szCs w:val="16"/>
              </w:rPr>
              <w:t xml:space="preserve">½ day </w:t>
            </w:r>
            <w:r w:rsidRPr="00074080">
              <w:rPr>
                <w:rFonts w:ascii="Arial Narrow" w:hAnsi="Arial Narrow" w:cs="Arial"/>
                <w:b/>
                <w:bCs/>
                <w:sz w:val="16"/>
                <w:szCs w:val="16"/>
              </w:rPr>
              <w:t>Conf</w:t>
            </w:r>
          </w:p>
          <w:p w14:paraId="79DF47F0" w14:textId="7FF1D62D" w:rsidR="002A5E00" w:rsidRPr="00074080" w:rsidRDefault="002A5E00" w:rsidP="00CC0709">
            <w:pPr>
              <w:jc w:val="center"/>
              <w:rPr>
                <w:rFonts w:ascii="Arial Narrow" w:hAnsi="Arial Narrow" w:cs="Arial"/>
                <w:b/>
                <w:bCs/>
                <w:sz w:val="16"/>
                <w:szCs w:val="16"/>
              </w:rPr>
            </w:pPr>
            <w:r>
              <w:rPr>
                <w:rFonts w:ascii="Arial Narrow" w:hAnsi="Arial Narrow" w:cs="Arial"/>
                <w:b/>
                <w:bCs/>
                <w:sz w:val="16"/>
                <w:szCs w:val="16"/>
              </w:rPr>
              <w:t>28 ½ day CE</w:t>
            </w:r>
          </w:p>
        </w:tc>
        <w:tc>
          <w:tcPr>
            <w:tcW w:w="1417" w:type="dxa"/>
            <w:tcBorders>
              <w:top w:val="nil"/>
              <w:left w:val="single" w:sz="18" w:space="0" w:color="BFBFBF"/>
              <w:right w:val="single" w:sz="18" w:space="0" w:color="C0C0C0"/>
            </w:tcBorders>
            <w:shd w:val="clear" w:color="auto" w:fill="auto"/>
            <w:vAlign w:val="center"/>
          </w:tcPr>
          <w:p w14:paraId="05D7C431" w14:textId="77777777" w:rsidR="00F74BE3" w:rsidRPr="000A0210" w:rsidRDefault="00F74BE3" w:rsidP="004C17C6">
            <w:pPr>
              <w:jc w:val="center"/>
              <w:rPr>
                <w:rFonts w:ascii="Arial Narrow" w:hAnsi="Arial Narrow" w:cs="Arial"/>
                <w:sz w:val="16"/>
                <w:szCs w:val="16"/>
              </w:rPr>
            </w:pPr>
          </w:p>
        </w:tc>
        <w:tc>
          <w:tcPr>
            <w:tcW w:w="1276" w:type="dxa"/>
            <w:tcBorders>
              <w:top w:val="nil"/>
              <w:left w:val="single" w:sz="18" w:space="0" w:color="C0C0C0"/>
              <w:right w:val="single" w:sz="18" w:space="0" w:color="C0C0C0"/>
            </w:tcBorders>
            <w:shd w:val="clear" w:color="auto" w:fill="auto"/>
            <w:vAlign w:val="center"/>
          </w:tcPr>
          <w:p w14:paraId="418E44F9" w14:textId="77777777" w:rsidR="00F74BE3" w:rsidRPr="000A0210" w:rsidRDefault="00F74BE3" w:rsidP="000E090A">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09F8CEA4" w14:textId="77777777" w:rsidR="00F74BE3" w:rsidRPr="009416EA" w:rsidRDefault="00F74BE3"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291C1650" w14:textId="77777777" w:rsidR="00F74BE3" w:rsidRPr="000A0210" w:rsidRDefault="00F74BE3" w:rsidP="00F90AE9">
            <w:pPr>
              <w:jc w:val="center"/>
              <w:rPr>
                <w:rFonts w:ascii="Arial Narrow" w:hAnsi="Arial Narrow"/>
                <w:color w:val="FF0000"/>
                <w:sz w:val="16"/>
                <w:szCs w:val="16"/>
              </w:rPr>
            </w:pPr>
          </w:p>
        </w:tc>
      </w:tr>
      <w:tr w:rsidR="00F279EF" w:rsidRPr="00BC2C5D" w14:paraId="1CA5194F" w14:textId="77777777" w:rsidTr="006D04BD">
        <w:trPr>
          <w:trHeight w:val="567"/>
        </w:trPr>
        <w:tc>
          <w:tcPr>
            <w:tcW w:w="1111" w:type="dxa"/>
            <w:tcBorders>
              <w:top w:val="single" w:sz="18" w:space="0" w:color="auto"/>
              <w:left w:val="single" w:sz="18" w:space="0" w:color="auto"/>
              <w:right w:val="single" w:sz="18" w:space="0" w:color="C0C0C0"/>
            </w:tcBorders>
            <w:shd w:val="clear" w:color="auto" w:fill="auto"/>
            <w:vAlign w:val="center"/>
          </w:tcPr>
          <w:p w14:paraId="62CCD3D4" w14:textId="7191AD93" w:rsidR="00F279EF" w:rsidRPr="00A634FA" w:rsidRDefault="00F279EF" w:rsidP="00E40E6A">
            <w:pPr>
              <w:jc w:val="center"/>
              <w:rPr>
                <w:rFonts w:ascii="Arial Narrow" w:hAnsi="Arial Narrow" w:cs="Arial"/>
                <w:sz w:val="16"/>
                <w:szCs w:val="16"/>
              </w:rPr>
            </w:pPr>
            <w:r>
              <w:rPr>
                <w:rFonts w:ascii="Arial Narrow" w:hAnsi="Arial Narrow" w:cs="Arial"/>
                <w:sz w:val="16"/>
                <w:szCs w:val="16"/>
              </w:rPr>
              <w:t>3 June</w:t>
            </w:r>
          </w:p>
        </w:tc>
        <w:tc>
          <w:tcPr>
            <w:tcW w:w="1134" w:type="dxa"/>
            <w:tcBorders>
              <w:top w:val="single" w:sz="18" w:space="0" w:color="auto"/>
              <w:left w:val="single" w:sz="18" w:space="0" w:color="C0C0C0"/>
              <w:right w:val="single" w:sz="18" w:space="0" w:color="C0C0C0"/>
            </w:tcBorders>
            <w:shd w:val="clear" w:color="auto" w:fill="auto"/>
            <w:vAlign w:val="center"/>
          </w:tcPr>
          <w:p w14:paraId="57698FB4" w14:textId="77777777" w:rsidR="00A8044D" w:rsidRPr="006D04BD" w:rsidRDefault="00A8044D" w:rsidP="00A8044D">
            <w:pPr>
              <w:jc w:val="center"/>
              <w:rPr>
                <w:rFonts w:ascii="Arial Narrow" w:hAnsi="Arial Narrow" w:cs="Arial"/>
                <w:b/>
                <w:bCs/>
                <w:sz w:val="16"/>
                <w:szCs w:val="16"/>
              </w:rPr>
            </w:pPr>
            <w:r w:rsidRPr="006D04BD">
              <w:rPr>
                <w:rFonts w:ascii="Arial Narrow" w:hAnsi="Arial Narrow" w:cs="Arial"/>
                <w:b/>
                <w:bCs/>
                <w:sz w:val="16"/>
                <w:szCs w:val="16"/>
              </w:rPr>
              <w:t xml:space="preserve">Special Holiday – </w:t>
            </w:r>
          </w:p>
          <w:p w14:paraId="66E74CF9" w14:textId="07BABE4A" w:rsidR="00F279EF" w:rsidRPr="006D04BD" w:rsidRDefault="00A8044D" w:rsidP="00A8044D">
            <w:pPr>
              <w:jc w:val="center"/>
              <w:rPr>
                <w:rFonts w:ascii="Arial Narrow" w:hAnsi="Arial Narrow" w:cs="Arial"/>
                <w:sz w:val="16"/>
                <w:szCs w:val="16"/>
              </w:rPr>
            </w:pPr>
            <w:r w:rsidRPr="006D04BD">
              <w:rPr>
                <w:rFonts w:ascii="Arial Narrow" w:hAnsi="Arial Narrow" w:cs="Arial"/>
                <w:b/>
                <w:bCs/>
                <w:sz w:val="16"/>
                <w:szCs w:val="16"/>
              </w:rPr>
              <w:t>DM Only</w:t>
            </w:r>
          </w:p>
        </w:tc>
        <w:tc>
          <w:tcPr>
            <w:tcW w:w="1418" w:type="dxa"/>
            <w:tcBorders>
              <w:top w:val="single" w:sz="18" w:space="0" w:color="auto"/>
              <w:left w:val="single" w:sz="18" w:space="0" w:color="C0C0C0"/>
              <w:right w:val="single" w:sz="18" w:space="0" w:color="BFBFBF"/>
            </w:tcBorders>
            <w:shd w:val="clear" w:color="auto" w:fill="auto"/>
            <w:vAlign w:val="center"/>
          </w:tcPr>
          <w:p w14:paraId="5280C7F2" w14:textId="165E8F8D" w:rsidR="00F279EF" w:rsidRPr="006D04BD" w:rsidRDefault="00F279EF" w:rsidP="00643E5A">
            <w:pPr>
              <w:jc w:val="center"/>
              <w:rPr>
                <w:rFonts w:ascii="Arial Narrow" w:hAnsi="Arial Narrow" w:cs="Arial"/>
                <w:sz w:val="16"/>
                <w:szCs w:val="16"/>
              </w:rPr>
            </w:pPr>
          </w:p>
        </w:tc>
        <w:tc>
          <w:tcPr>
            <w:tcW w:w="1417" w:type="dxa"/>
            <w:tcBorders>
              <w:top w:val="single" w:sz="18" w:space="0" w:color="auto"/>
              <w:left w:val="single" w:sz="18" w:space="0" w:color="BFBFBF"/>
              <w:right w:val="single" w:sz="18" w:space="0" w:color="C0C0C0"/>
            </w:tcBorders>
            <w:shd w:val="clear" w:color="auto" w:fill="auto"/>
            <w:vAlign w:val="center"/>
          </w:tcPr>
          <w:p w14:paraId="31836070" w14:textId="1EE37079" w:rsidR="00F279EF" w:rsidRPr="006D04BD" w:rsidRDefault="00F279EF" w:rsidP="00546129">
            <w:pPr>
              <w:jc w:val="center"/>
              <w:rPr>
                <w:rFonts w:ascii="Arial Narrow" w:hAnsi="Arial Narrow" w:cs="Arial"/>
                <w:sz w:val="16"/>
                <w:szCs w:val="16"/>
              </w:rPr>
            </w:pPr>
          </w:p>
        </w:tc>
        <w:tc>
          <w:tcPr>
            <w:tcW w:w="1276" w:type="dxa"/>
            <w:tcBorders>
              <w:top w:val="single" w:sz="18" w:space="0" w:color="auto"/>
              <w:left w:val="single" w:sz="18" w:space="0" w:color="C0C0C0"/>
              <w:right w:val="single" w:sz="18" w:space="0" w:color="C0C0C0"/>
            </w:tcBorders>
            <w:shd w:val="clear" w:color="auto" w:fill="auto"/>
            <w:vAlign w:val="center"/>
          </w:tcPr>
          <w:p w14:paraId="18177425" w14:textId="06E1C8DD" w:rsidR="00F279EF" w:rsidRPr="006D04BD" w:rsidRDefault="00F279EF" w:rsidP="00E40E6A">
            <w:pPr>
              <w:jc w:val="center"/>
              <w:rPr>
                <w:rFonts w:ascii="Arial Narrow" w:hAnsi="Arial Narrow" w:cs="Arial"/>
                <w:sz w:val="16"/>
                <w:szCs w:val="16"/>
              </w:rPr>
            </w:pPr>
          </w:p>
        </w:tc>
        <w:tc>
          <w:tcPr>
            <w:tcW w:w="1276" w:type="dxa"/>
            <w:tcBorders>
              <w:top w:val="single" w:sz="18" w:space="0" w:color="auto"/>
              <w:left w:val="single" w:sz="18" w:space="0" w:color="C0C0C0"/>
              <w:right w:val="single" w:sz="18" w:space="0" w:color="auto"/>
            </w:tcBorders>
            <w:shd w:val="clear" w:color="auto" w:fill="auto"/>
            <w:vAlign w:val="center"/>
          </w:tcPr>
          <w:p w14:paraId="56CF5F8B" w14:textId="280FF2C9" w:rsidR="00F279EF" w:rsidRPr="006D04BD" w:rsidRDefault="00F279EF" w:rsidP="00E40E6A">
            <w:pPr>
              <w:jc w:val="center"/>
              <w:rPr>
                <w:rFonts w:ascii="Arial Narrow" w:hAnsi="Arial Narrow" w:cs="Arial"/>
                <w:sz w:val="16"/>
                <w:szCs w:val="16"/>
              </w:rPr>
            </w:pPr>
          </w:p>
        </w:tc>
        <w:tc>
          <w:tcPr>
            <w:tcW w:w="3226" w:type="dxa"/>
            <w:tcBorders>
              <w:top w:val="single" w:sz="18" w:space="0" w:color="auto"/>
              <w:left w:val="single" w:sz="18" w:space="0" w:color="auto"/>
              <w:right w:val="single" w:sz="18" w:space="0" w:color="auto"/>
            </w:tcBorders>
            <w:shd w:val="clear" w:color="auto" w:fill="auto"/>
            <w:vAlign w:val="center"/>
          </w:tcPr>
          <w:p w14:paraId="78121D0C" w14:textId="77777777" w:rsidR="00F279EF" w:rsidRPr="000A0210" w:rsidRDefault="00F279EF" w:rsidP="00F279EF">
            <w:pPr>
              <w:jc w:val="center"/>
              <w:rPr>
                <w:rFonts w:ascii="Arial Narrow" w:hAnsi="Arial Narrow"/>
                <w:sz w:val="16"/>
                <w:szCs w:val="16"/>
              </w:rPr>
            </w:pPr>
            <w:r w:rsidRPr="000A0210">
              <w:rPr>
                <w:rFonts w:ascii="Arial Narrow" w:hAnsi="Arial Narrow" w:cs="Arial"/>
                <w:b/>
                <w:bCs/>
                <w:sz w:val="16"/>
                <w:szCs w:val="16"/>
              </w:rPr>
              <w:t>3 Mabo Day - DM</w:t>
            </w:r>
          </w:p>
          <w:p w14:paraId="69F14021" w14:textId="77777777" w:rsidR="00F279EF" w:rsidRPr="000A0210" w:rsidRDefault="00F279EF" w:rsidP="00F279EF">
            <w:pPr>
              <w:jc w:val="center"/>
              <w:rPr>
                <w:rFonts w:ascii="Arial Narrow" w:hAnsi="Arial Narrow"/>
                <w:color w:val="31849B"/>
                <w:sz w:val="16"/>
                <w:szCs w:val="16"/>
              </w:rPr>
            </w:pPr>
            <w:r w:rsidRPr="000A0210">
              <w:rPr>
                <w:rFonts w:ascii="Arial Narrow" w:hAnsi="Arial Narrow"/>
                <w:color w:val="31849B"/>
                <w:sz w:val="16"/>
                <w:szCs w:val="16"/>
              </w:rPr>
              <w:t>Cooktown Circuit</w:t>
            </w:r>
          </w:p>
          <w:p w14:paraId="6C9148DC" w14:textId="5233CB6D" w:rsidR="003D645A" w:rsidRPr="003D645A" w:rsidRDefault="00F279EF" w:rsidP="006D04BD">
            <w:pPr>
              <w:jc w:val="center"/>
              <w:rPr>
                <w:rFonts w:ascii="Arial Narrow" w:hAnsi="Arial Narrow"/>
                <w:sz w:val="16"/>
                <w:szCs w:val="16"/>
              </w:rPr>
            </w:pPr>
            <w:r w:rsidRPr="000A0210">
              <w:rPr>
                <w:rFonts w:ascii="Arial Narrow" w:hAnsi="Arial Narrow"/>
                <w:sz w:val="16"/>
                <w:szCs w:val="16"/>
              </w:rPr>
              <w:t xml:space="preserve">6-9 Normanton Rodeo &amp; </w:t>
            </w:r>
            <w:proofErr w:type="spellStart"/>
            <w:r w:rsidRPr="000A0210">
              <w:rPr>
                <w:rFonts w:ascii="Arial Narrow" w:hAnsi="Arial Narrow"/>
                <w:sz w:val="16"/>
                <w:szCs w:val="16"/>
              </w:rPr>
              <w:t>Campdraft</w:t>
            </w:r>
            <w:proofErr w:type="spellEnd"/>
          </w:p>
        </w:tc>
      </w:tr>
      <w:tr w:rsidR="003D645A" w:rsidRPr="00BC2C5D" w14:paraId="6A282D96" w14:textId="77777777" w:rsidTr="006D04BD">
        <w:trPr>
          <w:trHeight w:val="144"/>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6D86D990" w14:textId="3B748E07" w:rsidR="003D645A" w:rsidRPr="00A634FA" w:rsidRDefault="003D645A" w:rsidP="000F3E04">
            <w:pPr>
              <w:jc w:val="center"/>
              <w:rPr>
                <w:rFonts w:ascii="Arial Narrow" w:hAnsi="Arial Narrow" w:cs="Arial"/>
                <w:sz w:val="16"/>
                <w:szCs w:val="16"/>
              </w:rPr>
            </w:pPr>
            <w:r>
              <w:rPr>
                <w:rFonts w:ascii="Arial Narrow" w:hAnsi="Arial Narrow" w:cs="Arial"/>
                <w:sz w:val="16"/>
                <w:szCs w:val="16"/>
              </w:rPr>
              <w:t>10 June</w:t>
            </w:r>
          </w:p>
        </w:tc>
        <w:tc>
          <w:tcPr>
            <w:tcW w:w="1134" w:type="dxa"/>
            <w:tcBorders>
              <w:top w:val="single" w:sz="18" w:space="0" w:color="C0C0C0"/>
              <w:left w:val="single" w:sz="18" w:space="0" w:color="C0C0C0"/>
              <w:bottom w:val="nil"/>
              <w:right w:val="single" w:sz="18" w:space="0" w:color="C0C0C0"/>
            </w:tcBorders>
            <w:shd w:val="clear" w:color="auto" w:fill="FF0000"/>
            <w:vAlign w:val="center"/>
          </w:tcPr>
          <w:p w14:paraId="695555CE" w14:textId="0B3A4924" w:rsidR="003D645A" w:rsidRPr="006D04BD" w:rsidRDefault="006D04BD" w:rsidP="000F3E04">
            <w:pPr>
              <w:jc w:val="center"/>
              <w:rPr>
                <w:rFonts w:ascii="Arial Narrow" w:hAnsi="Arial Narrow" w:cs="Arial"/>
                <w:b/>
                <w:bCs/>
                <w:color w:val="FFFFFF" w:themeColor="background1"/>
                <w:sz w:val="16"/>
                <w:szCs w:val="16"/>
                <w:highlight w:val="yellow"/>
              </w:rPr>
            </w:pPr>
            <w:r w:rsidRPr="006D04BD">
              <w:rPr>
                <w:rFonts w:ascii="Arial Narrow" w:hAnsi="Arial Narrow" w:cs="Arial"/>
                <w:b/>
                <w:bCs/>
                <w:color w:val="FFFFFF" w:themeColor="background1"/>
                <w:sz w:val="16"/>
                <w:szCs w:val="16"/>
              </w:rPr>
              <w:t>10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09C9C0A4" w14:textId="07B50D3E"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11 C</w:t>
            </w:r>
            <w:r w:rsidR="006D04BD">
              <w:rPr>
                <w:rFonts w:ascii="Arial Narrow" w:hAnsi="Arial Narrow" w:cs="Arial"/>
                <w:b/>
                <w:bCs/>
                <w:color w:val="FFFFFF" w:themeColor="background1"/>
                <w:sz w:val="16"/>
                <w:szCs w:val="16"/>
              </w:rPr>
              <w:t>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1BF01046" w14:textId="067C20BE"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12 Conf</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63AD05D9" w14:textId="677D7191"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w:t>
            </w:r>
            <w:r w:rsidR="006D04BD">
              <w:rPr>
                <w:rFonts w:ascii="Arial Narrow" w:hAnsi="Arial Narrow" w:cs="Arial"/>
                <w:b/>
                <w:bCs/>
                <w:color w:val="FFFFFF" w:themeColor="background1"/>
                <w:sz w:val="16"/>
                <w:szCs w:val="16"/>
              </w:rPr>
              <w:t>3 ½ day</w:t>
            </w:r>
            <w:r w:rsidRPr="00A8044D">
              <w:rPr>
                <w:rFonts w:ascii="Arial Narrow" w:hAnsi="Arial Narrow" w:cs="Arial"/>
                <w:b/>
                <w:bCs/>
                <w:color w:val="FFFFFF" w:themeColor="background1"/>
                <w:sz w:val="16"/>
                <w:szCs w:val="16"/>
              </w:rPr>
              <w:t xml:space="preserve"> Conf</w:t>
            </w:r>
          </w:p>
        </w:tc>
        <w:tc>
          <w:tcPr>
            <w:tcW w:w="1276" w:type="dxa"/>
            <w:tcBorders>
              <w:top w:val="single" w:sz="18" w:space="0" w:color="C0C0C0"/>
              <w:left w:val="single" w:sz="18" w:space="0" w:color="C0C0C0"/>
              <w:right w:val="single" w:sz="18" w:space="0" w:color="auto"/>
            </w:tcBorders>
            <w:shd w:val="clear" w:color="auto" w:fill="auto"/>
            <w:vAlign w:val="center"/>
          </w:tcPr>
          <w:p w14:paraId="7FC64D6A" w14:textId="34436638" w:rsidR="003D645A" w:rsidRPr="006D04BD" w:rsidRDefault="003D645A" w:rsidP="000F3E04">
            <w:pPr>
              <w:jc w:val="center"/>
              <w:rPr>
                <w:rFonts w:ascii="Arial Narrow" w:hAnsi="Arial Narrow" w:cs="Arial"/>
                <w:b/>
                <w:bCs/>
                <w:sz w:val="16"/>
                <w:szCs w:val="16"/>
                <w:highlight w:val="yellow"/>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15E658C6" w14:textId="77777777" w:rsidR="003D645A" w:rsidRPr="000A0210" w:rsidRDefault="003D645A" w:rsidP="00F279EF">
            <w:pPr>
              <w:jc w:val="center"/>
              <w:rPr>
                <w:rFonts w:ascii="Arial Narrow" w:hAnsi="Arial Narrow"/>
                <w:color w:val="31849B"/>
                <w:sz w:val="16"/>
                <w:szCs w:val="16"/>
              </w:rPr>
            </w:pPr>
            <w:r w:rsidRPr="000A0210">
              <w:rPr>
                <w:rFonts w:ascii="Arial Narrow" w:hAnsi="Arial Narrow"/>
                <w:color w:val="31849B"/>
                <w:sz w:val="16"/>
                <w:szCs w:val="16"/>
              </w:rPr>
              <w:t>Aurukun Cape B Circuit</w:t>
            </w:r>
          </w:p>
          <w:p w14:paraId="7594D7D0" w14:textId="40E85B4D" w:rsidR="003D645A" w:rsidRPr="000A0210" w:rsidRDefault="003D645A" w:rsidP="00F279EF">
            <w:pPr>
              <w:jc w:val="center"/>
              <w:rPr>
                <w:rFonts w:ascii="Arial Narrow" w:hAnsi="Arial Narrow"/>
                <w:sz w:val="16"/>
                <w:szCs w:val="16"/>
              </w:rPr>
            </w:pPr>
            <w:r w:rsidRPr="000A0210">
              <w:rPr>
                <w:rFonts w:ascii="Arial Narrow" w:hAnsi="Arial Narrow"/>
                <w:color w:val="31849B"/>
                <w:sz w:val="16"/>
                <w:szCs w:val="16"/>
              </w:rPr>
              <w:t>Doomadgee Gulf Circuit</w:t>
            </w:r>
          </w:p>
        </w:tc>
      </w:tr>
      <w:tr w:rsidR="003D645A" w:rsidRPr="00BC2C5D" w14:paraId="71742B32" w14:textId="77777777" w:rsidTr="00BD4BA5">
        <w:trPr>
          <w:trHeight w:val="142"/>
        </w:trPr>
        <w:tc>
          <w:tcPr>
            <w:tcW w:w="1111" w:type="dxa"/>
            <w:vMerge/>
            <w:tcBorders>
              <w:left w:val="single" w:sz="18" w:space="0" w:color="auto"/>
              <w:right w:val="single" w:sz="18" w:space="0" w:color="C0C0C0"/>
            </w:tcBorders>
            <w:shd w:val="clear" w:color="auto" w:fill="auto"/>
            <w:vAlign w:val="center"/>
          </w:tcPr>
          <w:p w14:paraId="6465EF0F" w14:textId="77777777" w:rsidR="003D645A" w:rsidRDefault="003D645A" w:rsidP="000F3E04">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uto"/>
            <w:vAlign w:val="center"/>
          </w:tcPr>
          <w:p w14:paraId="35910371" w14:textId="77777777" w:rsidR="003D645A" w:rsidRPr="009416EA" w:rsidRDefault="003D645A" w:rsidP="000F3E04">
            <w:pPr>
              <w:jc w:val="center"/>
              <w:rPr>
                <w:rFonts w:ascii="Arial Narrow" w:hAnsi="Arial Narrow" w:cs="Arial"/>
                <w:sz w:val="16"/>
                <w:szCs w:val="16"/>
                <w:highlight w:val="yellow"/>
              </w:rPr>
            </w:pPr>
          </w:p>
        </w:tc>
        <w:tc>
          <w:tcPr>
            <w:tcW w:w="1418" w:type="dxa"/>
            <w:tcBorders>
              <w:top w:val="nil"/>
              <w:left w:val="single" w:sz="18" w:space="0" w:color="C0C0C0"/>
              <w:bottom w:val="nil"/>
              <w:right w:val="single" w:sz="18" w:space="0" w:color="BFBFBF"/>
            </w:tcBorders>
            <w:shd w:val="clear" w:color="auto" w:fill="A972A9"/>
            <w:vAlign w:val="center"/>
          </w:tcPr>
          <w:p w14:paraId="173DDC99" w14:textId="751E8E5A"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11 CE</w:t>
            </w:r>
          </w:p>
        </w:tc>
        <w:tc>
          <w:tcPr>
            <w:tcW w:w="1417" w:type="dxa"/>
            <w:tcBorders>
              <w:top w:val="nil"/>
              <w:left w:val="single" w:sz="18" w:space="0" w:color="BFBFBF"/>
              <w:bottom w:val="nil"/>
              <w:right w:val="single" w:sz="18" w:space="0" w:color="C0C0C0"/>
            </w:tcBorders>
            <w:shd w:val="clear" w:color="auto" w:fill="A972A9"/>
            <w:vAlign w:val="center"/>
          </w:tcPr>
          <w:p w14:paraId="3B448531" w14:textId="786F8100"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12 CE</w:t>
            </w:r>
          </w:p>
        </w:tc>
        <w:tc>
          <w:tcPr>
            <w:tcW w:w="1276" w:type="dxa"/>
            <w:tcBorders>
              <w:top w:val="nil"/>
              <w:left w:val="single" w:sz="18" w:space="0" w:color="C0C0C0"/>
              <w:bottom w:val="nil"/>
              <w:right w:val="single" w:sz="18" w:space="0" w:color="C0C0C0"/>
            </w:tcBorders>
            <w:shd w:val="clear" w:color="auto" w:fill="A972A9"/>
            <w:vAlign w:val="center"/>
          </w:tcPr>
          <w:p w14:paraId="4EB677B3" w14:textId="1741ACED"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13 Conf</w:t>
            </w:r>
          </w:p>
        </w:tc>
        <w:tc>
          <w:tcPr>
            <w:tcW w:w="1276" w:type="dxa"/>
            <w:tcBorders>
              <w:left w:val="single" w:sz="18" w:space="0" w:color="C0C0C0"/>
              <w:right w:val="single" w:sz="18" w:space="0" w:color="auto"/>
            </w:tcBorders>
            <w:shd w:val="clear" w:color="auto" w:fill="auto"/>
            <w:vAlign w:val="center"/>
          </w:tcPr>
          <w:p w14:paraId="491AF222" w14:textId="77777777" w:rsidR="003D645A" w:rsidRPr="009416EA" w:rsidRDefault="003D645A" w:rsidP="000F3E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29C7CF9B" w14:textId="77777777" w:rsidR="003D645A" w:rsidRPr="000A0210" w:rsidRDefault="003D645A" w:rsidP="00F279EF">
            <w:pPr>
              <w:jc w:val="center"/>
              <w:rPr>
                <w:rFonts w:ascii="Arial Narrow" w:hAnsi="Arial Narrow"/>
                <w:color w:val="31849B"/>
                <w:sz w:val="16"/>
                <w:szCs w:val="16"/>
              </w:rPr>
            </w:pPr>
          </w:p>
        </w:tc>
      </w:tr>
      <w:tr w:rsidR="003D645A" w:rsidRPr="00BC2C5D" w14:paraId="74947D51" w14:textId="77777777" w:rsidTr="00BD4BA5">
        <w:trPr>
          <w:trHeight w:val="142"/>
        </w:trPr>
        <w:tc>
          <w:tcPr>
            <w:tcW w:w="1111" w:type="dxa"/>
            <w:vMerge/>
            <w:tcBorders>
              <w:left w:val="single" w:sz="18" w:space="0" w:color="auto"/>
              <w:right w:val="single" w:sz="18" w:space="0" w:color="C0C0C0"/>
            </w:tcBorders>
            <w:shd w:val="clear" w:color="auto" w:fill="auto"/>
            <w:vAlign w:val="center"/>
          </w:tcPr>
          <w:p w14:paraId="10AA1EB8" w14:textId="77777777" w:rsidR="003D645A" w:rsidRDefault="003D645A" w:rsidP="000F3E04">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uto"/>
            <w:vAlign w:val="center"/>
          </w:tcPr>
          <w:p w14:paraId="69692E91" w14:textId="77777777" w:rsidR="003D645A" w:rsidRPr="009416EA" w:rsidRDefault="003D645A" w:rsidP="000F3E04">
            <w:pPr>
              <w:jc w:val="center"/>
              <w:rPr>
                <w:rFonts w:ascii="Arial Narrow" w:hAnsi="Arial Narrow" w:cs="Arial"/>
                <w:sz w:val="16"/>
                <w:szCs w:val="16"/>
                <w:highlight w:val="yellow"/>
              </w:rPr>
            </w:pPr>
          </w:p>
        </w:tc>
        <w:tc>
          <w:tcPr>
            <w:tcW w:w="1418" w:type="dxa"/>
            <w:tcBorders>
              <w:top w:val="nil"/>
              <w:left w:val="single" w:sz="18" w:space="0" w:color="C0C0C0"/>
              <w:bottom w:val="nil"/>
              <w:right w:val="single" w:sz="18" w:space="0" w:color="BFBFBF"/>
            </w:tcBorders>
            <w:shd w:val="clear" w:color="auto" w:fill="20849B"/>
            <w:vAlign w:val="center"/>
          </w:tcPr>
          <w:p w14:paraId="032C5396" w14:textId="13D0B9B5"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11 CE</w:t>
            </w:r>
          </w:p>
        </w:tc>
        <w:tc>
          <w:tcPr>
            <w:tcW w:w="1417" w:type="dxa"/>
            <w:tcBorders>
              <w:top w:val="nil"/>
              <w:left w:val="single" w:sz="18" w:space="0" w:color="BFBFBF"/>
              <w:bottom w:val="nil"/>
              <w:right w:val="single" w:sz="18" w:space="0" w:color="C0C0C0"/>
            </w:tcBorders>
            <w:shd w:val="clear" w:color="auto" w:fill="20849B"/>
            <w:vAlign w:val="center"/>
          </w:tcPr>
          <w:p w14:paraId="568F4BFA" w14:textId="57D82F3F"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12 Conf</w:t>
            </w:r>
          </w:p>
        </w:tc>
        <w:tc>
          <w:tcPr>
            <w:tcW w:w="1276" w:type="dxa"/>
            <w:tcBorders>
              <w:top w:val="nil"/>
              <w:left w:val="single" w:sz="18" w:space="0" w:color="C0C0C0"/>
              <w:bottom w:val="nil"/>
              <w:right w:val="single" w:sz="18" w:space="0" w:color="C0C0C0"/>
            </w:tcBorders>
            <w:shd w:val="clear" w:color="auto" w:fill="20849B"/>
            <w:vAlign w:val="center"/>
          </w:tcPr>
          <w:p w14:paraId="52628F49" w14:textId="6A032A36"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13 ½ day CE</w:t>
            </w:r>
          </w:p>
        </w:tc>
        <w:tc>
          <w:tcPr>
            <w:tcW w:w="1276" w:type="dxa"/>
            <w:tcBorders>
              <w:left w:val="single" w:sz="18" w:space="0" w:color="C0C0C0"/>
              <w:right w:val="single" w:sz="18" w:space="0" w:color="auto"/>
            </w:tcBorders>
            <w:shd w:val="clear" w:color="auto" w:fill="auto"/>
            <w:vAlign w:val="center"/>
          </w:tcPr>
          <w:p w14:paraId="2A1FCFB8" w14:textId="77777777" w:rsidR="003D645A" w:rsidRPr="009416EA" w:rsidRDefault="003D645A" w:rsidP="000F3E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21708469" w14:textId="77777777" w:rsidR="003D645A" w:rsidRPr="000A0210" w:rsidRDefault="003D645A" w:rsidP="00F279EF">
            <w:pPr>
              <w:jc w:val="center"/>
              <w:rPr>
                <w:rFonts w:ascii="Arial Narrow" w:hAnsi="Arial Narrow"/>
                <w:color w:val="31849B"/>
                <w:sz w:val="16"/>
                <w:szCs w:val="16"/>
              </w:rPr>
            </w:pPr>
          </w:p>
        </w:tc>
      </w:tr>
      <w:tr w:rsidR="003D645A" w:rsidRPr="00BC2C5D" w14:paraId="2CEBE507" w14:textId="77777777" w:rsidTr="00BD4BA5">
        <w:trPr>
          <w:trHeight w:val="142"/>
        </w:trPr>
        <w:tc>
          <w:tcPr>
            <w:tcW w:w="1111" w:type="dxa"/>
            <w:vMerge/>
            <w:tcBorders>
              <w:left w:val="single" w:sz="18" w:space="0" w:color="auto"/>
              <w:right w:val="single" w:sz="18" w:space="0" w:color="C0C0C0"/>
            </w:tcBorders>
            <w:shd w:val="clear" w:color="auto" w:fill="auto"/>
            <w:vAlign w:val="center"/>
          </w:tcPr>
          <w:p w14:paraId="7F989012" w14:textId="77777777" w:rsidR="003D645A" w:rsidRDefault="003D645A" w:rsidP="000F3E04">
            <w:pPr>
              <w:jc w:val="center"/>
              <w:rPr>
                <w:rFonts w:ascii="Arial Narrow" w:hAnsi="Arial Narrow" w:cs="Arial"/>
                <w:sz w:val="16"/>
                <w:szCs w:val="16"/>
              </w:rPr>
            </w:pPr>
          </w:p>
        </w:tc>
        <w:tc>
          <w:tcPr>
            <w:tcW w:w="1134"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1ADC084A" w14:textId="725C8DE5"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10 CE</w:t>
            </w:r>
          </w:p>
        </w:tc>
        <w:tc>
          <w:tcPr>
            <w:tcW w:w="1418" w:type="dxa"/>
            <w:tcBorders>
              <w:top w:val="nil"/>
              <w:left w:val="single" w:sz="18" w:space="0" w:color="C0C0C0"/>
              <w:right w:val="single" w:sz="18" w:space="0" w:color="BFBFBF"/>
            </w:tcBorders>
            <w:shd w:val="clear" w:color="auto" w:fill="769250"/>
            <w:vAlign w:val="center"/>
          </w:tcPr>
          <w:p w14:paraId="0636BB34" w14:textId="7ACA0C05"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11 CE</w:t>
            </w:r>
          </w:p>
        </w:tc>
        <w:tc>
          <w:tcPr>
            <w:tcW w:w="1417" w:type="dxa"/>
            <w:tcBorders>
              <w:top w:val="nil"/>
              <w:left w:val="single" w:sz="18" w:space="0" w:color="BFBFBF"/>
              <w:right w:val="single" w:sz="18" w:space="0" w:color="C0C0C0"/>
            </w:tcBorders>
            <w:shd w:val="clear" w:color="auto" w:fill="769250"/>
            <w:vAlign w:val="center"/>
          </w:tcPr>
          <w:p w14:paraId="7CB875D4" w14:textId="333F6D52"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12 Conf</w:t>
            </w:r>
          </w:p>
        </w:tc>
        <w:tc>
          <w:tcPr>
            <w:tcW w:w="1276" w:type="dxa"/>
            <w:tcBorders>
              <w:top w:val="nil"/>
              <w:left w:val="single" w:sz="18" w:space="0" w:color="C0C0C0"/>
              <w:right w:val="single" w:sz="18" w:space="0" w:color="C0C0C0"/>
            </w:tcBorders>
            <w:shd w:val="clear" w:color="auto" w:fill="769250"/>
            <w:vAlign w:val="center"/>
          </w:tcPr>
          <w:p w14:paraId="4B8D5235" w14:textId="7C06BF25"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13 CE</w:t>
            </w:r>
          </w:p>
        </w:tc>
        <w:tc>
          <w:tcPr>
            <w:tcW w:w="1276" w:type="dxa"/>
            <w:tcBorders>
              <w:left w:val="single" w:sz="18" w:space="0" w:color="C0C0C0"/>
              <w:right w:val="single" w:sz="18" w:space="0" w:color="auto"/>
            </w:tcBorders>
            <w:shd w:val="clear" w:color="auto" w:fill="auto"/>
            <w:vAlign w:val="center"/>
          </w:tcPr>
          <w:p w14:paraId="07978F67" w14:textId="77777777" w:rsidR="003D645A" w:rsidRPr="009416EA" w:rsidRDefault="003D645A" w:rsidP="000F3E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5C651538" w14:textId="77777777" w:rsidR="003D645A" w:rsidRPr="000A0210" w:rsidRDefault="003D645A" w:rsidP="00F279EF">
            <w:pPr>
              <w:jc w:val="center"/>
              <w:rPr>
                <w:rFonts w:ascii="Arial Narrow" w:hAnsi="Arial Narrow"/>
                <w:color w:val="31849B"/>
                <w:sz w:val="16"/>
                <w:szCs w:val="16"/>
              </w:rPr>
            </w:pPr>
          </w:p>
        </w:tc>
      </w:tr>
      <w:tr w:rsidR="00F74BE3" w:rsidRPr="00BC2C5D" w14:paraId="5AD4A603" w14:textId="77777777" w:rsidTr="00F74BE3">
        <w:trPr>
          <w:trHeight w:val="567"/>
        </w:trPr>
        <w:tc>
          <w:tcPr>
            <w:tcW w:w="1111"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272CEBA9" w:rsidR="00F74BE3" w:rsidRDefault="00F74BE3" w:rsidP="000F3E04">
            <w:pPr>
              <w:jc w:val="center"/>
              <w:rPr>
                <w:rFonts w:ascii="Arial Narrow" w:hAnsi="Arial Narrow" w:cs="Arial"/>
                <w:sz w:val="16"/>
                <w:szCs w:val="16"/>
              </w:rPr>
            </w:pPr>
            <w:r>
              <w:rPr>
                <w:rFonts w:ascii="Arial Narrow" w:hAnsi="Arial Narrow" w:cs="Arial"/>
                <w:sz w:val="16"/>
                <w:szCs w:val="16"/>
              </w:rPr>
              <w:t>17 June</w:t>
            </w:r>
          </w:p>
        </w:tc>
        <w:tc>
          <w:tcPr>
            <w:tcW w:w="1134" w:type="dxa"/>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59FBB15C" w:rsidR="00F74BE3" w:rsidRPr="00A8044D" w:rsidRDefault="00F74BE3" w:rsidP="000F3E04">
            <w:pPr>
              <w:jc w:val="center"/>
              <w:rPr>
                <w:rFonts w:ascii="Arial Narrow" w:hAnsi="Arial Narrow" w:cs="Arial"/>
                <w:b/>
                <w:bCs/>
                <w:color w:val="FFFFFF" w:themeColor="background1"/>
                <w:sz w:val="16"/>
                <w:szCs w:val="16"/>
              </w:rPr>
            </w:pPr>
          </w:p>
        </w:tc>
        <w:tc>
          <w:tcPr>
            <w:tcW w:w="1418" w:type="dxa"/>
            <w:tcBorders>
              <w:top w:val="single" w:sz="18" w:space="0" w:color="BFBFBF" w:themeColor="background1" w:themeShade="BF"/>
              <w:left w:val="single" w:sz="18" w:space="0" w:color="C0C0C0"/>
              <w:right w:val="single" w:sz="18" w:space="0" w:color="BFBFBF"/>
            </w:tcBorders>
            <w:shd w:val="clear" w:color="auto" w:fill="FFFF00"/>
            <w:vAlign w:val="center"/>
          </w:tcPr>
          <w:p w14:paraId="4BFA58B9" w14:textId="77777777" w:rsidR="00FB5F24" w:rsidRDefault="00F74BE3" w:rsidP="00B51337">
            <w:pPr>
              <w:jc w:val="center"/>
              <w:rPr>
                <w:rFonts w:ascii="Arial Narrow" w:hAnsi="Arial Narrow" w:cs="Arial"/>
                <w:b/>
                <w:bCs/>
                <w:sz w:val="16"/>
                <w:szCs w:val="16"/>
              </w:rPr>
            </w:pPr>
            <w:r w:rsidRPr="00F74BE3">
              <w:rPr>
                <w:rFonts w:ascii="Arial Narrow" w:hAnsi="Arial Narrow" w:cs="Arial"/>
                <w:b/>
                <w:bCs/>
                <w:sz w:val="16"/>
                <w:szCs w:val="16"/>
              </w:rPr>
              <w:t>18</w:t>
            </w:r>
            <w:r w:rsidR="00FB5F24">
              <w:rPr>
                <w:rFonts w:ascii="Arial Narrow" w:hAnsi="Arial Narrow" w:cs="Arial"/>
                <w:b/>
                <w:bCs/>
                <w:sz w:val="16"/>
                <w:szCs w:val="16"/>
              </w:rPr>
              <w:t xml:space="preserve"> ½ day Conf</w:t>
            </w:r>
          </w:p>
          <w:p w14:paraId="6101D748" w14:textId="5C9357D4" w:rsidR="00F74BE3" w:rsidRPr="00F74BE3" w:rsidRDefault="00FB5F24" w:rsidP="00B51337">
            <w:pPr>
              <w:jc w:val="center"/>
              <w:rPr>
                <w:rFonts w:ascii="Arial Narrow" w:hAnsi="Arial Narrow" w:cs="Arial"/>
                <w:b/>
                <w:bCs/>
                <w:sz w:val="16"/>
                <w:szCs w:val="16"/>
              </w:rPr>
            </w:pPr>
            <w:r>
              <w:rPr>
                <w:rFonts w:ascii="Arial Narrow" w:hAnsi="Arial Narrow" w:cs="Arial"/>
                <w:b/>
                <w:bCs/>
                <w:sz w:val="16"/>
                <w:szCs w:val="16"/>
              </w:rPr>
              <w:t>18 ½ day</w:t>
            </w:r>
            <w:r w:rsidR="00F74BE3" w:rsidRPr="00F74BE3">
              <w:rPr>
                <w:rFonts w:ascii="Arial Narrow" w:hAnsi="Arial Narrow" w:cs="Arial"/>
                <w:b/>
                <w:bCs/>
                <w:sz w:val="16"/>
                <w:szCs w:val="16"/>
              </w:rPr>
              <w:t xml:space="preserve"> CE</w:t>
            </w:r>
          </w:p>
        </w:tc>
        <w:tc>
          <w:tcPr>
            <w:tcW w:w="1417" w:type="dxa"/>
            <w:tcBorders>
              <w:top w:val="single" w:sz="18" w:space="0" w:color="C0C0C0"/>
              <w:left w:val="single" w:sz="18" w:space="0" w:color="BFBFBF"/>
              <w:right w:val="single" w:sz="18" w:space="0" w:color="C0C0C0"/>
            </w:tcBorders>
            <w:shd w:val="clear" w:color="auto" w:fill="FF0000"/>
            <w:vAlign w:val="center"/>
          </w:tcPr>
          <w:p w14:paraId="1EACD015" w14:textId="6BE83AB1" w:rsidR="00F74BE3" w:rsidRPr="00A8044D" w:rsidRDefault="00F74BE3" w:rsidP="00224EBA">
            <w:pPr>
              <w:jc w:val="center"/>
              <w:rPr>
                <w:rFonts w:ascii="Arial Narrow" w:hAnsi="Arial Narrow" w:cs="Arial"/>
                <w:b/>
                <w:bCs/>
                <w:color w:val="FFFFFF" w:themeColor="background1"/>
                <w:sz w:val="16"/>
                <w:szCs w:val="16"/>
              </w:rPr>
            </w:pPr>
            <w:r w:rsidRPr="00AB6B0B">
              <w:rPr>
                <w:rFonts w:ascii="Arial Narrow" w:hAnsi="Arial Narrow" w:cs="Arial"/>
                <w:b/>
                <w:bCs/>
                <w:color w:val="FFFFFF" w:themeColor="background1"/>
                <w:sz w:val="16"/>
                <w:szCs w:val="16"/>
              </w:rPr>
              <w:t>19 CE</w:t>
            </w:r>
          </w:p>
        </w:tc>
        <w:tc>
          <w:tcPr>
            <w:tcW w:w="1276" w:type="dxa"/>
            <w:tcBorders>
              <w:top w:val="single" w:sz="18" w:space="0" w:color="C0C0C0"/>
              <w:left w:val="single" w:sz="18" w:space="0" w:color="C0C0C0"/>
              <w:right w:val="single" w:sz="18" w:space="0" w:color="C0C0C0"/>
            </w:tcBorders>
            <w:shd w:val="clear" w:color="auto" w:fill="FF0000"/>
            <w:vAlign w:val="center"/>
          </w:tcPr>
          <w:p w14:paraId="66B770D2" w14:textId="3EF42191" w:rsidR="00F74BE3" w:rsidRPr="00F74BE3" w:rsidRDefault="00F74BE3" w:rsidP="00DA0EF0">
            <w:pPr>
              <w:jc w:val="center"/>
              <w:rPr>
                <w:rFonts w:ascii="Arial Narrow" w:hAnsi="Arial Narrow" w:cs="Arial"/>
                <w:color w:val="FFFFFF" w:themeColor="background1"/>
                <w:sz w:val="16"/>
                <w:szCs w:val="16"/>
              </w:rPr>
            </w:pPr>
            <w:r w:rsidRPr="00F74BE3">
              <w:rPr>
                <w:rFonts w:ascii="Arial Narrow" w:hAnsi="Arial Narrow" w:cs="Arial"/>
                <w:b/>
                <w:bCs/>
                <w:color w:val="FFFFFF" w:themeColor="background1"/>
                <w:sz w:val="16"/>
                <w:szCs w:val="16"/>
              </w:rPr>
              <w:t>20 CE</w:t>
            </w:r>
          </w:p>
        </w:tc>
        <w:tc>
          <w:tcPr>
            <w:tcW w:w="1276" w:type="dxa"/>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F74BE3" w:rsidRPr="009416EA" w:rsidRDefault="00F74BE3" w:rsidP="000F3E04">
            <w:pPr>
              <w:jc w:val="center"/>
              <w:rPr>
                <w:rFonts w:ascii="Arial Narrow" w:hAnsi="Arial Narrow" w:cs="Arial"/>
                <w:sz w:val="16"/>
                <w:szCs w:val="16"/>
                <w:highlight w:val="yellow"/>
              </w:rPr>
            </w:pPr>
          </w:p>
        </w:tc>
        <w:tc>
          <w:tcPr>
            <w:tcW w:w="3226" w:type="dxa"/>
            <w:tcBorders>
              <w:top w:val="single" w:sz="18" w:space="0" w:color="BFBFBF" w:themeColor="background1" w:themeShade="BF"/>
              <w:left w:val="single" w:sz="18" w:space="0" w:color="auto"/>
              <w:right w:val="single" w:sz="18" w:space="0" w:color="auto"/>
            </w:tcBorders>
            <w:shd w:val="clear" w:color="auto" w:fill="auto"/>
            <w:vAlign w:val="center"/>
          </w:tcPr>
          <w:p w14:paraId="34E89CD0" w14:textId="131BCE88" w:rsidR="00F74BE3" w:rsidRPr="000A0210" w:rsidRDefault="00F74BE3" w:rsidP="000F3E04">
            <w:pPr>
              <w:spacing w:line="240" w:lineRule="auto"/>
              <w:jc w:val="center"/>
              <w:rPr>
                <w:rFonts w:ascii="Arial Narrow" w:hAnsi="Arial Narrow"/>
                <w:sz w:val="16"/>
                <w:szCs w:val="16"/>
              </w:rPr>
            </w:pPr>
            <w:r w:rsidRPr="000A0210">
              <w:rPr>
                <w:rFonts w:ascii="Arial Narrow" w:hAnsi="Arial Narrow" w:cs="Arial"/>
                <w:b/>
                <w:bCs/>
                <w:sz w:val="16"/>
                <w:szCs w:val="16"/>
              </w:rPr>
              <w:t>21-22 Mount Isa Show</w:t>
            </w:r>
          </w:p>
        </w:tc>
      </w:tr>
      <w:tr w:rsidR="000F3E04" w:rsidRPr="00BC2C5D" w14:paraId="358400C0" w14:textId="77777777" w:rsidTr="00BD4BA5">
        <w:trPr>
          <w:trHeight w:val="567"/>
        </w:trPr>
        <w:tc>
          <w:tcPr>
            <w:tcW w:w="1111"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65A6AA14" w:rsidR="000F3E04" w:rsidRDefault="000F3E04" w:rsidP="000F3E04">
            <w:pPr>
              <w:jc w:val="center"/>
              <w:rPr>
                <w:rFonts w:ascii="Arial Narrow" w:hAnsi="Arial Narrow" w:cs="Arial"/>
                <w:sz w:val="16"/>
                <w:szCs w:val="16"/>
              </w:rPr>
            </w:pPr>
            <w:r>
              <w:rPr>
                <w:rFonts w:ascii="Arial Narrow" w:hAnsi="Arial Narrow" w:cs="Arial"/>
                <w:sz w:val="16"/>
                <w:szCs w:val="16"/>
              </w:rPr>
              <w:t>2</w:t>
            </w:r>
            <w:r w:rsidR="00D238C3">
              <w:rPr>
                <w:rFonts w:ascii="Arial Narrow" w:hAnsi="Arial Narrow" w:cs="Arial"/>
                <w:sz w:val="16"/>
                <w:szCs w:val="16"/>
              </w:rPr>
              <w:t>4 June</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507C9A6E" w:rsidR="000F3E04" w:rsidRPr="00247AC2" w:rsidRDefault="000F3E04" w:rsidP="000F3E04">
            <w:pPr>
              <w:jc w:val="center"/>
              <w:rPr>
                <w:rFonts w:ascii="Arial Narrow" w:hAnsi="Arial Narrow" w:cs="Arial"/>
                <w:sz w:val="15"/>
                <w:szCs w:val="15"/>
                <w:highlight w:val="yellow"/>
              </w:rPr>
            </w:pPr>
          </w:p>
        </w:tc>
        <w:tc>
          <w:tcPr>
            <w:tcW w:w="1418"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56D55076" w:rsidR="000F3E04" w:rsidRPr="00247AC2" w:rsidRDefault="000F3E04" w:rsidP="000F3E04">
            <w:pPr>
              <w:jc w:val="center"/>
              <w:rPr>
                <w:rFonts w:ascii="Arial Narrow" w:hAnsi="Arial Narrow" w:cs="Arial"/>
                <w:color w:val="000000"/>
                <w:sz w:val="15"/>
                <w:szCs w:val="15"/>
              </w:rPr>
            </w:pP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0F3E04" w:rsidRPr="00247AC2" w:rsidRDefault="000F3E04" w:rsidP="000F3E04">
            <w:pPr>
              <w:jc w:val="center"/>
              <w:rPr>
                <w:rFonts w:ascii="Arial Narrow" w:hAnsi="Arial Narrow" w:cs="Arial"/>
                <w:color w:val="000000"/>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0F3E04" w:rsidRPr="00247AC2" w:rsidRDefault="000F3E04" w:rsidP="000F3E04">
            <w:pPr>
              <w:jc w:val="center"/>
              <w:rPr>
                <w:rFonts w:ascii="Arial Narrow" w:hAnsi="Arial Narrow" w:cs="Arial"/>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0F3E04" w:rsidRPr="00247AC2" w:rsidRDefault="000F3E04" w:rsidP="000F3E04">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A84D8F4" w14:textId="2402DB64" w:rsidR="000F3E04" w:rsidRPr="00247AC2" w:rsidRDefault="000F3E04" w:rsidP="00247AC2">
            <w:pPr>
              <w:jc w:val="center"/>
              <w:rPr>
                <w:rFonts w:ascii="Arial Narrow" w:hAnsi="Arial Narrow" w:cs="Arial"/>
                <w:b/>
                <w:bCs/>
                <w:sz w:val="16"/>
                <w:szCs w:val="16"/>
              </w:rPr>
            </w:pPr>
          </w:p>
        </w:tc>
      </w:tr>
    </w:tbl>
    <w:p w14:paraId="5919018A" w14:textId="6CA67322" w:rsidR="00FA7DA0" w:rsidRDefault="00FA7DA0" w:rsidP="000A0210">
      <w:pPr>
        <w:rPr>
          <w:rFonts w:ascii="Arial Narrow" w:hAnsi="Arial Narrow"/>
        </w:rPr>
      </w:pPr>
    </w:p>
    <w:p w14:paraId="489BDA62" w14:textId="77777777" w:rsidR="00FA7DA0" w:rsidRDefault="00FA7DA0">
      <w:pPr>
        <w:spacing w:line="240" w:lineRule="auto"/>
        <w:rPr>
          <w:rFonts w:ascii="Arial Narrow" w:hAnsi="Arial Narrow"/>
        </w:rPr>
      </w:pPr>
      <w:r>
        <w:rPr>
          <w:rFonts w:ascii="Arial Narrow" w:hAnsi="Arial Narrow"/>
        </w:rPr>
        <w:br w:type="page"/>
      </w:r>
    </w:p>
    <w:p w14:paraId="0FAFF714" w14:textId="77777777" w:rsidR="000A0210" w:rsidRPr="000A0210" w:rsidRDefault="000A0210" w:rsidP="000A0210">
      <w:pPr>
        <w:rPr>
          <w:rFonts w:ascii="Arial Narrow" w:hAnsi="Arial Narrow"/>
        </w:rPr>
      </w:pPr>
    </w:p>
    <w:p w14:paraId="0D98CD12" w14:textId="258ACE4C"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3BCF515" w:rsidR="00FA3323" w:rsidRPr="00D20D53" w:rsidRDefault="00FA3323" w:rsidP="00A15FC1">
            <w:pPr>
              <w:rPr>
                <w:rFonts w:ascii="Arial Narrow" w:hAnsi="Arial Narrow"/>
                <w:sz w:val="18"/>
                <w:szCs w:val="18"/>
              </w:rPr>
            </w:pPr>
            <w:r w:rsidRPr="00D20D53">
              <w:rPr>
                <w:rFonts w:ascii="Arial" w:hAnsi="Arial" w:cs="Arial"/>
                <w:sz w:val="18"/>
                <w:szCs w:val="18"/>
              </w:rPr>
              <w:t>Office Days</w:t>
            </w:r>
            <w:r w:rsidR="006049DC">
              <w:rPr>
                <w:rFonts w:ascii="Arial" w:hAnsi="Arial" w:cs="Arial"/>
                <w:sz w:val="18"/>
                <w:szCs w:val="18"/>
              </w:rPr>
              <w:t>/School Holidays</w:t>
            </w:r>
          </w:p>
        </w:tc>
      </w:tr>
      <w:tr w:rsidR="00FA3323" w:rsidRPr="0036066B" w14:paraId="2B38FB28" w14:textId="77777777" w:rsidTr="00432753">
        <w:tc>
          <w:tcPr>
            <w:tcW w:w="710" w:type="dxa"/>
            <w:tcBorders>
              <w:bottom w:val="single" w:sz="4" w:space="0" w:color="auto"/>
            </w:tcBorders>
            <w:shd w:val="clear" w:color="auto" w:fill="auto"/>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1BDC4B7F" w:rsidR="00FA3323" w:rsidRPr="00432753" w:rsidRDefault="00FA3323" w:rsidP="00A15FC1">
            <w:pPr>
              <w:rPr>
                <w:rFonts w:ascii="Arial Narrow" w:hAnsi="Arial Narrow"/>
                <w:b/>
                <w:bCs/>
                <w:sz w:val="18"/>
                <w:szCs w:val="18"/>
              </w:rPr>
            </w:pPr>
            <w:r w:rsidRPr="00432753">
              <w:rPr>
                <w:rFonts w:ascii="Arial" w:hAnsi="Arial" w:cs="Arial"/>
                <w:b/>
                <w:bCs/>
                <w:sz w:val="18"/>
                <w:szCs w:val="18"/>
              </w:rPr>
              <w:t>Public</w:t>
            </w:r>
            <w:r w:rsidR="00432753" w:rsidRPr="00432753">
              <w:rPr>
                <w:rFonts w:ascii="Arial" w:hAnsi="Arial" w:cs="Arial"/>
                <w:b/>
                <w:bCs/>
                <w:sz w:val="18"/>
                <w:szCs w:val="18"/>
              </w:rPr>
              <w:t>/Bank</w:t>
            </w:r>
            <w:r w:rsidRPr="00432753">
              <w:rPr>
                <w:rFonts w:ascii="Arial" w:hAnsi="Arial" w:cs="Arial"/>
                <w:b/>
                <w:bCs/>
                <w:sz w:val="18"/>
                <w:szCs w:val="18"/>
              </w:rPr>
              <w:t xml:space="preserve">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1C557DBF" w:rsidR="00583BA9" w:rsidRPr="00583BA9" w:rsidRDefault="00583BA9" w:rsidP="00583BA9">
            <w:pPr>
              <w:rPr>
                <w:rFonts w:ascii="Arial" w:hAnsi="Arial" w:cs="Arial"/>
                <w:sz w:val="18"/>
                <w:szCs w:val="18"/>
              </w:rPr>
            </w:pPr>
            <w:r w:rsidRPr="00583BA9">
              <w:rPr>
                <w:rFonts w:ascii="Arial" w:hAnsi="Arial" w:cs="Arial"/>
                <w:sz w:val="18"/>
                <w:szCs w:val="18"/>
              </w:rPr>
              <w:t>Cairns –</w:t>
            </w:r>
            <w:r w:rsidR="002D7B26">
              <w:rPr>
                <w:rFonts w:ascii="Arial" w:hAnsi="Arial" w:cs="Arial"/>
                <w:sz w:val="18"/>
                <w:szCs w:val="18"/>
              </w:rPr>
              <w:t xml:space="preserve"> Acting</w:t>
            </w:r>
            <w:r w:rsidRPr="00583BA9">
              <w:rPr>
                <w:rFonts w:ascii="Arial" w:hAnsi="Arial" w:cs="Arial"/>
                <w:sz w:val="18"/>
                <w:szCs w:val="18"/>
              </w:rPr>
              <w:t xml:space="preserve"> Registrar</w:t>
            </w:r>
          </w:p>
        </w:tc>
        <w:tc>
          <w:tcPr>
            <w:tcW w:w="2308" w:type="dxa"/>
            <w:shd w:val="clear" w:color="auto" w:fill="auto"/>
            <w:vAlign w:val="center"/>
          </w:tcPr>
          <w:p w14:paraId="73035401" w14:textId="7A2D2B56" w:rsidR="00583BA9" w:rsidRPr="00583BA9" w:rsidRDefault="002D7B26" w:rsidP="00583BA9">
            <w:pPr>
              <w:rPr>
                <w:rFonts w:ascii="Arial" w:hAnsi="Arial" w:cs="Arial"/>
                <w:sz w:val="18"/>
                <w:szCs w:val="18"/>
              </w:rPr>
            </w:pPr>
            <w:r>
              <w:rPr>
                <w:rFonts w:ascii="Arial" w:hAnsi="Arial" w:cs="Arial"/>
                <w:sz w:val="18"/>
                <w:szCs w:val="18"/>
              </w:rPr>
              <w:t>Helen Weedon</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7B665BB9" w:rsidR="00583BA9" w:rsidRPr="00583BA9" w:rsidRDefault="00583BA9" w:rsidP="00583BA9">
            <w:pPr>
              <w:rPr>
                <w:rFonts w:ascii="Arial" w:hAnsi="Arial" w:cs="Arial"/>
                <w:sz w:val="18"/>
                <w:szCs w:val="18"/>
              </w:rPr>
            </w:pPr>
            <w:r w:rsidRPr="00583BA9">
              <w:rPr>
                <w:rFonts w:ascii="Arial" w:hAnsi="Arial" w:cs="Arial"/>
                <w:sz w:val="18"/>
                <w:szCs w:val="18"/>
              </w:rPr>
              <w:t>Cairns –</w:t>
            </w:r>
            <w:r w:rsidR="007711C5">
              <w:rPr>
                <w:rFonts w:ascii="Arial" w:hAnsi="Arial" w:cs="Arial"/>
                <w:sz w:val="18"/>
                <w:szCs w:val="18"/>
              </w:rPr>
              <w:t xml:space="preserve"> </w:t>
            </w:r>
            <w:r w:rsidRPr="00583BA9">
              <w:rPr>
                <w:rFonts w:ascii="Arial" w:hAnsi="Arial" w:cs="Arial"/>
                <w:sz w:val="18"/>
                <w:szCs w:val="18"/>
              </w:rPr>
              <w:t>Executive Officer (</w:t>
            </w:r>
            <w:r w:rsidR="007711C5">
              <w:rPr>
                <w:rFonts w:ascii="Arial" w:hAnsi="Arial" w:cs="Arial"/>
                <w:sz w:val="18"/>
                <w:szCs w:val="18"/>
              </w:rPr>
              <w:t>Corporate</w:t>
            </w:r>
            <w:r w:rsidRPr="00583BA9">
              <w:rPr>
                <w:rFonts w:ascii="Arial" w:hAnsi="Arial" w:cs="Arial"/>
                <w:sz w:val="18"/>
                <w:szCs w:val="18"/>
              </w:rPr>
              <w:t>)</w:t>
            </w:r>
          </w:p>
        </w:tc>
        <w:tc>
          <w:tcPr>
            <w:tcW w:w="2308" w:type="dxa"/>
            <w:shd w:val="clear" w:color="auto" w:fill="auto"/>
            <w:vAlign w:val="center"/>
          </w:tcPr>
          <w:p w14:paraId="7AF4D22C" w14:textId="2253871C" w:rsidR="00583BA9" w:rsidRPr="00583BA9" w:rsidRDefault="002D7B26" w:rsidP="00583BA9">
            <w:pPr>
              <w:rPr>
                <w:rFonts w:ascii="Arial" w:hAnsi="Arial" w:cs="Arial"/>
                <w:sz w:val="18"/>
                <w:szCs w:val="18"/>
              </w:rPr>
            </w:pPr>
            <w:r>
              <w:rPr>
                <w:rFonts w:ascii="Arial" w:hAnsi="Arial" w:cs="Arial"/>
                <w:sz w:val="18"/>
                <w:szCs w:val="18"/>
              </w:rPr>
              <w:t>Wayne Massey</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shd w:val="clear" w:color="auto" w:fill="auto"/>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shd w:val="clear" w:color="auto" w:fill="auto"/>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shd w:val="clear" w:color="auto" w:fill="auto"/>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shd w:val="clear" w:color="auto" w:fill="auto"/>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shd w:val="clear" w:color="auto" w:fill="auto"/>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7EAB3040"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shd w:val="clear" w:color="auto" w:fill="auto"/>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08670D9A" w:rsidR="00583BA9" w:rsidRPr="00583BA9" w:rsidRDefault="00583BA9" w:rsidP="00583BA9">
            <w:pPr>
              <w:rPr>
                <w:rFonts w:ascii="Arial" w:hAnsi="Arial" w:cs="Arial"/>
                <w:sz w:val="18"/>
                <w:szCs w:val="18"/>
              </w:rPr>
            </w:pPr>
            <w:r w:rsidRPr="00583BA9">
              <w:rPr>
                <w:rFonts w:ascii="Arial" w:hAnsi="Arial" w:cs="Arial"/>
                <w:sz w:val="18"/>
                <w:szCs w:val="18"/>
              </w:rPr>
              <w:t>Coen Local Registry Coordinator</w:t>
            </w:r>
          </w:p>
        </w:tc>
        <w:tc>
          <w:tcPr>
            <w:tcW w:w="2308" w:type="dxa"/>
            <w:shd w:val="clear" w:color="auto" w:fill="auto"/>
            <w:vAlign w:val="center"/>
          </w:tcPr>
          <w:p w14:paraId="4D4CC50C" w14:textId="2CA51959"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74817448" w:rsidR="00583BA9" w:rsidRPr="00583BA9" w:rsidRDefault="00583BA9" w:rsidP="00583BA9">
            <w:pPr>
              <w:rPr>
                <w:rFonts w:ascii="Arial" w:hAnsi="Arial" w:cs="Arial"/>
                <w:sz w:val="18"/>
                <w:szCs w:val="18"/>
              </w:rPr>
            </w:pPr>
            <w:r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E4524C" w:rsidR="00967E77" w:rsidRDefault="00967E77" w:rsidP="00D1560D">
      <w:pPr>
        <w:rPr>
          <w:rFonts w:ascii="Arial Narrow" w:hAnsi="Arial Narrow"/>
        </w:rPr>
      </w:pPr>
    </w:p>
    <w:sectPr w:rsidR="00967E77" w:rsidSect="004E6485">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286295" w:rsidRPr="00504360" w:rsidRDefault="00286295" w:rsidP="00286295">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286295" w:rsidRPr="00504360" w:rsidRDefault="00286295" w:rsidP="00286295">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5C039B3D"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w:t>
      </w:r>
      <w:r w:rsidR="00984286">
        <w:rPr>
          <w:sz w:val="16"/>
          <w:szCs w:val="16"/>
        </w:rPr>
        <w:t>on the Table of Contents page</w:t>
      </w:r>
      <w:r w:rsidRPr="007F1AF6">
        <w:rPr>
          <w:sz w:val="16"/>
          <w:szCs w:val="16"/>
        </w:rPr>
        <w:t>.</w:t>
      </w:r>
    </w:p>
  </w:footnote>
  <w:footnote w:id="6">
    <w:p w14:paraId="255B35DE" w14:textId="295C6E52" w:rsidR="00324B7B" w:rsidRDefault="00324B7B">
      <w:pPr>
        <w:pStyle w:val="FootnoteText"/>
      </w:pPr>
      <w:r>
        <w:rPr>
          <w:rStyle w:val="FootnoteReference"/>
        </w:rPr>
        <w:footnoteRef/>
      </w:r>
      <w:r>
        <w:t xml:space="preserve"> </w:t>
      </w:r>
      <w:bookmarkStart w:id="11" w:name="_Hlk97300676"/>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bookmarkEnd w:id="11"/>
      <w:r w:rsidR="00984286">
        <w:rPr>
          <w:sz w:val="16"/>
          <w:szCs w:val="16"/>
        </w:rPr>
        <w:t>.</w:t>
      </w:r>
    </w:p>
  </w:footnote>
  <w:footnote w:id="7">
    <w:p w14:paraId="3413357A" w14:textId="2F3E0DFA"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B81347" w:rsidRDefault="00B81347"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B81347" w:rsidRDefault="00B81347"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B81347" w:rsidRDefault="00B81347"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5E93C8C9" w:rsidR="00B81347" w:rsidRPr="004C7880" w:rsidRDefault="00B81347"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B81347" w:rsidRDefault="00B81347">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6EE82DFD" w:rsidR="00B81347" w:rsidRDefault="00B81347">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 client for the quarter is calculated at the start date of the agreement where the client was placed on a VIM during the quarter.</w:t>
      </w:r>
    </w:p>
  </w:footnote>
  <w:footnote w:id="17">
    <w:p w14:paraId="7CE1A087" w14:textId="49542CF8" w:rsidR="00B81347" w:rsidRDefault="00B81347">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77A93B81"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B81347" w:rsidRPr="00A60F7B">
        <w:rPr>
          <w:sz w:val="16"/>
          <w:szCs w:val="16"/>
        </w:rPr>
        <w:t>Australian Statistical Geography Standard Edition 3, July 2021 – June 2026 boundaries for local government areas of Aurukun, Doomadgee and Hope Vale, and statistical areas level 1 (SA1s) of 31501139616 for Coen and 30604116408 for Mossman Gorge.</w:t>
      </w:r>
    </w:p>
  </w:footnote>
  <w:footnote w:id="19">
    <w:p w14:paraId="3BBC0E7E" w14:textId="7F04B5EF"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B81347" w:rsidRPr="00A60F7B">
        <w:rPr>
          <w:sz w:val="16"/>
          <w:szCs w:val="16"/>
        </w:rPr>
        <w:t xml:space="preserve">Adults 18 years and over provided by the Queensland Government Statistician’s Office (QGSO), Queensland Treasury, based on the </w:t>
      </w:r>
      <w:r w:rsidR="00B81347" w:rsidRPr="00882E74">
        <w:rPr>
          <w:rStyle w:val="BodyText1"/>
          <w:rFonts w:ascii="Arial" w:hAnsi="Arial" w:cs="Arial"/>
          <w:sz w:val="16"/>
          <w:szCs w:val="16"/>
        </w:rPr>
        <w:t>Australian Bureau of Statistics</w:t>
      </w:r>
      <w:r w:rsidR="00B81347" w:rsidRPr="00882E74">
        <w:rPr>
          <w:sz w:val="16"/>
          <w:szCs w:val="16"/>
        </w:rPr>
        <w:t xml:space="preserve"> (</w:t>
      </w:r>
      <w:r w:rsidR="00B81347" w:rsidRPr="00A60F7B">
        <w:rPr>
          <w:sz w:val="16"/>
          <w:szCs w:val="16"/>
        </w:rPr>
        <w:t>ABS</w:t>
      </w:r>
      <w:r w:rsidR="00B81347">
        <w:rPr>
          <w:sz w:val="16"/>
          <w:szCs w:val="16"/>
        </w:rPr>
        <w:t>)</w:t>
      </w:r>
      <w:r w:rsidR="00B81347" w:rsidRPr="00A60F7B">
        <w:rPr>
          <w:sz w:val="16"/>
          <w:szCs w:val="16"/>
        </w:rPr>
        <w:t xml:space="preserve"> unpublished preliminary Estimated Resident Population (ERP) data by age and sex at the Local Government Area level for 30 June 2023.</w:t>
      </w:r>
    </w:p>
  </w:footnote>
  <w:footnote w:id="20">
    <w:p w14:paraId="3884DA28" w14:textId="2ED1FEEE"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B81347" w:rsidRPr="00A60F7B">
        <w:rPr>
          <w:sz w:val="16"/>
          <w:szCs w:val="16"/>
        </w:rPr>
        <w:t>Adults 18 years and over provided by QGSO, Queensland Treasury, based on the ABS unpublished preliminary ERP data by age and sex at the Statistical Area level 1 for 30 June 2023.</w:t>
      </w:r>
    </w:p>
  </w:footnote>
  <w:footnote w:id="21">
    <w:p w14:paraId="5BB1F6F6" w14:textId="36B5287F"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B81347" w:rsidRPr="00A60F7B">
        <w:rPr>
          <w:sz w:val="16"/>
          <w:szCs w:val="16"/>
        </w:rPr>
        <w:t xml:space="preserve">Total population provided by QGSO, Queensland Treasury, not 18 years and older, due to the small size of the total population </w:t>
      </w:r>
      <w:r w:rsidR="00B81347" w:rsidRPr="00A60F7B">
        <w:rPr>
          <w:rFonts w:cs="Arial"/>
          <w:sz w:val="16"/>
          <w:szCs w:val="16"/>
        </w:rPr>
        <w:t>from the ABS unpublished preliminary ERP data at the Statistical Area level 1 for 30 June 2023.</w:t>
      </w:r>
    </w:p>
  </w:footnote>
  <w:footnote w:id="22">
    <w:p w14:paraId="1D0C4E58" w14:textId="77777777" w:rsidR="00C41210" w:rsidRPr="00066AD9" w:rsidRDefault="00C41210" w:rsidP="00C41210">
      <w:pPr>
        <w:pStyle w:val="FootnoteText"/>
        <w:rPr>
          <w:sz w:val="16"/>
          <w:szCs w:val="16"/>
          <w:lang w:val="en-US"/>
        </w:rPr>
      </w:pPr>
      <w:r w:rsidRPr="00066AD9">
        <w:rPr>
          <w:rStyle w:val="FootnoteReference"/>
          <w:sz w:val="16"/>
          <w:szCs w:val="16"/>
        </w:rPr>
        <w:footnoteRef/>
      </w:r>
      <w:r w:rsidRPr="00066AD9">
        <w:rPr>
          <w:sz w:val="16"/>
          <w:szCs w:val="16"/>
        </w:rPr>
        <w:t xml:space="preserve"> Section 35</w:t>
      </w:r>
      <w:r>
        <w:rPr>
          <w:sz w:val="16"/>
          <w:szCs w:val="16"/>
        </w:rPr>
        <w:t xml:space="preserve"> of the FRC Act.</w:t>
      </w:r>
    </w:p>
  </w:footnote>
  <w:footnote w:id="23">
    <w:p w14:paraId="2F598CF8" w14:textId="01CF1686" w:rsidR="00800800" w:rsidRPr="00A45527" w:rsidRDefault="00800800">
      <w:pPr>
        <w:pStyle w:val="FootnoteText"/>
        <w:rPr>
          <w:lang w:val="en-US"/>
        </w:rPr>
      </w:pPr>
      <w:r>
        <w:rPr>
          <w:rStyle w:val="FootnoteReference"/>
        </w:rPr>
        <w:footnoteRef/>
      </w:r>
      <w:r>
        <w:t xml:space="preserve"> </w:t>
      </w:r>
      <w:r>
        <w:rPr>
          <w:lang w:val="en-US"/>
        </w:rPr>
        <w:t>The negative other employment costs is due to the over accrual of fringe benefits tax from Q6</w:t>
      </w:r>
      <w:r w:rsidR="00A45527">
        <w:rPr>
          <w:lang w:val="en-US"/>
        </w:rPr>
        <w:t>0</w:t>
      </w:r>
      <w:r>
        <w:rPr>
          <w:lang w:val="en-US"/>
        </w:rPr>
        <w:t>-Q63 (1/</w:t>
      </w:r>
      <w:r w:rsidR="00A45527">
        <w:rPr>
          <w:lang w:val="en-US"/>
        </w:rPr>
        <w:t>4</w:t>
      </w:r>
      <w:r>
        <w:rPr>
          <w:lang w:val="en-US"/>
        </w:rPr>
        <w:t>/2023 to 31/3/2024) with an adjustment applied in Q64.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C3A3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698C5B2"/>
    <w:lvl w:ilvl="0">
      <w:numFmt w:val="decimal"/>
      <w:pStyle w:val="Caption"/>
      <w:lvlText w:val="*"/>
      <w:lvlJc w:val="left"/>
      <w:rPr>
        <w:rFonts w:cs="Times New Roman"/>
      </w:rPr>
    </w:lvl>
  </w:abstractNum>
  <w:abstractNum w:abstractNumId="4" w15:restartNumberingAfterBreak="0">
    <w:nsid w:val="03B97473"/>
    <w:multiLevelType w:val="hybridMultilevel"/>
    <w:tmpl w:val="4606D0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04D45DE7"/>
    <w:multiLevelType w:val="hybridMultilevel"/>
    <w:tmpl w:val="C010C7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0F6B17"/>
    <w:multiLevelType w:val="hybridMultilevel"/>
    <w:tmpl w:val="41B2B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567960"/>
    <w:multiLevelType w:val="hybridMultilevel"/>
    <w:tmpl w:val="2EA6DC84"/>
    <w:lvl w:ilvl="0" w:tplc="822067D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3272098"/>
    <w:multiLevelType w:val="hybridMultilevel"/>
    <w:tmpl w:val="57D29A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550877"/>
    <w:multiLevelType w:val="hybridMultilevel"/>
    <w:tmpl w:val="F4CA731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414C3A90"/>
    <w:multiLevelType w:val="hybridMultilevel"/>
    <w:tmpl w:val="EEE689B8"/>
    <w:lvl w:ilvl="0" w:tplc="0C09000B">
      <w:start w:val="1"/>
      <w:numFmt w:val="bullet"/>
      <w:lvlText w:val=""/>
      <w:lvlJc w:val="left"/>
      <w:pPr>
        <w:ind w:left="1724" w:hanging="360"/>
      </w:pPr>
      <w:rPr>
        <w:rFonts w:ascii="Wingdings" w:hAnsi="Wingdings" w:hint="default"/>
      </w:rPr>
    </w:lvl>
    <w:lvl w:ilvl="1" w:tplc="0C090003">
      <w:start w:val="1"/>
      <w:numFmt w:val="bullet"/>
      <w:lvlText w:val="o"/>
      <w:lvlJc w:val="left"/>
      <w:pPr>
        <w:ind w:left="2444" w:hanging="360"/>
      </w:pPr>
      <w:rPr>
        <w:rFonts w:ascii="Courier New" w:hAnsi="Courier New" w:cs="Courier New" w:hint="default"/>
      </w:rPr>
    </w:lvl>
    <w:lvl w:ilvl="2" w:tplc="0C090005">
      <w:start w:val="1"/>
      <w:numFmt w:val="bullet"/>
      <w:lvlText w:val=""/>
      <w:lvlJc w:val="left"/>
      <w:pPr>
        <w:ind w:left="3164" w:hanging="360"/>
      </w:pPr>
      <w:rPr>
        <w:rFonts w:ascii="Wingdings" w:hAnsi="Wingdings" w:hint="default"/>
      </w:rPr>
    </w:lvl>
    <w:lvl w:ilvl="3" w:tplc="0C090001">
      <w:start w:val="1"/>
      <w:numFmt w:val="bullet"/>
      <w:lvlText w:val=""/>
      <w:lvlJc w:val="left"/>
      <w:pPr>
        <w:ind w:left="3884" w:hanging="360"/>
      </w:pPr>
      <w:rPr>
        <w:rFonts w:ascii="Symbol" w:hAnsi="Symbol" w:hint="default"/>
      </w:rPr>
    </w:lvl>
    <w:lvl w:ilvl="4" w:tplc="0C090003">
      <w:start w:val="1"/>
      <w:numFmt w:val="bullet"/>
      <w:lvlText w:val="o"/>
      <w:lvlJc w:val="left"/>
      <w:pPr>
        <w:ind w:left="4604" w:hanging="360"/>
      </w:pPr>
      <w:rPr>
        <w:rFonts w:ascii="Courier New" w:hAnsi="Courier New" w:cs="Courier New" w:hint="default"/>
      </w:rPr>
    </w:lvl>
    <w:lvl w:ilvl="5" w:tplc="0C090005">
      <w:start w:val="1"/>
      <w:numFmt w:val="bullet"/>
      <w:lvlText w:val=""/>
      <w:lvlJc w:val="left"/>
      <w:pPr>
        <w:ind w:left="5324" w:hanging="360"/>
      </w:pPr>
      <w:rPr>
        <w:rFonts w:ascii="Wingdings" w:hAnsi="Wingdings" w:hint="default"/>
      </w:rPr>
    </w:lvl>
    <w:lvl w:ilvl="6" w:tplc="0C090001">
      <w:start w:val="1"/>
      <w:numFmt w:val="bullet"/>
      <w:lvlText w:val=""/>
      <w:lvlJc w:val="left"/>
      <w:pPr>
        <w:ind w:left="6044" w:hanging="360"/>
      </w:pPr>
      <w:rPr>
        <w:rFonts w:ascii="Symbol" w:hAnsi="Symbol" w:hint="default"/>
      </w:rPr>
    </w:lvl>
    <w:lvl w:ilvl="7" w:tplc="0C090003">
      <w:start w:val="1"/>
      <w:numFmt w:val="bullet"/>
      <w:lvlText w:val="o"/>
      <w:lvlJc w:val="left"/>
      <w:pPr>
        <w:ind w:left="6764" w:hanging="360"/>
      </w:pPr>
      <w:rPr>
        <w:rFonts w:ascii="Courier New" w:hAnsi="Courier New" w:cs="Courier New" w:hint="default"/>
      </w:rPr>
    </w:lvl>
    <w:lvl w:ilvl="8" w:tplc="0C090005">
      <w:start w:val="1"/>
      <w:numFmt w:val="bullet"/>
      <w:lvlText w:val=""/>
      <w:lvlJc w:val="left"/>
      <w:pPr>
        <w:ind w:left="7484" w:hanging="360"/>
      </w:pPr>
      <w:rPr>
        <w:rFonts w:ascii="Wingdings" w:hAnsi="Wingdings" w:hint="default"/>
      </w:rPr>
    </w:lvl>
  </w:abstractNum>
  <w:abstractNum w:abstractNumId="15"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56D2787C"/>
    <w:multiLevelType w:val="multilevel"/>
    <w:tmpl w:val="12968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0F7AC3"/>
    <w:multiLevelType w:val="hybridMultilevel"/>
    <w:tmpl w:val="AEFA4F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E171E4"/>
    <w:multiLevelType w:val="hybridMultilevel"/>
    <w:tmpl w:val="2B269EC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2"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74663EFE"/>
    <w:multiLevelType w:val="hybridMultilevel"/>
    <w:tmpl w:val="A6AA672E"/>
    <w:lvl w:ilvl="0" w:tplc="0C09000B">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7"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DA2EAB"/>
    <w:multiLevelType w:val="hybridMultilevel"/>
    <w:tmpl w:val="0BF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720553">
    <w:abstractNumId w:val="3"/>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24"/>
  </w:num>
  <w:num w:numId="3" w16cid:durableId="1469781046">
    <w:abstractNumId w:val="6"/>
  </w:num>
  <w:num w:numId="4" w16cid:durableId="47189556">
    <w:abstractNumId w:val="25"/>
  </w:num>
  <w:num w:numId="5" w16cid:durableId="1836995923">
    <w:abstractNumId w:val="27"/>
  </w:num>
  <w:num w:numId="6" w16cid:durableId="879827819">
    <w:abstractNumId w:val="2"/>
  </w:num>
  <w:num w:numId="7" w16cid:durableId="2082289908">
    <w:abstractNumId w:val="10"/>
  </w:num>
  <w:num w:numId="8" w16cid:durableId="655643015">
    <w:abstractNumId w:val="5"/>
  </w:num>
  <w:num w:numId="9" w16cid:durableId="1632320174">
    <w:abstractNumId w:val="17"/>
  </w:num>
  <w:num w:numId="10" w16cid:durableId="687173672">
    <w:abstractNumId w:val="15"/>
  </w:num>
  <w:num w:numId="11" w16cid:durableId="1309020323">
    <w:abstractNumId w:val="22"/>
  </w:num>
  <w:num w:numId="12" w16cid:durableId="998507440">
    <w:abstractNumId w:val="18"/>
  </w:num>
  <w:num w:numId="13" w16cid:durableId="730270374">
    <w:abstractNumId w:val="16"/>
  </w:num>
  <w:num w:numId="14" w16cid:durableId="919216714">
    <w:abstractNumId w:val="11"/>
  </w:num>
  <w:num w:numId="15" w16cid:durableId="1367758142">
    <w:abstractNumId w:val="23"/>
  </w:num>
  <w:num w:numId="16" w16cid:durableId="1064331350">
    <w:abstractNumId w:val="12"/>
  </w:num>
  <w:num w:numId="17" w16cid:durableId="674841682">
    <w:abstractNumId w:val="1"/>
  </w:num>
  <w:num w:numId="18" w16cid:durableId="1637103534">
    <w:abstractNumId w:val="14"/>
  </w:num>
  <w:num w:numId="19" w16cid:durableId="506409913">
    <w:abstractNumId w:val="19"/>
  </w:num>
  <w:num w:numId="20" w16cid:durableId="316108845">
    <w:abstractNumId w:val="26"/>
  </w:num>
  <w:num w:numId="21" w16cid:durableId="1549678948">
    <w:abstractNumId w:val="4"/>
  </w:num>
  <w:num w:numId="22" w16cid:durableId="174075156">
    <w:abstractNumId w:val="7"/>
  </w:num>
  <w:num w:numId="23" w16cid:durableId="951476846">
    <w:abstractNumId w:val="20"/>
  </w:num>
  <w:num w:numId="24" w16cid:durableId="121771251">
    <w:abstractNumId w:val="0"/>
  </w:num>
  <w:num w:numId="25" w16cid:durableId="509831595">
    <w:abstractNumId w:val="28"/>
  </w:num>
  <w:num w:numId="26" w16cid:durableId="1449394407">
    <w:abstractNumId w:val="21"/>
  </w:num>
  <w:num w:numId="27" w16cid:durableId="905070266">
    <w:abstractNumId w:val="8"/>
  </w:num>
  <w:num w:numId="28" w16cid:durableId="788940930">
    <w:abstractNumId w:val="9"/>
  </w:num>
  <w:num w:numId="29" w16cid:durableId="37219805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AD4"/>
    <w:rsid w:val="00003FA5"/>
    <w:rsid w:val="000040A8"/>
    <w:rsid w:val="0000478B"/>
    <w:rsid w:val="000047DC"/>
    <w:rsid w:val="00004A47"/>
    <w:rsid w:val="00004A4B"/>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C9"/>
    <w:rsid w:val="00010328"/>
    <w:rsid w:val="00010639"/>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D30"/>
    <w:rsid w:val="00021FD3"/>
    <w:rsid w:val="00021FED"/>
    <w:rsid w:val="00022256"/>
    <w:rsid w:val="00022349"/>
    <w:rsid w:val="00022690"/>
    <w:rsid w:val="0002274E"/>
    <w:rsid w:val="000228CE"/>
    <w:rsid w:val="00022A61"/>
    <w:rsid w:val="0002304D"/>
    <w:rsid w:val="00023090"/>
    <w:rsid w:val="00023110"/>
    <w:rsid w:val="0002314A"/>
    <w:rsid w:val="00023277"/>
    <w:rsid w:val="000232D9"/>
    <w:rsid w:val="0002375F"/>
    <w:rsid w:val="000237E5"/>
    <w:rsid w:val="000238CF"/>
    <w:rsid w:val="000238EE"/>
    <w:rsid w:val="00023E90"/>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686"/>
    <w:rsid w:val="00026879"/>
    <w:rsid w:val="0002698B"/>
    <w:rsid w:val="000269D2"/>
    <w:rsid w:val="00026BA0"/>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DA2"/>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9CF"/>
    <w:rsid w:val="00047E2E"/>
    <w:rsid w:val="000500C4"/>
    <w:rsid w:val="0005023F"/>
    <w:rsid w:val="00050296"/>
    <w:rsid w:val="00050402"/>
    <w:rsid w:val="00050592"/>
    <w:rsid w:val="000506CB"/>
    <w:rsid w:val="0005083D"/>
    <w:rsid w:val="00050961"/>
    <w:rsid w:val="00050A13"/>
    <w:rsid w:val="00050BAC"/>
    <w:rsid w:val="00050BCC"/>
    <w:rsid w:val="00050D22"/>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ACC"/>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AA"/>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3B3"/>
    <w:rsid w:val="0006570C"/>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080"/>
    <w:rsid w:val="000742F0"/>
    <w:rsid w:val="00074381"/>
    <w:rsid w:val="000743F4"/>
    <w:rsid w:val="00074403"/>
    <w:rsid w:val="0007447B"/>
    <w:rsid w:val="000745D1"/>
    <w:rsid w:val="0007465F"/>
    <w:rsid w:val="0007479D"/>
    <w:rsid w:val="00074A02"/>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24"/>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7CC"/>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50F"/>
    <w:rsid w:val="0008495D"/>
    <w:rsid w:val="00084C17"/>
    <w:rsid w:val="00084EA5"/>
    <w:rsid w:val="000850EB"/>
    <w:rsid w:val="00085105"/>
    <w:rsid w:val="0008546D"/>
    <w:rsid w:val="00085675"/>
    <w:rsid w:val="00085687"/>
    <w:rsid w:val="000857D8"/>
    <w:rsid w:val="00085BF6"/>
    <w:rsid w:val="00085CDB"/>
    <w:rsid w:val="00085E08"/>
    <w:rsid w:val="00085F7B"/>
    <w:rsid w:val="00085FF5"/>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0B"/>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73A"/>
    <w:rsid w:val="00097935"/>
    <w:rsid w:val="00097A20"/>
    <w:rsid w:val="00097AE7"/>
    <w:rsid w:val="00097BC8"/>
    <w:rsid w:val="00097C07"/>
    <w:rsid w:val="000A008C"/>
    <w:rsid w:val="000A0166"/>
    <w:rsid w:val="000A01CF"/>
    <w:rsid w:val="000A0210"/>
    <w:rsid w:val="000A04C2"/>
    <w:rsid w:val="000A04DF"/>
    <w:rsid w:val="000A05BB"/>
    <w:rsid w:val="000A060E"/>
    <w:rsid w:val="000A0BFC"/>
    <w:rsid w:val="000A0CFA"/>
    <w:rsid w:val="000A0FB7"/>
    <w:rsid w:val="000A10EF"/>
    <w:rsid w:val="000A10F8"/>
    <w:rsid w:val="000A110A"/>
    <w:rsid w:val="000A110F"/>
    <w:rsid w:val="000A118E"/>
    <w:rsid w:val="000A121A"/>
    <w:rsid w:val="000A14E2"/>
    <w:rsid w:val="000A155A"/>
    <w:rsid w:val="000A19DD"/>
    <w:rsid w:val="000A1E36"/>
    <w:rsid w:val="000A1F37"/>
    <w:rsid w:val="000A203F"/>
    <w:rsid w:val="000A20DE"/>
    <w:rsid w:val="000A223C"/>
    <w:rsid w:val="000A22E3"/>
    <w:rsid w:val="000A2349"/>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60"/>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92D"/>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42C"/>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071"/>
    <w:rsid w:val="000C74AF"/>
    <w:rsid w:val="000C75D2"/>
    <w:rsid w:val="000C7917"/>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3FE1"/>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5F83"/>
    <w:rsid w:val="000D603B"/>
    <w:rsid w:val="000D60FD"/>
    <w:rsid w:val="000D619E"/>
    <w:rsid w:val="000D622E"/>
    <w:rsid w:val="000D6508"/>
    <w:rsid w:val="000D6590"/>
    <w:rsid w:val="000D65AE"/>
    <w:rsid w:val="000D6BA5"/>
    <w:rsid w:val="000D6E9A"/>
    <w:rsid w:val="000D7292"/>
    <w:rsid w:val="000D72EE"/>
    <w:rsid w:val="000D7306"/>
    <w:rsid w:val="000D79E4"/>
    <w:rsid w:val="000D79FD"/>
    <w:rsid w:val="000D7A37"/>
    <w:rsid w:val="000E028F"/>
    <w:rsid w:val="000E0895"/>
    <w:rsid w:val="000E0AD8"/>
    <w:rsid w:val="000E0C2F"/>
    <w:rsid w:val="000E0C5F"/>
    <w:rsid w:val="000E0C69"/>
    <w:rsid w:val="000E0FEA"/>
    <w:rsid w:val="000E1050"/>
    <w:rsid w:val="000E11E3"/>
    <w:rsid w:val="000E12DA"/>
    <w:rsid w:val="000E14DF"/>
    <w:rsid w:val="000E15D5"/>
    <w:rsid w:val="000E186F"/>
    <w:rsid w:val="000E1A77"/>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8A0"/>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784"/>
    <w:rsid w:val="000E5E4B"/>
    <w:rsid w:val="000E5FE8"/>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1E"/>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CC"/>
    <w:rsid w:val="000F2DD2"/>
    <w:rsid w:val="000F2F9F"/>
    <w:rsid w:val="000F310B"/>
    <w:rsid w:val="000F316B"/>
    <w:rsid w:val="000F32A8"/>
    <w:rsid w:val="000F32B6"/>
    <w:rsid w:val="000F364D"/>
    <w:rsid w:val="000F37F8"/>
    <w:rsid w:val="000F3A02"/>
    <w:rsid w:val="000F3AEA"/>
    <w:rsid w:val="000F3B8A"/>
    <w:rsid w:val="000F3D4B"/>
    <w:rsid w:val="000F3E04"/>
    <w:rsid w:val="000F3FA4"/>
    <w:rsid w:val="000F408B"/>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5D4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4AD"/>
    <w:rsid w:val="0010360B"/>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5F8E"/>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171"/>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BE"/>
    <w:rsid w:val="00117ACE"/>
    <w:rsid w:val="00117C54"/>
    <w:rsid w:val="00117DD2"/>
    <w:rsid w:val="00117F5F"/>
    <w:rsid w:val="0012005D"/>
    <w:rsid w:val="00120068"/>
    <w:rsid w:val="001200DF"/>
    <w:rsid w:val="00120380"/>
    <w:rsid w:val="001204E3"/>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DB6"/>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E4"/>
    <w:rsid w:val="00130B12"/>
    <w:rsid w:val="00130BE6"/>
    <w:rsid w:val="00130D3D"/>
    <w:rsid w:val="00130E12"/>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EE4"/>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19"/>
    <w:rsid w:val="00144D9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BA3"/>
    <w:rsid w:val="00147C79"/>
    <w:rsid w:val="00147E38"/>
    <w:rsid w:val="001501D0"/>
    <w:rsid w:val="00150274"/>
    <w:rsid w:val="0015076E"/>
    <w:rsid w:val="0015090C"/>
    <w:rsid w:val="0015104D"/>
    <w:rsid w:val="001511BB"/>
    <w:rsid w:val="001511ED"/>
    <w:rsid w:val="00151377"/>
    <w:rsid w:val="00151482"/>
    <w:rsid w:val="001514CF"/>
    <w:rsid w:val="001514EB"/>
    <w:rsid w:val="001515F8"/>
    <w:rsid w:val="0015170A"/>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37"/>
    <w:rsid w:val="001654A8"/>
    <w:rsid w:val="001654E8"/>
    <w:rsid w:val="00165792"/>
    <w:rsid w:val="001659B3"/>
    <w:rsid w:val="00165A39"/>
    <w:rsid w:val="00165FAB"/>
    <w:rsid w:val="0016605D"/>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443"/>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14"/>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4B"/>
    <w:rsid w:val="001928E3"/>
    <w:rsid w:val="00192AD0"/>
    <w:rsid w:val="00192D8A"/>
    <w:rsid w:val="00192E60"/>
    <w:rsid w:val="00192FD5"/>
    <w:rsid w:val="0019319F"/>
    <w:rsid w:val="00193290"/>
    <w:rsid w:val="00193311"/>
    <w:rsid w:val="001933E1"/>
    <w:rsid w:val="001935FC"/>
    <w:rsid w:val="0019391E"/>
    <w:rsid w:val="00193997"/>
    <w:rsid w:val="00193A27"/>
    <w:rsid w:val="00193DC9"/>
    <w:rsid w:val="00193FBE"/>
    <w:rsid w:val="00194083"/>
    <w:rsid w:val="0019429D"/>
    <w:rsid w:val="001942EC"/>
    <w:rsid w:val="001943A3"/>
    <w:rsid w:val="00194491"/>
    <w:rsid w:val="0019497F"/>
    <w:rsid w:val="00194B76"/>
    <w:rsid w:val="00194BA3"/>
    <w:rsid w:val="00194DC1"/>
    <w:rsid w:val="00195130"/>
    <w:rsid w:val="0019514A"/>
    <w:rsid w:val="00195208"/>
    <w:rsid w:val="00195441"/>
    <w:rsid w:val="0019544D"/>
    <w:rsid w:val="0019570F"/>
    <w:rsid w:val="00195901"/>
    <w:rsid w:val="001959BF"/>
    <w:rsid w:val="00195A24"/>
    <w:rsid w:val="00195FA1"/>
    <w:rsid w:val="001966F3"/>
    <w:rsid w:val="001967E1"/>
    <w:rsid w:val="001969B3"/>
    <w:rsid w:val="00196B86"/>
    <w:rsid w:val="00196E8F"/>
    <w:rsid w:val="00196F8B"/>
    <w:rsid w:val="0019713E"/>
    <w:rsid w:val="0019775D"/>
    <w:rsid w:val="00197850"/>
    <w:rsid w:val="001979EB"/>
    <w:rsid w:val="00197D5B"/>
    <w:rsid w:val="00197F57"/>
    <w:rsid w:val="001A0060"/>
    <w:rsid w:val="001A02F1"/>
    <w:rsid w:val="001A02F3"/>
    <w:rsid w:val="001A05DB"/>
    <w:rsid w:val="001A0629"/>
    <w:rsid w:val="001A0A5B"/>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5E82"/>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0D4C"/>
    <w:rsid w:val="001B127A"/>
    <w:rsid w:val="001B14ED"/>
    <w:rsid w:val="001B1637"/>
    <w:rsid w:val="001B192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1C9"/>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1D69"/>
    <w:rsid w:val="001F201B"/>
    <w:rsid w:val="001F2042"/>
    <w:rsid w:val="001F23DB"/>
    <w:rsid w:val="001F24E6"/>
    <w:rsid w:val="001F257E"/>
    <w:rsid w:val="001F2626"/>
    <w:rsid w:val="001F2D80"/>
    <w:rsid w:val="001F2D96"/>
    <w:rsid w:val="001F2E86"/>
    <w:rsid w:val="001F2EAD"/>
    <w:rsid w:val="001F2F48"/>
    <w:rsid w:val="001F2F93"/>
    <w:rsid w:val="001F3117"/>
    <w:rsid w:val="001F3249"/>
    <w:rsid w:val="001F34F8"/>
    <w:rsid w:val="001F350A"/>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195"/>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984"/>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576"/>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49"/>
    <w:rsid w:val="002248E1"/>
    <w:rsid w:val="00224A65"/>
    <w:rsid w:val="00224BA1"/>
    <w:rsid w:val="00224D20"/>
    <w:rsid w:val="00224D4A"/>
    <w:rsid w:val="002250C4"/>
    <w:rsid w:val="00225148"/>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187E"/>
    <w:rsid w:val="00231E8C"/>
    <w:rsid w:val="00232030"/>
    <w:rsid w:val="002323FE"/>
    <w:rsid w:val="002326E6"/>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552"/>
    <w:rsid w:val="002346ED"/>
    <w:rsid w:val="00234711"/>
    <w:rsid w:val="002349F3"/>
    <w:rsid w:val="00234A37"/>
    <w:rsid w:val="00234ADD"/>
    <w:rsid w:val="00234D37"/>
    <w:rsid w:val="00235176"/>
    <w:rsid w:val="0023535D"/>
    <w:rsid w:val="0023542D"/>
    <w:rsid w:val="0023544C"/>
    <w:rsid w:val="00235477"/>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79"/>
    <w:rsid w:val="00241C82"/>
    <w:rsid w:val="00241D97"/>
    <w:rsid w:val="00242025"/>
    <w:rsid w:val="00242297"/>
    <w:rsid w:val="0024233C"/>
    <w:rsid w:val="00242391"/>
    <w:rsid w:val="002423BB"/>
    <w:rsid w:val="002425F8"/>
    <w:rsid w:val="00242865"/>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4B5A"/>
    <w:rsid w:val="002450D9"/>
    <w:rsid w:val="00245104"/>
    <w:rsid w:val="00245373"/>
    <w:rsid w:val="00245417"/>
    <w:rsid w:val="002455F7"/>
    <w:rsid w:val="002459C6"/>
    <w:rsid w:val="00245A2B"/>
    <w:rsid w:val="00245C15"/>
    <w:rsid w:val="00245CC2"/>
    <w:rsid w:val="00245D14"/>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AC2"/>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B"/>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B58"/>
    <w:rsid w:val="00261C1A"/>
    <w:rsid w:val="00261CF4"/>
    <w:rsid w:val="00261DCA"/>
    <w:rsid w:val="00261EEC"/>
    <w:rsid w:val="00261F6F"/>
    <w:rsid w:val="0026210B"/>
    <w:rsid w:val="002623F0"/>
    <w:rsid w:val="002627DC"/>
    <w:rsid w:val="00262B23"/>
    <w:rsid w:val="00262C79"/>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C91"/>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BD"/>
    <w:rsid w:val="002721E6"/>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6E4B"/>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160"/>
    <w:rsid w:val="0028429B"/>
    <w:rsid w:val="00284440"/>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295"/>
    <w:rsid w:val="00286451"/>
    <w:rsid w:val="0028656F"/>
    <w:rsid w:val="00286579"/>
    <w:rsid w:val="00286637"/>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677"/>
    <w:rsid w:val="00290943"/>
    <w:rsid w:val="00290F7D"/>
    <w:rsid w:val="00290F99"/>
    <w:rsid w:val="0029104A"/>
    <w:rsid w:val="002911E2"/>
    <w:rsid w:val="00291201"/>
    <w:rsid w:val="002914BA"/>
    <w:rsid w:val="00291953"/>
    <w:rsid w:val="00291A00"/>
    <w:rsid w:val="00291B72"/>
    <w:rsid w:val="00291BB3"/>
    <w:rsid w:val="00291CC0"/>
    <w:rsid w:val="00291D0A"/>
    <w:rsid w:val="00291DF7"/>
    <w:rsid w:val="00291EE5"/>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64"/>
    <w:rsid w:val="002950B4"/>
    <w:rsid w:val="00295484"/>
    <w:rsid w:val="00295559"/>
    <w:rsid w:val="0029599A"/>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28"/>
    <w:rsid w:val="002A0053"/>
    <w:rsid w:val="002A0093"/>
    <w:rsid w:val="002A01E9"/>
    <w:rsid w:val="002A0223"/>
    <w:rsid w:val="002A028D"/>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8"/>
    <w:rsid w:val="002A502C"/>
    <w:rsid w:val="002A51C6"/>
    <w:rsid w:val="002A554D"/>
    <w:rsid w:val="002A581C"/>
    <w:rsid w:val="002A5824"/>
    <w:rsid w:val="002A5875"/>
    <w:rsid w:val="002A5E00"/>
    <w:rsid w:val="002A5F9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6C8"/>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612"/>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26"/>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37"/>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69"/>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9C2"/>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EB5"/>
    <w:rsid w:val="00302F59"/>
    <w:rsid w:val="00302FE1"/>
    <w:rsid w:val="003032F4"/>
    <w:rsid w:val="00303309"/>
    <w:rsid w:val="003039AB"/>
    <w:rsid w:val="003039DB"/>
    <w:rsid w:val="00303C40"/>
    <w:rsid w:val="00303CD8"/>
    <w:rsid w:val="00303EEF"/>
    <w:rsid w:val="00304127"/>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5E5"/>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04"/>
    <w:rsid w:val="003079A8"/>
    <w:rsid w:val="003079B3"/>
    <w:rsid w:val="00307E4C"/>
    <w:rsid w:val="00307E6F"/>
    <w:rsid w:val="00310310"/>
    <w:rsid w:val="00310463"/>
    <w:rsid w:val="003104FC"/>
    <w:rsid w:val="00310942"/>
    <w:rsid w:val="00310A4F"/>
    <w:rsid w:val="00310A88"/>
    <w:rsid w:val="00310B32"/>
    <w:rsid w:val="00310B75"/>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2D1"/>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55B"/>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CDB"/>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3B"/>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2"/>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AF"/>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2E6"/>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DE8"/>
    <w:rsid w:val="00362F87"/>
    <w:rsid w:val="00362FA9"/>
    <w:rsid w:val="003633A3"/>
    <w:rsid w:val="003633F5"/>
    <w:rsid w:val="0036369C"/>
    <w:rsid w:val="0036398B"/>
    <w:rsid w:val="00363CB9"/>
    <w:rsid w:val="00363CBC"/>
    <w:rsid w:val="00363DB6"/>
    <w:rsid w:val="00364259"/>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82"/>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C0"/>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915"/>
    <w:rsid w:val="00377B28"/>
    <w:rsid w:val="00377CE7"/>
    <w:rsid w:val="00377D7B"/>
    <w:rsid w:val="00377E4B"/>
    <w:rsid w:val="00377FB5"/>
    <w:rsid w:val="0038017F"/>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6F"/>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960"/>
    <w:rsid w:val="00391D30"/>
    <w:rsid w:val="00391E51"/>
    <w:rsid w:val="00391EAB"/>
    <w:rsid w:val="00391EC6"/>
    <w:rsid w:val="00391F9B"/>
    <w:rsid w:val="003924C2"/>
    <w:rsid w:val="003924C8"/>
    <w:rsid w:val="0039275D"/>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1D"/>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EDF"/>
    <w:rsid w:val="003A204B"/>
    <w:rsid w:val="003A204D"/>
    <w:rsid w:val="003A22CB"/>
    <w:rsid w:val="003A24C7"/>
    <w:rsid w:val="003A24F4"/>
    <w:rsid w:val="003A253E"/>
    <w:rsid w:val="003A26AA"/>
    <w:rsid w:val="003A2A3E"/>
    <w:rsid w:val="003A2B0D"/>
    <w:rsid w:val="003A2CA4"/>
    <w:rsid w:val="003A3080"/>
    <w:rsid w:val="003A3107"/>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5FB"/>
    <w:rsid w:val="003B06E2"/>
    <w:rsid w:val="003B0C41"/>
    <w:rsid w:val="003B114F"/>
    <w:rsid w:val="003B178C"/>
    <w:rsid w:val="003B19B6"/>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5074"/>
    <w:rsid w:val="003B50E4"/>
    <w:rsid w:val="003B5420"/>
    <w:rsid w:val="003B55DA"/>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915"/>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32"/>
    <w:rsid w:val="003D26CE"/>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DA"/>
    <w:rsid w:val="003D5274"/>
    <w:rsid w:val="003D534B"/>
    <w:rsid w:val="003D53BE"/>
    <w:rsid w:val="003D53C5"/>
    <w:rsid w:val="003D57D4"/>
    <w:rsid w:val="003D582F"/>
    <w:rsid w:val="003D5918"/>
    <w:rsid w:val="003D593C"/>
    <w:rsid w:val="003D5ABB"/>
    <w:rsid w:val="003D5C10"/>
    <w:rsid w:val="003D5CD2"/>
    <w:rsid w:val="003D5E3D"/>
    <w:rsid w:val="003D5F85"/>
    <w:rsid w:val="003D6065"/>
    <w:rsid w:val="003D6267"/>
    <w:rsid w:val="003D62F1"/>
    <w:rsid w:val="003D645A"/>
    <w:rsid w:val="003D6490"/>
    <w:rsid w:val="003D65D1"/>
    <w:rsid w:val="003D66FB"/>
    <w:rsid w:val="003D68EF"/>
    <w:rsid w:val="003D69E8"/>
    <w:rsid w:val="003D6A7A"/>
    <w:rsid w:val="003D6AE5"/>
    <w:rsid w:val="003D6E6D"/>
    <w:rsid w:val="003D6FAA"/>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8"/>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67F"/>
    <w:rsid w:val="003E5702"/>
    <w:rsid w:val="003E57DB"/>
    <w:rsid w:val="003E589C"/>
    <w:rsid w:val="003E5925"/>
    <w:rsid w:val="003E5E7A"/>
    <w:rsid w:val="003E5FF1"/>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0CBC"/>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C25"/>
    <w:rsid w:val="003F3E8A"/>
    <w:rsid w:val="003F4141"/>
    <w:rsid w:val="003F4222"/>
    <w:rsid w:val="003F4588"/>
    <w:rsid w:val="003F4794"/>
    <w:rsid w:val="003F4913"/>
    <w:rsid w:val="003F4AD0"/>
    <w:rsid w:val="003F4B37"/>
    <w:rsid w:val="003F4B3B"/>
    <w:rsid w:val="003F4EE1"/>
    <w:rsid w:val="003F5062"/>
    <w:rsid w:val="003F52F1"/>
    <w:rsid w:val="003F5391"/>
    <w:rsid w:val="003F55C0"/>
    <w:rsid w:val="003F55F1"/>
    <w:rsid w:val="003F5A4A"/>
    <w:rsid w:val="003F5AA8"/>
    <w:rsid w:val="003F5C6A"/>
    <w:rsid w:val="003F6061"/>
    <w:rsid w:val="003F638D"/>
    <w:rsid w:val="003F6452"/>
    <w:rsid w:val="003F65E7"/>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2"/>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625"/>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32D"/>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753"/>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2AE"/>
    <w:rsid w:val="00443406"/>
    <w:rsid w:val="004436F0"/>
    <w:rsid w:val="00443AFC"/>
    <w:rsid w:val="00443C7F"/>
    <w:rsid w:val="00443EA1"/>
    <w:rsid w:val="00443F98"/>
    <w:rsid w:val="004441F9"/>
    <w:rsid w:val="00444713"/>
    <w:rsid w:val="0044486C"/>
    <w:rsid w:val="004449B9"/>
    <w:rsid w:val="00444C25"/>
    <w:rsid w:val="00444D8D"/>
    <w:rsid w:val="00444F08"/>
    <w:rsid w:val="00445276"/>
    <w:rsid w:val="004452E4"/>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301"/>
    <w:rsid w:val="0045431E"/>
    <w:rsid w:val="00454343"/>
    <w:rsid w:val="00454602"/>
    <w:rsid w:val="00454779"/>
    <w:rsid w:val="0045485E"/>
    <w:rsid w:val="00454A2C"/>
    <w:rsid w:val="00454A8C"/>
    <w:rsid w:val="00454DCF"/>
    <w:rsid w:val="00454E1A"/>
    <w:rsid w:val="00454FE1"/>
    <w:rsid w:val="00455209"/>
    <w:rsid w:val="0045533F"/>
    <w:rsid w:val="00455573"/>
    <w:rsid w:val="00455780"/>
    <w:rsid w:val="004558F6"/>
    <w:rsid w:val="0045598B"/>
    <w:rsid w:val="00455AE7"/>
    <w:rsid w:val="00455DFA"/>
    <w:rsid w:val="004560D1"/>
    <w:rsid w:val="004561BD"/>
    <w:rsid w:val="004561FB"/>
    <w:rsid w:val="00456247"/>
    <w:rsid w:val="0045629D"/>
    <w:rsid w:val="0045676B"/>
    <w:rsid w:val="004569FA"/>
    <w:rsid w:val="00456B4E"/>
    <w:rsid w:val="00456DAA"/>
    <w:rsid w:val="00456F96"/>
    <w:rsid w:val="004570C7"/>
    <w:rsid w:val="00457194"/>
    <w:rsid w:val="004571D6"/>
    <w:rsid w:val="004573F7"/>
    <w:rsid w:val="0045773E"/>
    <w:rsid w:val="0045776F"/>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85F"/>
    <w:rsid w:val="004618CD"/>
    <w:rsid w:val="004619FC"/>
    <w:rsid w:val="00461B5F"/>
    <w:rsid w:val="00461BC4"/>
    <w:rsid w:val="00461C9B"/>
    <w:rsid w:val="00461DCA"/>
    <w:rsid w:val="00461E64"/>
    <w:rsid w:val="00461EB3"/>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1D9"/>
    <w:rsid w:val="00465337"/>
    <w:rsid w:val="004653A1"/>
    <w:rsid w:val="004655FD"/>
    <w:rsid w:val="00465B0D"/>
    <w:rsid w:val="00465CF6"/>
    <w:rsid w:val="00465DC6"/>
    <w:rsid w:val="00465E1B"/>
    <w:rsid w:val="00465E54"/>
    <w:rsid w:val="00466309"/>
    <w:rsid w:val="004664B8"/>
    <w:rsid w:val="0046692E"/>
    <w:rsid w:val="00466978"/>
    <w:rsid w:val="00466AA4"/>
    <w:rsid w:val="00466AC8"/>
    <w:rsid w:val="00466B4F"/>
    <w:rsid w:val="00466CA9"/>
    <w:rsid w:val="00466D38"/>
    <w:rsid w:val="00467713"/>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437"/>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8B3"/>
    <w:rsid w:val="00474B22"/>
    <w:rsid w:val="00474E51"/>
    <w:rsid w:val="00474FA4"/>
    <w:rsid w:val="00475020"/>
    <w:rsid w:val="004753C9"/>
    <w:rsid w:val="004756A9"/>
    <w:rsid w:val="00475871"/>
    <w:rsid w:val="00475A72"/>
    <w:rsid w:val="00475B13"/>
    <w:rsid w:val="00475BE3"/>
    <w:rsid w:val="00475BF7"/>
    <w:rsid w:val="00475E34"/>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546"/>
    <w:rsid w:val="00480970"/>
    <w:rsid w:val="004809AF"/>
    <w:rsid w:val="00480D4C"/>
    <w:rsid w:val="00480EC5"/>
    <w:rsid w:val="00480FAB"/>
    <w:rsid w:val="0048107C"/>
    <w:rsid w:val="004814A3"/>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73"/>
    <w:rsid w:val="00484AD0"/>
    <w:rsid w:val="004852AF"/>
    <w:rsid w:val="00485325"/>
    <w:rsid w:val="00485368"/>
    <w:rsid w:val="004853D2"/>
    <w:rsid w:val="0048544E"/>
    <w:rsid w:val="00485495"/>
    <w:rsid w:val="00485541"/>
    <w:rsid w:val="00485641"/>
    <w:rsid w:val="0048566C"/>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10"/>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5E"/>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6"/>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022"/>
    <w:rsid w:val="004B215D"/>
    <w:rsid w:val="004B230D"/>
    <w:rsid w:val="004B2427"/>
    <w:rsid w:val="004B244C"/>
    <w:rsid w:val="004B2461"/>
    <w:rsid w:val="004B272F"/>
    <w:rsid w:val="004B27A0"/>
    <w:rsid w:val="004B28B8"/>
    <w:rsid w:val="004B2A32"/>
    <w:rsid w:val="004B2CC0"/>
    <w:rsid w:val="004B2EBA"/>
    <w:rsid w:val="004B3063"/>
    <w:rsid w:val="004B316F"/>
    <w:rsid w:val="004B37B3"/>
    <w:rsid w:val="004B398F"/>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3D"/>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39D"/>
    <w:rsid w:val="004B7415"/>
    <w:rsid w:val="004B75FB"/>
    <w:rsid w:val="004B7861"/>
    <w:rsid w:val="004B78A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91"/>
    <w:rsid w:val="004D0CE5"/>
    <w:rsid w:val="004D0E00"/>
    <w:rsid w:val="004D10CE"/>
    <w:rsid w:val="004D113E"/>
    <w:rsid w:val="004D1326"/>
    <w:rsid w:val="004D1406"/>
    <w:rsid w:val="004D1666"/>
    <w:rsid w:val="004D1736"/>
    <w:rsid w:val="004D1A34"/>
    <w:rsid w:val="004D1C6D"/>
    <w:rsid w:val="004D1D12"/>
    <w:rsid w:val="004D1D19"/>
    <w:rsid w:val="004D1D23"/>
    <w:rsid w:val="004D1F4B"/>
    <w:rsid w:val="004D2007"/>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4C"/>
    <w:rsid w:val="004D478C"/>
    <w:rsid w:val="004D4AB6"/>
    <w:rsid w:val="004D4B4E"/>
    <w:rsid w:val="004D4BB3"/>
    <w:rsid w:val="004D4BE6"/>
    <w:rsid w:val="004D4C8D"/>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020"/>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1EDE"/>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485"/>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4EA"/>
    <w:rsid w:val="004F05E5"/>
    <w:rsid w:val="004F0661"/>
    <w:rsid w:val="004F071E"/>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EDE"/>
    <w:rsid w:val="004F530A"/>
    <w:rsid w:val="004F58FC"/>
    <w:rsid w:val="004F5A1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5F"/>
    <w:rsid w:val="00502647"/>
    <w:rsid w:val="005029CF"/>
    <w:rsid w:val="00502BE6"/>
    <w:rsid w:val="00502D4D"/>
    <w:rsid w:val="00502DD6"/>
    <w:rsid w:val="00503047"/>
    <w:rsid w:val="005035E6"/>
    <w:rsid w:val="005036F1"/>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898"/>
    <w:rsid w:val="00511907"/>
    <w:rsid w:val="00511BA3"/>
    <w:rsid w:val="00511C17"/>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981"/>
    <w:rsid w:val="00514A2B"/>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2F9"/>
    <w:rsid w:val="005265FF"/>
    <w:rsid w:val="00526713"/>
    <w:rsid w:val="00526875"/>
    <w:rsid w:val="0052691D"/>
    <w:rsid w:val="00526AA6"/>
    <w:rsid w:val="00526B0D"/>
    <w:rsid w:val="00526B5B"/>
    <w:rsid w:val="00526C70"/>
    <w:rsid w:val="0052714C"/>
    <w:rsid w:val="00527499"/>
    <w:rsid w:val="00527716"/>
    <w:rsid w:val="00527719"/>
    <w:rsid w:val="0052778A"/>
    <w:rsid w:val="00527852"/>
    <w:rsid w:val="00527DE4"/>
    <w:rsid w:val="00527DFB"/>
    <w:rsid w:val="00527E4A"/>
    <w:rsid w:val="00527ECA"/>
    <w:rsid w:val="00527F68"/>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9D1"/>
    <w:rsid w:val="00532AE3"/>
    <w:rsid w:val="00532DE9"/>
    <w:rsid w:val="00533066"/>
    <w:rsid w:val="00533123"/>
    <w:rsid w:val="00533405"/>
    <w:rsid w:val="005335A4"/>
    <w:rsid w:val="00533727"/>
    <w:rsid w:val="005337B9"/>
    <w:rsid w:val="0053389F"/>
    <w:rsid w:val="005339FF"/>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B5"/>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51"/>
    <w:rsid w:val="00541781"/>
    <w:rsid w:val="00541BBB"/>
    <w:rsid w:val="00541E72"/>
    <w:rsid w:val="00542082"/>
    <w:rsid w:val="00542331"/>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3B"/>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1E7"/>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DAE"/>
    <w:rsid w:val="00580FC3"/>
    <w:rsid w:val="00581284"/>
    <w:rsid w:val="0058140D"/>
    <w:rsid w:val="005814EB"/>
    <w:rsid w:val="00581B24"/>
    <w:rsid w:val="00581C11"/>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F4"/>
    <w:rsid w:val="005865A4"/>
    <w:rsid w:val="005868E7"/>
    <w:rsid w:val="00586A64"/>
    <w:rsid w:val="00586B89"/>
    <w:rsid w:val="00586D8D"/>
    <w:rsid w:val="00586ED4"/>
    <w:rsid w:val="00586EE4"/>
    <w:rsid w:val="00586F8B"/>
    <w:rsid w:val="00587232"/>
    <w:rsid w:val="0058725B"/>
    <w:rsid w:val="00587367"/>
    <w:rsid w:val="00587778"/>
    <w:rsid w:val="00587B6E"/>
    <w:rsid w:val="00587B7C"/>
    <w:rsid w:val="00587E21"/>
    <w:rsid w:val="00587F3B"/>
    <w:rsid w:val="005902E7"/>
    <w:rsid w:val="005905CA"/>
    <w:rsid w:val="0059072F"/>
    <w:rsid w:val="005908F8"/>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4E"/>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1CB3"/>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7E0"/>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496"/>
    <w:rsid w:val="005B6588"/>
    <w:rsid w:val="005B6827"/>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A88"/>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8A1"/>
    <w:rsid w:val="005C4C4C"/>
    <w:rsid w:val="005C4CA6"/>
    <w:rsid w:val="005C4DBF"/>
    <w:rsid w:val="005C4E57"/>
    <w:rsid w:val="005C4F91"/>
    <w:rsid w:val="005C50DA"/>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0D"/>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2E97"/>
    <w:rsid w:val="005D310F"/>
    <w:rsid w:val="005D338E"/>
    <w:rsid w:val="005D34F4"/>
    <w:rsid w:val="005D3637"/>
    <w:rsid w:val="005D36A1"/>
    <w:rsid w:val="005D36C1"/>
    <w:rsid w:val="005D3761"/>
    <w:rsid w:val="005D3898"/>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10"/>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26D"/>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80A"/>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C65"/>
    <w:rsid w:val="00603DFC"/>
    <w:rsid w:val="006042AF"/>
    <w:rsid w:val="00604429"/>
    <w:rsid w:val="00604494"/>
    <w:rsid w:val="006044D1"/>
    <w:rsid w:val="00604518"/>
    <w:rsid w:val="006045B8"/>
    <w:rsid w:val="0060464F"/>
    <w:rsid w:val="0060477F"/>
    <w:rsid w:val="006049DC"/>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477"/>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5D9"/>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9E9"/>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570"/>
    <w:rsid w:val="006315A9"/>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4F"/>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4A9"/>
    <w:rsid w:val="0063591F"/>
    <w:rsid w:val="0063595A"/>
    <w:rsid w:val="0063596F"/>
    <w:rsid w:val="00635D95"/>
    <w:rsid w:val="00635E2C"/>
    <w:rsid w:val="00635E73"/>
    <w:rsid w:val="0063631A"/>
    <w:rsid w:val="006363C6"/>
    <w:rsid w:val="006364AC"/>
    <w:rsid w:val="006364BF"/>
    <w:rsid w:val="00636579"/>
    <w:rsid w:val="006366A8"/>
    <w:rsid w:val="006367B5"/>
    <w:rsid w:val="00636866"/>
    <w:rsid w:val="00636A16"/>
    <w:rsid w:val="00636A97"/>
    <w:rsid w:val="00636B6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1F"/>
    <w:rsid w:val="006649D7"/>
    <w:rsid w:val="00664A18"/>
    <w:rsid w:val="00664DFF"/>
    <w:rsid w:val="00664ED3"/>
    <w:rsid w:val="00665006"/>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65B"/>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6C"/>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AD8"/>
    <w:rsid w:val="00682F69"/>
    <w:rsid w:val="00683195"/>
    <w:rsid w:val="006831C9"/>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6F5E"/>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906"/>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47"/>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76B"/>
    <w:rsid w:val="006957B0"/>
    <w:rsid w:val="006958F6"/>
    <w:rsid w:val="00695B67"/>
    <w:rsid w:val="00695C1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9E"/>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F70"/>
    <w:rsid w:val="006A22FF"/>
    <w:rsid w:val="006A23C5"/>
    <w:rsid w:val="006A246D"/>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ED2"/>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10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910"/>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1EE"/>
    <w:rsid w:val="006C348F"/>
    <w:rsid w:val="006C355C"/>
    <w:rsid w:val="006C35FA"/>
    <w:rsid w:val="006C39B0"/>
    <w:rsid w:val="006C3ABD"/>
    <w:rsid w:val="006C3D0B"/>
    <w:rsid w:val="006C3F10"/>
    <w:rsid w:val="006C46B5"/>
    <w:rsid w:val="006C495B"/>
    <w:rsid w:val="006C4F2C"/>
    <w:rsid w:val="006C4FB4"/>
    <w:rsid w:val="006C5060"/>
    <w:rsid w:val="006C5071"/>
    <w:rsid w:val="006C5114"/>
    <w:rsid w:val="006C512B"/>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A23"/>
    <w:rsid w:val="006C7E2A"/>
    <w:rsid w:val="006C7F0B"/>
    <w:rsid w:val="006C7F5F"/>
    <w:rsid w:val="006D0054"/>
    <w:rsid w:val="006D0330"/>
    <w:rsid w:val="006D04BD"/>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0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C44"/>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99"/>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2FB6"/>
    <w:rsid w:val="006E3009"/>
    <w:rsid w:val="006E3081"/>
    <w:rsid w:val="006E310F"/>
    <w:rsid w:val="006E312F"/>
    <w:rsid w:val="006E33BA"/>
    <w:rsid w:val="006E36C6"/>
    <w:rsid w:val="006E370E"/>
    <w:rsid w:val="006E3787"/>
    <w:rsid w:val="006E390C"/>
    <w:rsid w:val="006E39D5"/>
    <w:rsid w:val="006E39F0"/>
    <w:rsid w:val="006E3A0F"/>
    <w:rsid w:val="006E3BC1"/>
    <w:rsid w:val="006E3C46"/>
    <w:rsid w:val="006E3E92"/>
    <w:rsid w:val="006E3EF6"/>
    <w:rsid w:val="006E3FBB"/>
    <w:rsid w:val="006E414C"/>
    <w:rsid w:val="006E41F2"/>
    <w:rsid w:val="006E420D"/>
    <w:rsid w:val="006E4237"/>
    <w:rsid w:val="006E43A9"/>
    <w:rsid w:val="006E46A7"/>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944"/>
    <w:rsid w:val="006F2AC0"/>
    <w:rsid w:val="006F2B54"/>
    <w:rsid w:val="006F2D52"/>
    <w:rsid w:val="006F2DA0"/>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39"/>
    <w:rsid w:val="00700391"/>
    <w:rsid w:val="00700B5D"/>
    <w:rsid w:val="00700F3A"/>
    <w:rsid w:val="00700F3B"/>
    <w:rsid w:val="00700F85"/>
    <w:rsid w:val="007012EF"/>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28"/>
    <w:rsid w:val="00704C5A"/>
    <w:rsid w:val="00704F80"/>
    <w:rsid w:val="007051A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49F"/>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172"/>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B1B"/>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237"/>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3F2D"/>
    <w:rsid w:val="0074418F"/>
    <w:rsid w:val="007443CB"/>
    <w:rsid w:val="00744795"/>
    <w:rsid w:val="007448C4"/>
    <w:rsid w:val="007448E9"/>
    <w:rsid w:val="00744ADD"/>
    <w:rsid w:val="00744AE1"/>
    <w:rsid w:val="00744B4C"/>
    <w:rsid w:val="00744B4F"/>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718"/>
    <w:rsid w:val="007468B7"/>
    <w:rsid w:val="007468D3"/>
    <w:rsid w:val="00746ABA"/>
    <w:rsid w:val="00746BE6"/>
    <w:rsid w:val="00746DA5"/>
    <w:rsid w:val="00746DBE"/>
    <w:rsid w:val="00746EA6"/>
    <w:rsid w:val="00747068"/>
    <w:rsid w:val="0074718A"/>
    <w:rsid w:val="00747237"/>
    <w:rsid w:val="0074741C"/>
    <w:rsid w:val="00747AA6"/>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3FE"/>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8D6"/>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9B"/>
    <w:rsid w:val="007629A7"/>
    <w:rsid w:val="00762B63"/>
    <w:rsid w:val="00762BA7"/>
    <w:rsid w:val="00762C7B"/>
    <w:rsid w:val="00762D60"/>
    <w:rsid w:val="00762E48"/>
    <w:rsid w:val="00762F11"/>
    <w:rsid w:val="00763002"/>
    <w:rsid w:val="0076340F"/>
    <w:rsid w:val="007634DA"/>
    <w:rsid w:val="00763792"/>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681"/>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1C5"/>
    <w:rsid w:val="0077142B"/>
    <w:rsid w:val="00771466"/>
    <w:rsid w:val="0077157F"/>
    <w:rsid w:val="0077171B"/>
    <w:rsid w:val="0077183E"/>
    <w:rsid w:val="007719F5"/>
    <w:rsid w:val="00771A14"/>
    <w:rsid w:val="00771B23"/>
    <w:rsid w:val="0077201F"/>
    <w:rsid w:val="007721D1"/>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C10"/>
    <w:rsid w:val="00773D8A"/>
    <w:rsid w:val="00773F5B"/>
    <w:rsid w:val="00774178"/>
    <w:rsid w:val="0077426A"/>
    <w:rsid w:val="00774296"/>
    <w:rsid w:val="007742AB"/>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63B"/>
    <w:rsid w:val="00780734"/>
    <w:rsid w:val="00780758"/>
    <w:rsid w:val="00780783"/>
    <w:rsid w:val="00780786"/>
    <w:rsid w:val="007807B5"/>
    <w:rsid w:val="00780953"/>
    <w:rsid w:val="00780C42"/>
    <w:rsid w:val="00780E1C"/>
    <w:rsid w:val="00780E27"/>
    <w:rsid w:val="00780E7E"/>
    <w:rsid w:val="00780F21"/>
    <w:rsid w:val="00781094"/>
    <w:rsid w:val="007813E3"/>
    <w:rsid w:val="0078164C"/>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29A"/>
    <w:rsid w:val="007835FA"/>
    <w:rsid w:val="0078376B"/>
    <w:rsid w:val="007838FB"/>
    <w:rsid w:val="00783D15"/>
    <w:rsid w:val="00783ED8"/>
    <w:rsid w:val="00783F13"/>
    <w:rsid w:val="00783F55"/>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B5B"/>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AD4"/>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036"/>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4F"/>
    <w:rsid w:val="007A53BB"/>
    <w:rsid w:val="007A56DA"/>
    <w:rsid w:val="007A5735"/>
    <w:rsid w:val="007A5A38"/>
    <w:rsid w:val="007A5A44"/>
    <w:rsid w:val="007A5ADC"/>
    <w:rsid w:val="007A5B2A"/>
    <w:rsid w:val="007A5B83"/>
    <w:rsid w:val="007A613D"/>
    <w:rsid w:val="007A6399"/>
    <w:rsid w:val="007A63E9"/>
    <w:rsid w:val="007A66AC"/>
    <w:rsid w:val="007A6883"/>
    <w:rsid w:val="007A693D"/>
    <w:rsid w:val="007A6944"/>
    <w:rsid w:val="007A69A8"/>
    <w:rsid w:val="007A69B5"/>
    <w:rsid w:val="007A6B9C"/>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7C"/>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185"/>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D43"/>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730"/>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B7B"/>
    <w:rsid w:val="007D7EC6"/>
    <w:rsid w:val="007E017B"/>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2F"/>
    <w:rsid w:val="007E5AE9"/>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082"/>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8C"/>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09"/>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800"/>
    <w:rsid w:val="00800AD4"/>
    <w:rsid w:val="00800C2A"/>
    <w:rsid w:val="00800D98"/>
    <w:rsid w:val="00800E22"/>
    <w:rsid w:val="00800F51"/>
    <w:rsid w:val="00800F5C"/>
    <w:rsid w:val="008011F0"/>
    <w:rsid w:val="0080120E"/>
    <w:rsid w:val="00801300"/>
    <w:rsid w:val="00801406"/>
    <w:rsid w:val="0080161F"/>
    <w:rsid w:val="0080164F"/>
    <w:rsid w:val="008016D1"/>
    <w:rsid w:val="008018EC"/>
    <w:rsid w:val="00801D83"/>
    <w:rsid w:val="00801E6B"/>
    <w:rsid w:val="00802088"/>
    <w:rsid w:val="0080234F"/>
    <w:rsid w:val="00802C77"/>
    <w:rsid w:val="00802CCF"/>
    <w:rsid w:val="00802F7D"/>
    <w:rsid w:val="008030D0"/>
    <w:rsid w:val="0080313B"/>
    <w:rsid w:val="00803425"/>
    <w:rsid w:val="00803510"/>
    <w:rsid w:val="00803641"/>
    <w:rsid w:val="008037B3"/>
    <w:rsid w:val="00803A91"/>
    <w:rsid w:val="00803D0A"/>
    <w:rsid w:val="00803D9D"/>
    <w:rsid w:val="00803DF8"/>
    <w:rsid w:val="00803F63"/>
    <w:rsid w:val="00803F76"/>
    <w:rsid w:val="00803FB7"/>
    <w:rsid w:val="00804261"/>
    <w:rsid w:val="0080444C"/>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A70"/>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7B"/>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8A0"/>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329"/>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49F"/>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0FC8"/>
    <w:rsid w:val="00841117"/>
    <w:rsid w:val="008411DC"/>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6DC"/>
    <w:rsid w:val="0084391A"/>
    <w:rsid w:val="00843B97"/>
    <w:rsid w:val="00843BEF"/>
    <w:rsid w:val="00843E8C"/>
    <w:rsid w:val="0084402A"/>
    <w:rsid w:val="00844219"/>
    <w:rsid w:val="0084434D"/>
    <w:rsid w:val="008443C9"/>
    <w:rsid w:val="008443F5"/>
    <w:rsid w:val="0084450D"/>
    <w:rsid w:val="00844680"/>
    <w:rsid w:val="0084469E"/>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CCA"/>
    <w:rsid w:val="00852DCE"/>
    <w:rsid w:val="00852F41"/>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969"/>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947"/>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456"/>
    <w:rsid w:val="008646AD"/>
    <w:rsid w:val="008646C0"/>
    <w:rsid w:val="008646F5"/>
    <w:rsid w:val="00864773"/>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26"/>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9E6"/>
    <w:rsid w:val="00873F92"/>
    <w:rsid w:val="0087406D"/>
    <w:rsid w:val="008740C8"/>
    <w:rsid w:val="008740C9"/>
    <w:rsid w:val="008741D4"/>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7D8"/>
    <w:rsid w:val="00885888"/>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ABA"/>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DB"/>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851"/>
    <w:rsid w:val="008C1940"/>
    <w:rsid w:val="008C1E84"/>
    <w:rsid w:val="008C2100"/>
    <w:rsid w:val="008C217C"/>
    <w:rsid w:val="008C2233"/>
    <w:rsid w:val="008C241C"/>
    <w:rsid w:val="008C27A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5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A97"/>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66"/>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0AD"/>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59"/>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4A0"/>
    <w:rsid w:val="008E46D0"/>
    <w:rsid w:val="008E476C"/>
    <w:rsid w:val="008E491E"/>
    <w:rsid w:val="008E49DF"/>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A4"/>
    <w:rsid w:val="008F0DFD"/>
    <w:rsid w:val="008F1118"/>
    <w:rsid w:val="008F1173"/>
    <w:rsid w:val="008F1195"/>
    <w:rsid w:val="008F12A6"/>
    <w:rsid w:val="008F16B9"/>
    <w:rsid w:val="008F1A66"/>
    <w:rsid w:val="008F1ABF"/>
    <w:rsid w:val="008F1B22"/>
    <w:rsid w:val="008F2390"/>
    <w:rsid w:val="008F23DF"/>
    <w:rsid w:val="008F2546"/>
    <w:rsid w:val="008F2554"/>
    <w:rsid w:val="008F2735"/>
    <w:rsid w:val="008F27F5"/>
    <w:rsid w:val="008F2A87"/>
    <w:rsid w:val="008F2C0C"/>
    <w:rsid w:val="008F2C53"/>
    <w:rsid w:val="008F2CC4"/>
    <w:rsid w:val="008F2D40"/>
    <w:rsid w:val="008F2D91"/>
    <w:rsid w:val="008F2F53"/>
    <w:rsid w:val="008F30B0"/>
    <w:rsid w:val="008F30B8"/>
    <w:rsid w:val="008F3569"/>
    <w:rsid w:val="008F3607"/>
    <w:rsid w:val="008F3C9A"/>
    <w:rsid w:val="008F3CF5"/>
    <w:rsid w:val="008F3D9F"/>
    <w:rsid w:val="008F4238"/>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3BD0"/>
    <w:rsid w:val="009040CC"/>
    <w:rsid w:val="0090411E"/>
    <w:rsid w:val="009042BF"/>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094"/>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7C3"/>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40E"/>
    <w:rsid w:val="00914499"/>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5EF1"/>
    <w:rsid w:val="009161E1"/>
    <w:rsid w:val="009161EF"/>
    <w:rsid w:val="0091627F"/>
    <w:rsid w:val="00916486"/>
    <w:rsid w:val="00916552"/>
    <w:rsid w:val="009167B5"/>
    <w:rsid w:val="0091685B"/>
    <w:rsid w:val="009169F8"/>
    <w:rsid w:val="00916C57"/>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CC5"/>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DF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2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19"/>
    <w:rsid w:val="00940598"/>
    <w:rsid w:val="00940680"/>
    <w:rsid w:val="009408A8"/>
    <w:rsid w:val="0094093A"/>
    <w:rsid w:val="0094094B"/>
    <w:rsid w:val="00940CE1"/>
    <w:rsid w:val="00940DA0"/>
    <w:rsid w:val="0094130B"/>
    <w:rsid w:val="0094130D"/>
    <w:rsid w:val="0094167C"/>
    <w:rsid w:val="009416EA"/>
    <w:rsid w:val="009418B3"/>
    <w:rsid w:val="00941D17"/>
    <w:rsid w:val="00941F17"/>
    <w:rsid w:val="0094200C"/>
    <w:rsid w:val="00942094"/>
    <w:rsid w:val="009421CA"/>
    <w:rsid w:val="0094220E"/>
    <w:rsid w:val="00942274"/>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10A"/>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7E2"/>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1B1"/>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B8D"/>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47"/>
    <w:rsid w:val="00962E88"/>
    <w:rsid w:val="00962EB2"/>
    <w:rsid w:val="00962EED"/>
    <w:rsid w:val="00962F88"/>
    <w:rsid w:val="00963053"/>
    <w:rsid w:val="0096314B"/>
    <w:rsid w:val="00963350"/>
    <w:rsid w:val="009635FB"/>
    <w:rsid w:val="009637A0"/>
    <w:rsid w:val="0096404D"/>
    <w:rsid w:val="009640AF"/>
    <w:rsid w:val="00964194"/>
    <w:rsid w:val="009641D3"/>
    <w:rsid w:val="00964591"/>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911"/>
    <w:rsid w:val="00965AB9"/>
    <w:rsid w:val="00965AE7"/>
    <w:rsid w:val="00965B99"/>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CF2"/>
    <w:rsid w:val="00967D7E"/>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3CA"/>
    <w:rsid w:val="00973468"/>
    <w:rsid w:val="009736EE"/>
    <w:rsid w:val="00973782"/>
    <w:rsid w:val="009738EC"/>
    <w:rsid w:val="00973AE4"/>
    <w:rsid w:val="00973EB3"/>
    <w:rsid w:val="00974043"/>
    <w:rsid w:val="009740DE"/>
    <w:rsid w:val="00974227"/>
    <w:rsid w:val="00974428"/>
    <w:rsid w:val="0097446A"/>
    <w:rsid w:val="00974750"/>
    <w:rsid w:val="00974A1B"/>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5AB"/>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286"/>
    <w:rsid w:val="00984429"/>
    <w:rsid w:val="0098453B"/>
    <w:rsid w:val="009847ED"/>
    <w:rsid w:val="0098488B"/>
    <w:rsid w:val="0098495A"/>
    <w:rsid w:val="00984B69"/>
    <w:rsid w:val="00984BBB"/>
    <w:rsid w:val="00984C38"/>
    <w:rsid w:val="00984CB8"/>
    <w:rsid w:val="00984CFA"/>
    <w:rsid w:val="0098528E"/>
    <w:rsid w:val="009852C8"/>
    <w:rsid w:val="0098535A"/>
    <w:rsid w:val="00985478"/>
    <w:rsid w:val="009854FF"/>
    <w:rsid w:val="0098569F"/>
    <w:rsid w:val="0098578D"/>
    <w:rsid w:val="00985A1E"/>
    <w:rsid w:val="00985BC9"/>
    <w:rsid w:val="00985C19"/>
    <w:rsid w:val="00985D1B"/>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C15"/>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3C"/>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2DC"/>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3E4"/>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54F"/>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B4B"/>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59D"/>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4B9"/>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6F5E"/>
    <w:rsid w:val="00A071FE"/>
    <w:rsid w:val="00A0722E"/>
    <w:rsid w:val="00A073AF"/>
    <w:rsid w:val="00A07518"/>
    <w:rsid w:val="00A07682"/>
    <w:rsid w:val="00A07804"/>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5B9"/>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A4"/>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841"/>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D41"/>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1F47"/>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527"/>
    <w:rsid w:val="00A4562C"/>
    <w:rsid w:val="00A4588D"/>
    <w:rsid w:val="00A458CF"/>
    <w:rsid w:val="00A458DC"/>
    <w:rsid w:val="00A4637F"/>
    <w:rsid w:val="00A46526"/>
    <w:rsid w:val="00A4664F"/>
    <w:rsid w:val="00A46793"/>
    <w:rsid w:val="00A467AB"/>
    <w:rsid w:val="00A46962"/>
    <w:rsid w:val="00A46999"/>
    <w:rsid w:val="00A46AAD"/>
    <w:rsid w:val="00A46C7E"/>
    <w:rsid w:val="00A46CA4"/>
    <w:rsid w:val="00A46CED"/>
    <w:rsid w:val="00A46D13"/>
    <w:rsid w:val="00A46E70"/>
    <w:rsid w:val="00A46E8D"/>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AD2"/>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76"/>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365"/>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37C"/>
    <w:rsid w:val="00A6440C"/>
    <w:rsid w:val="00A646AC"/>
    <w:rsid w:val="00A648EB"/>
    <w:rsid w:val="00A64B02"/>
    <w:rsid w:val="00A64CD6"/>
    <w:rsid w:val="00A64DD4"/>
    <w:rsid w:val="00A64DE5"/>
    <w:rsid w:val="00A64ECE"/>
    <w:rsid w:val="00A6507C"/>
    <w:rsid w:val="00A650FD"/>
    <w:rsid w:val="00A65279"/>
    <w:rsid w:val="00A652B3"/>
    <w:rsid w:val="00A65324"/>
    <w:rsid w:val="00A6553F"/>
    <w:rsid w:val="00A655AC"/>
    <w:rsid w:val="00A65691"/>
    <w:rsid w:val="00A656B3"/>
    <w:rsid w:val="00A6580E"/>
    <w:rsid w:val="00A65919"/>
    <w:rsid w:val="00A65B45"/>
    <w:rsid w:val="00A65B9C"/>
    <w:rsid w:val="00A65C1F"/>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06"/>
    <w:rsid w:val="00A70937"/>
    <w:rsid w:val="00A70AC3"/>
    <w:rsid w:val="00A70B04"/>
    <w:rsid w:val="00A70CA3"/>
    <w:rsid w:val="00A70E16"/>
    <w:rsid w:val="00A711DC"/>
    <w:rsid w:val="00A71223"/>
    <w:rsid w:val="00A7130B"/>
    <w:rsid w:val="00A715CC"/>
    <w:rsid w:val="00A7170D"/>
    <w:rsid w:val="00A7187A"/>
    <w:rsid w:val="00A718E6"/>
    <w:rsid w:val="00A71911"/>
    <w:rsid w:val="00A71A19"/>
    <w:rsid w:val="00A71BCD"/>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295"/>
    <w:rsid w:val="00A7734B"/>
    <w:rsid w:val="00A77893"/>
    <w:rsid w:val="00A77AF0"/>
    <w:rsid w:val="00A77B1C"/>
    <w:rsid w:val="00A77E09"/>
    <w:rsid w:val="00A80111"/>
    <w:rsid w:val="00A80315"/>
    <w:rsid w:val="00A80323"/>
    <w:rsid w:val="00A8044D"/>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CCE"/>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77D"/>
    <w:rsid w:val="00A918C4"/>
    <w:rsid w:val="00A9191E"/>
    <w:rsid w:val="00A91AC0"/>
    <w:rsid w:val="00A91BC0"/>
    <w:rsid w:val="00A91D06"/>
    <w:rsid w:val="00A91F12"/>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52B"/>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3F5"/>
    <w:rsid w:val="00A975E3"/>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A18"/>
    <w:rsid w:val="00AA1CA2"/>
    <w:rsid w:val="00AA1E6F"/>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417"/>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555"/>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35"/>
    <w:rsid w:val="00AB5FE9"/>
    <w:rsid w:val="00AB6A2B"/>
    <w:rsid w:val="00AB6A84"/>
    <w:rsid w:val="00AB6B0B"/>
    <w:rsid w:val="00AB6EB6"/>
    <w:rsid w:val="00AB7393"/>
    <w:rsid w:val="00AB74F8"/>
    <w:rsid w:val="00AB757B"/>
    <w:rsid w:val="00AB770A"/>
    <w:rsid w:val="00AB775A"/>
    <w:rsid w:val="00AB7791"/>
    <w:rsid w:val="00AB7866"/>
    <w:rsid w:val="00AB7A2F"/>
    <w:rsid w:val="00AB7B22"/>
    <w:rsid w:val="00AB7E1A"/>
    <w:rsid w:val="00AC008A"/>
    <w:rsid w:val="00AC019C"/>
    <w:rsid w:val="00AC020C"/>
    <w:rsid w:val="00AC0489"/>
    <w:rsid w:val="00AC04B0"/>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9C6"/>
    <w:rsid w:val="00AC1BD5"/>
    <w:rsid w:val="00AC1C0F"/>
    <w:rsid w:val="00AC1DD7"/>
    <w:rsid w:val="00AC1DFA"/>
    <w:rsid w:val="00AC1ECA"/>
    <w:rsid w:val="00AC1FE1"/>
    <w:rsid w:val="00AC262E"/>
    <w:rsid w:val="00AC26C8"/>
    <w:rsid w:val="00AC2701"/>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811"/>
    <w:rsid w:val="00AC5A5D"/>
    <w:rsid w:val="00AC5D81"/>
    <w:rsid w:val="00AC5E51"/>
    <w:rsid w:val="00AC5FB2"/>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0FA0"/>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6D"/>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80C"/>
    <w:rsid w:val="00AE5C52"/>
    <w:rsid w:val="00AE5E63"/>
    <w:rsid w:val="00AE60BF"/>
    <w:rsid w:val="00AE618A"/>
    <w:rsid w:val="00AE6592"/>
    <w:rsid w:val="00AE65B3"/>
    <w:rsid w:val="00AE65CC"/>
    <w:rsid w:val="00AE661A"/>
    <w:rsid w:val="00AE6690"/>
    <w:rsid w:val="00AE6C43"/>
    <w:rsid w:val="00AE6C9A"/>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A25"/>
    <w:rsid w:val="00AF0F7E"/>
    <w:rsid w:val="00AF0FD4"/>
    <w:rsid w:val="00AF1343"/>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5C6"/>
    <w:rsid w:val="00AF77AA"/>
    <w:rsid w:val="00AF79D6"/>
    <w:rsid w:val="00AF7AB8"/>
    <w:rsid w:val="00AF7C00"/>
    <w:rsid w:val="00AF7C07"/>
    <w:rsid w:val="00B001D4"/>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4B"/>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6FC"/>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356"/>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49"/>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42"/>
    <w:rsid w:val="00B63050"/>
    <w:rsid w:val="00B63270"/>
    <w:rsid w:val="00B635A7"/>
    <w:rsid w:val="00B63804"/>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041"/>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27B"/>
    <w:rsid w:val="00B7438B"/>
    <w:rsid w:val="00B745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47"/>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31E"/>
    <w:rsid w:val="00B8753A"/>
    <w:rsid w:val="00B8755A"/>
    <w:rsid w:val="00B876BB"/>
    <w:rsid w:val="00B878C1"/>
    <w:rsid w:val="00B87981"/>
    <w:rsid w:val="00B87B6F"/>
    <w:rsid w:val="00B87C89"/>
    <w:rsid w:val="00B87CE8"/>
    <w:rsid w:val="00B87E9C"/>
    <w:rsid w:val="00B87F6D"/>
    <w:rsid w:val="00B90041"/>
    <w:rsid w:val="00B900DF"/>
    <w:rsid w:val="00B904CE"/>
    <w:rsid w:val="00B904D8"/>
    <w:rsid w:val="00B907CB"/>
    <w:rsid w:val="00B90E2C"/>
    <w:rsid w:val="00B90F3A"/>
    <w:rsid w:val="00B90FD6"/>
    <w:rsid w:val="00B90FF9"/>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DB5"/>
    <w:rsid w:val="00BA0247"/>
    <w:rsid w:val="00BA03C4"/>
    <w:rsid w:val="00BA0564"/>
    <w:rsid w:val="00BA0800"/>
    <w:rsid w:val="00BA09E0"/>
    <w:rsid w:val="00BA0B9C"/>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46"/>
    <w:rsid w:val="00BA5672"/>
    <w:rsid w:val="00BA5869"/>
    <w:rsid w:val="00BA58C6"/>
    <w:rsid w:val="00BA598B"/>
    <w:rsid w:val="00BA5E57"/>
    <w:rsid w:val="00BA6182"/>
    <w:rsid w:val="00BA6190"/>
    <w:rsid w:val="00BA6325"/>
    <w:rsid w:val="00BA634B"/>
    <w:rsid w:val="00BA658E"/>
    <w:rsid w:val="00BA6611"/>
    <w:rsid w:val="00BA69BC"/>
    <w:rsid w:val="00BA6A4E"/>
    <w:rsid w:val="00BA6AF1"/>
    <w:rsid w:val="00BA6C5F"/>
    <w:rsid w:val="00BA6DD8"/>
    <w:rsid w:val="00BA6DF6"/>
    <w:rsid w:val="00BA7015"/>
    <w:rsid w:val="00BA71BB"/>
    <w:rsid w:val="00BA736F"/>
    <w:rsid w:val="00BA766D"/>
    <w:rsid w:val="00BA76B2"/>
    <w:rsid w:val="00BA78FD"/>
    <w:rsid w:val="00BA7903"/>
    <w:rsid w:val="00BA7A51"/>
    <w:rsid w:val="00BA7B72"/>
    <w:rsid w:val="00BA7CA8"/>
    <w:rsid w:val="00BA7F37"/>
    <w:rsid w:val="00BA7FA7"/>
    <w:rsid w:val="00BB0013"/>
    <w:rsid w:val="00BB03B7"/>
    <w:rsid w:val="00BB0582"/>
    <w:rsid w:val="00BB061A"/>
    <w:rsid w:val="00BB06AE"/>
    <w:rsid w:val="00BB0B26"/>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9BB"/>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417"/>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5FD"/>
    <w:rsid w:val="00BD1607"/>
    <w:rsid w:val="00BD1640"/>
    <w:rsid w:val="00BD16F4"/>
    <w:rsid w:val="00BD1712"/>
    <w:rsid w:val="00BD1718"/>
    <w:rsid w:val="00BD1BCB"/>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BA5"/>
    <w:rsid w:val="00BD4C19"/>
    <w:rsid w:val="00BD4D1F"/>
    <w:rsid w:val="00BD4E8C"/>
    <w:rsid w:val="00BD5002"/>
    <w:rsid w:val="00BD5152"/>
    <w:rsid w:val="00BD568A"/>
    <w:rsid w:val="00BD5718"/>
    <w:rsid w:val="00BD5837"/>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02"/>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4A3"/>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217"/>
    <w:rsid w:val="00BF73B5"/>
    <w:rsid w:val="00BF75D3"/>
    <w:rsid w:val="00BF7649"/>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4C9"/>
    <w:rsid w:val="00C015BF"/>
    <w:rsid w:val="00C01687"/>
    <w:rsid w:val="00C017A9"/>
    <w:rsid w:val="00C01980"/>
    <w:rsid w:val="00C01A73"/>
    <w:rsid w:val="00C01B78"/>
    <w:rsid w:val="00C01E5D"/>
    <w:rsid w:val="00C01EC0"/>
    <w:rsid w:val="00C02177"/>
    <w:rsid w:val="00C022D0"/>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79F"/>
    <w:rsid w:val="00C1093D"/>
    <w:rsid w:val="00C10BB3"/>
    <w:rsid w:val="00C112B8"/>
    <w:rsid w:val="00C112ED"/>
    <w:rsid w:val="00C11305"/>
    <w:rsid w:val="00C1168B"/>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EC"/>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5CA"/>
    <w:rsid w:val="00C20623"/>
    <w:rsid w:val="00C2072D"/>
    <w:rsid w:val="00C20743"/>
    <w:rsid w:val="00C207D6"/>
    <w:rsid w:val="00C20A81"/>
    <w:rsid w:val="00C20A85"/>
    <w:rsid w:val="00C20D57"/>
    <w:rsid w:val="00C20DF5"/>
    <w:rsid w:val="00C20E95"/>
    <w:rsid w:val="00C20FCA"/>
    <w:rsid w:val="00C212CB"/>
    <w:rsid w:val="00C21555"/>
    <w:rsid w:val="00C2165D"/>
    <w:rsid w:val="00C218E8"/>
    <w:rsid w:val="00C219DD"/>
    <w:rsid w:val="00C21B46"/>
    <w:rsid w:val="00C21C4A"/>
    <w:rsid w:val="00C22389"/>
    <w:rsid w:val="00C225AE"/>
    <w:rsid w:val="00C225BB"/>
    <w:rsid w:val="00C22830"/>
    <w:rsid w:val="00C229F5"/>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5E7"/>
    <w:rsid w:val="00C25781"/>
    <w:rsid w:val="00C258C6"/>
    <w:rsid w:val="00C25C22"/>
    <w:rsid w:val="00C25C49"/>
    <w:rsid w:val="00C2618D"/>
    <w:rsid w:val="00C2644D"/>
    <w:rsid w:val="00C264C5"/>
    <w:rsid w:val="00C265BD"/>
    <w:rsid w:val="00C2682B"/>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0D1"/>
    <w:rsid w:val="00C321AC"/>
    <w:rsid w:val="00C32214"/>
    <w:rsid w:val="00C3231D"/>
    <w:rsid w:val="00C3253A"/>
    <w:rsid w:val="00C327C3"/>
    <w:rsid w:val="00C32801"/>
    <w:rsid w:val="00C32B80"/>
    <w:rsid w:val="00C32C08"/>
    <w:rsid w:val="00C32F7E"/>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1D"/>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6E2C"/>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95E"/>
    <w:rsid w:val="00C40BC2"/>
    <w:rsid w:val="00C40DAF"/>
    <w:rsid w:val="00C40DE8"/>
    <w:rsid w:val="00C41210"/>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519"/>
    <w:rsid w:val="00C525B1"/>
    <w:rsid w:val="00C5277B"/>
    <w:rsid w:val="00C527A8"/>
    <w:rsid w:val="00C527AD"/>
    <w:rsid w:val="00C52B7B"/>
    <w:rsid w:val="00C52B88"/>
    <w:rsid w:val="00C52BD0"/>
    <w:rsid w:val="00C52E21"/>
    <w:rsid w:val="00C52E6C"/>
    <w:rsid w:val="00C52F60"/>
    <w:rsid w:val="00C52F77"/>
    <w:rsid w:val="00C530FA"/>
    <w:rsid w:val="00C53429"/>
    <w:rsid w:val="00C53592"/>
    <w:rsid w:val="00C5360C"/>
    <w:rsid w:val="00C536A4"/>
    <w:rsid w:val="00C5376B"/>
    <w:rsid w:val="00C538F2"/>
    <w:rsid w:val="00C53F74"/>
    <w:rsid w:val="00C54067"/>
    <w:rsid w:val="00C5416B"/>
    <w:rsid w:val="00C5437C"/>
    <w:rsid w:val="00C54416"/>
    <w:rsid w:val="00C5462F"/>
    <w:rsid w:val="00C5478E"/>
    <w:rsid w:val="00C547E9"/>
    <w:rsid w:val="00C54900"/>
    <w:rsid w:val="00C54966"/>
    <w:rsid w:val="00C54C6D"/>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E5F"/>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BC0"/>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2C9"/>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432"/>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B37"/>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126"/>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CF6"/>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797"/>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81A"/>
    <w:rsid w:val="00CB4870"/>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115"/>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BB"/>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5DF"/>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7"/>
    <w:rsid w:val="00CC78CD"/>
    <w:rsid w:val="00CC793E"/>
    <w:rsid w:val="00CC7C26"/>
    <w:rsid w:val="00CC7D35"/>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D59"/>
    <w:rsid w:val="00CD1E00"/>
    <w:rsid w:val="00CD1FA9"/>
    <w:rsid w:val="00CD21A9"/>
    <w:rsid w:val="00CD22AA"/>
    <w:rsid w:val="00CD2393"/>
    <w:rsid w:val="00CD2468"/>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D8A"/>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17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3B6D"/>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EE2"/>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C3A"/>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C4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0D"/>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536"/>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59E"/>
    <w:rsid w:val="00D226BA"/>
    <w:rsid w:val="00D22916"/>
    <w:rsid w:val="00D22976"/>
    <w:rsid w:val="00D22A50"/>
    <w:rsid w:val="00D22B03"/>
    <w:rsid w:val="00D22C24"/>
    <w:rsid w:val="00D22C38"/>
    <w:rsid w:val="00D22E75"/>
    <w:rsid w:val="00D231DC"/>
    <w:rsid w:val="00D23644"/>
    <w:rsid w:val="00D23799"/>
    <w:rsid w:val="00D238C3"/>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7BA"/>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2FFC"/>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19"/>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5F42"/>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EE9"/>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B8B"/>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65C"/>
    <w:rsid w:val="00D57745"/>
    <w:rsid w:val="00D577C9"/>
    <w:rsid w:val="00D5788D"/>
    <w:rsid w:val="00D5795F"/>
    <w:rsid w:val="00D57A1D"/>
    <w:rsid w:val="00D57E13"/>
    <w:rsid w:val="00D600F7"/>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56"/>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87C"/>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0B5"/>
    <w:rsid w:val="00D85243"/>
    <w:rsid w:val="00D8553F"/>
    <w:rsid w:val="00D85930"/>
    <w:rsid w:val="00D85A77"/>
    <w:rsid w:val="00D85AC2"/>
    <w:rsid w:val="00D85DDC"/>
    <w:rsid w:val="00D85F24"/>
    <w:rsid w:val="00D85F59"/>
    <w:rsid w:val="00D860CF"/>
    <w:rsid w:val="00D86134"/>
    <w:rsid w:val="00D8626A"/>
    <w:rsid w:val="00D863C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3A7"/>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79"/>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5E8"/>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B3"/>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33D"/>
    <w:rsid w:val="00DC1485"/>
    <w:rsid w:val="00DC1905"/>
    <w:rsid w:val="00DC19FD"/>
    <w:rsid w:val="00DC1B5A"/>
    <w:rsid w:val="00DC1CDD"/>
    <w:rsid w:val="00DC1D50"/>
    <w:rsid w:val="00DC215E"/>
    <w:rsid w:val="00DC2278"/>
    <w:rsid w:val="00DC29B5"/>
    <w:rsid w:val="00DC2BCA"/>
    <w:rsid w:val="00DC2CB7"/>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B3B"/>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6DF"/>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5FE9"/>
    <w:rsid w:val="00DD6079"/>
    <w:rsid w:val="00DD6328"/>
    <w:rsid w:val="00DD659F"/>
    <w:rsid w:val="00DD65AC"/>
    <w:rsid w:val="00DD682A"/>
    <w:rsid w:val="00DD691E"/>
    <w:rsid w:val="00DD6A99"/>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35D"/>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5021"/>
    <w:rsid w:val="00DE50B3"/>
    <w:rsid w:val="00DE50B8"/>
    <w:rsid w:val="00DE5241"/>
    <w:rsid w:val="00DE5273"/>
    <w:rsid w:val="00DE52A0"/>
    <w:rsid w:val="00DE5335"/>
    <w:rsid w:val="00DE5513"/>
    <w:rsid w:val="00DE582E"/>
    <w:rsid w:val="00DE59C6"/>
    <w:rsid w:val="00DE5A45"/>
    <w:rsid w:val="00DE5C8B"/>
    <w:rsid w:val="00DE5CD3"/>
    <w:rsid w:val="00DE5DF9"/>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816"/>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02E"/>
    <w:rsid w:val="00DF5134"/>
    <w:rsid w:val="00DF538F"/>
    <w:rsid w:val="00DF56C5"/>
    <w:rsid w:val="00DF57AB"/>
    <w:rsid w:val="00DF5A78"/>
    <w:rsid w:val="00DF5A82"/>
    <w:rsid w:val="00DF5B67"/>
    <w:rsid w:val="00DF5B70"/>
    <w:rsid w:val="00DF5B7F"/>
    <w:rsid w:val="00DF5BF5"/>
    <w:rsid w:val="00DF5BFB"/>
    <w:rsid w:val="00DF5C27"/>
    <w:rsid w:val="00DF5EC8"/>
    <w:rsid w:val="00DF6023"/>
    <w:rsid w:val="00DF69BE"/>
    <w:rsid w:val="00DF6CCC"/>
    <w:rsid w:val="00DF6CDE"/>
    <w:rsid w:val="00DF6DA7"/>
    <w:rsid w:val="00DF6DE0"/>
    <w:rsid w:val="00DF6F0B"/>
    <w:rsid w:val="00DF6F36"/>
    <w:rsid w:val="00DF7304"/>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A8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7B7"/>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18"/>
    <w:rsid w:val="00E1315B"/>
    <w:rsid w:val="00E13485"/>
    <w:rsid w:val="00E134D6"/>
    <w:rsid w:val="00E13581"/>
    <w:rsid w:val="00E13C3D"/>
    <w:rsid w:val="00E13D9D"/>
    <w:rsid w:val="00E14037"/>
    <w:rsid w:val="00E1424F"/>
    <w:rsid w:val="00E144A2"/>
    <w:rsid w:val="00E145F1"/>
    <w:rsid w:val="00E1489F"/>
    <w:rsid w:val="00E14A42"/>
    <w:rsid w:val="00E14EB9"/>
    <w:rsid w:val="00E1513B"/>
    <w:rsid w:val="00E1520B"/>
    <w:rsid w:val="00E15343"/>
    <w:rsid w:val="00E1546D"/>
    <w:rsid w:val="00E15491"/>
    <w:rsid w:val="00E15510"/>
    <w:rsid w:val="00E158E2"/>
    <w:rsid w:val="00E15AF0"/>
    <w:rsid w:val="00E15DFB"/>
    <w:rsid w:val="00E15F80"/>
    <w:rsid w:val="00E15F9B"/>
    <w:rsid w:val="00E164B8"/>
    <w:rsid w:val="00E16529"/>
    <w:rsid w:val="00E16AD6"/>
    <w:rsid w:val="00E16CDC"/>
    <w:rsid w:val="00E170A3"/>
    <w:rsid w:val="00E1715C"/>
    <w:rsid w:val="00E1731D"/>
    <w:rsid w:val="00E175F7"/>
    <w:rsid w:val="00E1763D"/>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0E2"/>
    <w:rsid w:val="00E25138"/>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C40"/>
    <w:rsid w:val="00E26D11"/>
    <w:rsid w:val="00E26DAC"/>
    <w:rsid w:val="00E26F46"/>
    <w:rsid w:val="00E27302"/>
    <w:rsid w:val="00E27369"/>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5E"/>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E6A"/>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26F"/>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201"/>
    <w:rsid w:val="00E5044E"/>
    <w:rsid w:val="00E5052F"/>
    <w:rsid w:val="00E50626"/>
    <w:rsid w:val="00E506C6"/>
    <w:rsid w:val="00E507C5"/>
    <w:rsid w:val="00E51086"/>
    <w:rsid w:val="00E513D7"/>
    <w:rsid w:val="00E51456"/>
    <w:rsid w:val="00E51655"/>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17"/>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820"/>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88"/>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00"/>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22E"/>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96D"/>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4B9"/>
    <w:rsid w:val="00E776B7"/>
    <w:rsid w:val="00E77802"/>
    <w:rsid w:val="00E778DB"/>
    <w:rsid w:val="00E7790B"/>
    <w:rsid w:val="00E77B26"/>
    <w:rsid w:val="00E77CA4"/>
    <w:rsid w:val="00E80359"/>
    <w:rsid w:val="00E80389"/>
    <w:rsid w:val="00E8059F"/>
    <w:rsid w:val="00E80807"/>
    <w:rsid w:val="00E80819"/>
    <w:rsid w:val="00E80C6A"/>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95"/>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06"/>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5A"/>
    <w:rsid w:val="00E9468A"/>
    <w:rsid w:val="00E94A7F"/>
    <w:rsid w:val="00E94A9B"/>
    <w:rsid w:val="00E94CD4"/>
    <w:rsid w:val="00E94EC0"/>
    <w:rsid w:val="00E94F28"/>
    <w:rsid w:val="00E94F3F"/>
    <w:rsid w:val="00E94F8E"/>
    <w:rsid w:val="00E95073"/>
    <w:rsid w:val="00E9558F"/>
    <w:rsid w:val="00E955FD"/>
    <w:rsid w:val="00E9573B"/>
    <w:rsid w:val="00E95F84"/>
    <w:rsid w:val="00E96303"/>
    <w:rsid w:val="00E96669"/>
    <w:rsid w:val="00E967F7"/>
    <w:rsid w:val="00E96CC9"/>
    <w:rsid w:val="00E96D74"/>
    <w:rsid w:val="00E96D83"/>
    <w:rsid w:val="00E9715B"/>
    <w:rsid w:val="00E97170"/>
    <w:rsid w:val="00E971F5"/>
    <w:rsid w:val="00E97245"/>
    <w:rsid w:val="00E9725A"/>
    <w:rsid w:val="00E974C2"/>
    <w:rsid w:val="00E97532"/>
    <w:rsid w:val="00E97542"/>
    <w:rsid w:val="00E975EC"/>
    <w:rsid w:val="00E9770B"/>
    <w:rsid w:val="00E97741"/>
    <w:rsid w:val="00E97A29"/>
    <w:rsid w:val="00E97ACF"/>
    <w:rsid w:val="00E97CAC"/>
    <w:rsid w:val="00E97D46"/>
    <w:rsid w:val="00E97DDB"/>
    <w:rsid w:val="00E97EEE"/>
    <w:rsid w:val="00E97F7A"/>
    <w:rsid w:val="00E97FFA"/>
    <w:rsid w:val="00E97FFC"/>
    <w:rsid w:val="00EA00AE"/>
    <w:rsid w:val="00EA0435"/>
    <w:rsid w:val="00EA0695"/>
    <w:rsid w:val="00EA0802"/>
    <w:rsid w:val="00EA0B10"/>
    <w:rsid w:val="00EA0E6C"/>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4BE"/>
    <w:rsid w:val="00EA35CD"/>
    <w:rsid w:val="00EA388F"/>
    <w:rsid w:val="00EA3A87"/>
    <w:rsid w:val="00EA3BAA"/>
    <w:rsid w:val="00EA3C83"/>
    <w:rsid w:val="00EA3D3C"/>
    <w:rsid w:val="00EA3D7D"/>
    <w:rsid w:val="00EA3E5C"/>
    <w:rsid w:val="00EA4011"/>
    <w:rsid w:val="00EA4031"/>
    <w:rsid w:val="00EA4462"/>
    <w:rsid w:val="00EA44F8"/>
    <w:rsid w:val="00EA4552"/>
    <w:rsid w:val="00EA46DE"/>
    <w:rsid w:val="00EA4968"/>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2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D35"/>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4D1"/>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4F2"/>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73D"/>
    <w:rsid w:val="00EC48D8"/>
    <w:rsid w:val="00EC4AA6"/>
    <w:rsid w:val="00EC4B07"/>
    <w:rsid w:val="00EC4B9A"/>
    <w:rsid w:val="00EC4D56"/>
    <w:rsid w:val="00EC4DCE"/>
    <w:rsid w:val="00EC4ED7"/>
    <w:rsid w:val="00EC51C8"/>
    <w:rsid w:val="00EC52D5"/>
    <w:rsid w:val="00EC5416"/>
    <w:rsid w:val="00EC5502"/>
    <w:rsid w:val="00EC55B8"/>
    <w:rsid w:val="00EC5605"/>
    <w:rsid w:val="00EC56A6"/>
    <w:rsid w:val="00EC5E05"/>
    <w:rsid w:val="00EC5EA3"/>
    <w:rsid w:val="00EC6467"/>
    <w:rsid w:val="00EC671E"/>
    <w:rsid w:val="00EC6AB5"/>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2D4"/>
    <w:rsid w:val="00ED4568"/>
    <w:rsid w:val="00ED4588"/>
    <w:rsid w:val="00ED4A3C"/>
    <w:rsid w:val="00ED4D69"/>
    <w:rsid w:val="00ED4E78"/>
    <w:rsid w:val="00ED4EB6"/>
    <w:rsid w:val="00ED4F2E"/>
    <w:rsid w:val="00ED508C"/>
    <w:rsid w:val="00ED50E2"/>
    <w:rsid w:val="00ED5242"/>
    <w:rsid w:val="00ED5285"/>
    <w:rsid w:val="00ED55CD"/>
    <w:rsid w:val="00ED5621"/>
    <w:rsid w:val="00ED5AAF"/>
    <w:rsid w:val="00ED5AE3"/>
    <w:rsid w:val="00ED5AEC"/>
    <w:rsid w:val="00ED5D13"/>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2E22"/>
    <w:rsid w:val="00EE33BD"/>
    <w:rsid w:val="00EE3454"/>
    <w:rsid w:val="00EE3682"/>
    <w:rsid w:val="00EE37C3"/>
    <w:rsid w:val="00EE3BD8"/>
    <w:rsid w:val="00EE3EE6"/>
    <w:rsid w:val="00EE418B"/>
    <w:rsid w:val="00EE4468"/>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5FAC"/>
    <w:rsid w:val="00EE6017"/>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CC7"/>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263"/>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0F73"/>
    <w:rsid w:val="00F01279"/>
    <w:rsid w:val="00F01287"/>
    <w:rsid w:val="00F01336"/>
    <w:rsid w:val="00F015EE"/>
    <w:rsid w:val="00F01636"/>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4B6"/>
    <w:rsid w:val="00F0353E"/>
    <w:rsid w:val="00F0354E"/>
    <w:rsid w:val="00F035FD"/>
    <w:rsid w:val="00F037F1"/>
    <w:rsid w:val="00F03B07"/>
    <w:rsid w:val="00F0402C"/>
    <w:rsid w:val="00F04202"/>
    <w:rsid w:val="00F04376"/>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74"/>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89A"/>
    <w:rsid w:val="00F17A1A"/>
    <w:rsid w:val="00F17A76"/>
    <w:rsid w:val="00F17B00"/>
    <w:rsid w:val="00F17B2E"/>
    <w:rsid w:val="00F17CE1"/>
    <w:rsid w:val="00F17E09"/>
    <w:rsid w:val="00F20239"/>
    <w:rsid w:val="00F20348"/>
    <w:rsid w:val="00F20425"/>
    <w:rsid w:val="00F2061F"/>
    <w:rsid w:val="00F20709"/>
    <w:rsid w:val="00F208DD"/>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6C9"/>
    <w:rsid w:val="00F23B51"/>
    <w:rsid w:val="00F23BC3"/>
    <w:rsid w:val="00F23CE1"/>
    <w:rsid w:val="00F23D5A"/>
    <w:rsid w:val="00F24059"/>
    <w:rsid w:val="00F241B4"/>
    <w:rsid w:val="00F2432D"/>
    <w:rsid w:val="00F24446"/>
    <w:rsid w:val="00F2459A"/>
    <w:rsid w:val="00F24690"/>
    <w:rsid w:val="00F24767"/>
    <w:rsid w:val="00F2488D"/>
    <w:rsid w:val="00F248B7"/>
    <w:rsid w:val="00F24AF9"/>
    <w:rsid w:val="00F24B08"/>
    <w:rsid w:val="00F24BE7"/>
    <w:rsid w:val="00F24DD0"/>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962"/>
    <w:rsid w:val="00F26BC0"/>
    <w:rsid w:val="00F26E67"/>
    <w:rsid w:val="00F26FE3"/>
    <w:rsid w:val="00F27033"/>
    <w:rsid w:val="00F27225"/>
    <w:rsid w:val="00F27353"/>
    <w:rsid w:val="00F274EE"/>
    <w:rsid w:val="00F275B6"/>
    <w:rsid w:val="00F278A7"/>
    <w:rsid w:val="00F279EF"/>
    <w:rsid w:val="00F27B64"/>
    <w:rsid w:val="00F27BF1"/>
    <w:rsid w:val="00F27E2B"/>
    <w:rsid w:val="00F27F5C"/>
    <w:rsid w:val="00F303F0"/>
    <w:rsid w:val="00F305AB"/>
    <w:rsid w:val="00F305F2"/>
    <w:rsid w:val="00F306BC"/>
    <w:rsid w:val="00F30856"/>
    <w:rsid w:val="00F308B4"/>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0AF"/>
    <w:rsid w:val="00F332BF"/>
    <w:rsid w:val="00F3330A"/>
    <w:rsid w:val="00F33345"/>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789"/>
    <w:rsid w:val="00F3589E"/>
    <w:rsid w:val="00F358EE"/>
    <w:rsid w:val="00F365C2"/>
    <w:rsid w:val="00F36671"/>
    <w:rsid w:val="00F36BD9"/>
    <w:rsid w:val="00F36D9D"/>
    <w:rsid w:val="00F36E46"/>
    <w:rsid w:val="00F372E7"/>
    <w:rsid w:val="00F374F0"/>
    <w:rsid w:val="00F375D2"/>
    <w:rsid w:val="00F37604"/>
    <w:rsid w:val="00F377C3"/>
    <w:rsid w:val="00F379AB"/>
    <w:rsid w:val="00F37A46"/>
    <w:rsid w:val="00F37B73"/>
    <w:rsid w:val="00F37B76"/>
    <w:rsid w:val="00F37BA1"/>
    <w:rsid w:val="00F40075"/>
    <w:rsid w:val="00F40431"/>
    <w:rsid w:val="00F404CD"/>
    <w:rsid w:val="00F40552"/>
    <w:rsid w:val="00F4059C"/>
    <w:rsid w:val="00F406CA"/>
    <w:rsid w:val="00F408D8"/>
    <w:rsid w:val="00F409FE"/>
    <w:rsid w:val="00F40A77"/>
    <w:rsid w:val="00F40CD9"/>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5A"/>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BD6"/>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1DA4"/>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480"/>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12"/>
    <w:rsid w:val="00F55FCE"/>
    <w:rsid w:val="00F5608A"/>
    <w:rsid w:val="00F5623D"/>
    <w:rsid w:val="00F56655"/>
    <w:rsid w:val="00F5684E"/>
    <w:rsid w:val="00F56B94"/>
    <w:rsid w:val="00F56BE1"/>
    <w:rsid w:val="00F56D35"/>
    <w:rsid w:val="00F56F3A"/>
    <w:rsid w:val="00F56F9D"/>
    <w:rsid w:val="00F57077"/>
    <w:rsid w:val="00F575A7"/>
    <w:rsid w:val="00F575FF"/>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93"/>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618"/>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58"/>
    <w:rsid w:val="00F641E3"/>
    <w:rsid w:val="00F642E0"/>
    <w:rsid w:val="00F64491"/>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0AE"/>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979"/>
    <w:rsid w:val="00F72FE1"/>
    <w:rsid w:val="00F73039"/>
    <w:rsid w:val="00F73065"/>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BE3"/>
    <w:rsid w:val="00F74C6C"/>
    <w:rsid w:val="00F750EF"/>
    <w:rsid w:val="00F751CA"/>
    <w:rsid w:val="00F75384"/>
    <w:rsid w:val="00F7546E"/>
    <w:rsid w:val="00F75B0C"/>
    <w:rsid w:val="00F75BA9"/>
    <w:rsid w:val="00F75CB7"/>
    <w:rsid w:val="00F75DB2"/>
    <w:rsid w:val="00F75DCA"/>
    <w:rsid w:val="00F761DD"/>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6A7"/>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AE9"/>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071"/>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80"/>
    <w:rsid w:val="00FA06DF"/>
    <w:rsid w:val="00FA0783"/>
    <w:rsid w:val="00FA0888"/>
    <w:rsid w:val="00FA0926"/>
    <w:rsid w:val="00FA0990"/>
    <w:rsid w:val="00FA0A68"/>
    <w:rsid w:val="00FA0AF5"/>
    <w:rsid w:val="00FA0C10"/>
    <w:rsid w:val="00FA0D86"/>
    <w:rsid w:val="00FA0F09"/>
    <w:rsid w:val="00FA0F93"/>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A0"/>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91"/>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7B4"/>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4"/>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2C2"/>
    <w:rsid w:val="00FC03C2"/>
    <w:rsid w:val="00FC06AA"/>
    <w:rsid w:val="00FC074A"/>
    <w:rsid w:val="00FC090C"/>
    <w:rsid w:val="00FC0922"/>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88D"/>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52"/>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D58"/>
    <w:rsid w:val="00FD4DF9"/>
    <w:rsid w:val="00FD4FC4"/>
    <w:rsid w:val="00FD515E"/>
    <w:rsid w:val="00FD529F"/>
    <w:rsid w:val="00FD52E3"/>
    <w:rsid w:val="00FD5669"/>
    <w:rsid w:val="00FD58E1"/>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E17"/>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A50"/>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8EF"/>
    <w:rsid w:val="00FF69E4"/>
    <w:rsid w:val="00FF6A41"/>
    <w:rsid w:val="00FF6A4D"/>
    <w:rsid w:val="00FF6A91"/>
    <w:rsid w:val="00FF6D75"/>
    <w:rsid w:val="00FF71FC"/>
    <w:rsid w:val="00FF72DC"/>
    <w:rsid w:val="00FF73BC"/>
    <w:rsid w:val="00FF757C"/>
    <w:rsid w:val="00FF75CA"/>
    <w:rsid w:val="00FF76A0"/>
    <w:rsid w:val="00FF7BFC"/>
    <w:rsid w:val="00FF7E71"/>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124DB6"/>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124DB6"/>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uiPriority w:val="99"/>
    <w:semiHidden/>
    <w:rsid w:val="007220DF"/>
    <w:rPr>
      <w:rFonts w:ascii="Arial" w:hAnsi="Arial" w:cs="Times New Roman"/>
      <w:sz w:val="16"/>
    </w:rPr>
  </w:style>
  <w:style w:type="paragraph" w:styleId="CommentText">
    <w:name w:val="annotation text"/>
    <w:basedOn w:val="Normal"/>
    <w:link w:val="CommentTextChar1"/>
    <w:uiPriority w:val="99"/>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256B52"/>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uiPriority w:val="99"/>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67117431">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4854283">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7955793">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18281072">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45709">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877271">
      <w:bodyDiv w:val="1"/>
      <w:marLeft w:val="0"/>
      <w:marRight w:val="0"/>
      <w:marTop w:val="0"/>
      <w:marBottom w:val="0"/>
      <w:divBdr>
        <w:top w:val="none" w:sz="0" w:space="0" w:color="auto"/>
        <w:left w:val="none" w:sz="0" w:space="0" w:color="auto"/>
        <w:bottom w:val="none" w:sz="0" w:space="0" w:color="auto"/>
        <w:right w:val="none" w:sz="0" w:space="0" w:color="auto"/>
      </w:divBdr>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29260720">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5882485">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2735">
      <w:bodyDiv w:val="1"/>
      <w:marLeft w:val="0"/>
      <w:marRight w:val="0"/>
      <w:marTop w:val="0"/>
      <w:marBottom w:val="0"/>
      <w:divBdr>
        <w:top w:val="none" w:sz="0" w:space="0" w:color="auto"/>
        <w:left w:val="none" w:sz="0" w:space="0" w:color="auto"/>
        <w:bottom w:val="none" w:sz="0" w:space="0" w:color="auto"/>
        <w:right w:val="none" w:sz="0" w:space="0" w:color="auto"/>
      </w:divBdr>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11254873">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001756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04838770">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798328803">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4299208">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47819603">
      <w:bodyDiv w:val="1"/>
      <w:marLeft w:val="0"/>
      <w:marRight w:val="0"/>
      <w:marTop w:val="0"/>
      <w:marBottom w:val="0"/>
      <w:divBdr>
        <w:top w:val="none" w:sz="0" w:space="0" w:color="auto"/>
        <w:left w:val="none" w:sz="0" w:space="0" w:color="auto"/>
        <w:bottom w:val="none" w:sz="0" w:space="0" w:color="auto"/>
        <w:right w:val="none" w:sz="0" w:space="0" w:color="auto"/>
      </w:divBdr>
    </w:div>
    <w:div w:id="1856994219">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3007798">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165676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8386906">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117</TotalTime>
  <Pages>26</Pages>
  <Words>8130</Words>
  <Characters>46342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54364</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13</cp:revision>
  <cp:lastPrinted>2025-02-06T02:46:00Z</cp:lastPrinted>
  <dcterms:created xsi:type="dcterms:W3CDTF">2025-02-02T18:53:00Z</dcterms:created>
  <dcterms:modified xsi:type="dcterms:W3CDTF">2025-02-06T04:07:00Z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2023-12-06T00:02:41Z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72f69e5f-b329-429b-be8f-1f9031a46df8</vt:lpwstr>
  </property>
  <property fmtid="{D5CDD505-2E9C-101B-9397-08002B2CF9AE}" pid="10" name="MSIP_Label_defa4170-0d19-0005-0004-bc88714345d2_ContentBits">
    <vt:lpwstr>0</vt:lpwstr>
  </property>
</Properties>
</file>