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528A96DC"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EF7EFC">
        <w:rPr>
          <w:caps w:val="0"/>
        </w:rPr>
        <w:t>68</w:t>
      </w:r>
    </w:p>
    <w:p w14:paraId="0C6B487A" w14:textId="77777777" w:rsidR="00900037" w:rsidRPr="00013220" w:rsidRDefault="00900037" w:rsidP="002B6652">
      <w:pPr>
        <w:pStyle w:val="Subtitle"/>
        <w:ind w:left="-426" w:right="-623"/>
        <w:jc w:val="center"/>
        <w:rPr>
          <w:b/>
          <w:i w:val="0"/>
          <w:sz w:val="36"/>
          <w:szCs w:val="36"/>
        </w:rPr>
      </w:pPr>
    </w:p>
    <w:p w14:paraId="0AC82FDD" w14:textId="047F2B1C" w:rsidR="00900037" w:rsidRPr="006F7EC0" w:rsidRDefault="000138F6" w:rsidP="006F7EC0">
      <w:pPr>
        <w:pStyle w:val="Title"/>
        <w:spacing w:before="200"/>
        <w:ind w:left="-426" w:right="-623"/>
        <w:jc w:val="center"/>
        <w:rPr>
          <w:caps w:val="0"/>
          <w:sz w:val="28"/>
          <w:szCs w:val="28"/>
        </w:rPr>
      </w:pPr>
      <w:r>
        <w:rPr>
          <w:caps w:val="0"/>
          <w:sz w:val="28"/>
          <w:szCs w:val="28"/>
        </w:rPr>
        <w:t xml:space="preserve">April </w:t>
      </w:r>
      <w:r w:rsidR="00D85930">
        <w:rPr>
          <w:caps w:val="0"/>
          <w:sz w:val="28"/>
          <w:szCs w:val="28"/>
        </w:rPr>
        <w:t>202</w:t>
      </w:r>
      <w:r w:rsidR="000504D9">
        <w:rPr>
          <w:caps w:val="0"/>
          <w:sz w:val="28"/>
          <w:szCs w:val="28"/>
        </w:rPr>
        <w:t>5</w:t>
      </w:r>
      <w:r w:rsidR="00D85930">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June </w:t>
      </w:r>
      <w:r w:rsidR="00D85930">
        <w:rPr>
          <w:caps w:val="0"/>
          <w:sz w:val="28"/>
          <w:szCs w:val="28"/>
        </w:rPr>
        <w:t>202</w:t>
      </w:r>
      <w:r w:rsidR="000504D9">
        <w:rPr>
          <w:caps w:val="0"/>
          <w:sz w:val="28"/>
          <w:szCs w:val="28"/>
        </w:rPr>
        <w:t>5</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31CBEB8F"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3A93446F"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and presented to the Family Responsibilities Board pursuant to section 144 of the Family Responsibilities Commission Act 2008.</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ED0FBA">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7DBD1872" w:rsidR="008A481F" w:rsidRPr="00ED55CD" w:rsidRDefault="00536924" w:rsidP="00EE5878">
      <w:pPr>
        <w:ind w:left="-142" w:right="-425"/>
        <w:jc w:val="both"/>
        <w:rPr>
          <w:rFonts w:cs="Arial"/>
        </w:rPr>
      </w:pPr>
      <w:r w:rsidRPr="00ED55CD">
        <w:rPr>
          <w:rFonts w:cs="Arial"/>
        </w:rPr>
        <w:t xml:space="preserve">The </w:t>
      </w:r>
      <w:r w:rsidR="00105F8E" w:rsidRPr="00ED55CD">
        <w:rPr>
          <w:rFonts w:cs="Arial"/>
        </w:rPr>
        <w:t>Famil</w:t>
      </w:r>
      <w:r w:rsidR="00105F8E">
        <w:rPr>
          <w:rFonts w:cs="Arial"/>
        </w:rPr>
        <w:t>y</w:t>
      </w:r>
      <w:r w:rsidR="00105F8E" w:rsidRPr="00ED55CD">
        <w:rPr>
          <w:rFonts w:cs="Arial"/>
        </w:rPr>
        <w:t xml:space="preserve"> </w:t>
      </w:r>
      <w:r w:rsidRPr="00ED55CD">
        <w:rPr>
          <w:rFonts w:cs="Arial"/>
        </w:rPr>
        <w:t>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34F3EE68"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770F5C">
        <w:rPr>
          <w:rFonts w:cs="Arial"/>
        </w:rPr>
        <w:t>April</w:t>
      </w:r>
      <w:r w:rsidR="00770F5C" w:rsidRPr="00ED55CD">
        <w:rPr>
          <w:rFonts w:cs="Arial"/>
        </w:rPr>
        <w:t xml:space="preserve"> </w:t>
      </w:r>
      <w:r w:rsidR="003467B2" w:rsidRPr="00ED55CD">
        <w:rPr>
          <w:rFonts w:cs="Arial"/>
        </w:rPr>
        <w:t xml:space="preserve">to </w:t>
      </w:r>
      <w:r w:rsidR="00770F5C">
        <w:rPr>
          <w:rFonts w:cs="Arial"/>
        </w:rPr>
        <w:t>June</w:t>
      </w:r>
      <w:r w:rsidR="00770F5C" w:rsidRPr="00ED55CD">
        <w:rPr>
          <w:rFonts w:cs="Arial"/>
        </w:rPr>
        <w:t xml:space="preserve"> </w:t>
      </w:r>
      <w:r w:rsidR="00D85930">
        <w:rPr>
          <w:rFonts w:cs="Arial"/>
        </w:rPr>
        <w:t>202</w:t>
      </w:r>
      <w:r w:rsidR="000504D9">
        <w:rPr>
          <w:rFonts w:cs="Arial"/>
        </w:rPr>
        <w:t>5</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6BC03E94"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EF7EFC">
        <w:rPr>
          <w:rFonts w:cs="Arial"/>
        </w:rPr>
        <w:t>68</w:t>
      </w:r>
      <w:r w:rsidR="00281E08" w:rsidRPr="00ED55CD">
        <w:rPr>
          <w:rFonts w:cs="Arial"/>
        </w:rPr>
        <w:t xml:space="preserve"> </w:t>
      </w:r>
      <w:r w:rsidRPr="00ED55CD">
        <w:rPr>
          <w:rFonts w:cs="Arial"/>
        </w:rPr>
        <w:t>with comparisons shown to the previous quarter.</w:t>
      </w:r>
    </w:p>
    <w:p w14:paraId="0C420264" w14:textId="77777777" w:rsidR="0023544C" w:rsidRPr="007A56DA" w:rsidRDefault="0023544C" w:rsidP="007A56DA">
      <w:pPr>
        <w:ind w:left="-142" w:right="-425"/>
        <w:jc w:val="both"/>
        <w:rPr>
          <w:rFonts w:cs="Arial"/>
        </w:rPr>
      </w:pPr>
      <w:bookmarkStart w:id="0" w:name="_Hlk38021442"/>
    </w:p>
    <w:p w14:paraId="7466B2AC" w14:textId="74AC0713"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8E6F77">
        <w:rPr>
          <w:sz w:val="16"/>
          <w:szCs w:val="16"/>
        </w:rPr>
        <w:t xml:space="preserve">January </w:t>
      </w:r>
      <w:r w:rsidR="00413FAC">
        <w:rPr>
          <w:sz w:val="16"/>
          <w:szCs w:val="16"/>
        </w:rPr>
        <w:t>202</w:t>
      </w:r>
      <w:r w:rsidR="008E6F77">
        <w:rPr>
          <w:sz w:val="16"/>
          <w:szCs w:val="16"/>
        </w:rPr>
        <w:t>5</w:t>
      </w:r>
      <w:r w:rsidR="00DA70CA">
        <w:rPr>
          <w:sz w:val="16"/>
          <w:szCs w:val="16"/>
        </w:rPr>
        <w:t xml:space="preserve"> </w:t>
      </w:r>
      <w:r>
        <w:rPr>
          <w:sz w:val="16"/>
          <w:szCs w:val="16"/>
        </w:rPr>
        <w:t xml:space="preserve">to </w:t>
      </w:r>
      <w:r w:rsidR="008E6F77">
        <w:rPr>
          <w:sz w:val="16"/>
          <w:szCs w:val="16"/>
        </w:rPr>
        <w:t>30 June</w:t>
      </w:r>
      <w:r w:rsidR="000504D9">
        <w:rPr>
          <w:sz w:val="16"/>
          <w:szCs w:val="16"/>
        </w:rPr>
        <w:t xml:space="preserve"> </w:t>
      </w:r>
      <w:r w:rsidR="00C01980">
        <w:rPr>
          <w:sz w:val="16"/>
          <w:szCs w:val="16"/>
        </w:rPr>
        <w:t>202</w:t>
      </w:r>
      <w:r w:rsidR="000504D9">
        <w:rPr>
          <w:sz w:val="16"/>
          <w:szCs w:val="16"/>
        </w:rPr>
        <w:t>5</w:t>
      </w:r>
    </w:p>
    <w:tbl>
      <w:tblPr>
        <w:tblW w:w="8628" w:type="dxa"/>
        <w:tblInd w:w="103" w:type="dxa"/>
        <w:tblLook w:val="04A0" w:firstRow="1" w:lastRow="0" w:firstColumn="1" w:lastColumn="0" w:noHBand="0" w:noVBand="1"/>
      </w:tblPr>
      <w:tblGrid>
        <w:gridCol w:w="6706"/>
        <w:gridCol w:w="961"/>
        <w:gridCol w:w="961"/>
      </w:tblGrid>
      <w:tr w:rsidR="00E105F5" w:rsidRPr="00504360" w14:paraId="0784B417" w14:textId="27277602" w:rsidTr="00E105F5">
        <w:trPr>
          <w:trHeight w:val="398"/>
        </w:trPr>
        <w:tc>
          <w:tcPr>
            <w:tcW w:w="6706" w:type="dxa"/>
            <w:tcBorders>
              <w:top w:val="single" w:sz="4" w:space="0" w:color="auto"/>
              <w:left w:val="single" w:sz="4" w:space="0" w:color="auto"/>
              <w:bottom w:val="single" w:sz="4" w:space="0" w:color="auto"/>
              <w:right w:val="single" w:sz="4" w:space="0" w:color="auto"/>
            </w:tcBorders>
            <w:hideMark/>
          </w:tcPr>
          <w:p w14:paraId="7078D1DE" w14:textId="7FB879A0" w:rsidR="00E105F5" w:rsidRPr="00504360" w:rsidRDefault="00E105F5" w:rsidP="00E105F5">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61" w:type="dxa"/>
            <w:tcBorders>
              <w:top w:val="single" w:sz="4" w:space="0" w:color="auto"/>
              <w:left w:val="single" w:sz="4" w:space="0" w:color="auto"/>
              <w:bottom w:val="single" w:sz="4" w:space="0" w:color="auto"/>
              <w:right w:val="single" w:sz="4" w:space="0" w:color="auto"/>
            </w:tcBorders>
          </w:tcPr>
          <w:p w14:paraId="38BB6EF3" w14:textId="3D635A77" w:rsidR="00E105F5" w:rsidRPr="00504360" w:rsidRDefault="00E105F5" w:rsidP="00E105F5">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8E6F77">
              <w:rPr>
                <w:rFonts w:cs="Arial"/>
                <w:b/>
                <w:bCs/>
                <w:sz w:val="18"/>
                <w:szCs w:val="18"/>
                <w:lang w:eastAsia="en-AU"/>
              </w:rPr>
              <w:t>67</w:t>
            </w:r>
          </w:p>
        </w:tc>
        <w:tc>
          <w:tcPr>
            <w:tcW w:w="961" w:type="dxa"/>
            <w:tcBorders>
              <w:top w:val="single" w:sz="4" w:space="0" w:color="auto"/>
              <w:left w:val="single" w:sz="4" w:space="0" w:color="auto"/>
              <w:bottom w:val="single" w:sz="4" w:space="0" w:color="auto"/>
              <w:right w:val="single" w:sz="4" w:space="0" w:color="auto"/>
            </w:tcBorders>
          </w:tcPr>
          <w:p w14:paraId="7682F292" w14:textId="534AEA6F" w:rsidR="00E105F5" w:rsidRPr="00504360" w:rsidRDefault="00E105F5" w:rsidP="00E105F5">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EF7EFC">
              <w:rPr>
                <w:rFonts w:cs="Arial"/>
                <w:b/>
                <w:bCs/>
                <w:sz w:val="18"/>
                <w:szCs w:val="18"/>
                <w:lang w:eastAsia="en-AU"/>
              </w:rPr>
              <w:t>68</w:t>
            </w:r>
          </w:p>
        </w:tc>
      </w:tr>
      <w:tr w:rsidR="0087089A" w:rsidRPr="00504360" w14:paraId="2B1B5FCF" w14:textId="4C4D2C68" w:rsidTr="00E105F5">
        <w:trPr>
          <w:trHeight w:val="300"/>
        </w:trPr>
        <w:tc>
          <w:tcPr>
            <w:tcW w:w="6706" w:type="dxa"/>
            <w:tcBorders>
              <w:top w:val="nil"/>
              <w:left w:val="single" w:sz="4" w:space="0" w:color="auto"/>
              <w:bottom w:val="single" w:sz="4" w:space="0" w:color="auto"/>
              <w:right w:val="single" w:sz="4" w:space="0" w:color="auto"/>
            </w:tcBorders>
            <w:vAlign w:val="center"/>
          </w:tcPr>
          <w:p w14:paraId="0E8F5726" w14:textId="78909C28" w:rsidR="0087089A" w:rsidRPr="00504360" w:rsidRDefault="0087089A" w:rsidP="0087089A">
            <w:pPr>
              <w:spacing w:line="240" w:lineRule="auto"/>
              <w:rPr>
                <w:rFonts w:cs="Arial"/>
                <w:sz w:val="18"/>
                <w:szCs w:val="18"/>
                <w:lang w:eastAsia="en-AU"/>
              </w:rPr>
            </w:pPr>
            <w:r w:rsidRPr="00504360">
              <w:rPr>
                <w:rFonts w:cs="Arial"/>
                <w:sz w:val="18"/>
                <w:szCs w:val="18"/>
                <w:lang w:eastAsia="en-AU"/>
              </w:rPr>
              <w:t xml:space="preserve">Total number of notices </w:t>
            </w:r>
            <w:r>
              <w:rPr>
                <w:rFonts w:cs="Arial"/>
                <w:sz w:val="18"/>
                <w:szCs w:val="18"/>
                <w:lang w:eastAsia="en-AU"/>
              </w:rPr>
              <w:t>assessed</w:t>
            </w:r>
            <w:r w:rsidRPr="00504360">
              <w:rPr>
                <w:rFonts w:cs="Arial"/>
                <w:sz w:val="18"/>
                <w:szCs w:val="18"/>
                <w:lang w:eastAsia="en-AU"/>
              </w:rPr>
              <w:t xml:space="preserve"> by the Commission</w:t>
            </w:r>
            <w:r w:rsidRPr="00504360">
              <w:rPr>
                <w:rStyle w:val="FootnoteReference"/>
                <w:sz w:val="18"/>
                <w:szCs w:val="18"/>
                <w:lang w:eastAsia="en-AU"/>
              </w:rPr>
              <w:footnoteReference w:id="3"/>
            </w:r>
          </w:p>
        </w:tc>
        <w:tc>
          <w:tcPr>
            <w:tcW w:w="961" w:type="dxa"/>
            <w:tcBorders>
              <w:top w:val="single" w:sz="4" w:space="0" w:color="auto"/>
              <w:left w:val="single" w:sz="4" w:space="0" w:color="auto"/>
              <w:bottom w:val="single" w:sz="4" w:space="0" w:color="auto"/>
              <w:right w:val="single" w:sz="4" w:space="0" w:color="auto"/>
            </w:tcBorders>
          </w:tcPr>
          <w:p w14:paraId="45804FD6" w14:textId="0DED0A11" w:rsidR="0087089A" w:rsidRPr="00C9273D" w:rsidRDefault="0087089A" w:rsidP="0087089A">
            <w:pPr>
              <w:spacing w:line="240" w:lineRule="auto"/>
              <w:jc w:val="right"/>
              <w:rPr>
                <w:rFonts w:cs="Arial"/>
                <w:sz w:val="18"/>
                <w:szCs w:val="18"/>
              </w:rPr>
            </w:pPr>
            <w:r w:rsidRPr="00B54944">
              <w:rPr>
                <w:rFonts w:cs="Arial"/>
                <w:sz w:val="18"/>
                <w:szCs w:val="18"/>
              </w:rPr>
              <w:t>1,5</w:t>
            </w:r>
            <w:r w:rsidRPr="0050163D">
              <w:rPr>
                <w:rFonts w:cs="Arial"/>
                <w:sz w:val="18"/>
                <w:szCs w:val="18"/>
              </w:rPr>
              <w:t>4</w:t>
            </w:r>
            <w:r>
              <w:rPr>
                <w:rFonts w:cs="Arial"/>
                <w:sz w:val="18"/>
                <w:szCs w:val="18"/>
              </w:rPr>
              <w:t>4</w:t>
            </w:r>
          </w:p>
        </w:tc>
        <w:tc>
          <w:tcPr>
            <w:tcW w:w="961" w:type="dxa"/>
            <w:tcBorders>
              <w:top w:val="single" w:sz="4" w:space="0" w:color="auto"/>
              <w:left w:val="single" w:sz="4" w:space="0" w:color="auto"/>
              <w:bottom w:val="single" w:sz="4" w:space="0" w:color="auto"/>
              <w:right w:val="single" w:sz="4" w:space="0" w:color="auto"/>
            </w:tcBorders>
          </w:tcPr>
          <w:p w14:paraId="67B6A87A" w14:textId="2D925BF6" w:rsidR="0087089A" w:rsidRPr="00B54944" w:rsidRDefault="0087089A" w:rsidP="0087089A">
            <w:pPr>
              <w:spacing w:line="240" w:lineRule="auto"/>
              <w:jc w:val="right"/>
              <w:rPr>
                <w:rFonts w:cs="Arial"/>
                <w:sz w:val="18"/>
                <w:szCs w:val="18"/>
              </w:rPr>
            </w:pPr>
            <w:r>
              <w:rPr>
                <w:rFonts w:cs="Arial"/>
                <w:sz w:val="18"/>
                <w:szCs w:val="18"/>
              </w:rPr>
              <w:t>1,7</w:t>
            </w:r>
            <w:r w:rsidR="00A543FF">
              <w:rPr>
                <w:rFonts w:cs="Arial"/>
                <w:sz w:val="18"/>
                <w:szCs w:val="18"/>
              </w:rPr>
              <w:t>91</w:t>
            </w:r>
          </w:p>
        </w:tc>
      </w:tr>
      <w:tr w:rsidR="0087089A" w:rsidRPr="00504360" w14:paraId="624B7E23" w14:textId="65456A91" w:rsidTr="00E105F5">
        <w:trPr>
          <w:trHeight w:val="300"/>
        </w:trPr>
        <w:tc>
          <w:tcPr>
            <w:tcW w:w="6706" w:type="dxa"/>
            <w:tcBorders>
              <w:top w:val="nil"/>
              <w:left w:val="single" w:sz="4" w:space="0" w:color="auto"/>
              <w:bottom w:val="single" w:sz="4" w:space="0" w:color="auto"/>
              <w:right w:val="single" w:sz="4" w:space="0" w:color="auto"/>
            </w:tcBorders>
            <w:vAlign w:val="center"/>
          </w:tcPr>
          <w:p w14:paraId="7B61E1FF" w14:textId="384922C7" w:rsidR="0087089A" w:rsidRPr="00504360" w:rsidRDefault="0087089A" w:rsidP="0087089A">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tcPr>
          <w:p w14:paraId="60062737" w14:textId="59A7E240" w:rsidR="0087089A" w:rsidRPr="00C9273D" w:rsidRDefault="0087089A" w:rsidP="0087089A">
            <w:pPr>
              <w:spacing w:line="240" w:lineRule="auto"/>
              <w:jc w:val="right"/>
              <w:rPr>
                <w:rFonts w:cs="Arial"/>
                <w:sz w:val="18"/>
                <w:szCs w:val="18"/>
              </w:rPr>
            </w:pPr>
            <w:r w:rsidRPr="00B54944">
              <w:rPr>
                <w:rFonts w:cs="Arial"/>
                <w:sz w:val="18"/>
                <w:szCs w:val="18"/>
              </w:rPr>
              <w:t>1,07</w:t>
            </w:r>
            <w:r>
              <w:rPr>
                <w:rFonts w:cs="Arial"/>
                <w:sz w:val="18"/>
                <w:szCs w:val="18"/>
              </w:rPr>
              <w:t>7</w:t>
            </w:r>
          </w:p>
        </w:tc>
        <w:tc>
          <w:tcPr>
            <w:tcW w:w="961" w:type="dxa"/>
            <w:tcBorders>
              <w:top w:val="single" w:sz="4" w:space="0" w:color="auto"/>
              <w:left w:val="single" w:sz="4" w:space="0" w:color="auto"/>
              <w:bottom w:val="single" w:sz="4" w:space="0" w:color="auto"/>
              <w:right w:val="single" w:sz="4" w:space="0" w:color="auto"/>
            </w:tcBorders>
          </w:tcPr>
          <w:p w14:paraId="39B720D4" w14:textId="4AE72553" w:rsidR="0087089A" w:rsidRPr="00B54944" w:rsidRDefault="0087089A" w:rsidP="0087089A">
            <w:pPr>
              <w:spacing w:line="240" w:lineRule="auto"/>
              <w:jc w:val="right"/>
              <w:rPr>
                <w:rFonts w:cs="Arial"/>
                <w:sz w:val="18"/>
                <w:szCs w:val="18"/>
              </w:rPr>
            </w:pPr>
            <w:r>
              <w:rPr>
                <w:rFonts w:cs="Arial"/>
                <w:sz w:val="18"/>
                <w:szCs w:val="18"/>
              </w:rPr>
              <w:t>1,1</w:t>
            </w:r>
            <w:r w:rsidR="00A543FF">
              <w:rPr>
                <w:rFonts w:cs="Arial"/>
                <w:sz w:val="18"/>
                <w:szCs w:val="18"/>
              </w:rPr>
              <w:t>20</w:t>
            </w:r>
          </w:p>
        </w:tc>
      </w:tr>
      <w:tr w:rsidR="0087089A" w:rsidRPr="00504360" w14:paraId="387F01C7" w14:textId="74503642" w:rsidTr="00E105F5">
        <w:trPr>
          <w:trHeight w:val="300"/>
        </w:trPr>
        <w:tc>
          <w:tcPr>
            <w:tcW w:w="6706" w:type="dxa"/>
            <w:tcBorders>
              <w:top w:val="nil"/>
              <w:left w:val="single" w:sz="4" w:space="0" w:color="auto"/>
              <w:bottom w:val="single" w:sz="4" w:space="0" w:color="auto"/>
              <w:right w:val="single" w:sz="4" w:space="0" w:color="auto"/>
            </w:tcBorders>
            <w:vAlign w:val="center"/>
          </w:tcPr>
          <w:p w14:paraId="6955DD30" w14:textId="72D55FA5" w:rsidR="0087089A" w:rsidRPr="00504360" w:rsidRDefault="0087089A" w:rsidP="0087089A">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61" w:type="dxa"/>
            <w:tcBorders>
              <w:top w:val="single" w:sz="4" w:space="0" w:color="auto"/>
              <w:left w:val="single" w:sz="4" w:space="0" w:color="auto"/>
              <w:bottom w:val="single" w:sz="4" w:space="0" w:color="auto"/>
              <w:right w:val="single" w:sz="4" w:space="0" w:color="auto"/>
            </w:tcBorders>
          </w:tcPr>
          <w:p w14:paraId="20405187" w14:textId="189F944F" w:rsidR="0087089A" w:rsidRPr="00C9273D" w:rsidRDefault="0087089A" w:rsidP="0087089A">
            <w:pPr>
              <w:spacing w:line="240" w:lineRule="auto"/>
              <w:jc w:val="right"/>
              <w:rPr>
                <w:rFonts w:cs="Arial"/>
                <w:sz w:val="18"/>
                <w:szCs w:val="18"/>
              </w:rPr>
            </w:pPr>
            <w:r w:rsidRPr="00B54944">
              <w:rPr>
                <w:rFonts w:cs="Arial"/>
                <w:sz w:val="18"/>
                <w:szCs w:val="18"/>
              </w:rPr>
              <w:t>467</w:t>
            </w:r>
          </w:p>
        </w:tc>
        <w:tc>
          <w:tcPr>
            <w:tcW w:w="961" w:type="dxa"/>
            <w:tcBorders>
              <w:top w:val="single" w:sz="4" w:space="0" w:color="auto"/>
              <w:left w:val="single" w:sz="4" w:space="0" w:color="auto"/>
              <w:bottom w:val="single" w:sz="4" w:space="0" w:color="auto"/>
              <w:right w:val="single" w:sz="4" w:space="0" w:color="auto"/>
            </w:tcBorders>
          </w:tcPr>
          <w:p w14:paraId="7B761DCA" w14:textId="7AE38B4F" w:rsidR="0087089A" w:rsidRPr="00B54944" w:rsidRDefault="0087089A" w:rsidP="0087089A">
            <w:pPr>
              <w:spacing w:line="240" w:lineRule="auto"/>
              <w:jc w:val="right"/>
              <w:rPr>
                <w:rFonts w:cs="Arial"/>
                <w:sz w:val="18"/>
                <w:szCs w:val="18"/>
              </w:rPr>
            </w:pPr>
            <w:r>
              <w:rPr>
                <w:rFonts w:cs="Arial"/>
                <w:sz w:val="18"/>
                <w:szCs w:val="18"/>
              </w:rPr>
              <w:t>671</w:t>
            </w:r>
          </w:p>
        </w:tc>
      </w:tr>
      <w:tr w:rsidR="0087089A" w:rsidRPr="00504360" w14:paraId="5B71472F" w14:textId="28E7A092" w:rsidTr="00E105F5">
        <w:trPr>
          <w:trHeight w:val="300"/>
        </w:trPr>
        <w:tc>
          <w:tcPr>
            <w:tcW w:w="6706" w:type="dxa"/>
            <w:tcBorders>
              <w:top w:val="nil"/>
              <w:left w:val="single" w:sz="4" w:space="0" w:color="auto"/>
              <w:bottom w:val="single" w:sz="4" w:space="0" w:color="auto"/>
              <w:right w:val="single" w:sz="4" w:space="0" w:color="auto"/>
            </w:tcBorders>
            <w:vAlign w:val="center"/>
          </w:tcPr>
          <w:p w14:paraId="08542D45" w14:textId="3B7AB833" w:rsidR="0087089A" w:rsidRPr="00504360" w:rsidRDefault="0087089A" w:rsidP="0087089A">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1741C8C9" w14:textId="3D09531F" w:rsidR="0087089A" w:rsidRPr="00C9273D" w:rsidRDefault="0087089A" w:rsidP="0087089A">
            <w:pPr>
              <w:spacing w:line="240" w:lineRule="auto"/>
              <w:jc w:val="right"/>
              <w:rPr>
                <w:rFonts w:cs="Arial"/>
                <w:sz w:val="18"/>
                <w:szCs w:val="18"/>
              </w:rPr>
            </w:pPr>
            <w:r>
              <w:rPr>
                <w:rFonts w:cs="Arial"/>
                <w:sz w:val="18"/>
                <w:szCs w:val="18"/>
              </w:rPr>
              <w:t>661</w:t>
            </w:r>
          </w:p>
        </w:tc>
        <w:tc>
          <w:tcPr>
            <w:tcW w:w="961" w:type="dxa"/>
            <w:tcBorders>
              <w:top w:val="single" w:sz="4" w:space="0" w:color="auto"/>
              <w:left w:val="single" w:sz="4" w:space="0" w:color="auto"/>
              <w:bottom w:val="single" w:sz="4" w:space="0" w:color="auto"/>
              <w:right w:val="single" w:sz="4" w:space="0" w:color="auto"/>
            </w:tcBorders>
            <w:vAlign w:val="center"/>
          </w:tcPr>
          <w:p w14:paraId="2CA3BDCA" w14:textId="066450BC" w:rsidR="0087089A" w:rsidRDefault="0087089A" w:rsidP="0087089A">
            <w:pPr>
              <w:spacing w:line="240" w:lineRule="auto"/>
              <w:jc w:val="right"/>
              <w:rPr>
                <w:rFonts w:cs="Arial"/>
                <w:sz w:val="18"/>
                <w:szCs w:val="18"/>
              </w:rPr>
            </w:pPr>
            <w:r>
              <w:rPr>
                <w:rFonts w:cs="Arial"/>
                <w:sz w:val="18"/>
                <w:szCs w:val="18"/>
              </w:rPr>
              <w:t>641</w:t>
            </w:r>
          </w:p>
        </w:tc>
      </w:tr>
      <w:tr w:rsidR="0087089A" w:rsidRPr="00504360" w14:paraId="5B70DF90" w14:textId="186594F6" w:rsidTr="00E105F5">
        <w:trPr>
          <w:trHeight w:val="128"/>
        </w:trPr>
        <w:tc>
          <w:tcPr>
            <w:tcW w:w="6706" w:type="dxa"/>
            <w:tcBorders>
              <w:top w:val="nil"/>
              <w:left w:val="single" w:sz="4" w:space="0" w:color="auto"/>
              <w:bottom w:val="single" w:sz="4" w:space="0" w:color="auto"/>
              <w:right w:val="single" w:sz="4" w:space="0" w:color="auto"/>
            </w:tcBorders>
            <w:vAlign w:val="center"/>
          </w:tcPr>
          <w:p w14:paraId="79B93333" w14:textId="77777777" w:rsidR="0087089A" w:rsidRPr="00504360" w:rsidRDefault="0087089A" w:rsidP="0087089A">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5F30F6EE" w14:textId="77777777" w:rsidR="0087089A" w:rsidRDefault="0087089A" w:rsidP="0087089A">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501C1F47" w14:textId="51C0740D" w:rsidR="0087089A" w:rsidRDefault="0087089A" w:rsidP="0087089A">
            <w:pPr>
              <w:spacing w:line="240" w:lineRule="auto"/>
              <w:jc w:val="right"/>
              <w:rPr>
                <w:rFonts w:cs="Arial"/>
                <w:sz w:val="18"/>
                <w:szCs w:val="18"/>
              </w:rPr>
            </w:pPr>
          </w:p>
        </w:tc>
      </w:tr>
      <w:tr w:rsidR="0087089A" w:rsidRPr="00504360" w14:paraId="3CB75081" w14:textId="77777777" w:rsidTr="00E105F5">
        <w:trPr>
          <w:trHeight w:val="128"/>
        </w:trPr>
        <w:tc>
          <w:tcPr>
            <w:tcW w:w="6706" w:type="dxa"/>
            <w:tcBorders>
              <w:top w:val="nil"/>
              <w:left w:val="single" w:sz="4" w:space="0" w:color="auto"/>
              <w:bottom w:val="single" w:sz="4" w:space="0" w:color="auto"/>
              <w:right w:val="single" w:sz="4" w:space="0" w:color="auto"/>
            </w:tcBorders>
            <w:vAlign w:val="center"/>
          </w:tcPr>
          <w:p w14:paraId="4A84120C" w14:textId="08382E8A" w:rsidR="0087089A" w:rsidRPr="00504360" w:rsidRDefault="0087089A" w:rsidP="0087089A">
            <w:pPr>
              <w:spacing w:line="240" w:lineRule="auto"/>
              <w:rPr>
                <w:rFonts w:cs="Arial"/>
                <w:sz w:val="18"/>
                <w:szCs w:val="18"/>
                <w:lang w:eastAsia="en-AU"/>
              </w:rPr>
            </w:pPr>
            <w:r>
              <w:rPr>
                <w:rFonts w:cs="Arial"/>
                <w:sz w:val="18"/>
                <w:szCs w:val="18"/>
                <w:lang w:eastAsia="en-AU"/>
              </w:rPr>
              <w:t>Total number of notices received by the Commission which were unable to be assessed for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47B5445B" w14:textId="29C69D7C" w:rsidR="0087089A" w:rsidRDefault="0087089A" w:rsidP="0087089A">
            <w:pPr>
              <w:spacing w:line="240" w:lineRule="auto"/>
              <w:jc w:val="right"/>
              <w:rPr>
                <w:rFonts w:cs="Arial"/>
                <w:sz w:val="18"/>
                <w:szCs w:val="18"/>
              </w:rPr>
            </w:pPr>
            <w:r>
              <w:rPr>
                <w:rFonts w:cs="Arial"/>
                <w:sz w:val="18"/>
                <w:szCs w:val="18"/>
              </w:rPr>
              <w:t>1</w:t>
            </w:r>
          </w:p>
        </w:tc>
        <w:tc>
          <w:tcPr>
            <w:tcW w:w="961" w:type="dxa"/>
            <w:tcBorders>
              <w:top w:val="single" w:sz="4" w:space="0" w:color="auto"/>
              <w:left w:val="single" w:sz="4" w:space="0" w:color="auto"/>
              <w:bottom w:val="single" w:sz="4" w:space="0" w:color="auto"/>
              <w:right w:val="single" w:sz="4" w:space="0" w:color="auto"/>
            </w:tcBorders>
            <w:vAlign w:val="center"/>
          </w:tcPr>
          <w:p w14:paraId="100C236A" w14:textId="350EDB2F" w:rsidR="0087089A" w:rsidRDefault="0087089A" w:rsidP="0087089A">
            <w:pPr>
              <w:spacing w:line="240" w:lineRule="auto"/>
              <w:jc w:val="right"/>
              <w:rPr>
                <w:rFonts w:cs="Arial"/>
                <w:sz w:val="18"/>
                <w:szCs w:val="18"/>
              </w:rPr>
            </w:pPr>
            <w:r>
              <w:rPr>
                <w:rFonts w:cs="Arial"/>
                <w:sz w:val="18"/>
                <w:szCs w:val="18"/>
              </w:rPr>
              <w:t>8</w:t>
            </w:r>
          </w:p>
        </w:tc>
      </w:tr>
      <w:tr w:rsidR="0087089A" w:rsidRPr="00504360" w14:paraId="6DF6FAF4" w14:textId="77777777" w:rsidTr="00E105F5">
        <w:trPr>
          <w:trHeight w:val="128"/>
        </w:trPr>
        <w:tc>
          <w:tcPr>
            <w:tcW w:w="6706" w:type="dxa"/>
            <w:tcBorders>
              <w:top w:val="nil"/>
              <w:left w:val="single" w:sz="4" w:space="0" w:color="auto"/>
              <w:bottom w:val="single" w:sz="4" w:space="0" w:color="auto"/>
              <w:right w:val="single" w:sz="4" w:space="0" w:color="auto"/>
            </w:tcBorders>
            <w:vAlign w:val="center"/>
          </w:tcPr>
          <w:p w14:paraId="490729A4" w14:textId="77777777" w:rsidR="0087089A" w:rsidRPr="00504360" w:rsidRDefault="0087089A" w:rsidP="0087089A">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32D5429C" w14:textId="77777777" w:rsidR="0087089A" w:rsidRDefault="0087089A" w:rsidP="0087089A">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3A691FD5" w14:textId="77777777" w:rsidR="0087089A" w:rsidRDefault="0087089A" w:rsidP="0087089A">
            <w:pPr>
              <w:spacing w:line="240" w:lineRule="auto"/>
              <w:jc w:val="right"/>
              <w:rPr>
                <w:rFonts w:cs="Arial"/>
                <w:sz w:val="18"/>
                <w:szCs w:val="18"/>
              </w:rPr>
            </w:pPr>
          </w:p>
        </w:tc>
      </w:tr>
      <w:tr w:rsidR="0087089A" w:rsidRPr="00504360" w14:paraId="4598B56C" w14:textId="6E1FDFC3" w:rsidTr="00E105F5">
        <w:trPr>
          <w:trHeight w:val="300"/>
        </w:trPr>
        <w:tc>
          <w:tcPr>
            <w:tcW w:w="6706" w:type="dxa"/>
            <w:tcBorders>
              <w:top w:val="nil"/>
              <w:left w:val="single" w:sz="4" w:space="0" w:color="auto"/>
              <w:bottom w:val="single" w:sz="4" w:space="0" w:color="auto"/>
              <w:right w:val="single" w:sz="4" w:space="0" w:color="auto"/>
            </w:tcBorders>
            <w:vAlign w:val="center"/>
          </w:tcPr>
          <w:p w14:paraId="54812E09" w14:textId="3ACBCAEC" w:rsidR="0087089A" w:rsidRPr="001E2C9A" w:rsidRDefault="0087089A" w:rsidP="0087089A">
            <w:pPr>
              <w:spacing w:line="240" w:lineRule="auto"/>
              <w:rPr>
                <w:rFonts w:cs="Arial"/>
                <w:b/>
                <w:bCs/>
                <w:sz w:val="18"/>
                <w:szCs w:val="18"/>
                <w:lang w:eastAsia="en-AU"/>
              </w:rPr>
            </w:pPr>
            <w:r w:rsidRPr="0041058E">
              <w:rPr>
                <w:rFonts w:cs="Arial"/>
                <w:b/>
                <w:bCs/>
                <w:sz w:val="18"/>
                <w:szCs w:val="18"/>
                <w:lang w:eastAsia="en-AU"/>
              </w:rPr>
              <w:t>Conferences</w:t>
            </w:r>
          </w:p>
        </w:tc>
        <w:tc>
          <w:tcPr>
            <w:tcW w:w="961" w:type="dxa"/>
            <w:tcBorders>
              <w:top w:val="single" w:sz="4" w:space="0" w:color="auto"/>
              <w:left w:val="single" w:sz="4" w:space="0" w:color="auto"/>
              <w:bottom w:val="single" w:sz="4" w:space="0" w:color="auto"/>
              <w:right w:val="single" w:sz="4" w:space="0" w:color="auto"/>
            </w:tcBorders>
            <w:vAlign w:val="center"/>
          </w:tcPr>
          <w:p w14:paraId="1DACE6A5" w14:textId="77777777" w:rsidR="0087089A" w:rsidRDefault="0087089A" w:rsidP="0087089A">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3B1B828A" w14:textId="747DEAFD" w:rsidR="0087089A" w:rsidRDefault="0087089A" w:rsidP="0087089A">
            <w:pPr>
              <w:spacing w:line="240" w:lineRule="auto"/>
              <w:jc w:val="right"/>
              <w:rPr>
                <w:rFonts w:cs="Arial"/>
                <w:sz w:val="18"/>
                <w:szCs w:val="18"/>
              </w:rPr>
            </w:pPr>
          </w:p>
        </w:tc>
      </w:tr>
      <w:tr w:rsidR="0087089A" w:rsidRPr="00504360" w14:paraId="357F6E2A" w14:textId="1A8A8617" w:rsidTr="00E105F5">
        <w:trPr>
          <w:trHeight w:val="300"/>
        </w:trPr>
        <w:tc>
          <w:tcPr>
            <w:tcW w:w="6706" w:type="dxa"/>
            <w:tcBorders>
              <w:top w:val="nil"/>
              <w:left w:val="single" w:sz="4" w:space="0" w:color="auto"/>
              <w:bottom w:val="single" w:sz="4" w:space="0" w:color="auto"/>
              <w:right w:val="single" w:sz="4" w:space="0" w:color="auto"/>
            </w:tcBorders>
            <w:vAlign w:val="center"/>
          </w:tcPr>
          <w:p w14:paraId="5CD2AEC3" w14:textId="72F76CB9" w:rsidR="0087089A" w:rsidRPr="0041058E" w:rsidRDefault="0087089A" w:rsidP="0087089A">
            <w:pPr>
              <w:spacing w:line="240" w:lineRule="auto"/>
              <w:rPr>
                <w:rFonts w:cs="Arial"/>
                <w:b/>
                <w:bCs/>
                <w:sz w:val="18"/>
                <w:szCs w:val="18"/>
                <w:lang w:eastAsia="en-AU"/>
              </w:rPr>
            </w:pPr>
            <w:r w:rsidRPr="00504360">
              <w:rPr>
                <w:rFonts w:cs="Arial"/>
                <w:sz w:val="18"/>
                <w:szCs w:val="18"/>
                <w:lang w:eastAsia="en-AU"/>
              </w:rPr>
              <w:t>Conferences conducted</w:t>
            </w:r>
          </w:p>
        </w:tc>
        <w:tc>
          <w:tcPr>
            <w:tcW w:w="961" w:type="dxa"/>
            <w:tcBorders>
              <w:top w:val="single" w:sz="4" w:space="0" w:color="auto"/>
              <w:left w:val="single" w:sz="4" w:space="0" w:color="auto"/>
              <w:bottom w:val="single" w:sz="4" w:space="0" w:color="auto"/>
              <w:right w:val="single" w:sz="4" w:space="0" w:color="auto"/>
            </w:tcBorders>
            <w:vAlign w:val="center"/>
          </w:tcPr>
          <w:p w14:paraId="157FE65F" w14:textId="439473FD" w:rsidR="0087089A" w:rsidRDefault="0087089A" w:rsidP="0087089A">
            <w:pPr>
              <w:spacing w:line="240" w:lineRule="auto"/>
              <w:jc w:val="right"/>
              <w:rPr>
                <w:rFonts w:cs="Arial"/>
                <w:sz w:val="18"/>
                <w:szCs w:val="18"/>
              </w:rPr>
            </w:pPr>
            <w:r>
              <w:rPr>
                <w:rFonts w:cs="Arial"/>
                <w:sz w:val="18"/>
                <w:szCs w:val="18"/>
              </w:rPr>
              <w:t>174</w:t>
            </w:r>
          </w:p>
        </w:tc>
        <w:tc>
          <w:tcPr>
            <w:tcW w:w="961" w:type="dxa"/>
            <w:tcBorders>
              <w:top w:val="single" w:sz="4" w:space="0" w:color="auto"/>
              <w:left w:val="single" w:sz="4" w:space="0" w:color="auto"/>
              <w:bottom w:val="single" w:sz="4" w:space="0" w:color="auto"/>
              <w:right w:val="single" w:sz="4" w:space="0" w:color="auto"/>
            </w:tcBorders>
            <w:vAlign w:val="center"/>
          </w:tcPr>
          <w:p w14:paraId="246AD13D" w14:textId="3B79D8B4" w:rsidR="0087089A" w:rsidRDefault="0087089A" w:rsidP="0087089A">
            <w:pPr>
              <w:spacing w:line="240" w:lineRule="auto"/>
              <w:jc w:val="right"/>
              <w:rPr>
                <w:rFonts w:cs="Arial"/>
                <w:sz w:val="18"/>
                <w:szCs w:val="18"/>
              </w:rPr>
            </w:pPr>
            <w:r>
              <w:rPr>
                <w:rFonts w:cs="Arial"/>
                <w:sz w:val="18"/>
                <w:szCs w:val="18"/>
              </w:rPr>
              <w:t>241</w:t>
            </w:r>
          </w:p>
        </w:tc>
      </w:tr>
      <w:tr w:rsidR="0087089A" w:rsidRPr="00504360" w14:paraId="6640BF7C" w14:textId="6FEDCDDC" w:rsidTr="00E105F5">
        <w:trPr>
          <w:trHeight w:val="300"/>
        </w:trPr>
        <w:tc>
          <w:tcPr>
            <w:tcW w:w="6706" w:type="dxa"/>
            <w:tcBorders>
              <w:top w:val="nil"/>
              <w:left w:val="single" w:sz="4" w:space="0" w:color="auto"/>
              <w:bottom w:val="single" w:sz="4" w:space="0" w:color="auto"/>
              <w:right w:val="single" w:sz="4" w:space="0" w:color="auto"/>
            </w:tcBorders>
            <w:vAlign w:val="center"/>
          </w:tcPr>
          <w:p w14:paraId="7F4BA4D9" w14:textId="42488895" w:rsidR="0087089A" w:rsidRPr="00504360" w:rsidRDefault="0087089A" w:rsidP="0087089A">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61" w:type="dxa"/>
            <w:tcBorders>
              <w:top w:val="single" w:sz="4" w:space="0" w:color="auto"/>
              <w:left w:val="single" w:sz="4" w:space="0" w:color="auto"/>
              <w:bottom w:val="single" w:sz="4" w:space="0" w:color="auto"/>
              <w:right w:val="single" w:sz="4" w:space="0" w:color="auto"/>
            </w:tcBorders>
            <w:vAlign w:val="center"/>
          </w:tcPr>
          <w:p w14:paraId="5A5BF3D7" w14:textId="313297DD" w:rsidR="0087089A" w:rsidRDefault="0087089A" w:rsidP="0087089A">
            <w:pPr>
              <w:spacing w:line="240" w:lineRule="auto"/>
              <w:jc w:val="right"/>
              <w:rPr>
                <w:rFonts w:cs="Arial"/>
                <w:sz w:val="18"/>
                <w:szCs w:val="18"/>
              </w:rPr>
            </w:pPr>
            <w:r>
              <w:rPr>
                <w:rFonts w:cs="Arial"/>
                <w:sz w:val="18"/>
                <w:szCs w:val="18"/>
              </w:rPr>
              <w:t>140</w:t>
            </w:r>
          </w:p>
        </w:tc>
        <w:tc>
          <w:tcPr>
            <w:tcW w:w="961" w:type="dxa"/>
            <w:tcBorders>
              <w:top w:val="single" w:sz="4" w:space="0" w:color="auto"/>
              <w:left w:val="single" w:sz="4" w:space="0" w:color="auto"/>
              <w:bottom w:val="single" w:sz="4" w:space="0" w:color="auto"/>
              <w:right w:val="single" w:sz="4" w:space="0" w:color="auto"/>
            </w:tcBorders>
            <w:vAlign w:val="center"/>
          </w:tcPr>
          <w:p w14:paraId="1351B114" w14:textId="4C7B4D7A" w:rsidR="0087089A" w:rsidRDefault="0087089A" w:rsidP="0087089A">
            <w:pPr>
              <w:spacing w:line="240" w:lineRule="auto"/>
              <w:jc w:val="right"/>
              <w:rPr>
                <w:rFonts w:cs="Arial"/>
                <w:sz w:val="18"/>
                <w:szCs w:val="18"/>
              </w:rPr>
            </w:pPr>
            <w:r>
              <w:rPr>
                <w:rFonts w:cs="Arial"/>
                <w:sz w:val="18"/>
                <w:szCs w:val="18"/>
              </w:rPr>
              <w:t>193</w:t>
            </w:r>
          </w:p>
        </w:tc>
      </w:tr>
      <w:tr w:rsidR="0087089A" w:rsidRPr="00504360" w14:paraId="5461BF2B" w14:textId="32840BB8" w:rsidTr="00E105F5">
        <w:trPr>
          <w:trHeight w:val="300"/>
        </w:trPr>
        <w:tc>
          <w:tcPr>
            <w:tcW w:w="6706" w:type="dxa"/>
            <w:tcBorders>
              <w:top w:val="nil"/>
              <w:left w:val="single" w:sz="4" w:space="0" w:color="auto"/>
              <w:bottom w:val="single" w:sz="4" w:space="0" w:color="auto"/>
              <w:right w:val="single" w:sz="4" w:space="0" w:color="auto"/>
            </w:tcBorders>
            <w:vAlign w:val="center"/>
          </w:tcPr>
          <w:p w14:paraId="31A9D1E6" w14:textId="41FA7E88" w:rsidR="0087089A" w:rsidRPr="00504360" w:rsidRDefault="0087089A" w:rsidP="0087089A">
            <w:pPr>
              <w:spacing w:line="240" w:lineRule="auto"/>
              <w:rPr>
                <w:rFonts w:cs="Arial"/>
                <w:sz w:val="18"/>
                <w:szCs w:val="18"/>
                <w:lang w:eastAsia="en-AU"/>
              </w:rPr>
            </w:pPr>
            <w:r w:rsidRPr="0041058E">
              <w:rPr>
                <w:rFonts w:cs="Arial"/>
                <w:sz w:val="18"/>
                <w:szCs w:val="18"/>
                <w:lang w:eastAsia="en-AU"/>
              </w:rPr>
              <w:t>Attendance percentage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5080619D" w14:textId="7CF8C2C9" w:rsidR="0087089A" w:rsidRDefault="0087089A" w:rsidP="0087089A">
            <w:pPr>
              <w:spacing w:line="240" w:lineRule="auto"/>
              <w:jc w:val="right"/>
              <w:rPr>
                <w:rFonts w:cs="Arial"/>
                <w:sz w:val="18"/>
                <w:szCs w:val="18"/>
              </w:rPr>
            </w:pPr>
            <w:r>
              <w:rPr>
                <w:rFonts w:cs="Arial"/>
                <w:sz w:val="18"/>
                <w:szCs w:val="18"/>
              </w:rPr>
              <w:t>59%</w:t>
            </w:r>
          </w:p>
        </w:tc>
        <w:tc>
          <w:tcPr>
            <w:tcW w:w="961" w:type="dxa"/>
            <w:tcBorders>
              <w:top w:val="single" w:sz="4" w:space="0" w:color="auto"/>
              <w:left w:val="single" w:sz="4" w:space="0" w:color="auto"/>
              <w:bottom w:val="single" w:sz="4" w:space="0" w:color="auto"/>
              <w:right w:val="single" w:sz="4" w:space="0" w:color="auto"/>
            </w:tcBorders>
            <w:vAlign w:val="center"/>
          </w:tcPr>
          <w:p w14:paraId="50E2CD9F" w14:textId="3158243A" w:rsidR="0087089A" w:rsidRDefault="0087089A" w:rsidP="0087089A">
            <w:pPr>
              <w:spacing w:line="240" w:lineRule="auto"/>
              <w:jc w:val="right"/>
              <w:rPr>
                <w:rFonts w:cs="Arial"/>
                <w:sz w:val="18"/>
                <w:szCs w:val="18"/>
              </w:rPr>
            </w:pPr>
            <w:r>
              <w:rPr>
                <w:rFonts w:cs="Arial"/>
                <w:sz w:val="18"/>
                <w:szCs w:val="18"/>
              </w:rPr>
              <w:t>69%</w:t>
            </w:r>
          </w:p>
        </w:tc>
      </w:tr>
      <w:tr w:rsidR="0087089A" w:rsidRPr="00504360" w14:paraId="71489B13" w14:textId="54A3FEFE" w:rsidTr="00E105F5">
        <w:trPr>
          <w:trHeight w:val="300"/>
        </w:trPr>
        <w:tc>
          <w:tcPr>
            <w:tcW w:w="6706" w:type="dxa"/>
            <w:tcBorders>
              <w:top w:val="nil"/>
              <w:left w:val="single" w:sz="4" w:space="0" w:color="auto"/>
              <w:bottom w:val="single" w:sz="4" w:space="0" w:color="auto"/>
              <w:right w:val="single" w:sz="4" w:space="0" w:color="auto"/>
            </w:tcBorders>
            <w:vAlign w:val="center"/>
          </w:tcPr>
          <w:p w14:paraId="3AC9675E" w14:textId="41D4EDB0" w:rsidR="0087089A" w:rsidRPr="00504360" w:rsidRDefault="0087089A" w:rsidP="0087089A">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3BBA8D45" w14:textId="6E55A07D" w:rsidR="0087089A" w:rsidRDefault="0087089A" w:rsidP="0087089A">
            <w:pPr>
              <w:spacing w:line="240" w:lineRule="auto"/>
              <w:jc w:val="right"/>
              <w:rPr>
                <w:rFonts w:cs="Arial"/>
                <w:sz w:val="18"/>
                <w:szCs w:val="18"/>
              </w:rPr>
            </w:pPr>
            <w:r>
              <w:rPr>
                <w:rFonts w:cs="Arial"/>
                <w:sz w:val="18"/>
                <w:szCs w:val="18"/>
              </w:rPr>
              <w:t>37%</w:t>
            </w:r>
          </w:p>
        </w:tc>
        <w:tc>
          <w:tcPr>
            <w:tcW w:w="961" w:type="dxa"/>
            <w:tcBorders>
              <w:top w:val="single" w:sz="4" w:space="0" w:color="auto"/>
              <w:left w:val="single" w:sz="4" w:space="0" w:color="auto"/>
              <w:bottom w:val="single" w:sz="4" w:space="0" w:color="auto"/>
              <w:right w:val="single" w:sz="4" w:space="0" w:color="auto"/>
            </w:tcBorders>
            <w:vAlign w:val="center"/>
          </w:tcPr>
          <w:p w14:paraId="51905C99" w14:textId="1D7295EC" w:rsidR="0087089A" w:rsidRDefault="0087089A" w:rsidP="0087089A">
            <w:pPr>
              <w:spacing w:line="240" w:lineRule="auto"/>
              <w:jc w:val="right"/>
              <w:rPr>
                <w:rFonts w:cs="Arial"/>
                <w:sz w:val="18"/>
                <w:szCs w:val="18"/>
              </w:rPr>
            </w:pPr>
            <w:r>
              <w:rPr>
                <w:rFonts w:cs="Arial"/>
                <w:sz w:val="18"/>
                <w:szCs w:val="18"/>
              </w:rPr>
              <w:t>37%</w:t>
            </w:r>
          </w:p>
        </w:tc>
      </w:tr>
      <w:tr w:rsidR="0087089A" w:rsidRPr="00504360" w14:paraId="000DC7AD" w14:textId="18464FA9" w:rsidTr="00E105F5">
        <w:trPr>
          <w:trHeight w:val="152"/>
        </w:trPr>
        <w:tc>
          <w:tcPr>
            <w:tcW w:w="6706" w:type="dxa"/>
            <w:tcBorders>
              <w:top w:val="nil"/>
              <w:left w:val="single" w:sz="4" w:space="0" w:color="auto"/>
              <w:bottom w:val="single" w:sz="4" w:space="0" w:color="auto"/>
              <w:right w:val="single" w:sz="4" w:space="0" w:color="auto"/>
            </w:tcBorders>
            <w:vAlign w:val="center"/>
          </w:tcPr>
          <w:p w14:paraId="7D6B840B" w14:textId="77777777" w:rsidR="0087089A" w:rsidRPr="00504360" w:rsidRDefault="0087089A" w:rsidP="0087089A">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32FAE13C" w14:textId="77777777" w:rsidR="0087089A" w:rsidRDefault="0087089A" w:rsidP="0087089A">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082710B4" w14:textId="7ECA53B9" w:rsidR="0087089A" w:rsidRDefault="0087089A" w:rsidP="0087089A">
            <w:pPr>
              <w:spacing w:line="240" w:lineRule="auto"/>
              <w:jc w:val="right"/>
              <w:rPr>
                <w:rFonts w:cs="Arial"/>
                <w:sz w:val="18"/>
                <w:szCs w:val="18"/>
              </w:rPr>
            </w:pPr>
          </w:p>
        </w:tc>
      </w:tr>
      <w:tr w:rsidR="0087089A" w:rsidRPr="00504360" w14:paraId="242866B2" w14:textId="0920E6E1" w:rsidTr="00E105F5">
        <w:trPr>
          <w:trHeight w:val="300"/>
        </w:trPr>
        <w:tc>
          <w:tcPr>
            <w:tcW w:w="6706" w:type="dxa"/>
            <w:tcBorders>
              <w:top w:val="nil"/>
              <w:left w:val="single" w:sz="4" w:space="0" w:color="auto"/>
              <w:bottom w:val="single" w:sz="4" w:space="0" w:color="auto"/>
              <w:right w:val="single" w:sz="4" w:space="0" w:color="auto"/>
            </w:tcBorders>
            <w:vAlign w:val="center"/>
          </w:tcPr>
          <w:p w14:paraId="531F76B6" w14:textId="6FFCCD1B" w:rsidR="0087089A" w:rsidRPr="00504360" w:rsidRDefault="0087089A" w:rsidP="0087089A">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61" w:type="dxa"/>
            <w:tcBorders>
              <w:top w:val="single" w:sz="4" w:space="0" w:color="auto"/>
              <w:left w:val="single" w:sz="4" w:space="0" w:color="auto"/>
              <w:bottom w:val="single" w:sz="4" w:space="0" w:color="auto"/>
              <w:right w:val="single" w:sz="4" w:space="0" w:color="auto"/>
            </w:tcBorders>
            <w:vAlign w:val="center"/>
          </w:tcPr>
          <w:p w14:paraId="4CDF90DA" w14:textId="77777777" w:rsidR="0087089A" w:rsidRDefault="0087089A" w:rsidP="0087089A">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0B4A4EED" w14:textId="5D9F8C8B" w:rsidR="0087089A" w:rsidRDefault="0087089A" w:rsidP="0087089A">
            <w:pPr>
              <w:spacing w:line="240" w:lineRule="auto"/>
              <w:jc w:val="right"/>
              <w:rPr>
                <w:rFonts w:cs="Arial"/>
                <w:sz w:val="18"/>
                <w:szCs w:val="18"/>
              </w:rPr>
            </w:pPr>
          </w:p>
        </w:tc>
      </w:tr>
      <w:tr w:rsidR="0087089A" w:rsidRPr="00504360" w14:paraId="5D7BAD0E" w14:textId="6FF1C812" w:rsidTr="00E105F5">
        <w:trPr>
          <w:trHeight w:val="300"/>
        </w:trPr>
        <w:tc>
          <w:tcPr>
            <w:tcW w:w="6706" w:type="dxa"/>
            <w:tcBorders>
              <w:top w:val="nil"/>
              <w:left w:val="single" w:sz="4" w:space="0" w:color="auto"/>
              <w:bottom w:val="single" w:sz="4" w:space="0" w:color="auto"/>
              <w:right w:val="single" w:sz="4" w:space="0" w:color="auto"/>
            </w:tcBorders>
            <w:vAlign w:val="center"/>
            <w:hideMark/>
          </w:tcPr>
          <w:p w14:paraId="79792EEC" w14:textId="2B628293" w:rsidR="0087089A" w:rsidRPr="00504360" w:rsidRDefault="0087089A" w:rsidP="0087089A">
            <w:pPr>
              <w:spacing w:line="240" w:lineRule="auto"/>
              <w:rPr>
                <w:rFonts w:cs="Arial"/>
                <w:sz w:val="18"/>
                <w:szCs w:val="18"/>
                <w:lang w:eastAsia="en-AU"/>
              </w:rPr>
            </w:pPr>
            <w:r w:rsidRPr="00504360">
              <w:rPr>
                <w:rFonts w:cs="Arial"/>
                <w:sz w:val="18"/>
                <w:szCs w:val="18"/>
              </w:rPr>
              <w:t>Agreements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1891A4E3" w14:textId="65FAC4D5" w:rsidR="0087089A" w:rsidRDefault="0087089A" w:rsidP="0087089A">
            <w:pPr>
              <w:spacing w:line="240" w:lineRule="auto"/>
              <w:jc w:val="right"/>
              <w:rPr>
                <w:rFonts w:cs="Arial"/>
                <w:sz w:val="18"/>
                <w:szCs w:val="18"/>
              </w:rPr>
            </w:pPr>
            <w:r>
              <w:rPr>
                <w:rFonts w:cs="Arial"/>
                <w:sz w:val="18"/>
                <w:szCs w:val="18"/>
              </w:rPr>
              <w:t>33</w:t>
            </w:r>
          </w:p>
        </w:tc>
        <w:tc>
          <w:tcPr>
            <w:tcW w:w="961" w:type="dxa"/>
            <w:tcBorders>
              <w:top w:val="single" w:sz="4" w:space="0" w:color="auto"/>
              <w:left w:val="single" w:sz="4" w:space="0" w:color="auto"/>
              <w:bottom w:val="single" w:sz="4" w:space="0" w:color="auto"/>
              <w:right w:val="single" w:sz="4" w:space="0" w:color="auto"/>
            </w:tcBorders>
            <w:vAlign w:val="center"/>
          </w:tcPr>
          <w:p w14:paraId="0E061A5B" w14:textId="650FEDFB" w:rsidR="0087089A" w:rsidRDefault="0087089A" w:rsidP="0087089A">
            <w:pPr>
              <w:spacing w:line="240" w:lineRule="auto"/>
              <w:jc w:val="right"/>
              <w:rPr>
                <w:rFonts w:cs="Arial"/>
                <w:sz w:val="18"/>
                <w:szCs w:val="18"/>
              </w:rPr>
            </w:pPr>
            <w:r>
              <w:rPr>
                <w:rFonts w:cs="Arial"/>
                <w:sz w:val="18"/>
                <w:szCs w:val="18"/>
              </w:rPr>
              <w:t>58</w:t>
            </w:r>
          </w:p>
        </w:tc>
      </w:tr>
      <w:tr w:rsidR="0087089A" w:rsidRPr="00504360" w14:paraId="2EEF3859" w14:textId="5D744EA2" w:rsidTr="00E105F5">
        <w:trPr>
          <w:trHeight w:val="300"/>
        </w:trPr>
        <w:tc>
          <w:tcPr>
            <w:tcW w:w="6706" w:type="dxa"/>
            <w:tcBorders>
              <w:top w:val="nil"/>
              <w:left w:val="single" w:sz="4" w:space="0" w:color="auto"/>
              <w:bottom w:val="single" w:sz="4" w:space="0" w:color="auto"/>
              <w:right w:val="single" w:sz="4" w:space="0" w:color="auto"/>
            </w:tcBorders>
            <w:vAlign w:val="center"/>
            <w:hideMark/>
          </w:tcPr>
          <w:p w14:paraId="6CAAE493" w14:textId="19D8D91D" w:rsidR="0087089A" w:rsidRPr="00504360" w:rsidRDefault="0087089A" w:rsidP="0087089A">
            <w:pPr>
              <w:spacing w:line="240" w:lineRule="auto"/>
              <w:rPr>
                <w:rFonts w:cs="Arial"/>
                <w:sz w:val="18"/>
                <w:szCs w:val="18"/>
                <w:lang w:eastAsia="en-AU"/>
              </w:rPr>
            </w:pPr>
            <w:r w:rsidRPr="00504360">
              <w:rPr>
                <w:rFonts w:cs="Arial"/>
                <w:sz w:val="18"/>
                <w:szCs w:val="18"/>
              </w:rPr>
              <w:t>Orders made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19E60A04" w14:textId="605E0F18" w:rsidR="0087089A" w:rsidRDefault="0087089A" w:rsidP="0087089A">
            <w:pPr>
              <w:spacing w:line="240" w:lineRule="auto"/>
              <w:jc w:val="right"/>
              <w:rPr>
                <w:rFonts w:cs="Arial"/>
                <w:sz w:val="18"/>
                <w:szCs w:val="18"/>
              </w:rPr>
            </w:pPr>
            <w:r>
              <w:rPr>
                <w:rFonts w:cs="Arial"/>
                <w:sz w:val="18"/>
                <w:szCs w:val="18"/>
              </w:rPr>
              <w:t>23</w:t>
            </w:r>
          </w:p>
        </w:tc>
        <w:tc>
          <w:tcPr>
            <w:tcW w:w="961" w:type="dxa"/>
            <w:tcBorders>
              <w:top w:val="single" w:sz="4" w:space="0" w:color="auto"/>
              <w:left w:val="single" w:sz="4" w:space="0" w:color="auto"/>
              <w:bottom w:val="single" w:sz="4" w:space="0" w:color="auto"/>
              <w:right w:val="single" w:sz="4" w:space="0" w:color="auto"/>
            </w:tcBorders>
            <w:vAlign w:val="center"/>
          </w:tcPr>
          <w:p w14:paraId="45A9CA7F" w14:textId="2F29ADEC" w:rsidR="0087089A" w:rsidRDefault="0087089A" w:rsidP="0087089A">
            <w:pPr>
              <w:spacing w:line="240" w:lineRule="auto"/>
              <w:jc w:val="right"/>
              <w:rPr>
                <w:rFonts w:cs="Arial"/>
                <w:sz w:val="18"/>
                <w:szCs w:val="18"/>
              </w:rPr>
            </w:pPr>
            <w:r>
              <w:rPr>
                <w:rFonts w:cs="Arial"/>
                <w:sz w:val="18"/>
                <w:szCs w:val="18"/>
              </w:rPr>
              <w:t>33</w:t>
            </w:r>
          </w:p>
        </w:tc>
      </w:tr>
      <w:tr w:rsidR="0087089A" w:rsidRPr="00504360" w14:paraId="6ABD7603" w14:textId="6E5EA706" w:rsidTr="00E105F5">
        <w:trPr>
          <w:trHeight w:val="300"/>
        </w:trPr>
        <w:tc>
          <w:tcPr>
            <w:tcW w:w="6706" w:type="dxa"/>
            <w:tcBorders>
              <w:top w:val="nil"/>
              <w:left w:val="single" w:sz="4" w:space="0" w:color="auto"/>
              <w:bottom w:val="single" w:sz="4" w:space="0" w:color="auto"/>
              <w:right w:val="single" w:sz="4" w:space="0" w:color="auto"/>
            </w:tcBorders>
            <w:vAlign w:val="center"/>
          </w:tcPr>
          <w:p w14:paraId="019A8B33" w14:textId="46622F3D" w:rsidR="0087089A" w:rsidRPr="00504360" w:rsidRDefault="0087089A" w:rsidP="0087089A">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61" w:type="dxa"/>
            <w:tcBorders>
              <w:top w:val="single" w:sz="4" w:space="0" w:color="auto"/>
              <w:left w:val="single" w:sz="4" w:space="0" w:color="auto"/>
              <w:bottom w:val="single" w:sz="4" w:space="0" w:color="auto"/>
              <w:right w:val="single" w:sz="4" w:space="0" w:color="auto"/>
            </w:tcBorders>
            <w:vAlign w:val="center"/>
          </w:tcPr>
          <w:p w14:paraId="08C8B816" w14:textId="13760541" w:rsidR="0087089A" w:rsidRDefault="0087089A" w:rsidP="0087089A">
            <w:pPr>
              <w:spacing w:line="240" w:lineRule="auto"/>
              <w:jc w:val="right"/>
              <w:rPr>
                <w:rFonts w:cs="Arial"/>
                <w:sz w:val="18"/>
                <w:szCs w:val="18"/>
              </w:rPr>
            </w:pPr>
            <w:r>
              <w:rPr>
                <w:rFonts w:cs="Arial"/>
                <w:sz w:val="18"/>
                <w:szCs w:val="18"/>
              </w:rPr>
              <w:t>65</w:t>
            </w:r>
          </w:p>
        </w:tc>
        <w:tc>
          <w:tcPr>
            <w:tcW w:w="961" w:type="dxa"/>
            <w:tcBorders>
              <w:top w:val="single" w:sz="4" w:space="0" w:color="auto"/>
              <w:left w:val="single" w:sz="4" w:space="0" w:color="auto"/>
              <w:bottom w:val="single" w:sz="4" w:space="0" w:color="auto"/>
              <w:right w:val="single" w:sz="4" w:space="0" w:color="auto"/>
            </w:tcBorders>
            <w:vAlign w:val="center"/>
          </w:tcPr>
          <w:p w14:paraId="70CA4014" w14:textId="6D01F440" w:rsidR="0087089A" w:rsidRDefault="0087089A" w:rsidP="0087089A">
            <w:pPr>
              <w:spacing w:line="240" w:lineRule="auto"/>
              <w:jc w:val="right"/>
              <w:rPr>
                <w:rFonts w:cs="Arial"/>
                <w:sz w:val="18"/>
                <w:szCs w:val="18"/>
              </w:rPr>
            </w:pPr>
            <w:r>
              <w:rPr>
                <w:rFonts w:cs="Arial"/>
                <w:sz w:val="18"/>
                <w:szCs w:val="18"/>
              </w:rPr>
              <w:t>105</w:t>
            </w:r>
          </w:p>
        </w:tc>
      </w:tr>
      <w:tr w:rsidR="0087089A" w:rsidRPr="00504360" w14:paraId="2709F335" w14:textId="21DF8EAA" w:rsidTr="00E105F5">
        <w:trPr>
          <w:trHeight w:val="300"/>
        </w:trPr>
        <w:tc>
          <w:tcPr>
            <w:tcW w:w="6706" w:type="dxa"/>
            <w:tcBorders>
              <w:top w:val="nil"/>
              <w:left w:val="single" w:sz="4" w:space="0" w:color="auto"/>
              <w:bottom w:val="single" w:sz="4" w:space="0" w:color="auto"/>
              <w:right w:val="single" w:sz="4" w:space="0" w:color="auto"/>
            </w:tcBorders>
            <w:vAlign w:val="center"/>
          </w:tcPr>
          <w:p w14:paraId="25C9370F" w14:textId="6A13D77F" w:rsidR="0087089A" w:rsidRDefault="0087089A" w:rsidP="0087089A">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61" w:type="dxa"/>
            <w:tcBorders>
              <w:top w:val="single" w:sz="4" w:space="0" w:color="auto"/>
              <w:left w:val="single" w:sz="4" w:space="0" w:color="auto"/>
              <w:bottom w:val="single" w:sz="4" w:space="0" w:color="auto"/>
              <w:right w:val="single" w:sz="4" w:space="0" w:color="auto"/>
            </w:tcBorders>
            <w:vAlign w:val="center"/>
          </w:tcPr>
          <w:p w14:paraId="2CD16CEC" w14:textId="31B459EB" w:rsidR="0087089A" w:rsidRDefault="0087089A" w:rsidP="0087089A">
            <w:pPr>
              <w:spacing w:line="240" w:lineRule="auto"/>
              <w:jc w:val="right"/>
              <w:rPr>
                <w:rFonts w:cs="Arial"/>
                <w:sz w:val="18"/>
                <w:szCs w:val="18"/>
              </w:rPr>
            </w:pPr>
            <w:r>
              <w:rPr>
                <w:rFonts w:cs="Arial"/>
                <w:sz w:val="18"/>
                <w:szCs w:val="18"/>
              </w:rPr>
              <w:t>0</w:t>
            </w:r>
          </w:p>
        </w:tc>
        <w:tc>
          <w:tcPr>
            <w:tcW w:w="961" w:type="dxa"/>
            <w:tcBorders>
              <w:top w:val="single" w:sz="4" w:space="0" w:color="auto"/>
              <w:left w:val="single" w:sz="4" w:space="0" w:color="auto"/>
              <w:bottom w:val="single" w:sz="4" w:space="0" w:color="auto"/>
              <w:right w:val="single" w:sz="4" w:space="0" w:color="auto"/>
            </w:tcBorders>
            <w:vAlign w:val="center"/>
          </w:tcPr>
          <w:p w14:paraId="702AEC75" w14:textId="7F0419F5" w:rsidR="0087089A" w:rsidRDefault="0087089A" w:rsidP="0087089A">
            <w:pPr>
              <w:spacing w:line="240" w:lineRule="auto"/>
              <w:jc w:val="right"/>
              <w:rPr>
                <w:rFonts w:cs="Arial"/>
                <w:sz w:val="18"/>
                <w:szCs w:val="18"/>
              </w:rPr>
            </w:pPr>
            <w:r>
              <w:rPr>
                <w:rFonts w:cs="Arial"/>
                <w:sz w:val="18"/>
                <w:szCs w:val="18"/>
              </w:rPr>
              <w:t>0</w:t>
            </w:r>
          </w:p>
        </w:tc>
      </w:tr>
      <w:tr w:rsidR="0087089A" w:rsidRPr="00504360" w14:paraId="72AB99E7" w14:textId="3AC7B1E8" w:rsidTr="00E105F5">
        <w:trPr>
          <w:trHeight w:val="300"/>
        </w:trPr>
        <w:tc>
          <w:tcPr>
            <w:tcW w:w="6706" w:type="dxa"/>
            <w:tcBorders>
              <w:top w:val="nil"/>
              <w:left w:val="single" w:sz="4" w:space="0" w:color="auto"/>
              <w:bottom w:val="single" w:sz="4" w:space="0" w:color="auto"/>
              <w:right w:val="single" w:sz="4" w:space="0" w:color="auto"/>
            </w:tcBorders>
            <w:vAlign w:val="center"/>
          </w:tcPr>
          <w:p w14:paraId="6CFFF173" w14:textId="2C481091" w:rsidR="0087089A" w:rsidRPr="00504360" w:rsidRDefault="0087089A" w:rsidP="0087089A">
            <w:pPr>
              <w:spacing w:line="240" w:lineRule="auto"/>
              <w:rPr>
                <w:rFonts w:cs="Arial"/>
                <w:sz w:val="18"/>
                <w:szCs w:val="18"/>
                <w:lang w:eastAsia="en-AU"/>
              </w:rPr>
            </w:pPr>
            <w:r w:rsidRPr="00504360">
              <w:rPr>
                <w:rFonts w:cs="Arial"/>
                <w:sz w:val="18"/>
                <w:szCs w:val="18"/>
              </w:rPr>
              <w:t>Orders made for CIM</w:t>
            </w:r>
          </w:p>
        </w:tc>
        <w:tc>
          <w:tcPr>
            <w:tcW w:w="961" w:type="dxa"/>
            <w:tcBorders>
              <w:top w:val="single" w:sz="4" w:space="0" w:color="auto"/>
              <w:left w:val="single" w:sz="4" w:space="0" w:color="auto"/>
              <w:bottom w:val="single" w:sz="4" w:space="0" w:color="auto"/>
              <w:right w:val="single" w:sz="4" w:space="0" w:color="auto"/>
            </w:tcBorders>
            <w:vAlign w:val="center"/>
          </w:tcPr>
          <w:p w14:paraId="0425E9A6" w14:textId="6EEA54E6" w:rsidR="0087089A" w:rsidRDefault="0087089A" w:rsidP="0087089A">
            <w:pPr>
              <w:spacing w:line="240" w:lineRule="auto"/>
              <w:jc w:val="right"/>
              <w:rPr>
                <w:rFonts w:cs="Arial"/>
                <w:sz w:val="18"/>
                <w:szCs w:val="18"/>
              </w:rPr>
            </w:pPr>
            <w:r>
              <w:rPr>
                <w:rFonts w:cs="Arial"/>
                <w:sz w:val="18"/>
                <w:szCs w:val="18"/>
              </w:rPr>
              <w:t>7</w:t>
            </w:r>
          </w:p>
        </w:tc>
        <w:tc>
          <w:tcPr>
            <w:tcW w:w="961" w:type="dxa"/>
            <w:tcBorders>
              <w:top w:val="single" w:sz="4" w:space="0" w:color="auto"/>
              <w:left w:val="single" w:sz="4" w:space="0" w:color="auto"/>
              <w:bottom w:val="single" w:sz="4" w:space="0" w:color="auto"/>
              <w:right w:val="single" w:sz="4" w:space="0" w:color="auto"/>
            </w:tcBorders>
            <w:vAlign w:val="center"/>
          </w:tcPr>
          <w:p w14:paraId="531108EB" w14:textId="5B64BC9F" w:rsidR="0087089A" w:rsidRDefault="0087089A" w:rsidP="0087089A">
            <w:pPr>
              <w:spacing w:line="240" w:lineRule="auto"/>
              <w:jc w:val="right"/>
              <w:rPr>
                <w:rFonts w:cs="Arial"/>
                <w:sz w:val="18"/>
                <w:szCs w:val="18"/>
              </w:rPr>
            </w:pPr>
            <w:r>
              <w:rPr>
                <w:rFonts w:cs="Arial"/>
                <w:sz w:val="18"/>
                <w:szCs w:val="18"/>
              </w:rPr>
              <w:t>6</w:t>
            </w:r>
          </w:p>
        </w:tc>
      </w:tr>
    </w:tbl>
    <w:p w14:paraId="19B06170" w14:textId="77777777" w:rsidR="000114A6" w:rsidRDefault="000114A6">
      <w:pPr>
        <w:spacing w:line="240" w:lineRule="auto"/>
      </w:pPr>
      <w:r>
        <w:br w:type="page"/>
      </w:r>
    </w:p>
    <w:tbl>
      <w:tblPr>
        <w:tblW w:w="8630" w:type="dxa"/>
        <w:tblInd w:w="103" w:type="dxa"/>
        <w:tblLook w:val="04A0" w:firstRow="1" w:lastRow="0" w:firstColumn="1" w:lastColumn="0" w:noHBand="0" w:noVBand="1"/>
      </w:tblPr>
      <w:tblGrid>
        <w:gridCol w:w="6706"/>
        <w:gridCol w:w="962"/>
        <w:gridCol w:w="962"/>
      </w:tblGrid>
      <w:tr w:rsidR="00E105F5" w:rsidRPr="00504360" w14:paraId="1D148075" w14:textId="6A7C970D"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6920CEF9" w14:textId="22CFF7FC" w:rsidR="00E105F5" w:rsidRPr="0041058E" w:rsidRDefault="00E105F5" w:rsidP="00E105F5">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62" w:type="dxa"/>
            <w:tcBorders>
              <w:top w:val="single" w:sz="4" w:space="0" w:color="auto"/>
              <w:left w:val="single" w:sz="4" w:space="0" w:color="auto"/>
              <w:bottom w:val="single" w:sz="4" w:space="0" w:color="auto"/>
              <w:right w:val="single" w:sz="4" w:space="0" w:color="auto"/>
            </w:tcBorders>
          </w:tcPr>
          <w:p w14:paraId="43F525A0" w14:textId="15768F11" w:rsidR="00E105F5" w:rsidRPr="00504360" w:rsidRDefault="00E105F5" w:rsidP="00E105F5">
            <w:pPr>
              <w:spacing w:line="240" w:lineRule="auto"/>
              <w:jc w:val="right"/>
              <w:rPr>
                <w:rFonts w:cs="Arial"/>
                <w:b/>
                <w:bCs/>
                <w:sz w:val="18"/>
                <w:szCs w:val="18"/>
                <w:lang w:eastAsia="en-AU"/>
              </w:rPr>
            </w:pPr>
            <w:r w:rsidRPr="00504360">
              <w:rPr>
                <w:rFonts w:cs="Arial"/>
                <w:b/>
                <w:bCs/>
                <w:sz w:val="18"/>
                <w:szCs w:val="18"/>
                <w:lang w:eastAsia="en-AU"/>
              </w:rPr>
              <w:t xml:space="preserve">Qtr </w:t>
            </w:r>
            <w:r w:rsidR="008E6F77">
              <w:rPr>
                <w:rFonts w:cs="Arial"/>
                <w:b/>
                <w:bCs/>
                <w:sz w:val="18"/>
                <w:szCs w:val="18"/>
                <w:lang w:eastAsia="en-AU"/>
              </w:rPr>
              <w:t>67</w:t>
            </w:r>
          </w:p>
        </w:tc>
        <w:tc>
          <w:tcPr>
            <w:tcW w:w="962" w:type="dxa"/>
            <w:tcBorders>
              <w:top w:val="single" w:sz="4" w:space="0" w:color="auto"/>
              <w:left w:val="single" w:sz="4" w:space="0" w:color="auto"/>
              <w:bottom w:val="single" w:sz="4" w:space="0" w:color="auto"/>
              <w:right w:val="single" w:sz="4" w:space="0" w:color="auto"/>
            </w:tcBorders>
          </w:tcPr>
          <w:p w14:paraId="13F7BAD3" w14:textId="78EE2746" w:rsidR="00E105F5" w:rsidRPr="00504360" w:rsidRDefault="00E105F5" w:rsidP="00E105F5">
            <w:pPr>
              <w:spacing w:line="240" w:lineRule="auto"/>
              <w:jc w:val="right"/>
              <w:rPr>
                <w:rFonts w:cs="Arial"/>
                <w:b/>
                <w:bCs/>
                <w:sz w:val="18"/>
                <w:szCs w:val="18"/>
                <w:lang w:eastAsia="en-AU"/>
              </w:rPr>
            </w:pPr>
            <w:r w:rsidRPr="00504360">
              <w:rPr>
                <w:rFonts w:cs="Arial"/>
                <w:b/>
                <w:bCs/>
                <w:sz w:val="18"/>
                <w:szCs w:val="18"/>
                <w:lang w:eastAsia="en-AU"/>
              </w:rPr>
              <w:t xml:space="preserve">Qtr </w:t>
            </w:r>
            <w:r w:rsidR="00EF7EFC">
              <w:rPr>
                <w:rFonts w:cs="Arial"/>
                <w:b/>
                <w:bCs/>
                <w:sz w:val="18"/>
                <w:szCs w:val="18"/>
                <w:lang w:eastAsia="en-AU"/>
              </w:rPr>
              <w:t>68</w:t>
            </w:r>
          </w:p>
        </w:tc>
      </w:tr>
      <w:tr w:rsidR="0087089A" w:rsidRPr="00504360" w14:paraId="4E8132BF" w14:textId="66B29BF5"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3CB70D17" w14:textId="45EDC03D" w:rsidR="0087089A" w:rsidRPr="00561C6C" w:rsidRDefault="0087089A" w:rsidP="0087089A">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62" w:type="dxa"/>
            <w:tcBorders>
              <w:top w:val="single" w:sz="4" w:space="0" w:color="auto"/>
              <w:left w:val="single" w:sz="4" w:space="0" w:color="auto"/>
              <w:bottom w:val="single" w:sz="4" w:space="0" w:color="auto"/>
              <w:right w:val="single" w:sz="4" w:space="0" w:color="auto"/>
            </w:tcBorders>
            <w:vAlign w:val="center"/>
          </w:tcPr>
          <w:p w14:paraId="6247E28C" w14:textId="4C367E3B" w:rsidR="0087089A" w:rsidRDefault="0087089A" w:rsidP="0087089A">
            <w:pPr>
              <w:spacing w:line="240" w:lineRule="auto"/>
              <w:jc w:val="right"/>
              <w:rPr>
                <w:rFonts w:cs="Arial"/>
                <w:sz w:val="18"/>
                <w:szCs w:val="18"/>
              </w:rPr>
            </w:pPr>
            <w:r>
              <w:rPr>
                <w:rFonts w:cs="Arial"/>
                <w:sz w:val="18"/>
                <w:szCs w:val="18"/>
              </w:rPr>
              <w:t>37</w:t>
            </w:r>
          </w:p>
        </w:tc>
        <w:tc>
          <w:tcPr>
            <w:tcW w:w="962" w:type="dxa"/>
            <w:tcBorders>
              <w:top w:val="single" w:sz="4" w:space="0" w:color="auto"/>
              <w:left w:val="single" w:sz="4" w:space="0" w:color="auto"/>
              <w:bottom w:val="single" w:sz="4" w:space="0" w:color="auto"/>
              <w:right w:val="single" w:sz="4" w:space="0" w:color="auto"/>
            </w:tcBorders>
            <w:vAlign w:val="center"/>
          </w:tcPr>
          <w:p w14:paraId="66B1B194" w14:textId="7005E579" w:rsidR="0087089A" w:rsidRDefault="0087089A" w:rsidP="0087089A">
            <w:pPr>
              <w:spacing w:line="240" w:lineRule="auto"/>
              <w:jc w:val="right"/>
              <w:rPr>
                <w:rFonts w:cs="Arial"/>
                <w:sz w:val="18"/>
                <w:szCs w:val="18"/>
              </w:rPr>
            </w:pPr>
            <w:r>
              <w:rPr>
                <w:rFonts w:cs="Arial"/>
                <w:sz w:val="18"/>
                <w:szCs w:val="18"/>
              </w:rPr>
              <w:t>60</w:t>
            </w:r>
          </w:p>
        </w:tc>
      </w:tr>
      <w:tr w:rsidR="0087089A" w:rsidRPr="00504360" w14:paraId="62188BF7" w14:textId="00A8748D"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2FACBC9B" w14:textId="66E2C5B0" w:rsidR="0087089A" w:rsidRPr="00561C6C" w:rsidRDefault="0087089A" w:rsidP="0087089A">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57E6272B" w14:textId="61956F07" w:rsidR="0087089A" w:rsidRDefault="0087089A" w:rsidP="0087089A">
            <w:pPr>
              <w:spacing w:line="240" w:lineRule="auto"/>
              <w:jc w:val="right"/>
              <w:rPr>
                <w:rFonts w:cs="Arial"/>
                <w:sz w:val="18"/>
                <w:szCs w:val="18"/>
              </w:rPr>
            </w:pPr>
            <w:r>
              <w:rPr>
                <w:rFonts w:cs="Arial"/>
                <w:sz w:val="18"/>
                <w:szCs w:val="18"/>
              </w:rPr>
              <w:t>24</w:t>
            </w:r>
          </w:p>
        </w:tc>
        <w:tc>
          <w:tcPr>
            <w:tcW w:w="962" w:type="dxa"/>
            <w:tcBorders>
              <w:top w:val="single" w:sz="4" w:space="0" w:color="auto"/>
              <w:left w:val="single" w:sz="4" w:space="0" w:color="auto"/>
              <w:bottom w:val="single" w:sz="4" w:space="0" w:color="auto"/>
              <w:right w:val="single" w:sz="4" w:space="0" w:color="auto"/>
            </w:tcBorders>
            <w:vAlign w:val="center"/>
          </w:tcPr>
          <w:p w14:paraId="0F7F31C7" w14:textId="2D41478C" w:rsidR="0087089A" w:rsidRDefault="0087089A" w:rsidP="0087089A">
            <w:pPr>
              <w:spacing w:line="240" w:lineRule="auto"/>
              <w:jc w:val="right"/>
              <w:rPr>
                <w:rFonts w:cs="Arial"/>
                <w:sz w:val="18"/>
                <w:szCs w:val="18"/>
              </w:rPr>
            </w:pPr>
            <w:r>
              <w:rPr>
                <w:rFonts w:cs="Arial"/>
                <w:sz w:val="18"/>
                <w:szCs w:val="18"/>
              </w:rPr>
              <w:t>31</w:t>
            </w:r>
          </w:p>
        </w:tc>
      </w:tr>
      <w:tr w:rsidR="0087089A" w:rsidRPr="00504360" w14:paraId="4805DD92" w14:textId="69D0BCB3"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607EAB58" w14:textId="47455EF2" w:rsidR="0087089A" w:rsidRPr="00561C6C" w:rsidRDefault="0087089A" w:rsidP="0087089A">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5A2EEB95" w14:textId="3CD15854" w:rsidR="0087089A" w:rsidRDefault="0087089A" w:rsidP="0087089A">
            <w:pPr>
              <w:spacing w:line="240" w:lineRule="auto"/>
              <w:jc w:val="right"/>
              <w:rPr>
                <w:rFonts w:cs="Arial"/>
                <w:sz w:val="18"/>
                <w:szCs w:val="18"/>
              </w:rPr>
            </w:pPr>
            <w:r>
              <w:rPr>
                <w:rFonts w:cs="Arial"/>
                <w:sz w:val="18"/>
                <w:szCs w:val="18"/>
              </w:rPr>
              <w:t>3</w:t>
            </w:r>
          </w:p>
        </w:tc>
        <w:tc>
          <w:tcPr>
            <w:tcW w:w="962" w:type="dxa"/>
            <w:tcBorders>
              <w:top w:val="single" w:sz="4" w:space="0" w:color="auto"/>
              <w:left w:val="single" w:sz="4" w:space="0" w:color="auto"/>
              <w:bottom w:val="single" w:sz="4" w:space="0" w:color="auto"/>
              <w:right w:val="single" w:sz="4" w:space="0" w:color="auto"/>
            </w:tcBorders>
            <w:vAlign w:val="center"/>
          </w:tcPr>
          <w:p w14:paraId="6C39AC28" w14:textId="3C62919D" w:rsidR="0087089A" w:rsidRDefault="0087089A" w:rsidP="0087089A">
            <w:pPr>
              <w:spacing w:line="240" w:lineRule="auto"/>
              <w:jc w:val="right"/>
              <w:rPr>
                <w:rFonts w:cs="Arial"/>
                <w:sz w:val="18"/>
                <w:szCs w:val="18"/>
              </w:rPr>
            </w:pPr>
            <w:r>
              <w:rPr>
                <w:rFonts w:cs="Arial"/>
                <w:sz w:val="18"/>
                <w:szCs w:val="18"/>
              </w:rPr>
              <w:t>2</w:t>
            </w:r>
          </w:p>
        </w:tc>
      </w:tr>
      <w:tr w:rsidR="0087089A" w:rsidRPr="00504360" w14:paraId="7C69E8E6" w14:textId="5175BB4F"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46760947" w14:textId="77777777" w:rsidR="0087089A" w:rsidRPr="0041058E" w:rsidRDefault="0087089A" w:rsidP="0087089A">
            <w:pPr>
              <w:spacing w:line="240" w:lineRule="auto"/>
              <w:rPr>
                <w:rFonts w:cs="Arial"/>
                <w:b/>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7ACE2BCB"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2107D280" w14:textId="5510A671" w:rsidR="0087089A" w:rsidRDefault="0087089A" w:rsidP="0087089A">
            <w:pPr>
              <w:spacing w:line="240" w:lineRule="auto"/>
              <w:jc w:val="right"/>
              <w:rPr>
                <w:rFonts w:cs="Arial"/>
                <w:sz w:val="18"/>
                <w:szCs w:val="18"/>
              </w:rPr>
            </w:pPr>
          </w:p>
        </w:tc>
      </w:tr>
      <w:tr w:rsidR="0087089A" w:rsidRPr="00504360" w14:paraId="4B8C25F7" w14:textId="03DA95BF"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1A6A2591" w14:textId="2CA17AC3" w:rsidR="0087089A" w:rsidRPr="00504360" w:rsidRDefault="0087089A" w:rsidP="0087089A">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1F644176"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1837BB02" w14:textId="5272F66B" w:rsidR="0087089A" w:rsidRDefault="0087089A" w:rsidP="0087089A">
            <w:pPr>
              <w:spacing w:line="240" w:lineRule="auto"/>
              <w:jc w:val="right"/>
              <w:rPr>
                <w:rFonts w:cs="Arial"/>
                <w:sz w:val="18"/>
                <w:szCs w:val="18"/>
              </w:rPr>
            </w:pPr>
          </w:p>
        </w:tc>
      </w:tr>
      <w:tr w:rsidR="0087089A" w:rsidRPr="00504360" w14:paraId="74C95294" w14:textId="2DC8CDC7" w:rsidTr="00E105F5">
        <w:trPr>
          <w:trHeight w:val="301"/>
        </w:trPr>
        <w:tc>
          <w:tcPr>
            <w:tcW w:w="6706" w:type="dxa"/>
            <w:tcBorders>
              <w:top w:val="nil"/>
              <w:left w:val="single" w:sz="4" w:space="0" w:color="auto"/>
              <w:bottom w:val="single" w:sz="4" w:space="0" w:color="auto"/>
              <w:right w:val="single" w:sz="4" w:space="0" w:color="auto"/>
            </w:tcBorders>
            <w:vAlign w:val="center"/>
          </w:tcPr>
          <w:p w14:paraId="115F8D9F" w14:textId="1122760F" w:rsidR="0087089A" w:rsidRDefault="0087089A" w:rsidP="0087089A">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23DBDCAE" w14:textId="463660DD" w:rsidR="0087089A" w:rsidRDefault="0087089A" w:rsidP="0087089A">
            <w:pPr>
              <w:spacing w:line="240" w:lineRule="auto"/>
              <w:jc w:val="right"/>
              <w:rPr>
                <w:rFonts w:cs="Arial"/>
                <w:sz w:val="18"/>
                <w:szCs w:val="18"/>
              </w:rPr>
            </w:pPr>
            <w:r>
              <w:rPr>
                <w:rFonts w:cs="Arial"/>
                <w:sz w:val="18"/>
                <w:szCs w:val="18"/>
              </w:rPr>
              <w:t>0</w:t>
            </w:r>
          </w:p>
        </w:tc>
        <w:tc>
          <w:tcPr>
            <w:tcW w:w="962" w:type="dxa"/>
            <w:tcBorders>
              <w:top w:val="single" w:sz="4" w:space="0" w:color="auto"/>
              <w:left w:val="single" w:sz="4" w:space="0" w:color="auto"/>
              <w:bottom w:val="single" w:sz="4" w:space="0" w:color="auto"/>
              <w:right w:val="single" w:sz="4" w:space="0" w:color="auto"/>
            </w:tcBorders>
            <w:vAlign w:val="center"/>
          </w:tcPr>
          <w:p w14:paraId="0AD22D3D" w14:textId="1737905F" w:rsidR="0087089A" w:rsidRDefault="0087089A" w:rsidP="0087089A">
            <w:pPr>
              <w:spacing w:line="240" w:lineRule="auto"/>
              <w:jc w:val="right"/>
              <w:rPr>
                <w:rFonts w:cs="Arial"/>
                <w:sz w:val="18"/>
                <w:szCs w:val="18"/>
              </w:rPr>
            </w:pPr>
            <w:r>
              <w:rPr>
                <w:rFonts w:cs="Arial"/>
                <w:sz w:val="18"/>
                <w:szCs w:val="18"/>
              </w:rPr>
              <w:t>3</w:t>
            </w:r>
          </w:p>
        </w:tc>
      </w:tr>
      <w:tr w:rsidR="0087089A" w:rsidRPr="00504360" w14:paraId="0F426218" w14:textId="7073452E" w:rsidTr="00E105F5">
        <w:trPr>
          <w:trHeight w:val="301"/>
        </w:trPr>
        <w:tc>
          <w:tcPr>
            <w:tcW w:w="6706" w:type="dxa"/>
            <w:tcBorders>
              <w:top w:val="nil"/>
              <w:left w:val="single" w:sz="4" w:space="0" w:color="auto"/>
              <w:bottom w:val="single" w:sz="4" w:space="0" w:color="auto"/>
              <w:right w:val="single" w:sz="4" w:space="0" w:color="auto"/>
            </w:tcBorders>
            <w:vAlign w:val="center"/>
          </w:tcPr>
          <w:p w14:paraId="776A41F8" w14:textId="70D6C571" w:rsidR="0087089A" w:rsidRPr="00504360" w:rsidRDefault="0087089A" w:rsidP="0087089A">
            <w:pPr>
              <w:spacing w:line="240" w:lineRule="auto"/>
              <w:rPr>
                <w:rFonts w:cs="Arial"/>
                <w:sz w:val="18"/>
                <w:szCs w:val="18"/>
              </w:rPr>
            </w:pPr>
            <w:r>
              <w:rPr>
                <w:rFonts w:cs="Arial"/>
                <w:sz w:val="18"/>
                <w:szCs w:val="18"/>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5B3EC6F9" w14:textId="2F2EC9AA" w:rsidR="0087089A" w:rsidRDefault="0087089A" w:rsidP="0087089A">
            <w:pPr>
              <w:spacing w:line="240" w:lineRule="auto"/>
              <w:jc w:val="right"/>
              <w:rPr>
                <w:rFonts w:cs="Arial"/>
                <w:sz w:val="18"/>
                <w:szCs w:val="18"/>
              </w:rPr>
            </w:pPr>
            <w:r>
              <w:rPr>
                <w:rFonts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6D8D2B43" w14:textId="664A95D3" w:rsidR="0087089A" w:rsidRDefault="0087089A" w:rsidP="0087089A">
            <w:pPr>
              <w:spacing w:line="240" w:lineRule="auto"/>
              <w:jc w:val="right"/>
              <w:rPr>
                <w:rFonts w:cs="Arial"/>
                <w:sz w:val="18"/>
                <w:szCs w:val="18"/>
              </w:rPr>
            </w:pPr>
            <w:r>
              <w:rPr>
                <w:rFonts w:cs="Arial"/>
                <w:sz w:val="18"/>
                <w:szCs w:val="18"/>
              </w:rPr>
              <w:t>67%</w:t>
            </w:r>
          </w:p>
        </w:tc>
      </w:tr>
      <w:tr w:rsidR="0087089A" w:rsidRPr="00504360" w14:paraId="09FA7CF5" w14:textId="44BF633D" w:rsidTr="00E105F5">
        <w:trPr>
          <w:trHeight w:val="301"/>
        </w:trPr>
        <w:tc>
          <w:tcPr>
            <w:tcW w:w="6706" w:type="dxa"/>
            <w:tcBorders>
              <w:top w:val="nil"/>
              <w:left w:val="single" w:sz="4" w:space="0" w:color="auto"/>
              <w:bottom w:val="single" w:sz="4" w:space="0" w:color="auto"/>
              <w:right w:val="single" w:sz="4" w:space="0" w:color="auto"/>
            </w:tcBorders>
            <w:vAlign w:val="center"/>
          </w:tcPr>
          <w:p w14:paraId="4A8C91F8" w14:textId="6F6CD011" w:rsidR="0087089A" w:rsidRPr="00504360" w:rsidRDefault="0087089A" w:rsidP="0087089A">
            <w:pPr>
              <w:spacing w:line="240" w:lineRule="auto"/>
              <w:rPr>
                <w:rFonts w:cs="Arial"/>
                <w:sz w:val="18"/>
                <w:szCs w:val="18"/>
              </w:rPr>
            </w:pPr>
            <w:r>
              <w:rPr>
                <w:rFonts w:cs="Arial"/>
                <w:sz w:val="18"/>
                <w:szCs w:val="18"/>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268EBB91" w14:textId="30FB4E42" w:rsidR="0087089A" w:rsidRDefault="0087089A" w:rsidP="0087089A">
            <w:pPr>
              <w:spacing w:line="240" w:lineRule="auto"/>
              <w:jc w:val="right"/>
              <w:rPr>
                <w:rFonts w:cs="Arial"/>
                <w:sz w:val="18"/>
                <w:szCs w:val="18"/>
              </w:rPr>
            </w:pPr>
            <w:r>
              <w:rPr>
                <w:rFonts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2F754C8A" w14:textId="56629CF0" w:rsidR="0087089A" w:rsidRDefault="0087089A" w:rsidP="0087089A">
            <w:pPr>
              <w:spacing w:line="240" w:lineRule="auto"/>
              <w:jc w:val="right"/>
              <w:rPr>
                <w:rFonts w:cs="Arial"/>
                <w:sz w:val="18"/>
                <w:szCs w:val="18"/>
              </w:rPr>
            </w:pPr>
            <w:r>
              <w:rPr>
                <w:rFonts w:cs="Arial"/>
                <w:sz w:val="18"/>
                <w:szCs w:val="18"/>
              </w:rPr>
              <w:t>33%</w:t>
            </w:r>
          </w:p>
        </w:tc>
      </w:tr>
      <w:tr w:rsidR="0087089A" w:rsidRPr="00D157E2" w14:paraId="714A0FD4" w14:textId="579B83DF" w:rsidTr="00E105F5">
        <w:trPr>
          <w:trHeight w:val="70"/>
        </w:trPr>
        <w:tc>
          <w:tcPr>
            <w:tcW w:w="6706" w:type="dxa"/>
            <w:tcBorders>
              <w:top w:val="nil"/>
              <w:left w:val="single" w:sz="4" w:space="0" w:color="auto"/>
              <w:bottom w:val="single" w:sz="4" w:space="0" w:color="auto"/>
              <w:right w:val="single" w:sz="4" w:space="0" w:color="auto"/>
            </w:tcBorders>
            <w:vAlign w:val="center"/>
          </w:tcPr>
          <w:p w14:paraId="52645BC2" w14:textId="77777777" w:rsidR="0087089A" w:rsidRPr="00504360" w:rsidRDefault="0087089A" w:rsidP="0087089A">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3F9800DD"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7C466B2D" w14:textId="4CBE6791" w:rsidR="0087089A" w:rsidRDefault="0087089A" w:rsidP="0087089A">
            <w:pPr>
              <w:spacing w:line="240" w:lineRule="auto"/>
              <w:jc w:val="right"/>
              <w:rPr>
                <w:rFonts w:cs="Arial"/>
                <w:sz w:val="18"/>
                <w:szCs w:val="18"/>
              </w:rPr>
            </w:pPr>
          </w:p>
        </w:tc>
      </w:tr>
      <w:tr w:rsidR="0087089A" w:rsidRPr="00504360" w14:paraId="148E7FF6" w14:textId="307D3981" w:rsidTr="00E105F5">
        <w:trPr>
          <w:trHeight w:val="301"/>
        </w:trPr>
        <w:tc>
          <w:tcPr>
            <w:tcW w:w="6706" w:type="dxa"/>
            <w:tcBorders>
              <w:top w:val="nil"/>
              <w:left w:val="single" w:sz="4" w:space="0" w:color="auto"/>
              <w:bottom w:val="single" w:sz="4" w:space="0" w:color="auto"/>
              <w:right w:val="single" w:sz="4" w:space="0" w:color="auto"/>
            </w:tcBorders>
            <w:vAlign w:val="center"/>
          </w:tcPr>
          <w:p w14:paraId="6401685D" w14:textId="77779C44" w:rsidR="0087089A" w:rsidRPr="0041058E" w:rsidRDefault="0087089A" w:rsidP="0087089A">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62" w:type="dxa"/>
            <w:tcBorders>
              <w:top w:val="single" w:sz="4" w:space="0" w:color="auto"/>
              <w:left w:val="single" w:sz="4" w:space="0" w:color="auto"/>
              <w:bottom w:val="single" w:sz="4" w:space="0" w:color="auto"/>
              <w:right w:val="single" w:sz="4" w:space="0" w:color="auto"/>
            </w:tcBorders>
            <w:vAlign w:val="center"/>
          </w:tcPr>
          <w:p w14:paraId="7440118B"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2443925" w14:textId="4565FA4C" w:rsidR="0087089A" w:rsidRDefault="0087089A" w:rsidP="0087089A">
            <w:pPr>
              <w:spacing w:line="240" w:lineRule="auto"/>
              <w:jc w:val="right"/>
              <w:rPr>
                <w:rFonts w:cs="Arial"/>
                <w:sz w:val="18"/>
                <w:szCs w:val="18"/>
              </w:rPr>
            </w:pPr>
          </w:p>
        </w:tc>
      </w:tr>
      <w:tr w:rsidR="0087089A" w:rsidRPr="00504360" w14:paraId="71FF2B6B" w14:textId="478C53A7" w:rsidTr="00E105F5">
        <w:trPr>
          <w:trHeight w:val="301"/>
        </w:trPr>
        <w:tc>
          <w:tcPr>
            <w:tcW w:w="6706" w:type="dxa"/>
            <w:tcBorders>
              <w:top w:val="nil"/>
              <w:left w:val="single" w:sz="4" w:space="0" w:color="auto"/>
              <w:bottom w:val="single" w:sz="4" w:space="0" w:color="auto"/>
              <w:right w:val="single" w:sz="4" w:space="0" w:color="auto"/>
            </w:tcBorders>
            <w:vAlign w:val="center"/>
          </w:tcPr>
          <w:p w14:paraId="3EE9FCD2" w14:textId="20DC563B" w:rsidR="0087089A" w:rsidRPr="00B50123" w:rsidRDefault="0087089A" w:rsidP="0087089A">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62" w:type="dxa"/>
            <w:tcBorders>
              <w:top w:val="single" w:sz="4" w:space="0" w:color="auto"/>
              <w:left w:val="single" w:sz="4" w:space="0" w:color="auto"/>
              <w:bottom w:val="single" w:sz="4" w:space="0" w:color="auto"/>
              <w:right w:val="single" w:sz="4" w:space="0" w:color="auto"/>
            </w:tcBorders>
            <w:vAlign w:val="center"/>
          </w:tcPr>
          <w:p w14:paraId="3D092A41" w14:textId="33F6091A" w:rsidR="0087089A" w:rsidRDefault="0087089A" w:rsidP="0087089A">
            <w:pPr>
              <w:spacing w:line="240" w:lineRule="auto"/>
              <w:jc w:val="right"/>
              <w:rPr>
                <w:rFonts w:cs="Arial"/>
                <w:sz w:val="18"/>
                <w:szCs w:val="18"/>
              </w:rPr>
            </w:pPr>
            <w:r>
              <w:rPr>
                <w:rFonts w:cs="Arial"/>
                <w:sz w:val="18"/>
                <w:szCs w:val="18"/>
              </w:rPr>
              <w:t>94</w:t>
            </w:r>
          </w:p>
        </w:tc>
        <w:tc>
          <w:tcPr>
            <w:tcW w:w="962" w:type="dxa"/>
            <w:tcBorders>
              <w:top w:val="single" w:sz="4" w:space="0" w:color="auto"/>
              <w:left w:val="single" w:sz="4" w:space="0" w:color="auto"/>
              <w:bottom w:val="single" w:sz="4" w:space="0" w:color="auto"/>
              <w:right w:val="single" w:sz="4" w:space="0" w:color="auto"/>
            </w:tcBorders>
            <w:vAlign w:val="center"/>
          </w:tcPr>
          <w:p w14:paraId="15A9CD84" w14:textId="06EC0BB7" w:rsidR="0087089A" w:rsidRDefault="0087089A" w:rsidP="0087089A">
            <w:pPr>
              <w:spacing w:line="240" w:lineRule="auto"/>
              <w:jc w:val="right"/>
              <w:rPr>
                <w:rFonts w:cs="Arial"/>
                <w:sz w:val="18"/>
                <w:szCs w:val="18"/>
              </w:rPr>
            </w:pPr>
            <w:r>
              <w:rPr>
                <w:rFonts w:cs="Arial"/>
                <w:sz w:val="18"/>
                <w:szCs w:val="18"/>
              </w:rPr>
              <w:t>54</w:t>
            </w:r>
          </w:p>
        </w:tc>
      </w:tr>
      <w:bookmarkEnd w:id="1"/>
      <w:tr w:rsidR="0087089A" w:rsidRPr="00504360" w14:paraId="16DEBA40" w14:textId="4846B28A" w:rsidTr="00E105F5">
        <w:trPr>
          <w:trHeight w:val="301"/>
        </w:trPr>
        <w:tc>
          <w:tcPr>
            <w:tcW w:w="6706" w:type="dxa"/>
            <w:tcBorders>
              <w:top w:val="nil"/>
              <w:left w:val="single" w:sz="4" w:space="0" w:color="auto"/>
              <w:bottom w:val="single" w:sz="4" w:space="0" w:color="auto"/>
              <w:right w:val="single" w:sz="4" w:space="0" w:color="auto"/>
            </w:tcBorders>
            <w:vAlign w:val="center"/>
          </w:tcPr>
          <w:p w14:paraId="556783DE" w14:textId="553E3B1A" w:rsidR="0087089A" w:rsidRPr="00B50123" w:rsidRDefault="0087089A" w:rsidP="0087089A">
            <w:pPr>
              <w:spacing w:line="240" w:lineRule="auto"/>
              <w:rPr>
                <w:rFonts w:cs="Arial"/>
                <w:sz w:val="18"/>
                <w:szCs w:val="18"/>
                <w:lang w:eastAsia="en-AU"/>
              </w:rPr>
            </w:pPr>
            <w:r w:rsidRPr="0003283F">
              <w:rPr>
                <w:rFonts w:cs="Arial"/>
                <w:sz w:val="18"/>
                <w:szCs w:val="18"/>
              </w:rPr>
              <w:t>Voluntary referrals to service providers</w:t>
            </w:r>
          </w:p>
        </w:tc>
        <w:tc>
          <w:tcPr>
            <w:tcW w:w="962" w:type="dxa"/>
            <w:tcBorders>
              <w:top w:val="single" w:sz="4" w:space="0" w:color="auto"/>
              <w:left w:val="single" w:sz="4" w:space="0" w:color="auto"/>
              <w:bottom w:val="single" w:sz="4" w:space="0" w:color="auto"/>
              <w:right w:val="single" w:sz="4" w:space="0" w:color="auto"/>
            </w:tcBorders>
            <w:vAlign w:val="center"/>
          </w:tcPr>
          <w:p w14:paraId="54DC92B2" w14:textId="00C7FD18" w:rsidR="0087089A" w:rsidRDefault="0087089A" w:rsidP="0087089A">
            <w:pPr>
              <w:spacing w:line="240" w:lineRule="auto"/>
              <w:jc w:val="right"/>
              <w:rPr>
                <w:rFonts w:cs="Arial"/>
                <w:sz w:val="18"/>
                <w:szCs w:val="18"/>
              </w:rPr>
            </w:pPr>
            <w:r>
              <w:rPr>
                <w:rFonts w:cs="Arial"/>
                <w:sz w:val="18"/>
                <w:szCs w:val="18"/>
              </w:rPr>
              <w:t>95</w:t>
            </w:r>
          </w:p>
        </w:tc>
        <w:tc>
          <w:tcPr>
            <w:tcW w:w="962" w:type="dxa"/>
            <w:tcBorders>
              <w:top w:val="single" w:sz="4" w:space="0" w:color="auto"/>
              <w:left w:val="single" w:sz="4" w:space="0" w:color="auto"/>
              <w:bottom w:val="single" w:sz="4" w:space="0" w:color="auto"/>
              <w:right w:val="single" w:sz="4" w:space="0" w:color="auto"/>
            </w:tcBorders>
            <w:vAlign w:val="center"/>
          </w:tcPr>
          <w:p w14:paraId="1B9A3D55" w14:textId="288A1C09" w:rsidR="0087089A" w:rsidRDefault="0087089A" w:rsidP="0087089A">
            <w:pPr>
              <w:spacing w:line="240" w:lineRule="auto"/>
              <w:jc w:val="right"/>
              <w:rPr>
                <w:rFonts w:cs="Arial"/>
                <w:sz w:val="18"/>
                <w:szCs w:val="18"/>
              </w:rPr>
            </w:pPr>
            <w:r>
              <w:rPr>
                <w:rFonts w:cs="Arial"/>
                <w:sz w:val="18"/>
                <w:szCs w:val="18"/>
              </w:rPr>
              <w:t>55</w:t>
            </w:r>
          </w:p>
        </w:tc>
      </w:tr>
      <w:tr w:rsidR="0087089A" w:rsidRPr="00504360" w14:paraId="7EB54823" w14:textId="3002675F" w:rsidTr="00E105F5">
        <w:trPr>
          <w:trHeight w:val="301"/>
        </w:trPr>
        <w:tc>
          <w:tcPr>
            <w:tcW w:w="6706" w:type="dxa"/>
            <w:tcBorders>
              <w:top w:val="nil"/>
              <w:left w:val="single" w:sz="4" w:space="0" w:color="auto"/>
              <w:bottom w:val="single" w:sz="4" w:space="0" w:color="auto"/>
              <w:right w:val="single" w:sz="4" w:space="0" w:color="auto"/>
            </w:tcBorders>
            <w:vAlign w:val="center"/>
          </w:tcPr>
          <w:p w14:paraId="02AF3396" w14:textId="1B7D3A96" w:rsidR="0087089A" w:rsidRPr="00B50123" w:rsidRDefault="0087089A" w:rsidP="0087089A">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40E7AD8A" w14:textId="1345429C" w:rsidR="0087089A" w:rsidRDefault="0087089A" w:rsidP="0087089A">
            <w:pPr>
              <w:spacing w:line="240" w:lineRule="auto"/>
              <w:jc w:val="right"/>
              <w:rPr>
                <w:rFonts w:cs="Arial"/>
                <w:sz w:val="18"/>
                <w:szCs w:val="18"/>
              </w:rPr>
            </w:pPr>
            <w:r>
              <w:rPr>
                <w:rFonts w:cs="Arial"/>
                <w:sz w:val="18"/>
                <w:szCs w:val="18"/>
              </w:rPr>
              <w:t>35</w:t>
            </w:r>
          </w:p>
        </w:tc>
        <w:tc>
          <w:tcPr>
            <w:tcW w:w="962" w:type="dxa"/>
            <w:tcBorders>
              <w:top w:val="single" w:sz="4" w:space="0" w:color="auto"/>
              <w:left w:val="single" w:sz="4" w:space="0" w:color="auto"/>
              <w:bottom w:val="single" w:sz="4" w:space="0" w:color="auto"/>
              <w:right w:val="single" w:sz="4" w:space="0" w:color="auto"/>
            </w:tcBorders>
            <w:vAlign w:val="center"/>
          </w:tcPr>
          <w:p w14:paraId="48D02195" w14:textId="556253B8" w:rsidR="0087089A" w:rsidRDefault="0087089A" w:rsidP="0087089A">
            <w:pPr>
              <w:spacing w:line="240" w:lineRule="auto"/>
              <w:jc w:val="right"/>
              <w:rPr>
                <w:rFonts w:cs="Arial"/>
                <w:sz w:val="18"/>
                <w:szCs w:val="18"/>
              </w:rPr>
            </w:pPr>
            <w:r>
              <w:rPr>
                <w:rFonts w:cs="Arial"/>
                <w:sz w:val="18"/>
                <w:szCs w:val="18"/>
              </w:rPr>
              <w:t>33</w:t>
            </w:r>
          </w:p>
        </w:tc>
      </w:tr>
      <w:tr w:rsidR="0087089A" w:rsidRPr="00504360" w14:paraId="52C3F0C4" w14:textId="478289A1" w:rsidTr="00E105F5">
        <w:trPr>
          <w:trHeight w:val="70"/>
        </w:trPr>
        <w:tc>
          <w:tcPr>
            <w:tcW w:w="6706" w:type="dxa"/>
            <w:tcBorders>
              <w:top w:val="nil"/>
              <w:left w:val="single" w:sz="4" w:space="0" w:color="auto"/>
              <w:bottom w:val="single" w:sz="4" w:space="0" w:color="auto"/>
              <w:right w:val="single" w:sz="4" w:space="0" w:color="auto"/>
            </w:tcBorders>
            <w:vAlign w:val="center"/>
          </w:tcPr>
          <w:p w14:paraId="34797DFD" w14:textId="77777777" w:rsidR="0087089A" w:rsidRPr="00504360" w:rsidRDefault="0087089A" w:rsidP="0087089A">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03AB2667"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23B30F27" w14:textId="12F95E81" w:rsidR="0087089A" w:rsidRDefault="0087089A" w:rsidP="0087089A">
            <w:pPr>
              <w:spacing w:line="240" w:lineRule="auto"/>
              <w:jc w:val="right"/>
              <w:rPr>
                <w:rFonts w:cs="Arial"/>
                <w:sz w:val="18"/>
                <w:szCs w:val="18"/>
              </w:rPr>
            </w:pPr>
          </w:p>
        </w:tc>
      </w:tr>
      <w:tr w:rsidR="0087089A" w:rsidRPr="00504360" w14:paraId="6E254E7A" w14:textId="30FEC2E9" w:rsidTr="00E105F5">
        <w:trPr>
          <w:trHeight w:val="301"/>
        </w:trPr>
        <w:tc>
          <w:tcPr>
            <w:tcW w:w="6706" w:type="dxa"/>
            <w:tcBorders>
              <w:top w:val="nil"/>
              <w:left w:val="single" w:sz="4" w:space="0" w:color="auto"/>
              <w:bottom w:val="single" w:sz="4" w:space="0" w:color="auto"/>
              <w:right w:val="single" w:sz="4" w:space="0" w:color="auto"/>
            </w:tcBorders>
            <w:vAlign w:val="center"/>
          </w:tcPr>
          <w:p w14:paraId="3597A5A4" w14:textId="49EF45A9" w:rsidR="0087089A" w:rsidRPr="00E10506" w:rsidRDefault="0087089A" w:rsidP="0087089A">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353351C6"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2113193B" w14:textId="57ECDEFC" w:rsidR="0087089A" w:rsidRDefault="0087089A" w:rsidP="0087089A">
            <w:pPr>
              <w:spacing w:line="240" w:lineRule="auto"/>
              <w:jc w:val="right"/>
              <w:rPr>
                <w:rFonts w:cs="Arial"/>
                <w:sz w:val="18"/>
                <w:szCs w:val="18"/>
              </w:rPr>
            </w:pPr>
          </w:p>
        </w:tc>
      </w:tr>
      <w:tr w:rsidR="0087089A" w:rsidRPr="00504360" w14:paraId="52E0458B" w14:textId="5E7E64F5" w:rsidTr="00E105F5">
        <w:trPr>
          <w:trHeight w:val="301"/>
        </w:trPr>
        <w:tc>
          <w:tcPr>
            <w:tcW w:w="6706" w:type="dxa"/>
            <w:tcBorders>
              <w:top w:val="nil"/>
              <w:left w:val="single" w:sz="4" w:space="0" w:color="auto"/>
              <w:bottom w:val="single" w:sz="4" w:space="0" w:color="auto"/>
              <w:right w:val="single" w:sz="4" w:space="0" w:color="auto"/>
            </w:tcBorders>
            <w:vAlign w:val="center"/>
          </w:tcPr>
          <w:p w14:paraId="20BF5769" w14:textId="74731ED8" w:rsidR="0087089A" w:rsidRDefault="0087089A" w:rsidP="0087089A">
            <w:pPr>
              <w:spacing w:line="240" w:lineRule="auto"/>
              <w:rPr>
                <w:rFonts w:cs="Arial"/>
                <w:sz w:val="18"/>
                <w:szCs w:val="18"/>
                <w:lang w:eastAsia="en-AU"/>
              </w:rPr>
            </w:pPr>
            <w:r>
              <w:rPr>
                <w:rFonts w:cs="Arial"/>
                <w:sz w:val="18"/>
                <w:szCs w:val="18"/>
                <w:lang w:eastAsia="en-AU"/>
              </w:rPr>
              <w:t>Number of amend/end decisions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5E80F79C" w14:textId="631919B0" w:rsidR="0087089A" w:rsidRDefault="0087089A" w:rsidP="0087089A">
            <w:pPr>
              <w:spacing w:line="240" w:lineRule="auto"/>
              <w:jc w:val="right"/>
              <w:rPr>
                <w:rFonts w:cs="Arial"/>
                <w:sz w:val="18"/>
                <w:szCs w:val="18"/>
              </w:rPr>
            </w:pPr>
            <w:r>
              <w:rPr>
                <w:rFonts w:cs="Arial"/>
                <w:sz w:val="18"/>
                <w:szCs w:val="18"/>
              </w:rPr>
              <w:t>2</w:t>
            </w:r>
          </w:p>
        </w:tc>
        <w:tc>
          <w:tcPr>
            <w:tcW w:w="962" w:type="dxa"/>
            <w:tcBorders>
              <w:top w:val="single" w:sz="4" w:space="0" w:color="auto"/>
              <w:left w:val="single" w:sz="4" w:space="0" w:color="auto"/>
              <w:bottom w:val="single" w:sz="4" w:space="0" w:color="auto"/>
              <w:right w:val="single" w:sz="4" w:space="0" w:color="auto"/>
            </w:tcBorders>
            <w:vAlign w:val="center"/>
          </w:tcPr>
          <w:p w14:paraId="5DD2B53A" w14:textId="03FC52B9" w:rsidR="0087089A" w:rsidRDefault="0087089A" w:rsidP="0087089A">
            <w:pPr>
              <w:spacing w:line="240" w:lineRule="auto"/>
              <w:jc w:val="right"/>
              <w:rPr>
                <w:rFonts w:cs="Arial"/>
                <w:sz w:val="18"/>
                <w:szCs w:val="18"/>
              </w:rPr>
            </w:pPr>
            <w:r>
              <w:rPr>
                <w:rFonts w:cs="Arial"/>
                <w:sz w:val="18"/>
                <w:szCs w:val="18"/>
              </w:rPr>
              <w:t>4</w:t>
            </w:r>
          </w:p>
        </w:tc>
      </w:tr>
      <w:tr w:rsidR="0087089A" w:rsidRPr="00504360" w14:paraId="53E5D51F" w14:textId="77BE202F" w:rsidTr="00E105F5">
        <w:trPr>
          <w:trHeight w:val="301"/>
        </w:trPr>
        <w:tc>
          <w:tcPr>
            <w:tcW w:w="6706" w:type="dxa"/>
            <w:tcBorders>
              <w:top w:val="nil"/>
              <w:left w:val="single" w:sz="4" w:space="0" w:color="auto"/>
              <w:bottom w:val="single" w:sz="4" w:space="0" w:color="auto"/>
              <w:right w:val="single" w:sz="4" w:space="0" w:color="auto"/>
            </w:tcBorders>
            <w:vAlign w:val="center"/>
          </w:tcPr>
          <w:p w14:paraId="62B9F354" w14:textId="63E728CC" w:rsidR="0087089A" w:rsidRPr="00504360" w:rsidRDefault="0087089A" w:rsidP="0087089A">
            <w:pPr>
              <w:spacing w:line="240" w:lineRule="auto"/>
              <w:rPr>
                <w:rFonts w:cs="Arial"/>
                <w:sz w:val="18"/>
                <w:szCs w:val="18"/>
                <w:lang w:eastAsia="en-AU"/>
              </w:rPr>
            </w:pPr>
            <w:r>
              <w:rPr>
                <w:rFonts w:cs="Arial"/>
                <w:sz w:val="18"/>
                <w:szCs w:val="18"/>
                <w:lang w:eastAsia="en-AU"/>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0DCCAE5F" w14:textId="54FB5110" w:rsidR="0087089A" w:rsidRDefault="0087089A" w:rsidP="0087089A">
            <w:pPr>
              <w:spacing w:line="240" w:lineRule="auto"/>
              <w:jc w:val="right"/>
              <w:rPr>
                <w:rFonts w:cs="Arial"/>
                <w:sz w:val="18"/>
                <w:szCs w:val="18"/>
              </w:rPr>
            </w:pPr>
            <w:r>
              <w:rPr>
                <w:rFonts w:cs="Arial"/>
                <w:sz w:val="18"/>
                <w:szCs w:val="18"/>
              </w:rPr>
              <w:t>100%</w:t>
            </w:r>
          </w:p>
        </w:tc>
        <w:tc>
          <w:tcPr>
            <w:tcW w:w="962" w:type="dxa"/>
            <w:tcBorders>
              <w:top w:val="single" w:sz="4" w:space="0" w:color="auto"/>
              <w:left w:val="single" w:sz="4" w:space="0" w:color="auto"/>
              <w:bottom w:val="single" w:sz="4" w:space="0" w:color="auto"/>
              <w:right w:val="single" w:sz="4" w:space="0" w:color="auto"/>
            </w:tcBorders>
            <w:vAlign w:val="center"/>
          </w:tcPr>
          <w:p w14:paraId="6D10D2F7" w14:textId="01FE2F32" w:rsidR="0087089A" w:rsidRDefault="0087089A" w:rsidP="0087089A">
            <w:pPr>
              <w:spacing w:line="240" w:lineRule="auto"/>
              <w:jc w:val="right"/>
              <w:rPr>
                <w:rFonts w:cs="Arial"/>
                <w:sz w:val="18"/>
                <w:szCs w:val="18"/>
              </w:rPr>
            </w:pPr>
            <w:r>
              <w:rPr>
                <w:rFonts w:cs="Arial"/>
                <w:sz w:val="18"/>
                <w:szCs w:val="18"/>
              </w:rPr>
              <w:t>75%</w:t>
            </w:r>
          </w:p>
        </w:tc>
      </w:tr>
      <w:tr w:rsidR="0087089A" w:rsidRPr="00504360" w14:paraId="4859A3E0" w14:textId="2DA08C44"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8DFF31E" w14:textId="2609E01B" w:rsidR="0087089A" w:rsidRDefault="0087089A" w:rsidP="0087089A">
            <w:pPr>
              <w:spacing w:line="240" w:lineRule="auto"/>
              <w:rPr>
                <w:rFonts w:cs="Arial"/>
                <w:sz w:val="18"/>
                <w:szCs w:val="18"/>
                <w:lang w:eastAsia="en-AU"/>
              </w:rPr>
            </w:pPr>
            <w:r>
              <w:rPr>
                <w:rFonts w:cs="Arial"/>
                <w:sz w:val="18"/>
                <w:szCs w:val="18"/>
                <w:lang w:eastAsia="en-AU"/>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3A942A92" w14:textId="4861A5FC" w:rsidR="0087089A" w:rsidRDefault="0087089A" w:rsidP="0087089A">
            <w:pPr>
              <w:spacing w:line="240" w:lineRule="auto"/>
              <w:jc w:val="right"/>
              <w:rPr>
                <w:rFonts w:cs="Arial"/>
                <w:sz w:val="18"/>
                <w:szCs w:val="18"/>
              </w:rPr>
            </w:pPr>
            <w:r>
              <w:rPr>
                <w:rFonts w:cs="Arial"/>
                <w:sz w:val="18"/>
                <w:szCs w:val="18"/>
              </w:rPr>
              <w:t>0%</w:t>
            </w:r>
          </w:p>
        </w:tc>
        <w:tc>
          <w:tcPr>
            <w:tcW w:w="962" w:type="dxa"/>
            <w:tcBorders>
              <w:top w:val="single" w:sz="4" w:space="0" w:color="auto"/>
              <w:left w:val="single" w:sz="4" w:space="0" w:color="auto"/>
              <w:bottom w:val="single" w:sz="4" w:space="0" w:color="auto"/>
              <w:right w:val="single" w:sz="4" w:space="0" w:color="auto"/>
            </w:tcBorders>
            <w:vAlign w:val="center"/>
          </w:tcPr>
          <w:p w14:paraId="210A3E3C" w14:textId="0F65362F" w:rsidR="0087089A" w:rsidRDefault="0087089A" w:rsidP="0087089A">
            <w:pPr>
              <w:spacing w:line="240" w:lineRule="auto"/>
              <w:jc w:val="right"/>
              <w:rPr>
                <w:rFonts w:cs="Arial"/>
                <w:sz w:val="18"/>
                <w:szCs w:val="18"/>
              </w:rPr>
            </w:pPr>
            <w:r>
              <w:rPr>
                <w:rFonts w:cs="Arial"/>
                <w:sz w:val="18"/>
                <w:szCs w:val="18"/>
              </w:rPr>
              <w:t>25%</w:t>
            </w:r>
          </w:p>
        </w:tc>
      </w:tr>
      <w:tr w:rsidR="0087089A" w:rsidRPr="00D157E2" w14:paraId="3E643B6D" w14:textId="285882DB" w:rsidTr="00E105F5">
        <w:trPr>
          <w:trHeight w:val="70"/>
        </w:trPr>
        <w:tc>
          <w:tcPr>
            <w:tcW w:w="6706" w:type="dxa"/>
            <w:tcBorders>
              <w:top w:val="nil"/>
              <w:left w:val="single" w:sz="4" w:space="0" w:color="auto"/>
              <w:bottom w:val="single" w:sz="4" w:space="0" w:color="auto"/>
              <w:right w:val="single" w:sz="4" w:space="0" w:color="auto"/>
            </w:tcBorders>
            <w:vAlign w:val="center"/>
          </w:tcPr>
          <w:p w14:paraId="3CEB0120" w14:textId="77777777" w:rsidR="0087089A" w:rsidRPr="00504360" w:rsidRDefault="0087089A" w:rsidP="0087089A">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543B1541"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6CD2ECD1" w14:textId="6131F2C3" w:rsidR="0087089A" w:rsidRDefault="0087089A" w:rsidP="0087089A">
            <w:pPr>
              <w:spacing w:line="240" w:lineRule="auto"/>
              <w:jc w:val="right"/>
              <w:rPr>
                <w:rFonts w:cs="Arial"/>
                <w:sz w:val="18"/>
                <w:szCs w:val="18"/>
              </w:rPr>
            </w:pPr>
          </w:p>
        </w:tc>
      </w:tr>
      <w:tr w:rsidR="0087089A" w:rsidRPr="00504360" w14:paraId="631A24C1" w14:textId="4437521F" w:rsidTr="00E105F5">
        <w:trPr>
          <w:trHeight w:val="301"/>
        </w:trPr>
        <w:tc>
          <w:tcPr>
            <w:tcW w:w="6706" w:type="dxa"/>
            <w:tcBorders>
              <w:top w:val="nil"/>
              <w:left w:val="single" w:sz="4" w:space="0" w:color="auto"/>
              <w:bottom w:val="single" w:sz="4" w:space="0" w:color="auto"/>
              <w:right w:val="single" w:sz="4" w:space="0" w:color="auto"/>
            </w:tcBorders>
            <w:vAlign w:val="center"/>
          </w:tcPr>
          <w:p w14:paraId="206E5BB6" w14:textId="649C63F5" w:rsidR="0087089A" w:rsidRPr="00E10506" w:rsidRDefault="0087089A" w:rsidP="0087089A">
            <w:pPr>
              <w:spacing w:line="240" w:lineRule="auto"/>
              <w:rPr>
                <w:rFonts w:cs="Arial"/>
                <w:b/>
                <w:bCs/>
                <w:sz w:val="18"/>
                <w:szCs w:val="18"/>
                <w:lang w:eastAsia="en-AU"/>
              </w:rPr>
            </w:pPr>
            <w:r>
              <w:rPr>
                <w:rFonts w:cs="Arial"/>
                <w:b/>
                <w:bCs/>
                <w:sz w:val="18"/>
                <w:szCs w:val="18"/>
                <w:lang w:eastAsia="en-AU"/>
              </w:rPr>
              <w:t>Other activity</w:t>
            </w:r>
          </w:p>
        </w:tc>
        <w:tc>
          <w:tcPr>
            <w:tcW w:w="962" w:type="dxa"/>
            <w:tcBorders>
              <w:top w:val="single" w:sz="4" w:space="0" w:color="auto"/>
              <w:left w:val="single" w:sz="4" w:space="0" w:color="auto"/>
              <w:bottom w:val="single" w:sz="4" w:space="0" w:color="auto"/>
              <w:right w:val="single" w:sz="4" w:space="0" w:color="auto"/>
            </w:tcBorders>
            <w:vAlign w:val="center"/>
          </w:tcPr>
          <w:p w14:paraId="3ABB13A1"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7D66BB6" w14:textId="79AB4676" w:rsidR="0087089A" w:rsidRDefault="0087089A" w:rsidP="0087089A">
            <w:pPr>
              <w:spacing w:line="240" w:lineRule="auto"/>
              <w:jc w:val="right"/>
              <w:rPr>
                <w:rFonts w:cs="Arial"/>
                <w:sz w:val="18"/>
                <w:szCs w:val="18"/>
              </w:rPr>
            </w:pPr>
          </w:p>
        </w:tc>
      </w:tr>
      <w:tr w:rsidR="0087089A" w:rsidRPr="00504360" w14:paraId="09CC1571" w14:textId="1B931AE6"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4896858" w14:textId="4F51FBFA" w:rsidR="0087089A" w:rsidRDefault="0087089A" w:rsidP="0087089A">
            <w:pPr>
              <w:spacing w:line="240" w:lineRule="auto"/>
              <w:rPr>
                <w:rFonts w:cs="Arial"/>
                <w:sz w:val="18"/>
                <w:szCs w:val="18"/>
                <w:lang w:eastAsia="en-AU"/>
              </w:rPr>
            </w:pPr>
            <w:r>
              <w:rPr>
                <w:rFonts w:cs="Arial"/>
                <w:sz w:val="18"/>
                <w:szCs w:val="18"/>
                <w:lang w:eastAsia="en-AU"/>
              </w:rPr>
              <w:t>Applications to Amend or End received</w:t>
            </w:r>
          </w:p>
        </w:tc>
        <w:tc>
          <w:tcPr>
            <w:tcW w:w="962" w:type="dxa"/>
            <w:tcBorders>
              <w:top w:val="single" w:sz="4" w:space="0" w:color="auto"/>
              <w:left w:val="single" w:sz="4" w:space="0" w:color="auto"/>
              <w:bottom w:val="single" w:sz="4" w:space="0" w:color="auto"/>
              <w:right w:val="single" w:sz="4" w:space="0" w:color="auto"/>
            </w:tcBorders>
            <w:vAlign w:val="center"/>
          </w:tcPr>
          <w:p w14:paraId="5AFD6BA7" w14:textId="65297FD9" w:rsidR="0087089A" w:rsidRDefault="0087089A" w:rsidP="0087089A">
            <w:pPr>
              <w:spacing w:line="240" w:lineRule="auto"/>
              <w:jc w:val="right"/>
              <w:rPr>
                <w:rFonts w:cs="Arial"/>
                <w:sz w:val="18"/>
                <w:szCs w:val="18"/>
              </w:rPr>
            </w:pPr>
            <w:r>
              <w:rPr>
                <w:rFonts w:cs="Arial"/>
                <w:sz w:val="18"/>
                <w:szCs w:val="18"/>
              </w:rPr>
              <w:t>3</w:t>
            </w:r>
          </w:p>
        </w:tc>
        <w:tc>
          <w:tcPr>
            <w:tcW w:w="962" w:type="dxa"/>
            <w:tcBorders>
              <w:top w:val="single" w:sz="4" w:space="0" w:color="auto"/>
              <w:left w:val="single" w:sz="4" w:space="0" w:color="auto"/>
              <w:bottom w:val="single" w:sz="4" w:space="0" w:color="auto"/>
              <w:right w:val="single" w:sz="4" w:space="0" w:color="auto"/>
            </w:tcBorders>
            <w:vAlign w:val="center"/>
          </w:tcPr>
          <w:p w14:paraId="7433EBA4" w14:textId="35C4D0D7" w:rsidR="0087089A" w:rsidRDefault="0087089A" w:rsidP="0087089A">
            <w:pPr>
              <w:spacing w:line="240" w:lineRule="auto"/>
              <w:jc w:val="right"/>
              <w:rPr>
                <w:rFonts w:cs="Arial"/>
                <w:sz w:val="18"/>
                <w:szCs w:val="18"/>
              </w:rPr>
            </w:pPr>
            <w:r>
              <w:rPr>
                <w:rFonts w:cs="Arial"/>
                <w:sz w:val="18"/>
                <w:szCs w:val="18"/>
              </w:rPr>
              <w:t>10</w:t>
            </w:r>
          </w:p>
        </w:tc>
      </w:tr>
      <w:tr w:rsidR="0087089A" w:rsidRPr="00504360" w14:paraId="51F55746" w14:textId="257468DA" w:rsidTr="00E105F5">
        <w:trPr>
          <w:trHeight w:val="70"/>
        </w:trPr>
        <w:tc>
          <w:tcPr>
            <w:tcW w:w="6706" w:type="dxa"/>
            <w:tcBorders>
              <w:top w:val="single" w:sz="4" w:space="0" w:color="auto"/>
              <w:left w:val="single" w:sz="4" w:space="0" w:color="auto"/>
              <w:bottom w:val="single" w:sz="4" w:space="0" w:color="auto"/>
              <w:right w:val="single" w:sz="4" w:space="0" w:color="auto"/>
            </w:tcBorders>
            <w:vAlign w:val="center"/>
          </w:tcPr>
          <w:p w14:paraId="39B09AA6" w14:textId="77777777" w:rsidR="0087089A" w:rsidRDefault="0087089A" w:rsidP="0087089A">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772B9819"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7230710A" w14:textId="4717CD4B" w:rsidR="0087089A" w:rsidRDefault="0087089A" w:rsidP="0087089A">
            <w:pPr>
              <w:spacing w:line="240" w:lineRule="auto"/>
              <w:jc w:val="right"/>
              <w:rPr>
                <w:rFonts w:cs="Arial"/>
                <w:sz w:val="18"/>
                <w:szCs w:val="18"/>
              </w:rPr>
            </w:pPr>
          </w:p>
        </w:tc>
      </w:tr>
      <w:tr w:rsidR="0087089A" w:rsidRPr="00504360" w14:paraId="716838D1" w14:textId="2A8C4616"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594E536F" w14:textId="13298118" w:rsidR="0087089A" w:rsidRDefault="0087089A" w:rsidP="0087089A">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62" w:type="dxa"/>
            <w:tcBorders>
              <w:top w:val="single" w:sz="4" w:space="0" w:color="auto"/>
              <w:left w:val="single" w:sz="4" w:space="0" w:color="auto"/>
              <w:bottom w:val="single" w:sz="4" w:space="0" w:color="auto"/>
              <w:right w:val="single" w:sz="4" w:space="0" w:color="auto"/>
            </w:tcBorders>
            <w:vAlign w:val="center"/>
          </w:tcPr>
          <w:p w14:paraId="16412E87" w14:textId="77777777" w:rsidR="0087089A" w:rsidRDefault="0087089A" w:rsidP="0087089A">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D2BC8AB" w14:textId="5E76FFD3" w:rsidR="0087089A" w:rsidRDefault="0087089A" w:rsidP="0087089A">
            <w:pPr>
              <w:spacing w:line="240" w:lineRule="auto"/>
              <w:jc w:val="right"/>
              <w:rPr>
                <w:rFonts w:cs="Arial"/>
                <w:sz w:val="18"/>
                <w:szCs w:val="18"/>
              </w:rPr>
            </w:pPr>
          </w:p>
        </w:tc>
      </w:tr>
      <w:tr w:rsidR="0087089A" w:rsidRPr="00504360" w14:paraId="1562F8F8" w14:textId="039ECEFE"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DB4C6D7" w14:textId="3A4A38DB" w:rsidR="0087089A" w:rsidRDefault="0087089A" w:rsidP="0087089A">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62" w:type="dxa"/>
            <w:tcBorders>
              <w:top w:val="single" w:sz="4" w:space="0" w:color="auto"/>
              <w:left w:val="single" w:sz="4" w:space="0" w:color="auto"/>
              <w:bottom w:val="single" w:sz="4" w:space="0" w:color="auto"/>
              <w:right w:val="single" w:sz="4" w:space="0" w:color="auto"/>
            </w:tcBorders>
            <w:vAlign w:val="center"/>
          </w:tcPr>
          <w:p w14:paraId="431E3908" w14:textId="041A96BB" w:rsidR="0087089A" w:rsidRDefault="0087089A" w:rsidP="0087089A">
            <w:pPr>
              <w:spacing w:line="240" w:lineRule="auto"/>
              <w:jc w:val="right"/>
              <w:rPr>
                <w:rFonts w:cs="Arial"/>
                <w:sz w:val="18"/>
                <w:szCs w:val="18"/>
              </w:rPr>
            </w:pPr>
            <w:r>
              <w:rPr>
                <w:rFonts w:cs="Arial"/>
                <w:sz w:val="18"/>
                <w:szCs w:val="18"/>
              </w:rPr>
              <w:t>129</w:t>
            </w:r>
          </w:p>
        </w:tc>
        <w:tc>
          <w:tcPr>
            <w:tcW w:w="962" w:type="dxa"/>
            <w:tcBorders>
              <w:top w:val="single" w:sz="4" w:space="0" w:color="auto"/>
              <w:left w:val="single" w:sz="4" w:space="0" w:color="auto"/>
              <w:bottom w:val="single" w:sz="4" w:space="0" w:color="auto"/>
              <w:right w:val="single" w:sz="4" w:space="0" w:color="auto"/>
            </w:tcBorders>
            <w:vAlign w:val="center"/>
          </w:tcPr>
          <w:p w14:paraId="51A23B19" w14:textId="02325B29" w:rsidR="0087089A" w:rsidRDefault="0087089A" w:rsidP="0087089A">
            <w:pPr>
              <w:spacing w:line="240" w:lineRule="auto"/>
              <w:jc w:val="right"/>
              <w:rPr>
                <w:rFonts w:cs="Arial"/>
                <w:sz w:val="18"/>
                <w:szCs w:val="18"/>
              </w:rPr>
            </w:pPr>
            <w:r>
              <w:rPr>
                <w:rFonts w:cs="Arial"/>
                <w:sz w:val="18"/>
                <w:szCs w:val="18"/>
              </w:rPr>
              <w:t>135</w:t>
            </w:r>
          </w:p>
        </w:tc>
      </w:tr>
      <w:tr w:rsidR="0087089A" w:rsidRPr="00504360" w14:paraId="559E0289" w14:textId="4B528371"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2D7EF42B" w14:textId="675293F4" w:rsidR="0087089A" w:rsidRDefault="0087089A" w:rsidP="0087089A">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62" w:type="dxa"/>
            <w:tcBorders>
              <w:top w:val="single" w:sz="4" w:space="0" w:color="auto"/>
              <w:left w:val="single" w:sz="4" w:space="0" w:color="auto"/>
              <w:bottom w:val="single" w:sz="4" w:space="0" w:color="auto"/>
              <w:right w:val="single" w:sz="4" w:space="0" w:color="auto"/>
            </w:tcBorders>
            <w:vAlign w:val="center"/>
          </w:tcPr>
          <w:p w14:paraId="0FE1224B" w14:textId="0B1530D2" w:rsidR="0087089A" w:rsidRDefault="0087089A" w:rsidP="0087089A">
            <w:pPr>
              <w:spacing w:line="240" w:lineRule="auto"/>
              <w:jc w:val="right"/>
              <w:rPr>
                <w:rFonts w:cs="Arial"/>
                <w:sz w:val="18"/>
                <w:szCs w:val="18"/>
              </w:rPr>
            </w:pPr>
            <w:r>
              <w:rPr>
                <w:rFonts w:cs="Arial"/>
                <w:sz w:val="18"/>
                <w:szCs w:val="18"/>
              </w:rPr>
              <w:t>16</w:t>
            </w:r>
          </w:p>
        </w:tc>
        <w:tc>
          <w:tcPr>
            <w:tcW w:w="962" w:type="dxa"/>
            <w:tcBorders>
              <w:top w:val="single" w:sz="4" w:space="0" w:color="auto"/>
              <w:left w:val="single" w:sz="4" w:space="0" w:color="auto"/>
              <w:bottom w:val="single" w:sz="4" w:space="0" w:color="auto"/>
              <w:right w:val="single" w:sz="4" w:space="0" w:color="auto"/>
            </w:tcBorders>
            <w:vAlign w:val="center"/>
          </w:tcPr>
          <w:p w14:paraId="493B1FF8" w14:textId="60DFD84F" w:rsidR="0087089A" w:rsidRDefault="0087089A" w:rsidP="0087089A">
            <w:pPr>
              <w:spacing w:line="240" w:lineRule="auto"/>
              <w:jc w:val="right"/>
              <w:rPr>
                <w:rFonts w:cs="Arial"/>
                <w:sz w:val="18"/>
                <w:szCs w:val="18"/>
              </w:rPr>
            </w:pPr>
            <w:r>
              <w:rPr>
                <w:rFonts w:cs="Arial"/>
                <w:sz w:val="18"/>
                <w:szCs w:val="18"/>
              </w:rPr>
              <w:t>9</w:t>
            </w:r>
          </w:p>
        </w:tc>
      </w:tr>
      <w:tr w:rsidR="0087089A" w:rsidRPr="00504360" w14:paraId="3D917EA4" w14:textId="2CD17842"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6CE3CBA6" w14:textId="05816300" w:rsidR="0087089A" w:rsidRPr="00504360" w:rsidRDefault="0087089A" w:rsidP="0087089A">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62" w:type="dxa"/>
            <w:tcBorders>
              <w:top w:val="single" w:sz="4" w:space="0" w:color="auto"/>
              <w:left w:val="single" w:sz="4" w:space="0" w:color="auto"/>
              <w:bottom w:val="single" w:sz="4" w:space="0" w:color="auto"/>
              <w:right w:val="single" w:sz="4" w:space="0" w:color="auto"/>
            </w:tcBorders>
            <w:vAlign w:val="center"/>
          </w:tcPr>
          <w:p w14:paraId="0D949EA8" w14:textId="46FE9432" w:rsidR="0087089A" w:rsidRDefault="0087089A" w:rsidP="0087089A">
            <w:pPr>
              <w:spacing w:line="240" w:lineRule="auto"/>
              <w:jc w:val="right"/>
              <w:rPr>
                <w:rFonts w:cs="Arial"/>
                <w:sz w:val="18"/>
                <w:szCs w:val="18"/>
              </w:rPr>
            </w:pPr>
            <w:r>
              <w:rPr>
                <w:rFonts w:cs="Arial"/>
                <w:sz w:val="18"/>
                <w:szCs w:val="18"/>
              </w:rPr>
              <w:t>56</w:t>
            </w:r>
          </w:p>
        </w:tc>
        <w:tc>
          <w:tcPr>
            <w:tcW w:w="962" w:type="dxa"/>
            <w:tcBorders>
              <w:top w:val="single" w:sz="4" w:space="0" w:color="auto"/>
              <w:left w:val="single" w:sz="4" w:space="0" w:color="auto"/>
              <w:bottom w:val="single" w:sz="4" w:space="0" w:color="auto"/>
              <w:right w:val="single" w:sz="4" w:space="0" w:color="auto"/>
            </w:tcBorders>
            <w:vAlign w:val="center"/>
          </w:tcPr>
          <w:p w14:paraId="2CDA4A7E" w14:textId="067A332F" w:rsidR="0087089A" w:rsidRDefault="0087089A" w:rsidP="0087089A">
            <w:pPr>
              <w:spacing w:line="240" w:lineRule="auto"/>
              <w:jc w:val="right"/>
              <w:rPr>
                <w:rFonts w:cs="Arial"/>
                <w:sz w:val="18"/>
                <w:szCs w:val="18"/>
              </w:rPr>
            </w:pPr>
            <w:r>
              <w:rPr>
                <w:rFonts w:cs="Arial"/>
                <w:sz w:val="18"/>
                <w:szCs w:val="18"/>
              </w:rPr>
              <w:t>67</w:t>
            </w:r>
          </w:p>
        </w:tc>
      </w:tr>
      <w:bookmarkEnd w:id="0"/>
    </w:tbl>
    <w:p w14:paraId="350C67ED" w14:textId="77777777" w:rsidR="004B60C0" w:rsidRDefault="004B60C0" w:rsidP="00C92D4E">
      <w:pPr>
        <w:ind w:left="-142" w:right="-425"/>
        <w:jc w:val="both"/>
        <w:rPr>
          <w:rFonts w:cs="Arial"/>
        </w:rPr>
      </w:pPr>
    </w:p>
    <w:p w14:paraId="482CC984" w14:textId="77777777" w:rsidR="0040779A" w:rsidRPr="008E7AF1" w:rsidRDefault="0040779A" w:rsidP="0040779A">
      <w:pPr>
        <w:pStyle w:val="Heading2"/>
      </w:pPr>
      <w:r w:rsidRPr="008E7AF1">
        <w:t>Inquiry into Elder Abuse</w:t>
      </w:r>
    </w:p>
    <w:p w14:paraId="30EED9FB" w14:textId="77777777" w:rsidR="00051756" w:rsidRDefault="00051756" w:rsidP="00051756">
      <w:pPr>
        <w:ind w:left="-142" w:right="-425"/>
      </w:pPr>
      <w:r>
        <w:t>On 10 April 2025, the FRC made a comprehensive submission to the Education, Arts and Communities Committee's Inquiry into Elder Abuse in Queensland. The submission highlights the FRC's unique perspective and role in addressing elder abuse within remote First Nations communities and provides recommendations to improve responses for this vulnerable cohort, including making voluntary income management available to people in other locations across the State.</w:t>
      </w:r>
    </w:p>
    <w:p w14:paraId="1D8B5FDF" w14:textId="77777777" w:rsidR="0040779A" w:rsidRDefault="0040779A" w:rsidP="0040779A">
      <w:pPr>
        <w:ind w:left="-142" w:right="-425"/>
      </w:pPr>
    </w:p>
    <w:p w14:paraId="255E21CB" w14:textId="77777777" w:rsidR="00051756" w:rsidRDefault="00051756" w:rsidP="00051756">
      <w:pPr>
        <w:ind w:left="-142" w:right="-425"/>
      </w:pPr>
      <w:r>
        <w:t>On 14 May 2025, the Education, Arts and Communities Committee held a hearing on the Inquiry in Cairns, and the FRC were invited to appear. Local Commissioner Doris Poonkamelya travelled from Aurukun to give evidence to the Inquiry and was supported by Cara Marks, Local Registry Coordinator for Aurukun and Camille Banks, Manager, Compliance and Legal Policy. Commissioner Poonkamelya and Ms Marks have been working closely with older clients and community members, in partnership with the Aurukun Chivaree Aged Care Centre in Aurukun to support those experiencing or at risk of financial abuse.</w:t>
      </w:r>
    </w:p>
    <w:p w14:paraId="043F90B8" w14:textId="77777777" w:rsidR="0040779A" w:rsidRDefault="0040779A" w:rsidP="0040779A">
      <w:pPr>
        <w:ind w:left="-142" w:right="-425"/>
      </w:pPr>
    </w:p>
    <w:p w14:paraId="67465DE6" w14:textId="77777777" w:rsidR="00051756" w:rsidRPr="002A49A1" w:rsidRDefault="00051756" w:rsidP="00051756">
      <w:pPr>
        <w:ind w:left="-142" w:right="-425"/>
      </w:pPr>
      <w:r>
        <w:t>At the hearing, the</w:t>
      </w:r>
      <w:r w:rsidRPr="002A49A1">
        <w:t xml:space="preserve"> FRC highlighted issues of financial abuse, particula</w:t>
      </w:r>
      <w:r>
        <w:t>rly humbugging, that are common in FRC communities, and explained that c</w:t>
      </w:r>
      <w:r w:rsidRPr="002A49A1">
        <w:t>ost-of-living pressures and internet banking exploitation exacerbate elder abuse.</w:t>
      </w:r>
      <w:r>
        <w:t xml:space="preserve"> </w:t>
      </w:r>
      <w:r w:rsidRPr="002A49A1">
        <w:t>The SmartCard was discussed as a tool to manage income and protect elders from financial exploitation.</w:t>
      </w:r>
      <w:r>
        <w:t xml:space="preserve"> Commissioner </w:t>
      </w:r>
      <w:r w:rsidRPr="002A49A1">
        <w:t xml:space="preserve">Poonkamelya shared her experience of </w:t>
      </w:r>
      <w:r w:rsidRPr="002A49A1">
        <w:lastRenderedPageBreak/>
        <w:t>using the SmartCard to safeguard her pension and manage her finances.</w:t>
      </w:r>
      <w:r>
        <w:t xml:space="preserve"> Ms Marks discussed the l</w:t>
      </w:r>
      <w:r w:rsidRPr="002A49A1">
        <w:t>ack of banking infrastructure and digital literacy issues</w:t>
      </w:r>
      <w:r>
        <w:t xml:space="preserve"> that</w:t>
      </w:r>
      <w:r w:rsidRPr="002A49A1">
        <w:t xml:space="preserve"> hinder financial independence for elders.</w:t>
      </w:r>
    </w:p>
    <w:p w14:paraId="28B7FE0C" w14:textId="77777777" w:rsidR="0040779A" w:rsidRPr="002A49A1" w:rsidRDefault="0040779A" w:rsidP="0040779A">
      <w:pPr>
        <w:ind w:left="-142" w:right="-425"/>
      </w:pPr>
    </w:p>
    <w:p w14:paraId="1004CA89" w14:textId="77777777" w:rsidR="00051756" w:rsidRDefault="00051756" w:rsidP="00051756">
      <w:pPr>
        <w:ind w:left="-142" w:right="-425"/>
      </w:pPr>
      <w:r>
        <w:t>Commissioner Poonkamelya explained that g</w:t>
      </w:r>
      <w:r w:rsidRPr="002A49A1">
        <w:t>ambling, particularly internet-based gambling, is a significant issue in communities like Aurukun.</w:t>
      </w:r>
      <w:r>
        <w:t xml:space="preserve"> </w:t>
      </w:r>
      <w:r w:rsidRPr="002A49A1">
        <w:t>The FRC emphasised the need for better financial support, education, and awareness programs tailored to First Nations communities.</w:t>
      </w:r>
      <w:r>
        <w:t xml:space="preserve"> </w:t>
      </w:r>
      <w:r w:rsidRPr="002A49A1">
        <w:t>Addressing systemic issues like addiction and poverty among perpetrators of abuse was also recommended.</w:t>
      </w:r>
    </w:p>
    <w:p w14:paraId="14E68A42" w14:textId="77777777" w:rsidR="0040779A" w:rsidRPr="0040779A" w:rsidRDefault="0040779A" w:rsidP="0040779A">
      <w:pPr>
        <w:ind w:left="-142" w:right="-425"/>
        <w:jc w:val="both"/>
        <w:rPr>
          <w:rFonts w:cs="Arial"/>
        </w:rPr>
      </w:pPr>
    </w:p>
    <w:p w14:paraId="406C420E" w14:textId="6B52BFF8" w:rsidR="0040779A" w:rsidRDefault="0040779A" w:rsidP="0040779A">
      <w:pPr>
        <w:pStyle w:val="Heading2"/>
        <w:rPr>
          <w:szCs w:val="20"/>
        </w:rPr>
      </w:pPr>
      <w:r w:rsidRPr="00303BE6">
        <w:t>Education, Arts and Communities Committee</w:t>
      </w:r>
    </w:p>
    <w:p w14:paraId="0F9A4F5D" w14:textId="77777777" w:rsidR="0022442F" w:rsidRDefault="0022442F" w:rsidP="0022442F">
      <w:pPr>
        <w:ind w:left="-142" w:right="-425"/>
      </w:pPr>
      <w:r w:rsidRPr="00224AA8">
        <w:t xml:space="preserve">On </w:t>
      </w:r>
      <w:r>
        <w:t>28 April 2025</w:t>
      </w:r>
      <w:r w:rsidRPr="00224AA8">
        <w:t>, by invitation, Commissioner Williams</w:t>
      </w:r>
      <w:r>
        <w:t xml:space="preserve"> and</w:t>
      </w:r>
      <w:r w:rsidRPr="00224AA8">
        <w:t xml:space="preserve"> </w:t>
      </w:r>
      <w:r>
        <w:t xml:space="preserve">Registrar Helen Weedon </w:t>
      </w:r>
      <w:r w:rsidRPr="00224AA8">
        <w:t xml:space="preserve">appeared in person at a Public </w:t>
      </w:r>
      <w:r>
        <w:t>Hearing</w:t>
      </w:r>
      <w:r w:rsidRPr="00224AA8">
        <w:t xml:space="preserve"> of the </w:t>
      </w:r>
      <w:r>
        <w:t xml:space="preserve">Education, Arts and Communities Committee </w:t>
      </w:r>
      <w:r w:rsidRPr="00224AA8">
        <w:t xml:space="preserve">of the Queensland State Parliament. The purpose of the </w:t>
      </w:r>
      <w:r>
        <w:t>hearing</w:t>
      </w:r>
      <w:r w:rsidRPr="00224AA8">
        <w:t xml:space="preserve"> was to assist the Committee with its oversight of the functions and performance of the Commission. At the </w:t>
      </w:r>
      <w:r>
        <w:t xml:space="preserve">hearing the Registrar gave an opening address to the Committee before </w:t>
      </w:r>
      <w:r w:rsidRPr="00224AA8">
        <w:t xml:space="preserve">Commissioner Williams </w:t>
      </w:r>
      <w:r>
        <w:t xml:space="preserve">and the Registrar responded to </w:t>
      </w:r>
      <w:proofErr w:type="gramStart"/>
      <w:r>
        <w:t>a number of</w:t>
      </w:r>
      <w:proofErr w:type="gramEnd"/>
      <w:r>
        <w:t xml:space="preserve"> questions from Committee members on the operation of the Commission.</w:t>
      </w:r>
    </w:p>
    <w:p w14:paraId="76C79C4C" w14:textId="77777777" w:rsidR="00A972A8" w:rsidRDefault="00A972A8" w:rsidP="00A972A8">
      <w:pPr>
        <w:ind w:left="-142" w:right="-425"/>
        <w:jc w:val="both"/>
      </w:pPr>
    </w:p>
    <w:p w14:paraId="03FB3C17" w14:textId="77777777" w:rsidR="00B73EE1" w:rsidRPr="004A17AA" w:rsidRDefault="00B73EE1" w:rsidP="00B73EE1">
      <w:pPr>
        <w:pStyle w:val="Heading2"/>
      </w:pPr>
      <w:r w:rsidRPr="001254C1">
        <w:t>Domestic and Family Violence Protection and Other Legislation Amendment Bill 2025 (DFVOLA Bill)</w:t>
      </w:r>
    </w:p>
    <w:p w14:paraId="329FDCCA" w14:textId="77777777" w:rsidR="0048334F" w:rsidRDefault="0048334F" w:rsidP="0048334F">
      <w:pPr>
        <w:ind w:left="-142" w:right="-425"/>
      </w:pPr>
      <w:r w:rsidRPr="00445EA8">
        <w:t>The FRC has concerns regarding the proposed introduction of Police Protection Directions (PPDs) under the DFVOLA Bill</w:t>
      </w:r>
      <w:r>
        <w:t xml:space="preserve">. On 30 May 2025, the Commission made a submission to the Education, Arts and Communities Committee, </w:t>
      </w:r>
      <w:r w:rsidRPr="00445EA8">
        <w:t>highlighting</w:t>
      </w:r>
      <w:r>
        <w:t xml:space="preserve"> the </w:t>
      </w:r>
      <w:r w:rsidRPr="00445EA8">
        <w:t xml:space="preserve">potential impact </w:t>
      </w:r>
      <w:r>
        <w:t xml:space="preserve">of PPDs </w:t>
      </w:r>
      <w:r w:rsidRPr="00445EA8">
        <w:t>on the Commission’s ability to fulfil its role in supporting victim-survivors and addressing domestic and family violence (DFV) in culturally appropriate ways.</w:t>
      </w:r>
    </w:p>
    <w:p w14:paraId="2ACDCD6C" w14:textId="77777777" w:rsidR="00B73EE1" w:rsidRDefault="00B73EE1" w:rsidP="00B73EE1">
      <w:pPr>
        <w:ind w:left="-142" w:right="-425"/>
      </w:pPr>
    </w:p>
    <w:p w14:paraId="64363E3C" w14:textId="77777777" w:rsidR="00B73EE1" w:rsidRPr="00865A69" w:rsidRDefault="00B73EE1" w:rsidP="00B73EE1">
      <w:pPr>
        <w:spacing w:after="120"/>
        <w:ind w:left="-142" w:right="-425"/>
      </w:pPr>
      <w:r w:rsidRPr="00865A69">
        <w:t>The FRC’s recommendations to the Committee were to:</w:t>
      </w:r>
    </w:p>
    <w:p w14:paraId="0FFE7DC9" w14:textId="77777777" w:rsidR="00B73EE1" w:rsidRPr="009E16D7" w:rsidRDefault="00B73EE1" w:rsidP="00B73EE1">
      <w:pPr>
        <w:pStyle w:val="ListParagraph"/>
        <w:numPr>
          <w:ilvl w:val="0"/>
          <w:numId w:val="16"/>
        </w:numPr>
        <w:spacing w:line="288" w:lineRule="auto"/>
        <w:ind w:left="714" w:right="-425" w:hanging="357"/>
        <w:rPr>
          <w:rFonts w:ascii="Verdana" w:hAnsi="Verdana"/>
          <w:sz w:val="20"/>
          <w:szCs w:val="20"/>
        </w:rPr>
      </w:pPr>
      <w:r w:rsidRPr="009E16D7">
        <w:rPr>
          <w:rFonts w:ascii="Verdana" w:hAnsi="Verdana"/>
          <w:sz w:val="20"/>
          <w:szCs w:val="20"/>
        </w:rPr>
        <w:t>Amend section 43(1) of the FRC Act to ensure the FRC is notified of all PPDs issued within its jurisdiction.</w:t>
      </w:r>
    </w:p>
    <w:p w14:paraId="312C3068" w14:textId="77777777" w:rsidR="00B73EE1" w:rsidRPr="009E16D7" w:rsidRDefault="00B73EE1" w:rsidP="00B73EE1">
      <w:pPr>
        <w:pStyle w:val="ListParagraph"/>
        <w:numPr>
          <w:ilvl w:val="0"/>
          <w:numId w:val="16"/>
        </w:numPr>
        <w:spacing w:line="288" w:lineRule="auto"/>
        <w:ind w:left="714" w:right="-425" w:hanging="357"/>
        <w:rPr>
          <w:rFonts w:ascii="Verdana" w:hAnsi="Verdana"/>
          <w:sz w:val="20"/>
          <w:szCs w:val="20"/>
        </w:rPr>
      </w:pPr>
      <w:r w:rsidRPr="009E16D7">
        <w:rPr>
          <w:rFonts w:ascii="Verdana" w:hAnsi="Verdana"/>
          <w:sz w:val="20"/>
          <w:szCs w:val="20"/>
        </w:rPr>
        <w:t>Carefully consider the broader impacts of PPDs on victim-survivor support, early intervention, and the overrepresentation of First Nations people in incarceration.</w:t>
      </w:r>
    </w:p>
    <w:p w14:paraId="0749DBF4" w14:textId="77777777" w:rsidR="00B73EE1" w:rsidRDefault="00B73EE1" w:rsidP="00B73EE1">
      <w:pPr>
        <w:ind w:left="-142" w:right="-425"/>
      </w:pPr>
    </w:p>
    <w:p w14:paraId="141022C1" w14:textId="23FA8A57" w:rsidR="0048334F" w:rsidRPr="000512AE" w:rsidRDefault="0048334F" w:rsidP="0048334F">
      <w:pPr>
        <w:ind w:left="-142" w:right="-425"/>
      </w:pPr>
      <w:r>
        <w:t xml:space="preserve">On 3 June 2025, the FRC were again invited to expand on the submission at a hearing on the Inquiry into the DFVOLA Bill in Cairns. Deputy Commissioner Curtin, and Camille Banks, Manager, Compliance and Legal Policy, gave evidence at the hearing. Deputy Commissioner Curtin </w:t>
      </w:r>
      <w:r w:rsidRPr="000512AE">
        <w:t>highlighted that the introduction of PPDs, as currently proposed, would hinder</w:t>
      </w:r>
      <w:r w:rsidR="004478A7">
        <w:t xml:space="preserve"> the FRC’s</w:t>
      </w:r>
      <w:r w:rsidRPr="000512AE">
        <w:t xml:space="preserve"> ability to intervene early in domestic and family violence cases. The lack of recognition of PPDs as agency notices under the </w:t>
      </w:r>
      <w:r w:rsidRPr="0048334F">
        <w:rPr>
          <w:i/>
          <w:iCs/>
        </w:rPr>
        <w:t>Family Responsibilities Commission Act 2008</w:t>
      </w:r>
      <w:r>
        <w:t xml:space="preserve"> </w:t>
      </w:r>
      <w:r w:rsidRPr="000512AE">
        <w:t>limits the FRC’s jurisdiction and ability to act effectively.</w:t>
      </w:r>
    </w:p>
    <w:p w14:paraId="70143F12" w14:textId="77777777" w:rsidR="00B73EE1" w:rsidRPr="000512AE" w:rsidRDefault="00B73EE1" w:rsidP="00B73EE1">
      <w:pPr>
        <w:ind w:left="-142" w:right="-425"/>
      </w:pPr>
    </w:p>
    <w:p w14:paraId="039C696D" w14:textId="77777777" w:rsidR="003B5466" w:rsidRDefault="003B5466" w:rsidP="003B5466">
      <w:pPr>
        <w:ind w:left="-142" w:right="-425"/>
      </w:pPr>
      <w:r w:rsidRPr="000512AE">
        <w:t xml:space="preserve">The FRC recommended amending section 43(1)(a) of the </w:t>
      </w:r>
      <w:r>
        <w:t xml:space="preserve">FRC </w:t>
      </w:r>
      <w:r w:rsidRPr="000512AE">
        <w:t>Act to classify PPDs as agency notices. This change would enable the FRC to provide culturally appropriate support, facilitate community engagement, and address underlying issues such as addiction, trauma, and violence.</w:t>
      </w:r>
      <w:r>
        <w:t xml:space="preserve"> Deputy Commissioner Curtin reiterated the</w:t>
      </w:r>
      <w:r w:rsidRPr="000512AE">
        <w:t xml:space="preserve"> concern that the current form of the bill could exacerbate the over-representation of First Nations people in the criminal justice system. </w:t>
      </w:r>
      <w:r>
        <w:t>He</w:t>
      </w:r>
      <w:r w:rsidRPr="000512AE">
        <w:t xml:space="preserve"> emphasised the importance of culturally sensitive interventions and the role of </w:t>
      </w:r>
      <w:r>
        <w:t>L</w:t>
      </w:r>
      <w:r w:rsidRPr="000512AE">
        <w:t xml:space="preserve">ocal </w:t>
      </w:r>
      <w:r>
        <w:t>C</w:t>
      </w:r>
      <w:r w:rsidRPr="000512AE">
        <w:t>ommissioners in supporting victim-survivors and addressing the root causes of violence.</w:t>
      </w:r>
    </w:p>
    <w:p w14:paraId="06E1909E" w14:textId="77777777" w:rsidR="003B5466" w:rsidRPr="000512AE" w:rsidRDefault="003B5466" w:rsidP="003B5466">
      <w:pPr>
        <w:ind w:left="-142" w:right="-425"/>
      </w:pPr>
    </w:p>
    <w:p w14:paraId="22852BD4" w14:textId="77777777" w:rsidR="003B5466" w:rsidRPr="000512AE" w:rsidRDefault="003B5466" w:rsidP="003B5466">
      <w:pPr>
        <w:ind w:left="-142" w:right="-425"/>
      </w:pPr>
      <w:r w:rsidRPr="000512AE">
        <w:t>The FRC concluded by urging the committee to carefully consider its recommendations to ensure the proposed legislation supports effective intervention and reduces harm within communities</w:t>
      </w:r>
      <w:r>
        <w:t>.</w:t>
      </w:r>
    </w:p>
    <w:p w14:paraId="456C5EF5" w14:textId="77777777" w:rsidR="00B73EE1" w:rsidRDefault="00B73EE1" w:rsidP="00A972A8">
      <w:pPr>
        <w:ind w:left="-142" w:right="-425"/>
        <w:jc w:val="both"/>
      </w:pPr>
    </w:p>
    <w:p w14:paraId="0F3DCD32" w14:textId="273D8647" w:rsidR="00647535" w:rsidRDefault="00647535" w:rsidP="00961AE8">
      <w:pPr>
        <w:pStyle w:val="Heading2"/>
      </w:pPr>
      <w:r>
        <w:lastRenderedPageBreak/>
        <w:t>Increased Statutory Compliance Requirements</w:t>
      </w:r>
    </w:p>
    <w:p w14:paraId="0EA8A7ED" w14:textId="77777777" w:rsidR="00E33727" w:rsidRDefault="00E33727" w:rsidP="00E33727">
      <w:pPr>
        <w:ind w:left="-142" w:right="-425"/>
      </w:pPr>
      <w:r w:rsidRPr="00673CE3">
        <w:t xml:space="preserve">As a Queensland Public Sector entity, the FRC is </w:t>
      </w:r>
      <w:r>
        <w:t xml:space="preserve">obligated </w:t>
      </w:r>
      <w:r w:rsidRPr="00673CE3">
        <w:t>to ensur</w:t>
      </w:r>
      <w:r>
        <w:t>e</w:t>
      </w:r>
      <w:r w:rsidRPr="00673CE3">
        <w:t xml:space="preserve"> compliance with Queensland Government legislation. </w:t>
      </w:r>
      <w:r w:rsidRPr="00EC412B">
        <w:t xml:space="preserve">As one of the smallest Public Sector </w:t>
      </w:r>
      <w:r>
        <w:t>e</w:t>
      </w:r>
      <w:r w:rsidRPr="00EC412B">
        <w:t xml:space="preserve">ntities, </w:t>
      </w:r>
      <w:r>
        <w:t>the FRC faces</w:t>
      </w:r>
      <w:r w:rsidRPr="00EC412B">
        <w:t xml:space="preserve"> a considerable legislative burden, commensurate with central agencies</w:t>
      </w:r>
      <w:r>
        <w:t>.</w:t>
      </w:r>
      <w:r w:rsidRPr="00EC412B">
        <w:t xml:space="preserve"> </w:t>
      </w:r>
      <w:r w:rsidRPr="00673CE3">
        <w:t>Recent legislative amendments have significantly increased the compliance and governance obligations placed on the Commission.</w:t>
      </w:r>
    </w:p>
    <w:p w14:paraId="5FCC4291" w14:textId="77777777" w:rsidR="00E33727" w:rsidRPr="00673CE3" w:rsidRDefault="00E33727" w:rsidP="00E33727">
      <w:pPr>
        <w:ind w:left="-142" w:right="-425"/>
      </w:pPr>
    </w:p>
    <w:p w14:paraId="773EF826" w14:textId="1B56208F" w:rsidR="00E33727" w:rsidRDefault="00E33727" w:rsidP="00E33727">
      <w:pPr>
        <w:ind w:left="-142" w:right="-425"/>
        <w:jc w:val="both"/>
      </w:pPr>
      <w:r w:rsidRPr="00673CE3">
        <w:t xml:space="preserve">To support these enhanced requirements, the FRC was awarded a grant of $595,000 from </w:t>
      </w:r>
      <w:r w:rsidR="00B91C3E">
        <w:t xml:space="preserve">the </w:t>
      </w:r>
      <w:r w:rsidRPr="00673CE3">
        <w:t xml:space="preserve">Department of Women, Aboriginal and Torres Strait Islander Partnerships and Multiculturalism (DWATSIPM). This funding will assist the Commission in meeting its legislative compliance obligations and supporting general administration. Key initiatives include work required to fulfil responsibilities as a child safe entity </w:t>
      </w:r>
      <w:r>
        <w:t xml:space="preserve">and reporting </w:t>
      </w:r>
      <w:r w:rsidRPr="00673CE3">
        <w:t xml:space="preserve">under the </w:t>
      </w:r>
      <w:r w:rsidRPr="00E33727">
        <w:rPr>
          <w:i/>
          <w:iCs/>
        </w:rPr>
        <w:t>Child Safe Organisations Act 2024</w:t>
      </w:r>
      <w:r>
        <w:t>, including training for staff and Local Commissioners.</w:t>
      </w:r>
    </w:p>
    <w:p w14:paraId="7F1E7359" w14:textId="77777777" w:rsidR="00E33727" w:rsidRDefault="00E33727" w:rsidP="00E33727">
      <w:pPr>
        <w:ind w:left="-142" w:right="-425"/>
      </w:pPr>
    </w:p>
    <w:p w14:paraId="45C2CDD4" w14:textId="77777777" w:rsidR="00E33727" w:rsidRDefault="00E33727" w:rsidP="00E33727">
      <w:pPr>
        <w:ind w:left="-142" w:right="-425"/>
      </w:pPr>
      <w:r w:rsidRPr="00673CE3">
        <w:t>The grant, provided as a one-off payment during the 2024-25 financial year, is available for use over the subsequent two financial years (2025-26 and 2026-27).</w:t>
      </w:r>
    </w:p>
    <w:p w14:paraId="1BC939A3" w14:textId="77777777" w:rsidR="00E33727" w:rsidRPr="00673CE3" w:rsidRDefault="00E33727" w:rsidP="00E33727">
      <w:pPr>
        <w:ind w:left="-142" w:right="-425"/>
      </w:pPr>
    </w:p>
    <w:p w14:paraId="5D5F19F4" w14:textId="77777777" w:rsidR="00E33727" w:rsidRDefault="00E33727" w:rsidP="00E33727">
      <w:pPr>
        <w:ind w:left="-142" w:right="-425"/>
      </w:pPr>
      <w:r w:rsidRPr="00673CE3">
        <w:t>The Commission extends its gratitude to DWATSIPM for their generous support and for providing this critical funding to enable the FRC to meet its compliance and governance responsibilities effectively.</w:t>
      </w:r>
    </w:p>
    <w:p w14:paraId="1571FBB6" w14:textId="77777777" w:rsidR="00E33727" w:rsidRDefault="00E33727" w:rsidP="00E33727">
      <w:pPr>
        <w:ind w:left="-142" w:right="-425"/>
      </w:pPr>
    </w:p>
    <w:p w14:paraId="00DC2296" w14:textId="3CF2A851" w:rsidR="005C1A88" w:rsidRDefault="005C1A88" w:rsidP="0078329A">
      <w:pPr>
        <w:ind w:left="-142" w:right="-425"/>
        <w:jc w:val="both"/>
      </w:pPr>
      <w:r>
        <w:br w:type="page"/>
      </w:r>
    </w:p>
    <w:p w14:paraId="34EE427F"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7A3989D7" w:rsidR="00F058BE" w:rsidRDefault="000541CA" w:rsidP="00256B52">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9B656A">
        <w:rPr>
          <w:noProof/>
        </w:rPr>
        <w:t>7</w:t>
      </w:r>
      <w:r w:rsidR="00F058BE">
        <w:rPr>
          <w:noProof/>
        </w:rPr>
        <w:fldChar w:fldCharType="end"/>
      </w:r>
    </w:p>
    <w:p w14:paraId="62DF3D4A" w14:textId="5997C367" w:rsidR="00F058BE" w:rsidRDefault="00F058BE" w:rsidP="00256B52">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9B656A">
        <w:rPr>
          <w:noProof/>
        </w:rPr>
        <w:t>18</w:t>
      </w:r>
      <w:r>
        <w:rPr>
          <w:noProof/>
        </w:rPr>
        <w:fldChar w:fldCharType="end"/>
      </w:r>
    </w:p>
    <w:p w14:paraId="293F38D2" w14:textId="0B998461" w:rsidR="00F058BE" w:rsidRDefault="00F058BE" w:rsidP="00256B52">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9B656A">
        <w:rPr>
          <w:noProof/>
        </w:rPr>
        <w:t>23</w:t>
      </w:r>
      <w:r>
        <w:rPr>
          <w:noProof/>
        </w:rPr>
        <w:fldChar w:fldCharType="end"/>
      </w:r>
    </w:p>
    <w:p w14:paraId="79738A35" w14:textId="6D4ACA24" w:rsidR="00F058BE" w:rsidRDefault="00F058BE" w:rsidP="00256B52">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9B656A">
        <w:rPr>
          <w:noProof/>
        </w:rPr>
        <w:t>24</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3072CCCC">
                <wp:simplePos x="0" y="0"/>
                <wp:positionH relativeFrom="column">
                  <wp:posOffset>-120015</wp:posOffset>
                </wp:positionH>
                <wp:positionV relativeFrom="paragraph">
                  <wp:posOffset>60960</wp:posOffset>
                </wp:positionV>
                <wp:extent cx="6412230" cy="5162550"/>
                <wp:effectExtent l="0" t="0" r="762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no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Default="00324B7B" w:rsidP="00517C0A">
                            <w:pPr>
                              <w:rPr>
                                <w:rFonts w:cs="Arial"/>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68A5F863" w14:textId="77777777" w:rsidR="00B937CA" w:rsidRPr="00517C0A" w:rsidRDefault="00B937CA" w:rsidP="00517C0A">
                            <w:pPr>
                              <w:rPr>
                                <w:sz w:val="18"/>
                                <w:szCs w:val="18"/>
                              </w:rPr>
                            </w:pP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" stroked="f">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Default="00324B7B" w:rsidP="00517C0A">
                      <w:pPr>
                        <w:rPr>
                          <w:rFonts w:cs="Arial"/>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68A5F863" w14:textId="77777777" w:rsidR="00B937CA" w:rsidRPr="00517C0A" w:rsidRDefault="00B937CA" w:rsidP="00517C0A">
                      <w:pPr>
                        <w:rPr>
                          <w:sz w:val="18"/>
                          <w:szCs w:val="18"/>
                        </w:rPr>
                      </w:pP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6DBD1369" w:rsidR="005A5B78" w:rsidRPr="00B04486" w:rsidRDefault="005A5B78" w:rsidP="005A5B78">
      <w:pPr>
        <w:spacing w:after="240" w:line="240" w:lineRule="auto"/>
        <w:ind w:left="-142"/>
        <w:rPr>
          <w:i/>
          <w:sz w:val="24"/>
          <w:szCs w:val="24"/>
        </w:rPr>
      </w:pPr>
      <w:r w:rsidRPr="00B04486">
        <w:rPr>
          <w:i/>
          <w:sz w:val="24"/>
          <w:szCs w:val="24"/>
        </w:rPr>
        <w:t xml:space="preserve">Report to </w:t>
      </w:r>
      <w:r w:rsidR="008E6F77">
        <w:rPr>
          <w:i/>
          <w:sz w:val="24"/>
          <w:szCs w:val="24"/>
        </w:rPr>
        <w:t>30 June</w:t>
      </w:r>
      <w:r w:rsidR="000504D9">
        <w:rPr>
          <w:i/>
          <w:sz w:val="24"/>
          <w:szCs w:val="24"/>
        </w:rPr>
        <w:t xml:space="preserve"> </w:t>
      </w:r>
      <w:r w:rsidR="00984BBB">
        <w:rPr>
          <w:i/>
          <w:sz w:val="24"/>
          <w:szCs w:val="24"/>
        </w:rPr>
        <w:t>202</w:t>
      </w:r>
      <w:r w:rsidR="000504D9">
        <w:rPr>
          <w:i/>
          <w:sz w:val="24"/>
          <w:szCs w:val="24"/>
        </w:rPr>
        <w:t>5</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bookmarkStart w:id="7" w:name="_Hlk149639732"/>
    </w:p>
    <w:bookmarkEnd w:id="7"/>
    <w:p w14:paraId="3D98B899" w14:textId="7F0B88B2" w:rsidR="00237AB1" w:rsidRPr="003E2C8D" w:rsidRDefault="00237AB1" w:rsidP="00C41210">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 xml:space="preserve">The Commission delivers services to communities which are culturally unique and geographically remote. Each community is </w:t>
      </w:r>
      <w:proofErr w:type="gramStart"/>
      <w:r>
        <w:t>different,</w:t>
      </w:r>
      <w:proofErr w:type="gramEnd"/>
      <w:r>
        <w:t xml:space="preserve">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5DC75D3A"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w:t>
      </w:r>
      <w:r w:rsidR="00F40A56">
        <w:t xml:space="preserve">assessed as within jurisdiction </w:t>
      </w:r>
      <w:r w:rsidR="00637C67">
        <w:t xml:space="preserve">by </w:t>
      </w:r>
      <w:r w:rsidR="00FC4C4F">
        <w:t>individual clients</w:t>
      </w:r>
      <w:r w:rsidR="00637C67">
        <w:t xml:space="preserve"> during the </w:t>
      </w:r>
      <w:r w:rsidR="005461D1">
        <w:t>reporting period</w:t>
      </w:r>
      <w:r w:rsidR="005461D1" w:rsidRPr="00084610">
        <w:t xml:space="preserve">. </w:t>
      </w:r>
      <w:r w:rsidR="007B68DE" w:rsidRPr="00084610">
        <w:t xml:space="preserve">During quarter </w:t>
      </w:r>
      <w:r w:rsidR="00EF7EFC">
        <w:t>68</w:t>
      </w:r>
      <w:r w:rsidR="005728FA" w:rsidRPr="00084610">
        <w:t>,</w:t>
      </w:r>
      <w:r w:rsidR="007B68DE" w:rsidRPr="00084610">
        <w:t xml:space="preserve"> </w:t>
      </w:r>
      <w:r w:rsidR="00E07BD3">
        <w:t>58</w:t>
      </w:r>
      <w:r w:rsidR="00343C30">
        <w:t>6</w:t>
      </w:r>
      <w:r w:rsidR="00E07BD3" w:rsidRPr="00084610">
        <w:t xml:space="preserve"> </w:t>
      </w:r>
      <w:r w:rsidR="006648A1" w:rsidRPr="00084610">
        <w:t xml:space="preserve">clients </w:t>
      </w:r>
      <w:r w:rsidR="00FE5409" w:rsidRPr="00084610">
        <w:t>(</w:t>
      </w:r>
      <w:r w:rsidR="00E07BD3">
        <w:t>9</w:t>
      </w:r>
      <w:r w:rsidR="00343C30">
        <w:t>1</w:t>
      </w:r>
      <w:r w:rsidR="00DD36DF" w:rsidRPr="00084610">
        <w:t>%</w:t>
      </w:r>
      <w:r w:rsidR="006648A1" w:rsidRPr="00084610">
        <w:t>)</w:t>
      </w:r>
      <w:r w:rsidR="00FE5409" w:rsidRPr="00084610">
        <w:t xml:space="preserve"> were notified to the Commission with only one type of trigger notice</w:t>
      </w:r>
      <w:r w:rsidR="003A48E8" w:rsidRPr="00084610">
        <w:t>. T</w:t>
      </w:r>
      <w:r w:rsidR="00FE5409" w:rsidRPr="00084610">
        <w:t xml:space="preserve">he remaining </w:t>
      </w:r>
      <w:r w:rsidR="00E07BD3">
        <w:t>55</w:t>
      </w:r>
      <w:r w:rsidR="0078063B" w:rsidRPr="00084610">
        <w:t xml:space="preserve"> </w:t>
      </w:r>
      <w:r w:rsidR="006648A1" w:rsidRPr="00084610">
        <w:t xml:space="preserve">clients </w:t>
      </w:r>
      <w:r w:rsidR="00FE5409" w:rsidRPr="00084610">
        <w:t>(</w:t>
      </w:r>
      <w:r w:rsidR="00343C30">
        <w:t>9</w:t>
      </w:r>
      <w:r w:rsidR="00DD36DF" w:rsidRPr="00084610">
        <w:t>%</w:t>
      </w:r>
      <w:r w:rsidR="00FE5409" w:rsidRPr="00084610">
        <w:t>) received more than one type of trigger notice.</w:t>
      </w:r>
    </w:p>
    <w:p w14:paraId="3B2D50C8" w14:textId="77777777" w:rsidR="00DD432B" w:rsidRDefault="00DD432B" w:rsidP="0024013F">
      <w:pPr>
        <w:tabs>
          <w:tab w:val="left" w:pos="1134"/>
        </w:tabs>
        <w:ind w:left="-142" w:right="-425"/>
        <w:jc w:val="both"/>
      </w:pPr>
    </w:p>
    <w:p w14:paraId="186B821C" w14:textId="7AE184CF" w:rsidR="00DD432B" w:rsidRPr="00811A70" w:rsidRDefault="00DD432B" w:rsidP="00DD432B">
      <w:pPr>
        <w:spacing w:after="120" w:line="240" w:lineRule="auto"/>
        <w:ind w:left="794" w:hanging="794"/>
        <w:rPr>
          <w:bCs/>
          <w:sz w:val="16"/>
          <w:szCs w:val="16"/>
        </w:rPr>
      </w:pPr>
      <w:r w:rsidRPr="00DD432B">
        <w:rPr>
          <w:b/>
          <w:sz w:val="16"/>
          <w:szCs w:val="16"/>
        </w:rPr>
        <w:t xml:space="preserve">Table 2: </w:t>
      </w:r>
      <w:r w:rsidRPr="00DD432B">
        <w:rPr>
          <w:bCs/>
          <w:sz w:val="16"/>
          <w:szCs w:val="16"/>
        </w:rPr>
        <w:t xml:space="preserve">Number of clients by number of different types of agency notices </w:t>
      </w:r>
      <w:r w:rsidR="00084610">
        <w:rPr>
          <w:bCs/>
          <w:sz w:val="16"/>
          <w:szCs w:val="16"/>
        </w:rPr>
        <w:t>assessed as within jurisdiction</w:t>
      </w:r>
      <w:r w:rsidR="00084610" w:rsidRPr="00DD432B">
        <w:rPr>
          <w:bCs/>
          <w:sz w:val="16"/>
          <w:szCs w:val="16"/>
        </w:rPr>
        <w:t xml:space="preserve"> </w:t>
      </w:r>
      <w:r w:rsidR="008E6F77">
        <w:rPr>
          <w:bCs/>
          <w:sz w:val="16"/>
          <w:szCs w:val="16"/>
        </w:rPr>
        <w:t>1 April</w:t>
      </w:r>
      <w:r w:rsidR="00A828FA">
        <w:rPr>
          <w:bCs/>
          <w:sz w:val="16"/>
          <w:szCs w:val="16"/>
        </w:rPr>
        <w:t xml:space="preserve"> </w:t>
      </w:r>
      <w:r w:rsidR="00241C79">
        <w:rPr>
          <w:bCs/>
          <w:sz w:val="16"/>
          <w:szCs w:val="16"/>
        </w:rPr>
        <w:t>202</w:t>
      </w:r>
      <w:r w:rsidR="00A828FA">
        <w:rPr>
          <w:bCs/>
          <w:sz w:val="16"/>
          <w:szCs w:val="16"/>
        </w:rPr>
        <w:t>5</w:t>
      </w:r>
      <w:r w:rsidR="00241C79">
        <w:rPr>
          <w:bCs/>
          <w:sz w:val="16"/>
          <w:szCs w:val="16"/>
        </w:rPr>
        <w:t xml:space="preserve"> to </w:t>
      </w:r>
      <w:r w:rsidR="008E6F77">
        <w:rPr>
          <w:bCs/>
          <w:sz w:val="16"/>
          <w:szCs w:val="16"/>
        </w:rPr>
        <w:t>30 June</w:t>
      </w:r>
      <w:r w:rsidR="00A828FA">
        <w:rPr>
          <w:bCs/>
          <w:sz w:val="16"/>
          <w:szCs w:val="16"/>
        </w:rPr>
        <w:t xml:space="preserve"> </w:t>
      </w:r>
      <w:r w:rsidR="00BC09BB">
        <w:rPr>
          <w:bCs/>
          <w:sz w:val="16"/>
          <w:szCs w:val="16"/>
        </w:rPr>
        <w:t>202</w:t>
      </w:r>
      <w:r w:rsidR="00A828FA">
        <w:rPr>
          <w:bCs/>
          <w:sz w:val="16"/>
          <w:szCs w:val="16"/>
        </w:rPr>
        <w:t>5</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E07BD3" w:rsidRPr="00FE5409" w14:paraId="2BC71674" w14:textId="77777777" w:rsidTr="0088566E">
        <w:trPr>
          <w:trHeight w:val="300"/>
        </w:trPr>
        <w:tc>
          <w:tcPr>
            <w:tcW w:w="2200" w:type="dxa"/>
          </w:tcPr>
          <w:p w14:paraId="35C66FA9" w14:textId="6C9CB49D" w:rsidR="00E07BD3" w:rsidRDefault="00E07BD3" w:rsidP="00E07BD3">
            <w:pPr>
              <w:spacing w:line="240" w:lineRule="auto"/>
              <w:jc w:val="center"/>
              <w:rPr>
                <w:rFonts w:cs="Arial"/>
                <w:color w:val="000000"/>
              </w:rPr>
            </w:pPr>
            <w:r>
              <w:rPr>
                <w:rFonts w:cs="Arial"/>
                <w:color w:val="000000"/>
              </w:rPr>
              <w:t>1</w:t>
            </w:r>
          </w:p>
        </w:tc>
        <w:tc>
          <w:tcPr>
            <w:tcW w:w="1197" w:type="dxa"/>
          </w:tcPr>
          <w:p w14:paraId="18B67C31" w14:textId="10C9FD40" w:rsidR="00E07BD3" w:rsidRPr="00973B50" w:rsidRDefault="00E07BD3" w:rsidP="00E07BD3">
            <w:pPr>
              <w:spacing w:line="240" w:lineRule="auto"/>
              <w:jc w:val="right"/>
              <w:rPr>
                <w:rFonts w:cs="Arial"/>
                <w:color w:val="000000"/>
              </w:rPr>
            </w:pPr>
            <w:r w:rsidRPr="0031519F">
              <w:rPr>
                <w:rFonts w:cs="Arial"/>
              </w:rPr>
              <w:t>586</w:t>
            </w:r>
          </w:p>
        </w:tc>
      </w:tr>
      <w:tr w:rsidR="00E07BD3" w:rsidRPr="00FE5409" w14:paraId="1A7DB5C2" w14:textId="77777777" w:rsidTr="0088566E">
        <w:trPr>
          <w:trHeight w:val="300"/>
        </w:trPr>
        <w:tc>
          <w:tcPr>
            <w:tcW w:w="2200" w:type="dxa"/>
          </w:tcPr>
          <w:p w14:paraId="0FB531E4" w14:textId="04C6BBCA" w:rsidR="00E07BD3" w:rsidRDefault="00E07BD3" w:rsidP="00E07BD3">
            <w:pPr>
              <w:spacing w:line="240" w:lineRule="auto"/>
              <w:jc w:val="center"/>
              <w:rPr>
                <w:rFonts w:cs="Arial"/>
                <w:color w:val="000000"/>
              </w:rPr>
            </w:pPr>
            <w:r>
              <w:rPr>
                <w:rFonts w:cs="Arial"/>
                <w:color w:val="000000"/>
              </w:rPr>
              <w:t>2</w:t>
            </w:r>
          </w:p>
        </w:tc>
        <w:tc>
          <w:tcPr>
            <w:tcW w:w="1197" w:type="dxa"/>
          </w:tcPr>
          <w:p w14:paraId="3547B1D3" w14:textId="592BD6EC" w:rsidR="00E07BD3" w:rsidRPr="00973B50" w:rsidRDefault="00E07BD3" w:rsidP="00E07BD3">
            <w:pPr>
              <w:spacing w:line="240" w:lineRule="auto"/>
              <w:jc w:val="right"/>
              <w:rPr>
                <w:rFonts w:cs="Calibri"/>
                <w:color w:val="000000"/>
                <w:lang w:eastAsia="en-AU"/>
              </w:rPr>
            </w:pPr>
            <w:r w:rsidRPr="0031519F">
              <w:rPr>
                <w:rFonts w:cs="Arial"/>
              </w:rPr>
              <w:t>4</w:t>
            </w:r>
            <w:r w:rsidR="00A543FF">
              <w:rPr>
                <w:rFonts w:cs="Arial"/>
              </w:rPr>
              <w:t>6</w:t>
            </w:r>
          </w:p>
        </w:tc>
      </w:tr>
      <w:tr w:rsidR="00E07BD3" w:rsidRPr="00FE5409" w14:paraId="172CBC7C" w14:textId="77777777" w:rsidTr="0088566E">
        <w:trPr>
          <w:trHeight w:val="300"/>
        </w:trPr>
        <w:tc>
          <w:tcPr>
            <w:tcW w:w="2200" w:type="dxa"/>
          </w:tcPr>
          <w:p w14:paraId="63B29F9A" w14:textId="295E5F8B" w:rsidR="00E07BD3" w:rsidRDefault="00E07BD3" w:rsidP="00E07BD3">
            <w:pPr>
              <w:spacing w:line="240" w:lineRule="auto"/>
              <w:jc w:val="center"/>
              <w:rPr>
                <w:rFonts w:cs="Arial"/>
                <w:color w:val="000000"/>
              </w:rPr>
            </w:pPr>
            <w:r>
              <w:rPr>
                <w:rFonts w:cs="Arial"/>
                <w:color w:val="000000"/>
              </w:rPr>
              <w:t>3</w:t>
            </w:r>
          </w:p>
        </w:tc>
        <w:tc>
          <w:tcPr>
            <w:tcW w:w="1197" w:type="dxa"/>
          </w:tcPr>
          <w:p w14:paraId="56A1C5C3" w14:textId="4FACF4BB" w:rsidR="00E07BD3" w:rsidRPr="00973B50" w:rsidRDefault="00A543FF" w:rsidP="00E07BD3">
            <w:pPr>
              <w:spacing w:line="240" w:lineRule="auto"/>
              <w:jc w:val="right"/>
              <w:rPr>
                <w:rFonts w:cs="Calibri"/>
                <w:color w:val="000000"/>
                <w:lang w:eastAsia="en-AU"/>
              </w:rPr>
            </w:pPr>
            <w:r>
              <w:rPr>
                <w:rFonts w:cs="Calibri"/>
                <w:color w:val="000000"/>
              </w:rPr>
              <w:t>9</w:t>
            </w:r>
          </w:p>
        </w:tc>
      </w:tr>
      <w:tr w:rsidR="00E07BD3" w:rsidRPr="00FE5409" w14:paraId="5A2EB27F" w14:textId="77777777" w:rsidTr="0088566E">
        <w:trPr>
          <w:trHeight w:val="300"/>
        </w:trPr>
        <w:tc>
          <w:tcPr>
            <w:tcW w:w="2200" w:type="dxa"/>
          </w:tcPr>
          <w:p w14:paraId="1CA873EF" w14:textId="2882A1C2" w:rsidR="00E07BD3" w:rsidRDefault="00E07BD3" w:rsidP="00E07BD3">
            <w:pPr>
              <w:spacing w:line="240" w:lineRule="auto"/>
              <w:jc w:val="center"/>
              <w:rPr>
                <w:rFonts w:cs="Arial"/>
                <w:color w:val="000000"/>
              </w:rPr>
            </w:pPr>
            <w:r>
              <w:rPr>
                <w:rFonts w:cs="Arial"/>
                <w:color w:val="000000"/>
              </w:rPr>
              <w:t>4</w:t>
            </w:r>
          </w:p>
        </w:tc>
        <w:tc>
          <w:tcPr>
            <w:tcW w:w="1197" w:type="dxa"/>
          </w:tcPr>
          <w:p w14:paraId="05745006" w14:textId="4B84C779" w:rsidR="00E07BD3" w:rsidRPr="00973B50" w:rsidRDefault="00E07BD3" w:rsidP="00E07BD3">
            <w:pPr>
              <w:spacing w:line="240" w:lineRule="auto"/>
              <w:jc w:val="right"/>
              <w:rPr>
                <w:rFonts w:cs="Calibri"/>
                <w:color w:val="000000"/>
                <w:lang w:eastAsia="en-AU"/>
              </w:rPr>
            </w:pPr>
            <w:r w:rsidRPr="0031519F">
              <w:rPr>
                <w:rFonts w:cs="Arial"/>
              </w:rPr>
              <w:t>0</w:t>
            </w:r>
          </w:p>
        </w:tc>
      </w:tr>
      <w:tr w:rsidR="00E07BD3" w:rsidRPr="00FE5409" w14:paraId="3D8BDCCA" w14:textId="77777777" w:rsidTr="0088566E">
        <w:trPr>
          <w:trHeight w:val="300"/>
        </w:trPr>
        <w:tc>
          <w:tcPr>
            <w:tcW w:w="2200" w:type="dxa"/>
            <w:hideMark/>
          </w:tcPr>
          <w:p w14:paraId="44CD1767" w14:textId="77777777" w:rsidR="00E07BD3" w:rsidRPr="00FE5409" w:rsidRDefault="00E07BD3" w:rsidP="00E07BD3">
            <w:pPr>
              <w:spacing w:line="240" w:lineRule="auto"/>
              <w:rPr>
                <w:rFonts w:cs="Calibri"/>
                <w:b/>
                <w:bCs/>
                <w:color w:val="000000"/>
                <w:lang w:eastAsia="en-AU"/>
              </w:rPr>
            </w:pPr>
            <w:r w:rsidRPr="00FE5409">
              <w:rPr>
                <w:rFonts w:cs="Calibri"/>
                <w:b/>
                <w:bCs/>
                <w:color w:val="000000"/>
                <w:lang w:eastAsia="en-AU"/>
              </w:rPr>
              <w:t>Total</w:t>
            </w:r>
          </w:p>
        </w:tc>
        <w:tc>
          <w:tcPr>
            <w:tcW w:w="1197" w:type="dxa"/>
          </w:tcPr>
          <w:p w14:paraId="0B07992C" w14:textId="3FE53E1B" w:rsidR="00E07BD3" w:rsidRPr="00973B50" w:rsidRDefault="00E07BD3" w:rsidP="00E07BD3">
            <w:pPr>
              <w:spacing w:line="240" w:lineRule="auto"/>
              <w:jc w:val="right"/>
              <w:rPr>
                <w:rFonts w:cs="Calibri"/>
                <w:b/>
                <w:bCs/>
                <w:color w:val="000000"/>
                <w:lang w:eastAsia="en-AU"/>
              </w:rPr>
            </w:pPr>
            <w:r w:rsidRPr="0031519F">
              <w:rPr>
                <w:rFonts w:cs="Arial"/>
                <w:b/>
                <w:bCs/>
              </w:rPr>
              <w:t>641</w:t>
            </w:r>
          </w:p>
        </w:tc>
      </w:tr>
    </w:tbl>
    <w:p w14:paraId="2969FCB4" w14:textId="77777777" w:rsidR="00DD432B" w:rsidRDefault="00DD432B" w:rsidP="0024013F">
      <w:pPr>
        <w:tabs>
          <w:tab w:val="left" w:pos="1134"/>
        </w:tabs>
        <w:ind w:left="-142" w:right="-425"/>
        <w:jc w:val="both"/>
      </w:pPr>
    </w:p>
    <w:p w14:paraId="27EFE698" w14:textId="07C6E5F7"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w:t>
      </w:r>
      <w:r w:rsidR="00084610">
        <w:t xml:space="preserve">assessed as within jurisdiction </w:t>
      </w:r>
      <w:r>
        <w:t xml:space="preserve">by </w:t>
      </w:r>
      <w:r w:rsidR="003317A8">
        <w:t xml:space="preserve">Commission </w:t>
      </w:r>
      <w:r w:rsidR="001B6C3A">
        <w:t xml:space="preserve">clients </w:t>
      </w:r>
      <w:r w:rsidR="003317A8">
        <w:t>during the quarter</w:t>
      </w:r>
      <w:r>
        <w:t>:</w:t>
      </w:r>
    </w:p>
    <w:p w14:paraId="6C36ABA8" w14:textId="43F1E225" w:rsidR="003317A8" w:rsidRPr="00084610" w:rsidRDefault="00FB4106" w:rsidP="005C0A9F">
      <w:pPr>
        <w:tabs>
          <w:tab w:val="decimal" w:pos="720"/>
        </w:tabs>
        <w:ind w:left="-142" w:right="-425"/>
        <w:jc w:val="both"/>
      </w:pPr>
      <w:r>
        <w:tab/>
      </w:r>
      <w:r w:rsidR="00973B50">
        <w:t>70</w:t>
      </w:r>
      <w:r w:rsidR="00DD36DF" w:rsidRPr="00084610">
        <w:t>%</w:t>
      </w:r>
      <w:r w:rsidR="003317A8" w:rsidRPr="00084610">
        <w:t xml:space="preserve"> received a school attendance </w:t>
      </w:r>
      <w:r w:rsidR="00546F72" w:rsidRPr="00084610">
        <w:t xml:space="preserve">(EQ) </w:t>
      </w:r>
      <w:r w:rsidR="003317A8" w:rsidRPr="00084610">
        <w:t>notice</w:t>
      </w:r>
    </w:p>
    <w:p w14:paraId="148CD9E5" w14:textId="67F27F64" w:rsidR="003317A8" w:rsidRDefault="00FB4106" w:rsidP="005C0A9F">
      <w:pPr>
        <w:tabs>
          <w:tab w:val="decimal" w:pos="720"/>
        </w:tabs>
        <w:ind w:left="-142" w:right="-425"/>
        <w:jc w:val="both"/>
      </w:pPr>
      <w:r w:rsidRPr="00084610">
        <w:tab/>
      </w:r>
      <w:r w:rsidR="00973B50">
        <w:t>9</w:t>
      </w:r>
      <w:r w:rsidR="00DD36DF" w:rsidRPr="00084610">
        <w:t>%</w:t>
      </w:r>
      <w:r w:rsidR="00FC7C1D" w:rsidRPr="00084610">
        <w:t xml:space="preserve"> </w:t>
      </w:r>
      <w:r w:rsidR="00492241" w:rsidRPr="00084610">
        <w:t>received a Magistrate</w:t>
      </w:r>
      <w:r w:rsidR="00987C15" w:rsidRPr="00084610">
        <w:t>s</w:t>
      </w:r>
      <w:r w:rsidR="00492241" w:rsidRPr="00084610">
        <w:t xml:space="preserve"> Co</w:t>
      </w:r>
      <w:r w:rsidR="00E364B4" w:rsidRPr="00084610">
        <w:t>u</w:t>
      </w:r>
      <w:r w:rsidR="00492241" w:rsidRPr="00084610">
        <w:t xml:space="preserve">rt </w:t>
      </w:r>
      <w:r w:rsidR="00546F72" w:rsidRPr="00084610">
        <w:t xml:space="preserve">(MAG) </w:t>
      </w:r>
      <w:r w:rsidR="00492241" w:rsidRPr="00084610">
        <w:t>notice</w:t>
      </w:r>
    </w:p>
    <w:p w14:paraId="1066362D" w14:textId="7682E1AF" w:rsidR="0061543F" w:rsidRPr="00084610" w:rsidRDefault="0061543F" w:rsidP="005C0A9F">
      <w:pPr>
        <w:tabs>
          <w:tab w:val="decimal" w:pos="720"/>
        </w:tabs>
        <w:ind w:left="-142" w:right="-425"/>
        <w:jc w:val="both"/>
      </w:pPr>
      <w:r w:rsidRPr="00084610">
        <w:tab/>
      </w:r>
      <w:r w:rsidR="00973B50">
        <w:t>7</w:t>
      </w:r>
      <w:r w:rsidRPr="00084610">
        <w:t>% received a domestic violence order (DVO) notice</w:t>
      </w:r>
    </w:p>
    <w:p w14:paraId="5A439687" w14:textId="2D6A5B53" w:rsidR="003473B7" w:rsidRDefault="005D2783" w:rsidP="0061543F">
      <w:pPr>
        <w:tabs>
          <w:tab w:val="decimal" w:pos="720"/>
        </w:tabs>
        <w:ind w:left="-142" w:right="-425"/>
        <w:jc w:val="both"/>
      </w:pPr>
      <w:r w:rsidRPr="00084610">
        <w:tab/>
      </w:r>
      <w:r w:rsidR="00973B50">
        <w:t>3</w:t>
      </w:r>
      <w:r w:rsidR="00DD36DF" w:rsidRPr="00084610">
        <w:t>%</w:t>
      </w:r>
      <w:r w:rsidRPr="00084610">
        <w:t xml:space="preserve"> received a </w:t>
      </w:r>
      <w:r w:rsidR="001D7A9C" w:rsidRPr="00084610">
        <w:t xml:space="preserve">child safety and welfare (CS) </w:t>
      </w:r>
      <w:r w:rsidRPr="00084610">
        <w:t>notice</w:t>
      </w:r>
    </w:p>
    <w:p w14:paraId="2B40E337" w14:textId="41420A26" w:rsidR="0061543F" w:rsidRDefault="0061543F" w:rsidP="003473B7">
      <w:pPr>
        <w:tabs>
          <w:tab w:val="decimal" w:pos="720"/>
        </w:tabs>
        <w:ind w:left="-142" w:right="-425"/>
        <w:jc w:val="both"/>
      </w:pPr>
      <w:r>
        <w:tab/>
      </w:r>
      <w:r w:rsidR="00973B50">
        <w:t>1</w:t>
      </w:r>
      <w:r w:rsidRPr="00084610">
        <w:t xml:space="preserve">% received a </w:t>
      </w:r>
      <w:r>
        <w:t>Childrens Court</w:t>
      </w:r>
      <w:r w:rsidRPr="00084610">
        <w:t xml:space="preserve"> (</w:t>
      </w:r>
      <w:r>
        <w:t>CHI</w:t>
      </w:r>
      <w:r w:rsidRPr="00084610">
        <w:t>) notice</w:t>
      </w:r>
    </w:p>
    <w:p w14:paraId="7D5D4800" w14:textId="393BCCDF" w:rsidR="00973B50" w:rsidRDefault="00973B50" w:rsidP="003473B7">
      <w:pPr>
        <w:tabs>
          <w:tab w:val="decimal" w:pos="720"/>
        </w:tabs>
        <w:ind w:left="-142" w:right="-425"/>
        <w:jc w:val="both"/>
      </w:pPr>
      <w:r>
        <w:tab/>
        <w:t>1% received a Housing tenancy breach (HT) notice.</w:t>
      </w:r>
    </w:p>
    <w:p w14:paraId="7E950EE4" w14:textId="77777777" w:rsidR="003C0A9A" w:rsidRPr="00084610" w:rsidRDefault="003C0A9A" w:rsidP="005C0A9F">
      <w:pPr>
        <w:tabs>
          <w:tab w:val="decimal" w:pos="720"/>
        </w:tabs>
        <w:ind w:left="-142" w:right="-425"/>
        <w:jc w:val="both"/>
      </w:pPr>
    </w:p>
    <w:p w14:paraId="74CFEB98" w14:textId="04E76B26" w:rsidR="002B14E8" w:rsidRPr="00084610" w:rsidRDefault="002B14E8" w:rsidP="001E5F23">
      <w:pPr>
        <w:tabs>
          <w:tab w:val="left" w:pos="1134"/>
        </w:tabs>
        <w:ind w:left="-142" w:right="-425"/>
        <w:jc w:val="both"/>
      </w:pPr>
      <w:r w:rsidRPr="00084610">
        <w:t>The remaining sole trigger notice</w:t>
      </w:r>
      <w:r w:rsidR="001F5264">
        <w:t>s</w:t>
      </w:r>
      <w:r w:rsidRPr="00084610">
        <w:t xml:space="preserve"> </w:t>
      </w:r>
      <w:r w:rsidR="00084610">
        <w:t xml:space="preserve">assessed as within jurisdiction </w:t>
      </w:r>
      <w:r w:rsidRPr="00084610">
        <w:t>for Commission client</w:t>
      </w:r>
      <w:r w:rsidR="00804B99" w:rsidRPr="00084610">
        <w:t>s</w:t>
      </w:r>
      <w:r w:rsidRPr="00084610">
        <w:t xml:space="preserve"> during the quarter </w:t>
      </w:r>
      <w:r w:rsidR="001978C4">
        <w:t>were</w:t>
      </w:r>
      <w:r w:rsidR="001978C4" w:rsidRPr="00084610">
        <w:t xml:space="preserve"> </w:t>
      </w:r>
      <w:r w:rsidR="00973B50">
        <w:t>3</w:t>
      </w:r>
      <w:r w:rsidR="001D7A9C" w:rsidRPr="00084610">
        <w:t xml:space="preserve"> </w:t>
      </w:r>
      <w:r w:rsidR="000827CC" w:rsidRPr="00084610">
        <w:t>client</w:t>
      </w:r>
      <w:r w:rsidR="001978C4">
        <w:t>s</w:t>
      </w:r>
      <w:r w:rsidR="000827CC" w:rsidRPr="00084610">
        <w:t xml:space="preserve"> with a </w:t>
      </w:r>
      <w:r w:rsidR="00973B50" w:rsidRPr="00084610">
        <w:t>domestic violence breach (DVB)</w:t>
      </w:r>
      <w:r w:rsidR="00973B50">
        <w:t xml:space="preserve"> notice and 1 client with a school </w:t>
      </w:r>
      <w:r w:rsidR="004323A9">
        <w:t>e</w:t>
      </w:r>
      <w:r w:rsidR="00973B50">
        <w:t>nrolment (SEN) notice.</w:t>
      </w:r>
    </w:p>
    <w:p w14:paraId="45C18E5D" w14:textId="77777777" w:rsidR="00085687" w:rsidRPr="00084610" w:rsidRDefault="00085687" w:rsidP="004E36FE">
      <w:pPr>
        <w:tabs>
          <w:tab w:val="left" w:pos="1134"/>
        </w:tabs>
        <w:ind w:left="-142" w:right="-425"/>
        <w:jc w:val="both"/>
      </w:pPr>
    </w:p>
    <w:p w14:paraId="78ABBEEE" w14:textId="1570178F" w:rsidR="004E36FE" w:rsidRDefault="00702AE8" w:rsidP="004E36FE">
      <w:pPr>
        <w:tabs>
          <w:tab w:val="left" w:pos="1134"/>
        </w:tabs>
        <w:ind w:left="-142" w:right="-425"/>
        <w:jc w:val="both"/>
      </w:pPr>
      <w:r w:rsidRPr="00084610">
        <w:t xml:space="preserve">Table </w:t>
      </w:r>
      <w:r w:rsidR="002522F2" w:rsidRPr="00084610">
        <w:t>3</w:t>
      </w:r>
      <w:r w:rsidRPr="00084610">
        <w:t xml:space="preserve"> shows t</w:t>
      </w:r>
      <w:r w:rsidR="00D87B74" w:rsidRPr="00084610">
        <w:t xml:space="preserve">he combination of trigger notices </w:t>
      </w:r>
      <w:r w:rsidR="00084610">
        <w:t xml:space="preserve">assessed as within jurisdiction </w:t>
      </w:r>
      <w:r w:rsidR="00D87B74" w:rsidRPr="00084610">
        <w:t xml:space="preserve">for </w:t>
      </w:r>
      <w:r w:rsidR="00A430B9" w:rsidRPr="00084610">
        <w:t xml:space="preserve">the </w:t>
      </w:r>
      <w:r w:rsidR="00973B50">
        <w:t>55</w:t>
      </w:r>
      <w:r w:rsidR="00973B50" w:rsidRPr="00084610">
        <w:t xml:space="preserve"> </w:t>
      </w:r>
      <w:r w:rsidR="00DB02B5" w:rsidRPr="00084610">
        <w:t xml:space="preserve">clients </w:t>
      </w:r>
      <w:r w:rsidR="006E1ADD" w:rsidRPr="00084610">
        <w:t>w</w:t>
      </w:r>
      <w:r w:rsidR="00266BB4" w:rsidRPr="00084610">
        <w:t xml:space="preserve">ith </w:t>
      </w:r>
      <w:r w:rsidR="00DB02B5" w:rsidRPr="00084610">
        <w:t xml:space="preserve">more than one </w:t>
      </w:r>
      <w:r w:rsidR="00D87B74" w:rsidRPr="00084610">
        <w:t xml:space="preserve">type of </w:t>
      </w:r>
      <w:r w:rsidR="00DB02B5" w:rsidRPr="00084610">
        <w:t xml:space="preserve">trigger </w:t>
      </w:r>
      <w:r w:rsidR="00D87B74" w:rsidRPr="00084610">
        <w:t xml:space="preserve">notice. One can see that predominantly </w:t>
      </w:r>
      <w:r w:rsidR="00E451BA" w:rsidRPr="00084610">
        <w:t>there is a nexus between</w:t>
      </w:r>
      <w:r w:rsidR="00266BB4" w:rsidRPr="00692906">
        <w:t xml:space="preserve"> </w:t>
      </w:r>
      <w:r w:rsidR="00D87B74" w:rsidRPr="00692906">
        <w:t xml:space="preserve">Court convictions </w:t>
      </w:r>
      <w:r w:rsidR="00266BB4" w:rsidRPr="00692906">
        <w:t xml:space="preserve">and domestic violence orders/breaches </w:t>
      </w:r>
      <w:r w:rsidR="00E451BA" w:rsidRPr="00692906">
        <w:t>with</w:t>
      </w:r>
      <w:r w:rsidR="00D87B74" w:rsidRPr="00692906">
        <w:t xml:space="preserve"> education </w:t>
      </w:r>
      <w:r w:rsidR="00E451BA" w:rsidRPr="00692906">
        <w:t xml:space="preserve">notices </w:t>
      </w:r>
      <w:r w:rsidR="00D87B74" w:rsidRPr="00692906">
        <w:t>and child safety issues</w:t>
      </w:r>
      <w:r w:rsidR="00A903B1" w:rsidRPr="00692906">
        <w:t xml:space="preserve">, </w:t>
      </w:r>
      <w:proofErr w:type="gramStart"/>
      <w:r w:rsidR="00A903B1" w:rsidRPr="00692906">
        <w:t xml:space="preserve">and </w:t>
      </w:r>
      <w:r w:rsidR="00E451BA" w:rsidRPr="00692906">
        <w:t>also</w:t>
      </w:r>
      <w:proofErr w:type="gramEnd"/>
      <w:r w:rsidR="00E451BA" w:rsidRPr="00692906">
        <w:t xml:space="preserve"> </w:t>
      </w:r>
      <w:r w:rsidR="00A903B1" w:rsidRPr="00692906">
        <w:t>a strong nexus between child safety issues and education notices</w:t>
      </w:r>
      <w:r w:rsidR="00266BB4" w:rsidRPr="00692906">
        <w:t>.</w:t>
      </w:r>
    </w:p>
    <w:p w14:paraId="1F2400EB" w14:textId="77777777" w:rsidR="002522F2" w:rsidRPr="007A56DA" w:rsidRDefault="002522F2">
      <w:pPr>
        <w:spacing w:line="240" w:lineRule="auto"/>
        <w:rPr>
          <w:bCs/>
        </w:rPr>
      </w:pPr>
      <w:r w:rsidRPr="007A56DA">
        <w:rPr>
          <w:bCs/>
        </w:rPr>
        <w:br w:type="page"/>
      </w:r>
    </w:p>
    <w:p w14:paraId="545211AE" w14:textId="0A80AF06" w:rsidR="0030587D" w:rsidRPr="00811A70" w:rsidRDefault="0030587D" w:rsidP="00A828FA">
      <w:pPr>
        <w:spacing w:after="120" w:line="240" w:lineRule="auto"/>
        <w:ind w:left="794" w:hanging="794"/>
        <w:rPr>
          <w:bCs/>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w:t>
      </w:r>
      <w:r w:rsidR="00084610" w:rsidRPr="00084610">
        <w:rPr>
          <w:sz w:val="16"/>
          <w:szCs w:val="16"/>
        </w:rPr>
        <w:t>assessed as within jurisdiction</w:t>
      </w:r>
      <w:r w:rsidR="00084610">
        <w:t xml:space="preserve"> </w:t>
      </w:r>
      <w:r w:rsidR="00352CA2" w:rsidRPr="00352CA2">
        <w:rPr>
          <w:bCs/>
          <w:sz w:val="16"/>
          <w:szCs w:val="16"/>
        </w:rPr>
        <w:t xml:space="preserve">from </w:t>
      </w:r>
      <w:r w:rsidR="008E6F77">
        <w:rPr>
          <w:bCs/>
          <w:sz w:val="16"/>
          <w:szCs w:val="16"/>
        </w:rPr>
        <w:t>1 April</w:t>
      </w:r>
      <w:r w:rsidR="00A828FA">
        <w:rPr>
          <w:bCs/>
          <w:sz w:val="16"/>
          <w:szCs w:val="16"/>
        </w:rPr>
        <w:t xml:space="preserve"> 2025 to </w:t>
      </w:r>
      <w:r w:rsidR="008E6F77">
        <w:rPr>
          <w:bCs/>
          <w:sz w:val="16"/>
          <w:szCs w:val="16"/>
        </w:rPr>
        <w:t>30 June</w:t>
      </w:r>
      <w:r w:rsidR="00A828FA">
        <w:rPr>
          <w:bCs/>
          <w:sz w:val="16"/>
          <w:szCs w:val="16"/>
        </w:rPr>
        <w:t xml:space="preserve"> 2025</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973B50" w:rsidRPr="00FE5409" w14:paraId="64F5C240" w14:textId="77777777" w:rsidTr="000B2FD5">
        <w:trPr>
          <w:trHeight w:val="300"/>
        </w:trPr>
        <w:tc>
          <w:tcPr>
            <w:tcW w:w="2200" w:type="dxa"/>
            <w:vAlign w:val="bottom"/>
          </w:tcPr>
          <w:p w14:paraId="64FAEBBA" w14:textId="61300DE1" w:rsidR="00973B50" w:rsidRPr="00973B50" w:rsidRDefault="00973B50" w:rsidP="00973B50">
            <w:pPr>
              <w:spacing w:line="240" w:lineRule="auto"/>
              <w:rPr>
                <w:rFonts w:cs="Calibri"/>
              </w:rPr>
            </w:pPr>
            <w:r>
              <w:rPr>
                <w:rFonts w:ascii="Aptos Narrow" w:hAnsi="Aptos Narrow"/>
                <w:color w:val="000000"/>
                <w:sz w:val="22"/>
                <w:szCs w:val="22"/>
              </w:rPr>
              <w:t>CHI,EQ</w:t>
            </w:r>
          </w:p>
        </w:tc>
        <w:tc>
          <w:tcPr>
            <w:tcW w:w="1197" w:type="dxa"/>
            <w:vAlign w:val="bottom"/>
          </w:tcPr>
          <w:p w14:paraId="09322D05" w14:textId="0B915A9E" w:rsidR="00973B50" w:rsidRPr="00973B50" w:rsidRDefault="00973B50" w:rsidP="00973B50">
            <w:pPr>
              <w:spacing w:line="240" w:lineRule="auto"/>
              <w:jc w:val="right"/>
              <w:rPr>
                <w:rFonts w:cs="Arial"/>
              </w:rPr>
            </w:pPr>
            <w:r>
              <w:rPr>
                <w:rFonts w:ascii="Aptos Narrow" w:hAnsi="Aptos Narrow"/>
                <w:color w:val="000000"/>
                <w:sz w:val="22"/>
                <w:szCs w:val="22"/>
              </w:rPr>
              <w:t>2</w:t>
            </w:r>
          </w:p>
        </w:tc>
      </w:tr>
      <w:tr w:rsidR="00973B50" w:rsidRPr="00FE5409" w14:paraId="7BAB11DF" w14:textId="77777777" w:rsidTr="000B2FD5">
        <w:trPr>
          <w:trHeight w:val="300"/>
        </w:trPr>
        <w:tc>
          <w:tcPr>
            <w:tcW w:w="2200" w:type="dxa"/>
            <w:vAlign w:val="bottom"/>
          </w:tcPr>
          <w:p w14:paraId="5E5604B6" w14:textId="624E05C3" w:rsidR="00973B50" w:rsidRPr="00973B50" w:rsidRDefault="00973B50" w:rsidP="00973B50">
            <w:pPr>
              <w:spacing w:line="240" w:lineRule="auto"/>
              <w:rPr>
                <w:rFonts w:cs="Calibri"/>
              </w:rPr>
            </w:pPr>
            <w:r>
              <w:rPr>
                <w:rFonts w:ascii="Aptos Narrow" w:hAnsi="Aptos Narrow"/>
                <w:color w:val="000000"/>
                <w:sz w:val="22"/>
                <w:szCs w:val="22"/>
              </w:rPr>
              <w:t>CHI,EQ,MAG</w:t>
            </w:r>
          </w:p>
        </w:tc>
        <w:tc>
          <w:tcPr>
            <w:tcW w:w="1197" w:type="dxa"/>
            <w:vAlign w:val="bottom"/>
          </w:tcPr>
          <w:p w14:paraId="24FF92AF" w14:textId="16CA2B9F" w:rsidR="00973B50" w:rsidRPr="00973B50" w:rsidRDefault="00A543FF" w:rsidP="00973B50">
            <w:pPr>
              <w:spacing w:line="240" w:lineRule="auto"/>
              <w:jc w:val="right"/>
              <w:rPr>
                <w:rFonts w:cs="Arial"/>
              </w:rPr>
            </w:pPr>
            <w:r>
              <w:rPr>
                <w:rFonts w:ascii="Aptos Narrow" w:hAnsi="Aptos Narrow"/>
                <w:color w:val="000000"/>
                <w:sz w:val="22"/>
                <w:szCs w:val="22"/>
              </w:rPr>
              <w:t>2</w:t>
            </w:r>
          </w:p>
        </w:tc>
      </w:tr>
      <w:tr w:rsidR="00973B50" w:rsidRPr="00FE5409" w14:paraId="5DD4E31E" w14:textId="77777777" w:rsidTr="000B2FD5">
        <w:trPr>
          <w:trHeight w:val="300"/>
        </w:trPr>
        <w:tc>
          <w:tcPr>
            <w:tcW w:w="2200" w:type="dxa"/>
            <w:vAlign w:val="bottom"/>
          </w:tcPr>
          <w:p w14:paraId="4CAD65B0" w14:textId="3C0E5BE2" w:rsidR="00973B50" w:rsidRPr="00973B50" w:rsidRDefault="00973B50" w:rsidP="00973B50">
            <w:pPr>
              <w:spacing w:line="240" w:lineRule="auto"/>
              <w:rPr>
                <w:rFonts w:cs="Calibri"/>
                <w:color w:val="000000"/>
              </w:rPr>
            </w:pPr>
            <w:r>
              <w:rPr>
                <w:rFonts w:ascii="Aptos Narrow" w:hAnsi="Aptos Narrow"/>
                <w:color w:val="000000"/>
                <w:sz w:val="22"/>
                <w:szCs w:val="22"/>
              </w:rPr>
              <w:t>CHI,MAG</w:t>
            </w:r>
          </w:p>
        </w:tc>
        <w:tc>
          <w:tcPr>
            <w:tcW w:w="1197" w:type="dxa"/>
            <w:vAlign w:val="bottom"/>
          </w:tcPr>
          <w:p w14:paraId="3322EC6D" w14:textId="0DE7C67F" w:rsidR="00973B50" w:rsidRPr="00973B50" w:rsidRDefault="00973B50" w:rsidP="00973B50">
            <w:pPr>
              <w:spacing w:line="240" w:lineRule="auto"/>
              <w:jc w:val="right"/>
              <w:rPr>
                <w:rFonts w:cs="Calibri"/>
                <w:color w:val="000000"/>
                <w:lang w:eastAsia="en-AU"/>
              </w:rPr>
            </w:pPr>
            <w:r>
              <w:rPr>
                <w:rFonts w:ascii="Aptos Narrow" w:hAnsi="Aptos Narrow"/>
                <w:color w:val="000000"/>
                <w:sz w:val="22"/>
                <w:szCs w:val="22"/>
              </w:rPr>
              <w:t>3</w:t>
            </w:r>
          </w:p>
        </w:tc>
      </w:tr>
      <w:tr w:rsidR="00973B50" w:rsidRPr="00FE5409" w14:paraId="1F7BFD3E" w14:textId="77777777" w:rsidTr="000B2FD5">
        <w:trPr>
          <w:trHeight w:val="300"/>
        </w:trPr>
        <w:tc>
          <w:tcPr>
            <w:tcW w:w="2200" w:type="dxa"/>
            <w:vAlign w:val="bottom"/>
          </w:tcPr>
          <w:p w14:paraId="7F0F7750" w14:textId="0FB69E00" w:rsidR="00973B50" w:rsidRPr="00973B50" w:rsidRDefault="00973B50" w:rsidP="00973B50">
            <w:pPr>
              <w:spacing w:line="240" w:lineRule="auto"/>
              <w:rPr>
                <w:rFonts w:cs="Calibri"/>
                <w:color w:val="000000"/>
                <w:lang w:eastAsia="en-AU"/>
              </w:rPr>
            </w:pPr>
            <w:r>
              <w:rPr>
                <w:rFonts w:ascii="Aptos Narrow" w:hAnsi="Aptos Narrow"/>
                <w:color w:val="000000"/>
                <w:sz w:val="22"/>
                <w:szCs w:val="22"/>
              </w:rPr>
              <w:t>CS,DIS</w:t>
            </w:r>
          </w:p>
        </w:tc>
        <w:tc>
          <w:tcPr>
            <w:tcW w:w="1197" w:type="dxa"/>
            <w:vAlign w:val="bottom"/>
          </w:tcPr>
          <w:p w14:paraId="0F6136B2" w14:textId="6BD831C0" w:rsidR="00973B50" w:rsidRPr="00973B50" w:rsidRDefault="00973B50" w:rsidP="00973B50">
            <w:pPr>
              <w:spacing w:line="240" w:lineRule="auto"/>
              <w:jc w:val="right"/>
              <w:rPr>
                <w:rFonts w:cs="Calibri"/>
                <w:color w:val="000000"/>
                <w:lang w:eastAsia="en-AU"/>
              </w:rPr>
            </w:pPr>
            <w:r>
              <w:rPr>
                <w:rFonts w:ascii="Aptos Narrow" w:hAnsi="Aptos Narrow"/>
                <w:color w:val="000000"/>
                <w:sz w:val="22"/>
                <w:szCs w:val="22"/>
              </w:rPr>
              <w:t>1</w:t>
            </w:r>
          </w:p>
        </w:tc>
      </w:tr>
      <w:tr w:rsidR="00973B50" w:rsidRPr="00FE5409" w14:paraId="3B5DB2AE" w14:textId="77777777" w:rsidTr="000B2FD5">
        <w:trPr>
          <w:trHeight w:val="300"/>
        </w:trPr>
        <w:tc>
          <w:tcPr>
            <w:tcW w:w="2200" w:type="dxa"/>
            <w:vAlign w:val="bottom"/>
          </w:tcPr>
          <w:p w14:paraId="5AFBBD46" w14:textId="5FF98517" w:rsidR="00973B50" w:rsidRPr="00973B50" w:rsidRDefault="00973B50" w:rsidP="00973B50">
            <w:pPr>
              <w:spacing w:line="240" w:lineRule="auto"/>
              <w:rPr>
                <w:rFonts w:cs="Arial"/>
                <w:color w:val="000000"/>
              </w:rPr>
            </w:pPr>
            <w:r>
              <w:rPr>
                <w:rFonts w:ascii="Aptos Narrow" w:hAnsi="Aptos Narrow"/>
                <w:color w:val="000000"/>
                <w:sz w:val="22"/>
                <w:szCs w:val="22"/>
              </w:rPr>
              <w:t>CS,DVO</w:t>
            </w:r>
          </w:p>
        </w:tc>
        <w:tc>
          <w:tcPr>
            <w:tcW w:w="1197" w:type="dxa"/>
            <w:vAlign w:val="bottom"/>
          </w:tcPr>
          <w:p w14:paraId="06991F98" w14:textId="0273A464" w:rsidR="00973B50" w:rsidRPr="00973B50" w:rsidRDefault="00973B50" w:rsidP="00973B50">
            <w:pPr>
              <w:spacing w:line="240" w:lineRule="auto"/>
              <w:jc w:val="right"/>
              <w:rPr>
                <w:rFonts w:cs="Arial"/>
                <w:color w:val="000000"/>
              </w:rPr>
            </w:pPr>
            <w:r>
              <w:rPr>
                <w:rFonts w:ascii="Aptos Narrow" w:hAnsi="Aptos Narrow"/>
                <w:color w:val="000000"/>
                <w:sz w:val="22"/>
                <w:szCs w:val="22"/>
              </w:rPr>
              <w:t>1</w:t>
            </w:r>
          </w:p>
        </w:tc>
      </w:tr>
      <w:tr w:rsidR="00973B50" w:rsidRPr="00FE5409" w14:paraId="1CA3553C" w14:textId="77777777" w:rsidTr="000B2FD5">
        <w:trPr>
          <w:trHeight w:val="300"/>
        </w:trPr>
        <w:tc>
          <w:tcPr>
            <w:tcW w:w="2200" w:type="dxa"/>
            <w:vAlign w:val="bottom"/>
          </w:tcPr>
          <w:p w14:paraId="2F839C82" w14:textId="29764C6C" w:rsidR="00973B50" w:rsidRPr="00973B50" w:rsidRDefault="00973B50" w:rsidP="00973B50">
            <w:pPr>
              <w:spacing w:line="240" w:lineRule="auto"/>
              <w:rPr>
                <w:rFonts w:cs="Arial"/>
                <w:lang w:eastAsia="en-AU"/>
              </w:rPr>
            </w:pPr>
            <w:r>
              <w:rPr>
                <w:rFonts w:ascii="Aptos Narrow" w:hAnsi="Aptos Narrow"/>
                <w:color w:val="000000"/>
                <w:sz w:val="22"/>
                <w:szCs w:val="22"/>
              </w:rPr>
              <w:t>CS,DVO,MAG</w:t>
            </w:r>
          </w:p>
        </w:tc>
        <w:tc>
          <w:tcPr>
            <w:tcW w:w="1197" w:type="dxa"/>
            <w:vAlign w:val="bottom"/>
          </w:tcPr>
          <w:p w14:paraId="6717F1C7" w14:textId="3A5E98A3" w:rsidR="00973B50" w:rsidRPr="00973B50" w:rsidRDefault="00973B50" w:rsidP="00973B50">
            <w:pPr>
              <w:spacing w:line="240" w:lineRule="auto"/>
              <w:jc w:val="right"/>
              <w:rPr>
                <w:rFonts w:cs="Calibri"/>
                <w:color w:val="000000"/>
                <w:lang w:eastAsia="en-AU"/>
              </w:rPr>
            </w:pPr>
            <w:r>
              <w:rPr>
                <w:rFonts w:ascii="Aptos Narrow" w:hAnsi="Aptos Narrow"/>
                <w:color w:val="000000"/>
                <w:sz w:val="22"/>
                <w:szCs w:val="22"/>
              </w:rPr>
              <w:t>1</w:t>
            </w:r>
          </w:p>
        </w:tc>
      </w:tr>
      <w:tr w:rsidR="00973B50" w:rsidRPr="00FE5409" w14:paraId="353B90B4" w14:textId="77777777" w:rsidTr="000B2FD5">
        <w:trPr>
          <w:trHeight w:val="300"/>
        </w:trPr>
        <w:tc>
          <w:tcPr>
            <w:tcW w:w="2200" w:type="dxa"/>
            <w:vAlign w:val="bottom"/>
          </w:tcPr>
          <w:p w14:paraId="7288BB57" w14:textId="5A12880B" w:rsidR="00973B50" w:rsidRPr="00973B50" w:rsidRDefault="00973B50" w:rsidP="00973B50">
            <w:pPr>
              <w:spacing w:line="240" w:lineRule="auto"/>
              <w:rPr>
                <w:rFonts w:cs="Arial"/>
              </w:rPr>
            </w:pPr>
            <w:r>
              <w:rPr>
                <w:rFonts w:ascii="Aptos Narrow" w:hAnsi="Aptos Narrow"/>
                <w:color w:val="000000"/>
                <w:sz w:val="22"/>
                <w:szCs w:val="22"/>
              </w:rPr>
              <w:t>CS,EQ</w:t>
            </w:r>
          </w:p>
        </w:tc>
        <w:tc>
          <w:tcPr>
            <w:tcW w:w="1197" w:type="dxa"/>
            <w:vAlign w:val="bottom"/>
          </w:tcPr>
          <w:p w14:paraId="0287F7D6" w14:textId="13F9FE3E" w:rsidR="00973B50" w:rsidRPr="00973B50" w:rsidRDefault="00973B50" w:rsidP="00973B50">
            <w:pPr>
              <w:spacing w:line="240" w:lineRule="auto"/>
              <w:jc w:val="right"/>
              <w:rPr>
                <w:rFonts w:cs="Calibri"/>
                <w:color w:val="000000"/>
                <w:lang w:eastAsia="en-AU"/>
              </w:rPr>
            </w:pPr>
            <w:r>
              <w:rPr>
                <w:rFonts w:ascii="Aptos Narrow" w:hAnsi="Aptos Narrow"/>
                <w:color w:val="000000"/>
                <w:sz w:val="22"/>
                <w:szCs w:val="22"/>
              </w:rPr>
              <w:t>12</w:t>
            </w:r>
          </w:p>
        </w:tc>
      </w:tr>
      <w:tr w:rsidR="00973B50" w:rsidRPr="00FE5409" w14:paraId="36587FC3" w14:textId="77777777" w:rsidTr="000B2FD5">
        <w:trPr>
          <w:trHeight w:val="300"/>
        </w:trPr>
        <w:tc>
          <w:tcPr>
            <w:tcW w:w="2200" w:type="dxa"/>
            <w:vAlign w:val="bottom"/>
          </w:tcPr>
          <w:p w14:paraId="1955039C" w14:textId="789B47BE" w:rsidR="00973B50" w:rsidRPr="00973B50" w:rsidRDefault="00973B50" w:rsidP="00973B50">
            <w:pPr>
              <w:spacing w:line="240" w:lineRule="auto"/>
              <w:rPr>
                <w:rFonts w:cs="Arial"/>
              </w:rPr>
            </w:pPr>
            <w:r>
              <w:rPr>
                <w:rFonts w:ascii="Aptos Narrow" w:hAnsi="Aptos Narrow"/>
                <w:color w:val="000000"/>
                <w:sz w:val="22"/>
                <w:szCs w:val="22"/>
              </w:rPr>
              <w:t>CS,EQ,HT</w:t>
            </w:r>
          </w:p>
        </w:tc>
        <w:tc>
          <w:tcPr>
            <w:tcW w:w="1197" w:type="dxa"/>
            <w:vAlign w:val="bottom"/>
          </w:tcPr>
          <w:p w14:paraId="6D782CB8" w14:textId="781C3F34" w:rsidR="00973B50" w:rsidRPr="00973B50" w:rsidRDefault="00973B50" w:rsidP="00973B50">
            <w:pPr>
              <w:spacing w:line="240" w:lineRule="auto"/>
              <w:jc w:val="right"/>
              <w:rPr>
                <w:rFonts w:cs="Calibri"/>
                <w:color w:val="000000"/>
                <w:lang w:eastAsia="en-AU"/>
              </w:rPr>
            </w:pPr>
            <w:r>
              <w:rPr>
                <w:rFonts w:ascii="Aptos Narrow" w:hAnsi="Aptos Narrow"/>
                <w:color w:val="000000"/>
                <w:sz w:val="22"/>
                <w:szCs w:val="22"/>
              </w:rPr>
              <w:t>1</w:t>
            </w:r>
          </w:p>
        </w:tc>
      </w:tr>
      <w:tr w:rsidR="00973B50" w:rsidRPr="00FE5409" w14:paraId="223A02E4" w14:textId="77777777" w:rsidTr="000B2FD5">
        <w:trPr>
          <w:trHeight w:val="300"/>
        </w:trPr>
        <w:tc>
          <w:tcPr>
            <w:tcW w:w="2200" w:type="dxa"/>
            <w:vAlign w:val="bottom"/>
          </w:tcPr>
          <w:p w14:paraId="79384703" w14:textId="6EB19F68" w:rsidR="00973B50" w:rsidRPr="00973B50" w:rsidRDefault="00973B50" w:rsidP="00973B50">
            <w:pPr>
              <w:spacing w:line="240" w:lineRule="auto"/>
              <w:rPr>
                <w:rFonts w:cs="Calibri"/>
              </w:rPr>
            </w:pPr>
            <w:r>
              <w:rPr>
                <w:rFonts w:ascii="Aptos Narrow" w:hAnsi="Aptos Narrow"/>
                <w:color w:val="000000"/>
                <w:sz w:val="22"/>
                <w:szCs w:val="22"/>
              </w:rPr>
              <w:t>CS,EQ,SEN</w:t>
            </w:r>
          </w:p>
        </w:tc>
        <w:tc>
          <w:tcPr>
            <w:tcW w:w="1197" w:type="dxa"/>
            <w:vAlign w:val="bottom"/>
          </w:tcPr>
          <w:p w14:paraId="7F0948C7" w14:textId="2F3D39D1" w:rsidR="00973B50" w:rsidRPr="00973B50" w:rsidRDefault="00973B50" w:rsidP="00973B50">
            <w:pPr>
              <w:spacing w:line="240" w:lineRule="auto"/>
              <w:jc w:val="right"/>
              <w:rPr>
                <w:rFonts w:cs="Arial"/>
              </w:rPr>
            </w:pPr>
            <w:r>
              <w:rPr>
                <w:rFonts w:ascii="Aptos Narrow" w:hAnsi="Aptos Narrow"/>
                <w:color w:val="000000"/>
                <w:sz w:val="22"/>
                <w:szCs w:val="22"/>
              </w:rPr>
              <w:t>1</w:t>
            </w:r>
          </w:p>
        </w:tc>
      </w:tr>
      <w:tr w:rsidR="00973B50" w:rsidRPr="00FE5409" w14:paraId="5C5B7FA7" w14:textId="77777777" w:rsidTr="000B2FD5">
        <w:trPr>
          <w:trHeight w:val="300"/>
        </w:trPr>
        <w:tc>
          <w:tcPr>
            <w:tcW w:w="2200" w:type="dxa"/>
            <w:vAlign w:val="bottom"/>
          </w:tcPr>
          <w:p w14:paraId="20A3473E" w14:textId="5ADFC318" w:rsidR="00973B50" w:rsidRPr="00973B50" w:rsidRDefault="00973B50" w:rsidP="00973B50">
            <w:pPr>
              <w:spacing w:line="240" w:lineRule="auto"/>
              <w:rPr>
                <w:rFonts w:cs="Calibri"/>
              </w:rPr>
            </w:pPr>
            <w:r>
              <w:rPr>
                <w:rFonts w:ascii="Aptos Narrow" w:hAnsi="Aptos Narrow"/>
                <w:color w:val="000000"/>
                <w:sz w:val="22"/>
                <w:szCs w:val="22"/>
              </w:rPr>
              <w:t>CS,HT</w:t>
            </w:r>
          </w:p>
        </w:tc>
        <w:tc>
          <w:tcPr>
            <w:tcW w:w="1197" w:type="dxa"/>
            <w:vAlign w:val="bottom"/>
          </w:tcPr>
          <w:p w14:paraId="32F0D656" w14:textId="554C4416" w:rsidR="00973B50" w:rsidRPr="00973B50" w:rsidRDefault="00973B50" w:rsidP="00973B50">
            <w:pPr>
              <w:spacing w:line="240" w:lineRule="auto"/>
              <w:jc w:val="right"/>
              <w:rPr>
                <w:rFonts w:cs="Arial"/>
              </w:rPr>
            </w:pPr>
            <w:r>
              <w:rPr>
                <w:rFonts w:ascii="Aptos Narrow" w:hAnsi="Aptos Narrow"/>
                <w:color w:val="000000"/>
                <w:sz w:val="22"/>
                <w:szCs w:val="22"/>
              </w:rPr>
              <w:t>1</w:t>
            </w:r>
          </w:p>
        </w:tc>
      </w:tr>
      <w:tr w:rsidR="00973B50" w:rsidRPr="00FE5409" w14:paraId="176CFD5B" w14:textId="77777777" w:rsidTr="000B2FD5">
        <w:trPr>
          <w:trHeight w:val="300"/>
        </w:trPr>
        <w:tc>
          <w:tcPr>
            <w:tcW w:w="2200" w:type="dxa"/>
            <w:vAlign w:val="bottom"/>
          </w:tcPr>
          <w:p w14:paraId="213DC8EE" w14:textId="69DCEE0F" w:rsidR="00973B50" w:rsidRPr="00973B50" w:rsidRDefault="00973B50" w:rsidP="00973B50">
            <w:pPr>
              <w:spacing w:line="240" w:lineRule="auto"/>
              <w:rPr>
                <w:rFonts w:cs="Calibri"/>
              </w:rPr>
            </w:pPr>
            <w:r>
              <w:rPr>
                <w:rFonts w:ascii="Aptos Narrow" w:hAnsi="Aptos Narrow"/>
                <w:color w:val="000000"/>
                <w:sz w:val="22"/>
                <w:szCs w:val="22"/>
              </w:rPr>
              <w:t>CS,MAG</w:t>
            </w:r>
          </w:p>
        </w:tc>
        <w:tc>
          <w:tcPr>
            <w:tcW w:w="1197" w:type="dxa"/>
            <w:vAlign w:val="bottom"/>
          </w:tcPr>
          <w:p w14:paraId="5A5203EA" w14:textId="5BA5AF22" w:rsidR="00973B50" w:rsidRPr="00973B50" w:rsidRDefault="00973B50" w:rsidP="00973B50">
            <w:pPr>
              <w:spacing w:line="240" w:lineRule="auto"/>
              <w:jc w:val="right"/>
              <w:rPr>
                <w:rFonts w:cs="Arial"/>
              </w:rPr>
            </w:pPr>
            <w:r>
              <w:rPr>
                <w:rFonts w:ascii="Aptos Narrow" w:hAnsi="Aptos Narrow"/>
                <w:color w:val="000000"/>
                <w:sz w:val="22"/>
                <w:szCs w:val="22"/>
              </w:rPr>
              <w:t>1</w:t>
            </w:r>
          </w:p>
        </w:tc>
      </w:tr>
      <w:tr w:rsidR="00973B50" w:rsidRPr="00FE5409" w14:paraId="046F7E80" w14:textId="77777777" w:rsidTr="000B2FD5">
        <w:trPr>
          <w:trHeight w:val="300"/>
        </w:trPr>
        <w:tc>
          <w:tcPr>
            <w:tcW w:w="2200" w:type="dxa"/>
            <w:vAlign w:val="bottom"/>
          </w:tcPr>
          <w:p w14:paraId="49CBA071" w14:textId="7E3C8496" w:rsidR="00973B50" w:rsidRPr="00973B50" w:rsidRDefault="00973B50" w:rsidP="00973B50">
            <w:pPr>
              <w:spacing w:line="240" w:lineRule="auto"/>
              <w:rPr>
                <w:rFonts w:cs="Calibri"/>
              </w:rPr>
            </w:pPr>
            <w:r>
              <w:rPr>
                <w:rFonts w:ascii="Aptos Narrow" w:hAnsi="Aptos Narrow"/>
                <w:color w:val="000000"/>
                <w:sz w:val="22"/>
                <w:szCs w:val="22"/>
              </w:rPr>
              <w:t>DVB,DVO</w:t>
            </w:r>
          </w:p>
        </w:tc>
        <w:tc>
          <w:tcPr>
            <w:tcW w:w="1197" w:type="dxa"/>
            <w:vAlign w:val="bottom"/>
          </w:tcPr>
          <w:p w14:paraId="23D6D9D5" w14:textId="72B77B81" w:rsidR="00973B50" w:rsidRPr="00973B50" w:rsidRDefault="00973B50" w:rsidP="00973B50">
            <w:pPr>
              <w:spacing w:line="240" w:lineRule="auto"/>
              <w:jc w:val="right"/>
              <w:rPr>
                <w:rFonts w:cs="Arial"/>
              </w:rPr>
            </w:pPr>
            <w:r>
              <w:rPr>
                <w:rFonts w:ascii="Aptos Narrow" w:hAnsi="Aptos Narrow"/>
                <w:color w:val="000000"/>
                <w:sz w:val="22"/>
                <w:szCs w:val="22"/>
              </w:rPr>
              <w:t>1</w:t>
            </w:r>
          </w:p>
        </w:tc>
      </w:tr>
      <w:tr w:rsidR="00973B50" w:rsidRPr="00FE5409" w14:paraId="29173E38" w14:textId="77777777" w:rsidTr="000B2FD5">
        <w:trPr>
          <w:trHeight w:val="300"/>
        </w:trPr>
        <w:tc>
          <w:tcPr>
            <w:tcW w:w="2200" w:type="dxa"/>
            <w:vAlign w:val="bottom"/>
          </w:tcPr>
          <w:p w14:paraId="7E57974F" w14:textId="0409FE60" w:rsidR="00973B50" w:rsidRPr="00973B50" w:rsidRDefault="00973B50" w:rsidP="00973B50">
            <w:pPr>
              <w:spacing w:line="240" w:lineRule="auto"/>
              <w:rPr>
                <w:rFonts w:cs="Calibri"/>
              </w:rPr>
            </w:pPr>
            <w:r>
              <w:rPr>
                <w:rFonts w:ascii="Aptos Narrow" w:hAnsi="Aptos Narrow"/>
                <w:color w:val="000000"/>
                <w:sz w:val="22"/>
                <w:szCs w:val="22"/>
              </w:rPr>
              <w:t>DVB,DVO,MAG</w:t>
            </w:r>
          </w:p>
        </w:tc>
        <w:tc>
          <w:tcPr>
            <w:tcW w:w="1197" w:type="dxa"/>
            <w:vAlign w:val="bottom"/>
          </w:tcPr>
          <w:p w14:paraId="0154B102" w14:textId="0E705BC1" w:rsidR="00973B50" w:rsidRPr="00973B50" w:rsidRDefault="00973B50" w:rsidP="00973B50">
            <w:pPr>
              <w:spacing w:line="240" w:lineRule="auto"/>
              <w:jc w:val="right"/>
              <w:rPr>
                <w:rFonts w:cs="Arial"/>
              </w:rPr>
            </w:pPr>
            <w:r>
              <w:rPr>
                <w:rFonts w:ascii="Aptos Narrow" w:hAnsi="Aptos Narrow"/>
                <w:color w:val="000000"/>
                <w:sz w:val="22"/>
                <w:szCs w:val="22"/>
              </w:rPr>
              <w:t>2</w:t>
            </w:r>
          </w:p>
        </w:tc>
      </w:tr>
      <w:tr w:rsidR="00973B50" w:rsidRPr="00FE5409" w14:paraId="1FB2A89D" w14:textId="77777777" w:rsidTr="000B2FD5">
        <w:trPr>
          <w:trHeight w:val="300"/>
        </w:trPr>
        <w:tc>
          <w:tcPr>
            <w:tcW w:w="2200" w:type="dxa"/>
            <w:vAlign w:val="bottom"/>
          </w:tcPr>
          <w:p w14:paraId="7F79BB4F" w14:textId="077CBB68" w:rsidR="00973B50" w:rsidRPr="00973B50" w:rsidRDefault="00973B50" w:rsidP="00973B50">
            <w:pPr>
              <w:spacing w:line="240" w:lineRule="auto"/>
              <w:rPr>
                <w:rFonts w:cs="Calibri"/>
              </w:rPr>
            </w:pPr>
            <w:r>
              <w:rPr>
                <w:rFonts w:ascii="Aptos Narrow" w:hAnsi="Aptos Narrow"/>
                <w:color w:val="000000"/>
                <w:sz w:val="22"/>
                <w:szCs w:val="22"/>
              </w:rPr>
              <w:t>DVB,EQ,MAG</w:t>
            </w:r>
          </w:p>
        </w:tc>
        <w:tc>
          <w:tcPr>
            <w:tcW w:w="1197" w:type="dxa"/>
            <w:vAlign w:val="bottom"/>
          </w:tcPr>
          <w:p w14:paraId="7C13D3D6" w14:textId="572E3269" w:rsidR="00973B50" w:rsidRPr="00973B50" w:rsidRDefault="00973B50" w:rsidP="00973B50">
            <w:pPr>
              <w:spacing w:line="240" w:lineRule="auto"/>
              <w:jc w:val="right"/>
              <w:rPr>
                <w:rFonts w:cs="Arial"/>
              </w:rPr>
            </w:pPr>
            <w:r>
              <w:rPr>
                <w:rFonts w:ascii="Aptos Narrow" w:hAnsi="Aptos Narrow"/>
                <w:color w:val="000000"/>
                <w:sz w:val="22"/>
                <w:szCs w:val="22"/>
              </w:rPr>
              <w:t>2</w:t>
            </w:r>
          </w:p>
        </w:tc>
      </w:tr>
      <w:tr w:rsidR="00973B50" w:rsidRPr="00FE5409" w14:paraId="2A93AA7B" w14:textId="77777777" w:rsidTr="000B2FD5">
        <w:trPr>
          <w:trHeight w:val="300"/>
        </w:trPr>
        <w:tc>
          <w:tcPr>
            <w:tcW w:w="2200" w:type="dxa"/>
            <w:vAlign w:val="bottom"/>
          </w:tcPr>
          <w:p w14:paraId="65EC8599" w14:textId="2250D7BD" w:rsidR="00973B50" w:rsidRPr="00973B50" w:rsidRDefault="00973B50" w:rsidP="00973B50">
            <w:pPr>
              <w:spacing w:line="240" w:lineRule="auto"/>
              <w:rPr>
                <w:rFonts w:cs="Calibri"/>
              </w:rPr>
            </w:pPr>
            <w:r>
              <w:rPr>
                <w:rFonts w:ascii="Aptos Narrow" w:hAnsi="Aptos Narrow"/>
                <w:color w:val="000000"/>
                <w:sz w:val="22"/>
                <w:szCs w:val="22"/>
              </w:rPr>
              <w:t>DVB,MAG</w:t>
            </w:r>
          </w:p>
        </w:tc>
        <w:tc>
          <w:tcPr>
            <w:tcW w:w="1197" w:type="dxa"/>
            <w:vAlign w:val="bottom"/>
          </w:tcPr>
          <w:p w14:paraId="3DCE3352" w14:textId="12712F3A" w:rsidR="00973B50" w:rsidRPr="00973B50" w:rsidRDefault="00973B50" w:rsidP="00973B50">
            <w:pPr>
              <w:spacing w:line="240" w:lineRule="auto"/>
              <w:jc w:val="right"/>
              <w:rPr>
                <w:rFonts w:cs="Arial"/>
              </w:rPr>
            </w:pPr>
            <w:r>
              <w:rPr>
                <w:rFonts w:ascii="Aptos Narrow" w:hAnsi="Aptos Narrow"/>
                <w:color w:val="000000"/>
                <w:sz w:val="22"/>
                <w:szCs w:val="22"/>
              </w:rPr>
              <w:t>8</w:t>
            </w:r>
          </w:p>
        </w:tc>
      </w:tr>
      <w:tr w:rsidR="00973B50" w:rsidRPr="00FE5409" w14:paraId="71470C21" w14:textId="77777777" w:rsidTr="000B2FD5">
        <w:trPr>
          <w:trHeight w:val="300"/>
        </w:trPr>
        <w:tc>
          <w:tcPr>
            <w:tcW w:w="2200" w:type="dxa"/>
            <w:vAlign w:val="bottom"/>
          </w:tcPr>
          <w:p w14:paraId="3077B86A" w14:textId="1B2D7513" w:rsidR="00973B50" w:rsidRPr="00973B50" w:rsidRDefault="00973B50" w:rsidP="00973B50">
            <w:pPr>
              <w:spacing w:line="240" w:lineRule="auto"/>
              <w:rPr>
                <w:rFonts w:cs="Calibri"/>
              </w:rPr>
            </w:pPr>
            <w:r>
              <w:rPr>
                <w:rFonts w:ascii="Aptos Narrow" w:hAnsi="Aptos Narrow"/>
                <w:color w:val="000000"/>
                <w:sz w:val="22"/>
                <w:szCs w:val="22"/>
              </w:rPr>
              <w:t>DVO,EQ</w:t>
            </w:r>
          </w:p>
        </w:tc>
        <w:tc>
          <w:tcPr>
            <w:tcW w:w="1197" w:type="dxa"/>
            <w:vAlign w:val="bottom"/>
          </w:tcPr>
          <w:p w14:paraId="7BEA9445" w14:textId="39F12BCD" w:rsidR="00973B50" w:rsidRPr="00973B50" w:rsidRDefault="00973B50" w:rsidP="00973B50">
            <w:pPr>
              <w:spacing w:line="240" w:lineRule="auto"/>
              <w:jc w:val="right"/>
              <w:rPr>
                <w:rFonts w:cs="Arial"/>
              </w:rPr>
            </w:pPr>
            <w:r>
              <w:rPr>
                <w:rFonts w:ascii="Aptos Narrow" w:hAnsi="Aptos Narrow"/>
                <w:color w:val="000000"/>
                <w:sz w:val="22"/>
                <w:szCs w:val="22"/>
              </w:rPr>
              <w:t>1</w:t>
            </w:r>
          </w:p>
        </w:tc>
      </w:tr>
      <w:tr w:rsidR="00973B50" w:rsidRPr="00FE5409" w14:paraId="7323A77F" w14:textId="77777777" w:rsidTr="000B2FD5">
        <w:trPr>
          <w:trHeight w:val="300"/>
        </w:trPr>
        <w:tc>
          <w:tcPr>
            <w:tcW w:w="2200" w:type="dxa"/>
            <w:vAlign w:val="bottom"/>
          </w:tcPr>
          <w:p w14:paraId="5A84AAD4" w14:textId="742A1F67" w:rsidR="00973B50" w:rsidRPr="00973B50" w:rsidRDefault="00973B50" w:rsidP="00973B50">
            <w:pPr>
              <w:spacing w:line="240" w:lineRule="auto"/>
              <w:rPr>
                <w:rFonts w:cs="Calibri"/>
              </w:rPr>
            </w:pPr>
            <w:r>
              <w:rPr>
                <w:rFonts w:ascii="Aptos Narrow" w:hAnsi="Aptos Narrow"/>
                <w:color w:val="000000"/>
                <w:sz w:val="22"/>
                <w:szCs w:val="22"/>
              </w:rPr>
              <w:t>DVO,MAG</w:t>
            </w:r>
          </w:p>
        </w:tc>
        <w:tc>
          <w:tcPr>
            <w:tcW w:w="1197" w:type="dxa"/>
            <w:vAlign w:val="bottom"/>
          </w:tcPr>
          <w:p w14:paraId="2E9A5E62" w14:textId="0F039AA6" w:rsidR="00973B50" w:rsidRPr="00973B50" w:rsidRDefault="00973B50" w:rsidP="00973B50">
            <w:pPr>
              <w:spacing w:line="240" w:lineRule="auto"/>
              <w:jc w:val="right"/>
              <w:rPr>
                <w:rFonts w:cs="Arial"/>
              </w:rPr>
            </w:pPr>
            <w:r>
              <w:rPr>
                <w:rFonts w:ascii="Aptos Narrow" w:hAnsi="Aptos Narrow"/>
                <w:color w:val="000000"/>
                <w:sz w:val="22"/>
                <w:szCs w:val="22"/>
              </w:rPr>
              <w:t>4</w:t>
            </w:r>
          </w:p>
        </w:tc>
      </w:tr>
      <w:tr w:rsidR="00973B50" w:rsidRPr="00FE5409" w14:paraId="0EBCFA2C" w14:textId="77777777" w:rsidTr="000B2FD5">
        <w:trPr>
          <w:trHeight w:val="300"/>
        </w:trPr>
        <w:tc>
          <w:tcPr>
            <w:tcW w:w="2200" w:type="dxa"/>
            <w:vAlign w:val="bottom"/>
          </w:tcPr>
          <w:p w14:paraId="490FC442" w14:textId="185078E5" w:rsidR="00973B50" w:rsidRPr="00973B50" w:rsidRDefault="00973B50" w:rsidP="00973B50">
            <w:pPr>
              <w:spacing w:line="240" w:lineRule="auto"/>
              <w:rPr>
                <w:rFonts w:cs="Calibri"/>
              </w:rPr>
            </w:pPr>
            <w:r>
              <w:rPr>
                <w:rFonts w:ascii="Aptos Narrow" w:hAnsi="Aptos Narrow"/>
                <w:color w:val="000000"/>
                <w:sz w:val="22"/>
                <w:szCs w:val="22"/>
              </w:rPr>
              <w:t>EQ,MAG</w:t>
            </w:r>
          </w:p>
        </w:tc>
        <w:tc>
          <w:tcPr>
            <w:tcW w:w="1197" w:type="dxa"/>
            <w:vAlign w:val="bottom"/>
          </w:tcPr>
          <w:p w14:paraId="7CE8EC44" w14:textId="346AFAD6" w:rsidR="00973B50" w:rsidRPr="00973B50" w:rsidRDefault="00973B50" w:rsidP="00973B50">
            <w:pPr>
              <w:spacing w:line="240" w:lineRule="auto"/>
              <w:jc w:val="right"/>
              <w:rPr>
                <w:rFonts w:cs="Arial"/>
              </w:rPr>
            </w:pPr>
            <w:r>
              <w:rPr>
                <w:rFonts w:ascii="Aptos Narrow" w:hAnsi="Aptos Narrow"/>
                <w:color w:val="000000"/>
                <w:sz w:val="22"/>
                <w:szCs w:val="22"/>
              </w:rPr>
              <w:t>1</w:t>
            </w:r>
            <w:r w:rsidR="00A543FF">
              <w:rPr>
                <w:rFonts w:ascii="Aptos Narrow" w:hAnsi="Aptos Narrow"/>
                <w:color w:val="000000"/>
                <w:sz w:val="22"/>
                <w:szCs w:val="22"/>
              </w:rPr>
              <w:t>1</w:t>
            </w:r>
          </w:p>
        </w:tc>
      </w:tr>
      <w:tr w:rsidR="00277E4B" w:rsidRPr="00FE5409" w14:paraId="50E20029" w14:textId="77777777" w:rsidTr="000B2FD5">
        <w:trPr>
          <w:trHeight w:val="300"/>
        </w:trPr>
        <w:tc>
          <w:tcPr>
            <w:tcW w:w="2200" w:type="dxa"/>
          </w:tcPr>
          <w:p w14:paraId="53704947" w14:textId="1D769966" w:rsidR="00277E4B" w:rsidRPr="001B1927" w:rsidRDefault="000827CC" w:rsidP="00277E4B">
            <w:pPr>
              <w:spacing w:line="240" w:lineRule="auto"/>
              <w:rPr>
                <w:rFonts w:cs="Calibri"/>
                <w:b/>
                <w:bCs/>
                <w:color w:val="000000"/>
                <w:lang w:eastAsia="en-AU"/>
              </w:rPr>
            </w:pPr>
            <w:r w:rsidRPr="001B1927">
              <w:rPr>
                <w:rFonts w:cs="Calibri"/>
                <w:b/>
                <w:bCs/>
                <w:color w:val="000000"/>
                <w:lang w:eastAsia="en-AU"/>
              </w:rPr>
              <w:t>Total</w:t>
            </w:r>
          </w:p>
        </w:tc>
        <w:tc>
          <w:tcPr>
            <w:tcW w:w="1197" w:type="dxa"/>
          </w:tcPr>
          <w:p w14:paraId="15B80D46" w14:textId="0F47898C" w:rsidR="00277E4B" w:rsidRPr="00E105F5" w:rsidRDefault="00973B50" w:rsidP="00277E4B">
            <w:pPr>
              <w:spacing w:line="240" w:lineRule="auto"/>
              <w:jc w:val="right"/>
              <w:rPr>
                <w:rFonts w:cs="Calibri"/>
                <w:b/>
                <w:bCs/>
                <w:color w:val="000000"/>
                <w:lang w:eastAsia="en-AU"/>
              </w:rPr>
            </w:pPr>
            <w:r>
              <w:rPr>
                <w:rFonts w:cs="Calibri"/>
                <w:b/>
                <w:bCs/>
                <w:color w:val="000000"/>
                <w:lang w:eastAsia="en-AU"/>
              </w:rPr>
              <w:t>55</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proofErr w:type="gramStart"/>
      <w:r w:rsidR="00DA38EC">
        <w:rPr>
          <w:rFonts w:cs="Arial"/>
        </w:rPr>
        <w:t xml:space="preserve">making </w:t>
      </w:r>
      <w:r w:rsidR="00342EBC">
        <w:rPr>
          <w:rFonts w:cs="Arial"/>
        </w:rPr>
        <w:t>a determination</w:t>
      </w:r>
      <w:proofErr w:type="gramEnd"/>
      <w:r w:rsidR="00881438">
        <w:rPr>
          <w:rFonts w:cs="Arial"/>
        </w:rPr>
        <w:t>.</w:t>
      </w:r>
    </w:p>
    <w:p w14:paraId="33BB1B04" w14:textId="2C083555" w:rsidR="002D75CB" w:rsidRDefault="002D75CB" w:rsidP="00C16F20">
      <w:pPr>
        <w:ind w:left="-142" w:right="-425"/>
        <w:jc w:val="both"/>
        <w:rPr>
          <w:rFonts w:cs="Arial"/>
        </w:rPr>
      </w:pPr>
    </w:p>
    <w:p w14:paraId="5CE24D64" w14:textId="6277B85F" w:rsidR="00B220D1" w:rsidRPr="00264A2C" w:rsidRDefault="00B220D1" w:rsidP="00B220D1">
      <w:pPr>
        <w:tabs>
          <w:tab w:val="left" w:pos="1134"/>
        </w:tabs>
        <w:ind w:left="-142" w:right="-425"/>
        <w:jc w:val="both"/>
      </w:pPr>
      <w:r>
        <w:t>The role of the FRC is to work with the most vulnerable, disadvantaged group</w:t>
      </w:r>
      <w:r w:rsidR="00151B30">
        <w:t xml:space="preserve"> of community members</w:t>
      </w:r>
      <w:r>
        <w:t xml:space="preserve"> who engage in anti-social behaviours. Of this extremely vulnerable cohort who engage in anti-social behaviours there are a range of clients who fall within a spectrum of willingness to take personal accountability for their actions and accept support to address behaviours to those who are resistant to change.</w:t>
      </w:r>
    </w:p>
    <w:p w14:paraId="51F2BF4A" w14:textId="77777777" w:rsidR="002D75CB" w:rsidRDefault="002D75CB" w:rsidP="00C16F20">
      <w:pPr>
        <w:ind w:left="-142" w:right="-425"/>
        <w:jc w:val="both"/>
        <w:rPr>
          <w:rFonts w:cs="Arial"/>
        </w:rPr>
      </w:pPr>
    </w:p>
    <w:p w14:paraId="65D3405D" w14:textId="18401284" w:rsidR="00237AB1" w:rsidRDefault="00696B4E" w:rsidP="0091685B">
      <w:pPr>
        <w:ind w:left="-142" w:right="-425"/>
        <w:jc w:val="both"/>
        <w:rPr>
          <w:rFonts w:cs="Arial"/>
        </w:rPr>
      </w:pPr>
      <w:r>
        <w:rPr>
          <w:rFonts w:cs="Arial"/>
        </w:rPr>
        <w:t>Show</w:t>
      </w:r>
      <w:r w:rsidR="00F305F2">
        <w:rPr>
          <w:rFonts w:cs="Arial"/>
        </w:rPr>
        <w:t>n</w:t>
      </w:r>
      <w:r>
        <w:rPr>
          <w:rFonts w:cs="Arial"/>
        </w:rPr>
        <w:t xml:space="preserve"> </w:t>
      </w:r>
      <w:r w:rsidR="00E25138">
        <w:rPr>
          <w:rFonts w:cs="Arial"/>
        </w:rPr>
        <w:t xml:space="preserve">on the next page </w:t>
      </w:r>
      <w:r>
        <w:rPr>
          <w:rFonts w:cs="Arial"/>
        </w:rPr>
        <w:t>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 xml:space="preserve">The Commission is still seeing </w:t>
      </w:r>
      <w:proofErr w:type="gramStart"/>
      <w:r w:rsidR="0030673F" w:rsidRPr="00BD03F1">
        <w:rPr>
          <w:rFonts w:cs="Arial"/>
        </w:rPr>
        <w:t>a number</w:t>
      </w:r>
      <w:r w:rsidR="00237AB1" w:rsidRPr="00BD03F1">
        <w:rPr>
          <w:rFonts w:cs="Arial"/>
        </w:rPr>
        <w:t xml:space="preserve"> of</w:t>
      </w:r>
      <w:proofErr w:type="gramEnd"/>
      <w:r w:rsidR="00237AB1" w:rsidRPr="00BD03F1">
        <w:rPr>
          <w:rFonts w:cs="Arial"/>
        </w:rPr>
        <w:t xml:space="preserve">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w:t>
      </w:r>
      <w:proofErr w:type="gramStart"/>
      <w:r w:rsidR="00B23523" w:rsidRPr="00BD03F1">
        <w:rPr>
          <w:rFonts w:cs="Arial"/>
        </w:rPr>
        <w:t xml:space="preserve">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w:t>
      </w:r>
      <w:proofErr w:type="gramEnd"/>
      <w:r w:rsidR="00237AB1" w:rsidRPr="00BD03F1">
        <w:rPr>
          <w:rFonts w:cs="Arial"/>
        </w:rPr>
        <w:t xml:space="preserve"> a positive indication that community members are demonstrating early insight into the </w:t>
      </w:r>
      <w:r w:rsidR="008D0261">
        <w:rPr>
          <w:rFonts w:cs="Arial"/>
        </w:rPr>
        <w:t>a</w:t>
      </w:r>
      <w:r w:rsidR="00237AB1" w:rsidRPr="00BD03F1">
        <w:rPr>
          <w:rFonts w:cs="Arial"/>
        </w:rPr>
        <w:t>ffect those actions have on others.</w:t>
      </w:r>
    </w:p>
    <w:p w14:paraId="19233629" w14:textId="799E1060" w:rsidR="00237AB1" w:rsidRPr="00BE3183" w:rsidRDefault="00237AB1" w:rsidP="00A828FA">
      <w:pPr>
        <w:spacing w:after="120" w:line="240" w:lineRule="auto"/>
        <w:ind w:left="794" w:hanging="794"/>
        <w:rPr>
          <w:bCs/>
          <w:sz w:val="16"/>
          <w:szCs w:val="16"/>
        </w:rPr>
      </w:pPr>
      <w:r w:rsidRPr="006C6A65">
        <w:rPr>
          <w:b/>
          <w:sz w:val="16"/>
          <w:szCs w:val="16"/>
        </w:rPr>
        <w:lastRenderedPageBreak/>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8"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8"/>
      <w:proofErr w:type="gramStart"/>
      <w:r w:rsidRPr="00656C56">
        <w:rPr>
          <w:sz w:val="16"/>
          <w:szCs w:val="16"/>
        </w:rPr>
        <w:t>entered into</w:t>
      </w:r>
      <w:proofErr w:type="gramEnd"/>
      <w:r>
        <w:rPr>
          <w:sz w:val="16"/>
          <w:szCs w:val="16"/>
        </w:rPr>
        <w:t xml:space="preserve"> </w:t>
      </w:r>
      <w:r w:rsidR="00397BFC">
        <w:rPr>
          <w:sz w:val="16"/>
          <w:szCs w:val="16"/>
        </w:rPr>
        <w:t xml:space="preserve">from </w:t>
      </w:r>
      <w:bookmarkStart w:id="9" w:name="_Ref74754019"/>
      <w:r w:rsidR="008E6F77">
        <w:rPr>
          <w:bCs/>
          <w:sz w:val="16"/>
          <w:szCs w:val="16"/>
        </w:rPr>
        <w:t>1 April</w:t>
      </w:r>
      <w:r w:rsidR="00A828FA">
        <w:rPr>
          <w:bCs/>
          <w:sz w:val="16"/>
          <w:szCs w:val="16"/>
        </w:rPr>
        <w:t xml:space="preserve"> 2025 to </w:t>
      </w:r>
      <w:r w:rsidR="008E6F77">
        <w:rPr>
          <w:bCs/>
          <w:sz w:val="16"/>
          <w:szCs w:val="16"/>
        </w:rPr>
        <w:t>30 June</w:t>
      </w:r>
      <w:r w:rsidR="00A828FA">
        <w:rPr>
          <w:bCs/>
          <w:sz w:val="16"/>
          <w:szCs w:val="16"/>
        </w:rPr>
        <w:t xml:space="preserve"> 2025</w:t>
      </w:r>
      <w:r w:rsidR="00604429" w:rsidRPr="008F6888">
        <w:rPr>
          <w:rStyle w:val="FootnoteReference"/>
          <w:sz w:val="16"/>
          <w:szCs w:val="16"/>
        </w:rPr>
        <w:footnoteReference w:id="6"/>
      </w:r>
      <w:bookmarkEnd w:id="9"/>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9D3B83" w:rsidRPr="00776C26" w14:paraId="23E8C631" w14:textId="77777777" w:rsidTr="0034073B">
        <w:tc>
          <w:tcPr>
            <w:tcW w:w="1555" w:type="dxa"/>
          </w:tcPr>
          <w:p w14:paraId="08DA178D" w14:textId="77777777" w:rsidR="009D3B83" w:rsidRPr="00776C26" w:rsidRDefault="009D3B83" w:rsidP="009D3B83">
            <w:pPr>
              <w:ind w:right="-425"/>
              <w:jc w:val="both"/>
              <w:rPr>
                <w:rFonts w:cs="Arial"/>
                <w:b/>
                <w:bCs/>
              </w:rPr>
            </w:pPr>
            <w:r w:rsidRPr="00776C26">
              <w:rPr>
                <w:rFonts w:cs="Arial"/>
                <w:b/>
                <w:bCs/>
              </w:rPr>
              <w:t>Total</w:t>
            </w:r>
          </w:p>
        </w:tc>
        <w:tc>
          <w:tcPr>
            <w:tcW w:w="992" w:type="dxa"/>
            <w:vAlign w:val="bottom"/>
          </w:tcPr>
          <w:p w14:paraId="31C63D09" w14:textId="14AA7E85" w:rsidR="009D3B83" w:rsidRPr="00776C26" w:rsidRDefault="00973B50" w:rsidP="009D3B83">
            <w:pPr>
              <w:jc w:val="right"/>
              <w:rPr>
                <w:b/>
                <w:bCs/>
              </w:rPr>
            </w:pPr>
            <w:r>
              <w:rPr>
                <w:b/>
                <w:bCs/>
              </w:rPr>
              <w:t>5</w:t>
            </w:r>
            <w:r w:rsidR="004F3003">
              <w:rPr>
                <w:b/>
                <w:bCs/>
              </w:rPr>
              <w:t>4</w:t>
            </w:r>
          </w:p>
        </w:tc>
        <w:tc>
          <w:tcPr>
            <w:tcW w:w="1134" w:type="dxa"/>
            <w:vAlign w:val="bottom"/>
          </w:tcPr>
          <w:p w14:paraId="1D2060AE" w14:textId="4E48CF82" w:rsidR="009D3B83" w:rsidRPr="00776C26" w:rsidRDefault="004F3003" w:rsidP="009D3B83">
            <w:pPr>
              <w:jc w:val="right"/>
              <w:rPr>
                <w:b/>
                <w:bCs/>
              </w:rPr>
            </w:pPr>
            <w:r>
              <w:rPr>
                <w:b/>
                <w:bCs/>
              </w:rPr>
              <w:t>3</w:t>
            </w:r>
            <w:r w:rsidR="00973B50">
              <w:rPr>
                <w:b/>
                <w:bCs/>
              </w:rPr>
              <w:t>3</w:t>
            </w:r>
          </w:p>
        </w:tc>
        <w:tc>
          <w:tcPr>
            <w:tcW w:w="992" w:type="dxa"/>
            <w:vAlign w:val="bottom"/>
          </w:tcPr>
          <w:p w14:paraId="7E29C7F4" w14:textId="2ED5C50B" w:rsidR="009D3B83" w:rsidRPr="00776C26" w:rsidRDefault="00973B50" w:rsidP="009D3B83">
            <w:pPr>
              <w:jc w:val="right"/>
              <w:rPr>
                <w:b/>
                <w:bCs/>
              </w:rPr>
            </w:pPr>
            <w:r>
              <w:rPr>
                <w:b/>
                <w:bCs/>
              </w:rPr>
              <w:t>87</w:t>
            </w:r>
          </w:p>
        </w:tc>
      </w:tr>
    </w:tbl>
    <w:p w14:paraId="340804AB" w14:textId="2011C4C9" w:rsidR="00C64787" w:rsidRDefault="00C64787" w:rsidP="00237AB1">
      <w:pPr>
        <w:ind w:left="-142" w:right="-425"/>
        <w:jc w:val="both"/>
        <w:rPr>
          <w:rFonts w:cs="Arial"/>
        </w:rPr>
      </w:pPr>
    </w:p>
    <w:p w14:paraId="32A7D6CF" w14:textId="7698D6C5" w:rsidR="00237AB1" w:rsidRPr="00BE3183" w:rsidRDefault="00237AB1" w:rsidP="00A828FA">
      <w:pPr>
        <w:spacing w:after="120" w:line="240" w:lineRule="auto"/>
        <w:ind w:left="794" w:hanging="794"/>
        <w:rPr>
          <w:bCs/>
          <w:sz w:val="16"/>
          <w:szCs w:val="16"/>
        </w:rPr>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1"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1"/>
      <w:proofErr w:type="gramStart"/>
      <w:r w:rsidRPr="00656C56">
        <w:rPr>
          <w:sz w:val="16"/>
          <w:szCs w:val="16"/>
        </w:rPr>
        <w:t>entered into</w:t>
      </w:r>
      <w:proofErr w:type="gramEnd"/>
      <w:r>
        <w:rPr>
          <w:sz w:val="16"/>
          <w:szCs w:val="16"/>
        </w:rPr>
        <w:t xml:space="preserve"> </w:t>
      </w:r>
      <w:r w:rsidR="00397BFC">
        <w:rPr>
          <w:sz w:val="16"/>
          <w:szCs w:val="16"/>
        </w:rPr>
        <w:t xml:space="preserve">from </w:t>
      </w:r>
      <w:r w:rsidR="008E6F77">
        <w:rPr>
          <w:bCs/>
          <w:sz w:val="16"/>
          <w:szCs w:val="16"/>
        </w:rPr>
        <w:t>1 April</w:t>
      </w:r>
      <w:r w:rsidR="00A828FA">
        <w:rPr>
          <w:bCs/>
          <w:sz w:val="16"/>
          <w:szCs w:val="16"/>
        </w:rPr>
        <w:t xml:space="preserve"> 2025 to </w:t>
      </w:r>
      <w:r w:rsidR="008E6F77">
        <w:rPr>
          <w:bCs/>
          <w:sz w:val="16"/>
          <w:szCs w:val="16"/>
        </w:rPr>
        <w:t>30 June</w:t>
      </w:r>
      <w:r w:rsidR="00A828FA">
        <w:rPr>
          <w:bCs/>
          <w:sz w:val="16"/>
          <w:szCs w:val="16"/>
        </w:rPr>
        <w:t xml:space="preserve"> 2025</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9B656A">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973B50" w14:paraId="604BDE97" w14:textId="77777777" w:rsidTr="00237AB1">
        <w:tc>
          <w:tcPr>
            <w:tcW w:w="1555" w:type="dxa"/>
          </w:tcPr>
          <w:p w14:paraId="16D39C9C" w14:textId="77777777" w:rsidR="00973B50" w:rsidRPr="00490B40" w:rsidRDefault="00973B50" w:rsidP="00973B50">
            <w:pPr>
              <w:ind w:right="-425"/>
              <w:jc w:val="both"/>
              <w:rPr>
                <w:rFonts w:cs="Arial"/>
              </w:rPr>
            </w:pPr>
            <w:r w:rsidRPr="00490B40">
              <w:rPr>
                <w:rFonts w:cs="Arial"/>
              </w:rPr>
              <w:t>AU</w:t>
            </w:r>
          </w:p>
        </w:tc>
        <w:tc>
          <w:tcPr>
            <w:tcW w:w="992" w:type="dxa"/>
            <w:vAlign w:val="bottom"/>
          </w:tcPr>
          <w:p w14:paraId="4F2BC6E4" w14:textId="38555579" w:rsidR="00973B50" w:rsidRPr="00B80930" w:rsidRDefault="00973B50" w:rsidP="00973B50">
            <w:pPr>
              <w:jc w:val="right"/>
            </w:pPr>
            <w:r>
              <w:rPr>
                <w:rFonts w:cs="Arial"/>
              </w:rPr>
              <w:t>34</w:t>
            </w:r>
          </w:p>
        </w:tc>
        <w:tc>
          <w:tcPr>
            <w:tcW w:w="1134" w:type="dxa"/>
            <w:vAlign w:val="bottom"/>
          </w:tcPr>
          <w:p w14:paraId="5D79F7D6" w14:textId="617B2E68" w:rsidR="00973B50" w:rsidRPr="00900EA0" w:rsidRDefault="00973B50" w:rsidP="00973B50">
            <w:pPr>
              <w:jc w:val="right"/>
            </w:pPr>
            <w:r>
              <w:t>0</w:t>
            </w:r>
          </w:p>
        </w:tc>
        <w:tc>
          <w:tcPr>
            <w:tcW w:w="992" w:type="dxa"/>
            <w:vAlign w:val="bottom"/>
          </w:tcPr>
          <w:p w14:paraId="2B25B2DF" w14:textId="2455302F" w:rsidR="00973B50" w:rsidRPr="00E105F5" w:rsidRDefault="00973B50" w:rsidP="00973B50">
            <w:pPr>
              <w:jc w:val="right"/>
              <w:rPr>
                <w:b/>
                <w:bCs/>
              </w:rPr>
            </w:pPr>
            <w:r>
              <w:rPr>
                <w:rFonts w:cs="Arial"/>
              </w:rPr>
              <w:t>34</w:t>
            </w:r>
          </w:p>
        </w:tc>
      </w:tr>
      <w:tr w:rsidR="00973B50" w14:paraId="1A905600" w14:textId="77777777" w:rsidTr="00BE3183">
        <w:tc>
          <w:tcPr>
            <w:tcW w:w="1555" w:type="dxa"/>
          </w:tcPr>
          <w:p w14:paraId="59A72EEE" w14:textId="77777777" w:rsidR="00973B50" w:rsidRPr="00490B40" w:rsidRDefault="00973B50" w:rsidP="00973B50">
            <w:pPr>
              <w:ind w:right="-425"/>
              <w:jc w:val="both"/>
              <w:rPr>
                <w:rFonts w:cs="Arial"/>
              </w:rPr>
            </w:pPr>
            <w:r w:rsidRPr="00490B40">
              <w:rPr>
                <w:rFonts w:cs="Arial"/>
              </w:rPr>
              <w:t>CO</w:t>
            </w:r>
          </w:p>
        </w:tc>
        <w:tc>
          <w:tcPr>
            <w:tcW w:w="992" w:type="dxa"/>
            <w:vAlign w:val="bottom"/>
          </w:tcPr>
          <w:p w14:paraId="7DC045C3" w14:textId="3CBCC438" w:rsidR="00973B50" w:rsidRPr="00B80930" w:rsidRDefault="00973B50" w:rsidP="00973B50">
            <w:pPr>
              <w:jc w:val="right"/>
            </w:pPr>
            <w:r>
              <w:rPr>
                <w:rFonts w:cs="Arial"/>
              </w:rPr>
              <w:t>1</w:t>
            </w:r>
          </w:p>
        </w:tc>
        <w:tc>
          <w:tcPr>
            <w:tcW w:w="1134" w:type="dxa"/>
          </w:tcPr>
          <w:p w14:paraId="544139DB" w14:textId="486AAF17" w:rsidR="00973B50" w:rsidRPr="00900EA0" w:rsidRDefault="00973B50" w:rsidP="00973B50">
            <w:pPr>
              <w:jc w:val="right"/>
            </w:pPr>
            <w:r w:rsidRPr="00FD1A1F">
              <w:t>0</w:t>
            </w:r>
          </w:p>
        </w:tc>
        <w:tc>
          <w:tcPr>
            <w:tcW w:w="992" w:type="dxa"/>
            <w:vAlign w:val="bottom"/>
          </w:tcPr>
          <w:p w14:paraId="655575AD" w14:textId="73265117" w:rsidR="00973B50" w:rsidRPr="00E105F5" w:rsidRDefault="00973B50" w:rsidP="00973B50">
            <w:pPr>
              <w:jc w:val="right"/>
              <w:rPr>
                <w:b/>
                <w:bCs/>
              </w:rPr>
            </w:pPr>
            <w:r>
              <w:rPr>
                <w:rFonts w:cs="Arial"/>
              </w:rPr>
              <w:t>1</w:t>
            </w:r>
          </w:p>
        </w:tc>
      </w:tr>
      <w:tr w:rsidR="00973B50" w14:paraId="577F7E12" w14:textId="77777777" w:rsidTr="00BE3183">
        <w:tc>
          <w:tcPr>
            <w:tcW w:w="1555" w:type="dxa"/>
          </w:tcPr>
          <w:p w14:paraId="2E4003E9" w14:textId="77777777" w:rsidR="00973B50" w:rsidRPr="00490B40" w:rsidRDefault="00973B50" w:rsidP="00973B50">
            <w:pPr>
              <w:ind w:right="-425"/>
              <w:jc w:val="both"/>
              <w:rPr>
                <w:rFonts w:cs="Arial"/>
              </w:rPr>
            </w:pPr>
            <w:r w:rsidRPr="00490B40">
              <w:rPr>
                <w:rFonts w:cs="Arial"/>
              </w:rPr>
              <w:t>DM</w:t>
            </w:r>
          </w:p>
        </w:tc>
        <w:tc>
          <w:tcPr>
            <w:tcW w:w="992" w:type="dxa"/>
            <w:vAlign w:val="bottom"/>
          </w:tcPr>
          <w:p w14:paraId="68E2C72D" w14:textId="30C07A34" w:rsidR="00973B50" w:rsidRPr="00B80930" w:rsidRDefault="00973B50" w:rsidP="00973B50">
            <w:pPr>
              <w:jc w:val="right"/>
            </w:pPr>
            <w:r>
              <w:rPr>
                <w:rFonts w:cs="Arial"/>
              </w:rPr>
              <w:t>6</w:t>
            </w:r>
          </w:p>
        </w:tc>
        <w:tc>
          <w:tcPr>
            <w:tcW w:w="1134" w:type="dxa"/>
          </w:tcPr>
          <w:p w14:paraId="5EFFF8C4" w14:textId="3FCBE0D8" w:rsidR="00973B50" w:rsidRPr="00900EA0" w:rsidRDefault="00973B50" w:rsidP="00973B50">
            <w:pPr>
              <w:jc w:val="right"/>
            </w:pPr>
            <w:r w:rsidRPr="00FD1A1F">
              <w:t>0</w:t>
            </w:r>
          </w:p>
        </w:tc>
        <w:tc>
          <w:tcPr>
            <w:tcW w:w="992" w:type="dxa"/>
            <w:vAlign w:val="bottom"/>
          </w:tcPr>
          <w:p w14:paraId="1CF754DE" w14:textId="2001CD47" w:rsidR="00973B50" w:rsidRPr="00E105F5" w:rsidRDefault="00973B50" w:rsidP="00973B50">
            <w:pPr>
              <w:jc w:val="right"/>
              <w:rPr>
                <w:b/>
                <w:bCs/>
              </w:rPr>
            </w:pPr>
            <w:r>
              <w:rPr>
                <w:rFonts w:cs="Arial"/>
              </w:rPr>
              <w:t>6</w:t>
            </w:r>
          </w:p>
        </w:tc>
      </w:tr>
      <w:tr w:rsidR="00973B50" w14:paraId="55AC2A32" w14:textId="77777777" w:rsidTr="00BE3183">
        <w:tc>
          <w:tcPr>
            <w:tcW w:w="1555" w:type="dxa"/>
          </w:tcPr>
          <w:p w14:paraId="511465EF" w14:textId="77777777" w:rsidR="00973B50" w:rsidRPr="00490B40" w:rsidRDefault="00973B50" w:rsidP="00973B50">
            <w:pPr>
              <w:ind w:right="-425"/>
              <w:jc w:val="both"/>
              <w:rPr>
                <w:rFonts w:cs="Arial"/>
              </w:rPr>
            </w:pPr>
            <w:r w:rsidRPr="00490B40">
              <w:rPr>
                <w:rFonts w:cs="Arial"/>
              </w:rPr>
              <w:t>HV</w:t>
            </w:r>
          </w:p>
        </w:tc>
        <w:tc>
          <w:tcPr>
            <w:tcW w:w="992" w:type="dxa"/>
            <w:vAlign w:val="bottom"/>
          </w:tcPr>
          <w:p w14:paraId="16976329" w14:textId="631CD8E8" w:rsidR="00973B50" w:rsidRPr="00B80930" w:rsidRDefault="00973B50" w:rsidP="00973B50">
            <w:pPr>
              <w:jc w:val="right"/>
            </w:pPr>
            <w:r>
              <w:rPr>
                <w:rFonts w:cs="Arial"/>
              </w:rPr>
              <w:t>10</w:t>
            </w:r>
          </w:p>
        </w:tc>
        <w:tc>
          <w:tcPr>
            <w:tcW w:w="1134" w:type="dxa"/>
          </w:tcPr>
          <w:p w14:paraId="48C3CD7F" w14:textId="0B7D8FFF" w:rsidR="00973B50" w:rsidRPr="00900EA0" w:rsidRDefault="00973B50" w:rsidP="00973B50">
            <w:pPr>
              <w:jc w:val="right"/>
            </w:pPr>
            <w:r w:rsidRPr="00FD1A1F">
              <w:t>0</w:t>
            </w:r>
          </w:p>
        </w:tc>
        <w:tc>
          <w:tcPr>
            <w:tcW w:w="992" w:type="dxa"/>
            <w:vAlign w:val="bottom"/>
          </w:tcPr>
          <w:p w14:paraId="1AAF646B" w14:textId="002CE241" w:rsidR="00973B50" w:rsidRPr="00E105F5" w:rsidRDefault="00973B50" w:rsidP="00973B50">
            <w:pPr>
              <w:jc w:val="right"/>
              <w:rPr>
                <w:b/>
                <w:bCs/>
              </w:rPr>
            </w:pPr>
            <w:r>
              <w:rPr>
                <w:rFonts w:cs="Arial"/>
              </w:rPr>
              <w:t>10</w:t>
            </w:r>
          </w:p>
        </w:tc>
      </w:tr>
      <w:tr w:rsidR="00973B50" w14:paraId="50F69E1F" w14:textId="77777777" w:rsidTr="00BE3183">
        <w:tc>
          <w:tcPr>
            <w:tcW w:w="1555" w:type="dxa"/>
          </w:tcPr>
          <w:p w14:paraId="48DBAB63" w14:textId="77777777" w:rsidR="00973B50" w:rsidRPr="00490B40" w:rsidRDefault="00973B50" w:rsidP="00973B50">
            <w:pPr>
              <w:ind w:right="-425"/>
              <w:jc w:val="both"/>
              <w:rPr>
                <w:rFonts w:cs="Arial"/>
              </w:rPr>
            </w:pPr>
            <w:r w:rsidRPr="00490B40">
              <w:rPr>
                <w:rFonts w:cs="Arial"/>
              </w:rPr>
              <w:t>MG</w:t>
            </w:r>
          </w:p>
        </w:tc>
        <w:tc>
          <w:tcPr>
            <w:tcW w:w="992" w:type="dxa"/>
            <w:vAlign w:val="bottom"/>
          </w:tcPr>
          <w:p w14:paraId="2E4ACC08" w14:textId="64BA2913" w:rsidR="00973B50" w:rsidRPr="00B80930" w:rsidRDefault="00973B50" w:rsidP="00973B50">
            <w:pPr>
              <w:jc w:val="right"/>
            </w:pPr>
            <w:r>
              <w:rPr>
                <w:rFonts w:cs="Arial"/>
              </w:rPr>
              <w:t>7</w:t>
            </w:r>
          </w:p>
        </w:tc>
        <w:tc>
          <w:tcPr>
            <w:tcW w:w="1134" w:type="dxa"/>
          </w:tcPr>
          <w:p w14:paraId="06822B4C" w14:textId="6B09CEB9" w:rsidR="00973B50" w:rsidRPr="00900EA0" w:rsidRDefault="00973B50" w:rsidP="00973B50">
            <w:pPr>
              <w:jc w:val="right"/>
            </w:pPr>
            <w:r w:rsidRPr="00FD1A1F">
              <w:t>0</w:t>
            </w:r>
          </w:p>
        </w:tc>
        <w:tc>
          <w:tcPr>
            <w:tcW w:w="992" w:type="dxa"/>
            <w:vAlign w:val="bottom"/>
          </w:tcPr>
          <w:p w14:paraId="4AC3B4A9" w14:textId="54F099B3" w:rsidR="00973B50" w:rsidRPr="00E105F5" w:rsidRDefault="00973B50" w:rsidP="00973B50">
            <w:pPr>
              <w:jc w:val="right"/>
              <w:rPr>
                <w:b/>
                <w:bCs/>
              </w:rPr>
            </w:pPr>
            <w:r>
              <w:rPr>
                <w:rFonts w:cs="Arial"/>
              </w:rPr>
              <w:t>7</w:t>
            </w:r>
          </w:p>
        </w:tc>
      </w:tr>
      <w:tr w:rsidR="00973B50" w14:paraId="7BC56D75" w14:textId="77777777" w:rsidTr="00BE3183">
        <w:tc>
          <w:tcPr>
            <w:tcW w:w="1555" w:type="dxa"/>
          </w:tcPr>
          <w:p w14:paraId="201CE63A" w14:textId="77777777" w:rsidR="00973B50" w:rsidRPr="00776C26" w:rsidRDefault="00973B50" w:rsidP="00973B50">
            <w:pPr>
              <w:ind w:right="-425"/>
              <w:jc w:val="both"/>
              <w:rPr>
                <w:rFonts w:cs="Arial"/>
                <w:b/>
                <w:bCs/>
              </w:rPr>
            </w:pPr>
            <w:r w:rsidRPr="00776C26">
              <w:rPr>
                <w:rFonts w:cs="Arial"/>
                <w:b/>
                <w:bCs/>
              </w:rPr>
              <w:t>Total</w:t>
            </w:r>
          </w:p>
        </w:tc>
        <w:tc>
          <w:tcPr>
            <w:tcW w:w="992" w:type="dxa"/>
            <w:vAlign w:val="bottom"/>
          </w:tcPr>
          <w:p w14:paraId="0FB9062E" w14:textId="54C6B437" w:rsidR="00973B50" w:rsidRPr="00B80930" w:rsidRDefault="00973B50" w:rsidP="00973B50">
            <w:pPr>
              <w:jc w:val="right"/>
              <w:rPr>
                <w:b/>
                <w:bCs/>
              </w:rPr>
            </w:pPr>
            <w:r>
              <w:rPr>
                <w:rFonts w:cs="Arial"/>
                <w:b/>
                <w:bCs/>
              </w:rPr>
              <w:t>58</w:t>
            </w:r>
          </w:p>
        </w:tc>
        <w:tc>
          <w:tcPr>
            <w:tcW w:w="1134" w:type="dxa"/>
          </w:tcPr>
          <w:p w14:paraId="482ED4A6" w14:textId="724C8C09" w:rsidR="00973B50" w:rsidRPr="004F3003" w:rsidRDefault="00973B50" w:rsidP="00973B50">
            <w:pPr>
              <w:jc w:val="right"/>
              <w:rPr>
                <w:b/>
                <w:bCs/>
              </w:rPr>
            </w:pPr>
            <w:r w:rsidRPr="00BE3183">
              <w:rPr>
                <w:b/>
                <w:bCs/>
              </w:rPr>
              <w:t>0</w:t>
            </w:r>
          </w:p>
        </w:tc>
        <w:tc>
          <w:tcPr>
            <w:tcW w:w="992" w:type="dxa"/>
            <w:vAlign w:val="bottom"/>
          </w:tcPr>
          <w:p w14:paraId="47A0B826" w14:textId="2D4549D0" w:rsidR="00973B50" w:rsidRPr="00E105F5" w:rsidRDefault="00973B50" w:rsidP="00973B50">
            <w:pPr>
              <w:jc w:val="right"/>
              <w:rPr>
                <w:b/>
                <w:bCs/>
              </w:rPr>
            </w:pPr>
            <w:r>
              <w:rPr>
                <w:rFonts w:cs="Arial"/>
                <w:b/>
                <w:bCs/>
              </w:rPr>
              <w:t>58</w:t>
            </w:r>
          </w:p>
        </w:tc>
      </w:tr>
    </w:tbl>
    <w:p w14:paraId="600511AC" w14:textId="77777777" w:rsidR="00237AB1" w:rsidRDefault="00237AB1" w:rsidP="00237AB1">
      <w:pPr>
        <w:ind w:left="-142" w:right="-425"/>
        <w:jc w:val="both"/>
        <w:rPr>
          <w:rFonts w:cs="Arial"/>
        </w:rPr>
      </w:pPr>
    </w:p>
    <w:p w14:paraId="07242880" w14:textId="6661796F" w:rsidR="00237AB1" w:rsidRPr="00811A70" w:rsidRDefault="00237AB1" w:rsidP="0002195A">
      <w:pPr>
        <w:spacing w:after="120" w:line="240" w:lineRule="auto"/>
        <w:ind w:left="794" w:hanging="794"/>
        <w:rPr>
          <w:bCs/>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2"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2"/>
      <w:r w:rsidRPr="0002195A">
        <w:rPr>
          <w:bCs/>
          <w:sz w:val="16"/>
          <w:szCs w:val="16"/>
        </w:rPr>
        <w:t xml:space="preserve">from </w:t>
      </w:r>
      <w:r w:rsidR="008E6F77">
        <w:rPr>
          <w:bCs/>
          <w:sz w:val="16"/>
          <w:szCs w:val="16"/>
        </w:rPr>
        <w:t>1 April</w:t>
      </w:r>
      <w:r w:rsidR="00A828FA">
        <w:rPr>
          <w:bCs/>
          <w:sz w:val="16"/>
          <w:szCs w:val="16"/>
        </w:rPr>
        <w:t xml:space="preserve"> 2025 to </w:t>
      </w:r>
      <w:r w:rsidR="008E6F77">
        <w:rPr>
          <w:bCs/>
          <w:sz w:val="16"/>
          <w:szCs w:val="16"/>
        </w:rPr>
        <w:t>30 June</w:t>
      </w:r>
      <w:r w:rsidR="00A828FA">
        <w:rPr>
          <w:bCs/>
          <w:sz w:val="16"/>
          <w:szCs w:val="16"/>
        </w:rPr>
        <w:t xml:space="preserve"> 2025</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9B656A">
        <w:rPr>
          <w:sz w:val="16"/>
          <w:szCs w:val="16"/>
          <w:vertAlign w:val="superscript"/>
        </w:rPr>
        <w:t>5</w:t>
      </w:r>
      <w:r w:rsidR="0002195A" w:rsidRPr="00152D32">
        <w:rPr>
          <w:sz w:val="16"/>
          <w:szCs w:val="16"/>
          <w:vertAlign w:val="superscript"/>
        </w:rPr>
        <w:fldChar w:fldCharType="end"/>
      </w:r>
    </w:p>
    <w:tbl>
      <w:tblPr>
        <w:tblStyle w:val="TableGrid"/>
        <w:tblW w:w="10093" w:type="dxa"/>
        <w:tblInd w:w="108" w:type="dxa"/>
        <w:tblLayout w:type="fixed"/>
        <w:tblLook w:val="04A0" w:firstRow="1" w:lastRow="0" w:firstColumn="1" w:lastColumn="0" w:noHBand="0" w:noVBand="1"/>
      </w:tblPr>
      <w:tblGrid>
        <w:gridCol w:w="1305"/>
        <w:gridCol w:w="709"/>
        <w:gridCol w:w="1559"/>
        <w:gridCol w:w="1417"/>
        <w:gridCol w:w="709"/>
        <w:gridCol w:w="992"/>
        <w:gridCol w:w="1418"/>
        <w:gridCol w:w="1276"/>
        <w:gridCol w:w="708"/>
      </w:tblGrid>
      <w:tr w:rsidR="004F3003" w:rsidRPr="00BA08BA" w14:paraId="00D64F33" w14:textId="77777777" w:rsidTr="004F3003">
        <w:tc>
          <w:tcPr>
            <w:tcW w:w="1305" w:type="dxa"/>
          </w:tcPr>
          <w:p w14:paraId="4D5DE928" w14:textId="77777777" w:rsidR="004F3003" w:rsidRPr="004F3003" w:rsidRDefault="004F3003" w:rsidP="00BA08BA">
            <w:pPr>
              <w:ind w:right="-425"/>
              <w:jc w:val="both"/>
              <w:rPr>
                <w:rFonts w:cs="Arial"/>
                <w:b/>
                <w:bCs/>
                <w:sz w:val="16"/>
                <w:szCs w:val="16"/>
              </w:rPr>
            </w:pPr>
            <w:r w:rsidRPr="004F3003">
              <w:rPr>
                <w:rFonts w:cs="Arial"/>
                <w:b/>
                <w:bCs/>
                <w:sz w:val="16"/>
                <w:szCs w:val="16"/>
              </w:rPr>
              <w:t>Community</w:t>
            </w:r>
          </w:p>
        </w:tc>
        <w:tc>
          <w:tcPr>
            <w:tcW w:w="709" w:type="dxa"/>
          </w:tcPr>
          <w:p w14:paraId="26C6768E" w14:textId="38839D85" w:rsidR="004F3003" w:rsidRPr="004F3003" w:rsidRDefault="004F3003" w:rsidP="00BA08BA">
            <w:pPr>
              <w:jc w:val="center"/>
              <w:rPr>
                <w:rFonts w:cs="Arial"/>
                <w:b/>
                <w:bCs/>
                <w:sz w:val="16"/>
                <w:szCs w:val="16"/>
              </w:rPr>
            </w:pPr>
            <w:r w:rsidRPr="004F3003">
              <w:rPr>
                <w:rFonts w:cs="Arial"/>
                <w:b/>
                <w:bCs/>
                <w:sz w:val="16"/>
                <w:szCs w:val="16"/>
              </w:rPr>
              <w:t>CCP</w:t>
            </w:r>
          </w:p>
        </w:tc>
        <w:tc>
          <w:tcPr>
            <w:tcW w:w="1559" w:type="dxa"/>
          </w:tcPr>
          <w:p w14:paraId="26BEE2F4" w14:textId="2C3EC3D2" w:rsidR="004F3003" w:rsidRPr="004F3003" w:rsidRDefault="004F3003" w:rsidP="00BA08BA">
            <w:pPr>
              <w:jc w:val="center"/>
              <w:rPr>
                <w:rFonts w:cs="Arial"/>
                <w:b/>
                <w:bCs/>
                <w:sz w:val="16"/>
                <w:szCs w:val="16"/>
              </w:rPr>
            </w:pPr>
            <w:r w:rsidRPr="004F3003">
              <w:rPr>
                <w:rFonts w:cs="Arial"/>
                <w:b/>
                <w:bCs/>
                <w:sz w:val="16"/>
                <w:szCs w:val="16"/>
              </w:rPr>
              <w:t>CCP &amp; CIM Concurrently</w:t>
            </w:r>
          </w:p>
        </w:tc>
        <w:tc>
          <w:tcPr>
            <w:tcW w:w="1417" w:type="dxa"/>
          </w:tcPr>
          <w:p w14:paraId="53C5694C" w14:textId="32125B59" w:rsidR="004F3003" w:rsidRPr="004F3003" w:rsidRDefault="004F3003" w:rsidP="00BA08BA">
            <w:pPr>
              <w:jc w:val="center"/>
              <w:rPr>
                <w:rFonts w:cs="Arial"/>
                <w:b/>
                <w:bCs/>
                <w:sz w:val="16"/>
                <w:szCs w:val="16"/>
              </w:rPr>
            </w:pPr>
            <w:r w:rsidRPr="004F3003">
              <w:rPr>
                <w:rFonts w:cs="Arial"/>
                <w:b/>
                <w:bCs/>
                <w:sz w:val="16"/>
                <w:szCs w:val="16"/>
              </w:rPr>
              <w:t>CCP, Rescheduled</w:t>
            </w:r>
          </w:p>
        </w:tc>
        <w:tc>
          <w:tcPr>
            <w:tcW w:w="709" w:type="dxa"/>
          </w:tcPr>
          <w:p w14:paraId="20680178" w14:textId="2F225937" w:rsidR="004F3003" w:rsidRPr="004F3003" w:rsidRDefault="004F3003" w:rsidP="00BA08BA">
            <w:pPr>
              <w:jc w:val="center"/>
              <w:rPr>
                <w:rFonts w:cs="Arial"/>
                <w:b/>
                <w:bCs/>
                <w:sz w:val="16"/>
                <w:szCs w:val="16"/>
              </w:rPr>
            </w:pPr>
            <w:r w:rsidRPr="004F3003">
              <w:rPr>
                <w:rFonts w:cs="Arial"/>
                <w:b/>
                <w:bCs/>
                <w:sz w:val="16"/>
                <w:szCs w:val="16"/>
              </w:rPr>
              <w:t>CIM</w:t>
            </w:r>
          </w:p>
        </w:tc>
        <w:tc>
          <w:tcPr>
            <w:tcW w:w="992" w:type="dxa"/>
          </w:tcPr>
          <w:p w14:paraId="5E156BEA" w14:textId="0D41513D" w:rsidR="004F3003" w:rsidRPr="004F3003" w:rsidRDefault="004F3003" w:rsidP="00BA08BA">
            <w:pPr>
              <w:jc w:val="right"/>
              <w:rPr>
                <w:rFonts w:cs="Arial"/>
                <w:b/>
                <w:bCs/>
                <w:sz w:val="16"/>
                <w:szCs w:val="16"/>
              </w:rPr>
            </w:pPr>
            <w:r w:rsidRPr="004F3003">
              <w:rPr>
                <w:rFonts w:cs="Arial"/>
                <w:b/>
                <w:bCs/>
                <w:sz w:val="16"/>
                <w:szCs w:val="16"/>
              </w:rPr>
              <w:t>No Further Action</w:t>
            </w:r>
          </w:p>
        </w:tc>
        <w:tc>
          <w:tcPr>
            <w:tcW w:w="1418" w:type="dxa"/>
          </w:tcPr>
          <w:p w14:paraId="2F640541" w14:textId="2F5D48BF" w:rsidR="004F3003" w:rsidRPr="004F3003" w:rsidRDefault="004F3003" w:rsidP="00BA08BA">
            <w:pPr>
              <w:jc w:val="right"/>
              <w:rPr>
                <w:rFonts w:cs="Arial"/>
                <w:b/>
                <w:bCs/>
                <w:sz w:val="16"/>
                <w:szCs w:val="16"/>
              </w:rPr>
            </w:pPr>
            <w:r w:rsidRPr="004F3003">
              <w:rPr>
                <w:rFonts w:cs="Arial"/>
                <w:b/>
                <w:bCs/>
                <w:sz w:val="16"/>
                <w:szCs w:val="16"/>
              </w:rPr>
              <w:t>Recommend Support Service</w:t>
            </w:r>
          </w:p>
        </w:tc>
        <w:tc>
          <w:tcPr>
            <w:tcW w:w="1276" w:type="dxa"/>
          </w:tcPr>
          <w:p w14:paraId="71EA7EBC" w14:textId="7A86241B" w:rsidR="004F3003" w:rsidRPr="004F3003" w:rsidRDefault="004F3003" w:rsidP="00BA08BA">
            <w:pPr>
              <w:jc w:val="right"/>
              <w:rPr>
                <w:rFonts w:cs="Arial"/>
                <w:b/>
                <w:bCs/>
                <w:sz w:val="16"/>
                <w:szCs w:val="16"/>
              </w:rPr>
            </w:pPr>
            <w:r w:rsidRPr="004F3003">
              <w:rPr>
                <w:rFonts w:cs="Arial"/>
                <w:b/>
                <w:bCs/>
                <w:sz w:val="16"/>
                <w:szCs w:val="16"/>
              </w:rPr>
              <w:t>Reprimand</w:t>
            </w:r>
          </w:p>
        </w:tc>
        <w:tc>
          <w:tcPr>
            <w:tcW w:w="708" w:type="dxa"/>
          </w:tcPr>
          <w:p w14:paraId="510D2877" w14:textId="524D134E" w:rsidR="004F3003" w:rsidRPr="004F3003" w:rsidRDefault="004F3003" w:rsidP="00BA08BA">
            <w:pPr>
              <w:jc w:val="right"/>
              <w:rPr>
                <w:rFonts w:cs="Arial"/>
                <w:b/>
                <w:bCs/>
                <w:sz w:val="16"/>
                <w:szCs w:val="16"/>
              </w:rPr>
            </w:pPr>
            <w:r w:rsidRPr="004F3003">
              <w:rPr>
                <w:rFonts w:cs="Arial"/>
                <w:b/>
                <w:bCs/>
                <w:sz w:val="16"/>
                <w:szCs w:val="16"/>
              </w:rPr>
              <w:t>Total</w:t>
            </w:r>
          </w:p>
        </w:tc>
      </w:tr>
      <w:tr w:rsidR="00B23932" w:rsidRPr="00BA08BA" w14:paraId="1020AB47" w14:textId="77777777" w:rsidTr="004F3003">
        <w:tc>
          <w:tcPr>
            <w:tcW w:w="1305" w:type="dxa"/>
          </w:tcPr>
          <w:p w14:paraId="38A91592" w14:textId="77777777" w:rsidR="00B23932" w:rsidRPr="004F3003" w:rsidRDefault="00B23932" w:rsidP="00B23932">
            <w:pPr>
              <w:ind w:right="-425"/>
              <w:jc w:val="both"/>
              <w:rPr>
                <w:rFonts w:cs="Arial"/>
                <w:sz w:val="16"/>
                <w:szCs w:val="16"/>
              </w:rPr>
            </w:pPr>
            <w:r w:rsidRPr="004F3003">
              <w:rPr>
                <w:rFonts w:cs="Arial"/>
                <w:sz w:val="16"/>
                <w:szCs w:val="16"/>
              </w:rPr>
              <w:t>AU</w:t>
            </w:r>
          </w:p>
        </w:tc>
        <w:tc>
          <w:tcPr>
            <w:tcW w:w="709" w:type="dxa"/>
          </w:tcPr>
          <w:p w14:paraId="49AD44CD" w14:textId="4143BE76" w:rsidR="00B23932" w:rsidRPr="00B23932" w:rsidRDefault="00B23932" w:rsidP="00B23932">
            <w:pPr>
              <w:jc w:val="right"/>
              <w:rPr>
                <w:sz w:val="16"/>
                <w:szCs w:val="16"/>
              </w:rPr>
            </w:pPr>
            <w:r w:rsidRPr="0031519F">
              <w:rPr>
                <w:rFonts w:cs="Arial"/>
                <w:color w:val="000000"/>
                <w:sz w:val="16"/>
                <w:szCs w:val="16"/>
              </w:rPr>
              <w:t>2</w:t>
            </w:r>
          </w:p>
        </w:tc>
        <w:tc>
          <w:tcPr>
            <w:tcW w:w="1559" w:type="dxa"/>
          </w:tcPr>
          <w:p w14:paraId="17354BB6" w14:textId="5EEE7CF2" w:rsidR="00B23932" w:rsidRPr="00B23932" w:rsidRDefault="00B23932" w:rsidP="00B23932">
            <w:pPr>
              <w:jc w:val="right"/>
              <w:rPr>
                <w:sz w:val="16"/>
                <w:szCs w:val="16"/>
              </w:rPr>
            </w:pPr>
            <w:r w:rsidRPr="0031519F">
              <w:rPr>
                <w:rFonts w:cs="Arial"/>
                <w:color w:val="000000"/>
                <w:sz w:val="16"/>
                <w:szCs w:val="16"/>
              </w:rPr>
              <w:t>1</w:t>
            </w:r>
          </w:p>
        </w:tc>
        <w:tc>
          <w:tcPr>
            <w:tcW w:w="1417" w:type="dxa"/>
          </w:tcPr>
          <w:p w14:paraId="68EE96E5" w14:textId="16A6955D" w:rsidR="00B23932" w:rsidRPr="00B23932" w:rsidRDefault="00B23932" w:rsidP="00B23932">
            <w:pPr>
              <w:jc w:val="right"/>
              <w:rPr>
                <w:rFonts w:cs="Arial"/>
                <w:color w:val="000000"/>
                <w:sz w:val="16"/>
                <w:szCs w:val="16"/>
              </w:rPr>
            </w:pPr>
            <w:r w:rsidRPr="0031519F">
              <w:rPr>
                <w:rFonts w:cs="Arial"/>
                <w:color w:val="000000"/>
                <w:sz w:val="16"/>
                <w:szCs w:val="16"/>
              </w:rPr>
              <w:t>0</w:t>
            </w:r>
          </w:p>
        </w:tc>
        <w:tc>
          <w:tcPr>
            <w:tcW w:w="709" w:type="dxa"/>
          </w:tcPr>
          <w:p w14:paraId="515C5886" w14:textId="0FBCBE6B" w:rsidR="00B23932" w:rsidRPr="00B23932" w:rsidRDefault="00B23932" w:rsidP="00B23932">
            <w:pPr>
              <w:jc w:val="right"/>
              <w:rPr>
                <w:sz w:val="16"/>
                <w:szCs w:val="16"/>
              </w:rPr>
            </w:pPr>
            <w:r w:rsidRPr="0031519F">
              <w:rPr>
                <w:rFonts w:cs="Arial"/>
                <w:color w:val="000000"/>
                <w:sz w:val="16"/>
                <w:szCs w:val="16"/>
              </w:rPr>
              <w:t>3</w:t>
            </w:r>
          </w:p>
        </w:tc>
        <w:tc>
          <w:tcPr>
            <w:tcW w:w="992" w:type="dxa"/>
          </w:tcPr>
          <w:p w14:paraId="1EDEBBF3" w14:textId="2545633F" w:rsidR="00B23932" w:rsidRPr="00B23932" w:rsidRDefault="00B23932" w:rsidP="00B23932">
            <w:pPr>
              <w:jc w:val="right"/>
              <w:rPr>
                <w:sz w:val="16"/>
                <w:szCs w:val="16"/>
              </w:rPr>
            </w:pPr>
            <w:r w:rsidRPr="0031519F">
              <w:rPr>
                <w:rFonts w:cs="Arial"/>
                <w:color w:val="000000"/>
                <w:sz w:val="16"/>
                <w:szCs w:val="16"/>
              </w:rPr>
              <w:t>11</w:t>
            </w:r>
          </w:p>
        </w:tc>
        <w:tc>
          <w:tcPr>
            <w:tcW w:w="1418" w:type="dxa"/>
          </w:tcPr>
          <w:p w14:paraId="148E8079" w14:textId="0C736B25" w:rsidR="00B23932" w:rsidRPr="00B23932" w:rsidRDefault="00B23932" w:rsidP="00B23932">
            <w:pPr>
              <w:jc w:val="right"/>
              <w:rPr>
                <w:sz w:val="16"/>
                <w:szCs w:val="16"/>
              </w:rPr>
            </w:pPr>
            <w:r w:rsidRPr="0031519F">
              <w:rPr>
                <w:rFonts w:cs="Arial"/>
                <w:color w:val="000000"/>
                <w:sz w:val="16"/>
                <w:szCs w:val="16"/>
              </w:rPr>
              <w:t>20</w:t>
            </w:r>
          </w:p>
        </w:tc>
        <w:tc>
          <w:tcPr>
            <w:tcW w:w="1276" w:type="dxa"/>
          </w:tcPr>
          <w:p w14:paraId="25D1807E" w14:textId="42E22962" w:rsidR="00B23932" w:rsidRPr="00B23932" w:rsidRDefault="00B23932" w:rsidP="00B23932">
            <w:pPr>
              <w:jc w:val="right"/>
              <w:rPr>
                <w:rFonts w:cs="Arial"/>
                <w:sz w:val="16"/>
                <w:szCs w:val="16"/>
              </w:rPr>
            </w:pPr>
            <w:r w:rsidRPr="0031519F">
              <w:rPr>
                <w:rFonts w:cs="Arial"/>
                <w:color w:val="000000"/>
                <w:sz w:val="16"/>
                <w:szCs w:val="16"/>
              </w:rPr>
              <w:t>0</w:t>
            </w:r>
          </w:p>
        </w:tc>
        <w:tc>
          <w:tcPr>
            <w:tcW w:w="708" w:type="dxa"/>
            <w:vAlign w:val="bottom"/>
          </w:tcPr>
          <w:p w14:paraId="5EBCE817" w14:textId="795A5E41" w:rsidR="00B23932" w:rsidRPr="00B23932" w:rsidRDefault="00B23932" w:rsidP="00B23932">
            <w:pPr>
              <w:jc w:val="right"/>
              <w:rPr>
                <w:b/>
                <w:bCs/>
                <w:sz w:val="16"/>
                <w:szCs w:val="16"/>
              </w:rPr>
            </w:pPr>
            <w:r w:rsidRPr="0031519F">
              <w:rPr>
                <w:rFonts w:cs="Arial"/>
                <w:b/>
                <w:bCs/>
                <w:sz w:val="16"/>
                <w:szCs w:val="16"/>
              </w:rPr>
              <w:t>37</w:t>
            </w:r>
          </w:p>
        </w:tc>
      </w:tr>
      <w:tr w:rsidR="00B23932" w:rsidRPr="00BA08BA" w14:paraId="301C6385" w14:textId="77777777" w:rsidTr="004F3003">
        <w:tc>
          <w:tcPr>
            <w:tcW w:w="1305" w:type="dxa"/>
          </w:tcPr>
          <w:p w14:paraId="50576C01" w14:textId="77777777" w:rsidR="00B23932" w:rsidRPr="004F3003" w:rsidRDefault="00B23932" w:rsidP="00B23932">
            <w:pPr>
              <w:ind w:right="-425"/>
              <w:jc w:val="both"/>
              <w:rPr>
                <w:rFonts w:cs="Arial"/>
                <w:sz w:val="16"/>
                <w:szCs w:val="16"/>
              </w:rPr>
            </w:pPr>
            <w:r w:rsidRPr="004F3003">
              <w:rPr>
                <w:rFonts w:cs="Arial"/>
                <w:sz w:val="16"/>
                <w:szCs w:val="16"/>
              </w:rPr>
              <w:t>CO</w:t>
            </w:r>
          </w:p>
        </w:tc>
        <w:tc>
          <w:tcPr>
            <w:tcW w:w="709" w:type="dxa"/>
          </w:tcPr>
          <w:p w14:paraId="44D73875" w14:textId="7E3C4613" w:rsidR="00B23932" w:rsidRPr="00B23932" w:rsidRDefault="00B23932" w:rsidP="00B23932">
            <w:pPr>
              <w:jc w:val="right"/>
              <w:rPr>
                <w:sz w:val="16"/>
                <w:szCs w:val="16"/>
              </w:rPr>
            </w:pPr>
            <w:r w:rsidRPr="0031519F">
              <w:rPr>
                <w:rFonts w:cs="Arial"/>
                <w:color w:val="000000"/>
                <w:sz w:val="16"/>
                <w:szCs w:val="16"/>
              </w:rPr>
              <w:t>0</w:t>
            </w:r>
          </w:p>
        </w:tc>
        <w:tc>
          <w:tcPr>
            <w:tcW w:w="1559" w:type="dxa"/>
          </w:tcPr>
          <w:p w14:paraId="0F9DAF08" w14:textId="695931E6" w:rsidR="00B23932" w:rsidRPr="00B23932" w:rsidRDefault="00B23932" w:rsidP="00B23932">
            <w:pPr>
              <w:jc w:val="right"/>
              <w:rPr>
                <w:sz w:val="16"/>
                <w:szCs w:val="16"/>
              </w:rPr>
            </w:pPr>
            <w:r w:rsidRPr="0031519F">
              <w:rPr>
                <w:rFonts w:cs="Arial"/>
                <w:color w:val="000000"/>
                <w:sz w:val="16"/>
                <w:szCs w:val="16"/>
              </w:rPr>
              <w:t>0</w:t>
            </w:r>
          </w:p>
        </w:tc>
        <w:tc>
          <w:tcPr>
            <w:tcW w:w="1417" w:type="dxa"/>
          </w:tcPr>
          <w:p w14:paraId="6F0319CC" w14:textId="56E1DA19" w:rsidR="00B23932" w:rsidRPr="00B23932" w:rsidRDefault="00B23932" w:rsidP="00B23932">
            <w:pPr>
              <w:jc w:val="right"/>
              <w:rPr>
                <w:rFonts w:cs="Arial"/>
                <w:color w:val="000000"/>
                <w:sz w:val="16"/>
                <w:szCs w:val="16"/>
              </w:rPr>
            </w:pPr>
            <w:r w:rsidRPr="0031519F">
              <w:rPr>
                <w:rFonts w:cs="Arial"/>
                <w:color w:val="000000"/>
                <w:sz w:val="16"/>
                <w:szCs w:val="16"/>
              </w:rPr>
              <w:t>0</w:t>
            </w:r>
          </w:p>
        </w:tc>
        <w:tc>
          <w:tcPr>
            <w:tcW w:w="709" w:type="dxa"/>
          </w:tcPr>
          <w:p w14:paraId="2433CFD3" w14:textId="3178D902" w:rsidR="00B23932" w:rsidRPr="00B23932" w:rsidRDefault="00B23932" w:rsidP="00B23932">
            <w:pPr>
              <w:jc w:val="right"/>
              <w:rPr>
                <w:sz w:val="16"/>
                <w:szCs w:val="16"/>
              </w:rPr>
            </w:pPr>
            <w:r w:rsidRPr="0031519F">
              <w:rPr>
                <w:rFonts w:cs="Arial"/>
                <w:color w:val="000000"/>
                <w:sz w:val="16"/>
                <w:szCs w:val="16"/>
              </w:rPr>
              <w:t>0</w:t>
            </w:r>
          </w:p>
        </w:tc>
        <w:tc>
          <w:tcPr>
            <w:tcW w:w="992" w:type="dxa"/>
          </w:tcPr>
          <w:p w14:paraId="7CBCE60D" w14:textId="71FD1D3C" w:rsidR="00B23932" w:rsidRPr="00B23932" w:rsidRDefault="00B23932" w:rsidP="00B23932">
            <w:pPr>
              <w:jc w:val="right"/>
              <w:rPr>
                <w:sz w:val="16"/>
                <w:szCs w:val="16"/>
              </w:rPr>
            </w:pPr>
            <w:r w:rsidRPr="0031519F">
              <w:rPr>
                <w:rFonts w:cs="Arial"/>
                <w:color w:val="000000"/>
                <w:sz w:val="16"/>
                <w:szCs w:val="16"/>
              </w:rPr>
              <w:t>1</w:t>
            </w:r>
          </w:p>
        </w:tc>
        <w:tc>
          <w:tcPr>
            <w:tcW w:w="1418" w:type="dxa"/>
          </w:tcPr>
          <w:p w14:paraId="607C9E91" w14:textId="1ADED2A9" w:rsidR="00B23932" w:rsidRPr="00B23932" w:rsidRDefault="00B23932" w:rsidP="00B23932">
            <w:pPr>
              <w:jc w:val="right"/>
              <w:rPr>
                <w:sz w:val="16"/>
                <w:szCs w:val="16"/>
              </w:rPr>
            </w:pPr>
            <w:r w:rsidRPr="0031519F">
              <w:rPr>
                <w:rFonts w:cs="Arial"/>
                <w:color w:val="000000"/>
                <w:sz w:val="16"/>
                <w:szCs w:val="16"/>
              </w:rPr>
              <w:t>0</w:t>
            </w:r>
          </w:p>
        </w:tc>
        <w:tc>
          <w:tcPr>
            <w:tcW w:w="1276" w:type="dxa"/>
          </w:tcPr>
          <w:p w14:paraId="06627F1E" w14:textId="7144585C" w:rsidR="00B23932" w:rsidRPr="00B23932" w:rsidRDefault="00B23932" w:rsidP="00B23932">
            <w:pPr>
              <w:jc w:val="right"/>
              <w:rPr>
                <w:rFonts w:cs="Arial"/>
                <w:sz w:val="16"/>
                <w:szCs w:val="16"/>
              </w:rPr>
            </w:pPr>
            <w:r w:rsidRPr="0031519F">
              <w:rPr>
                <w:rFonts w:cs="Arial"/>
                <w:color w:val="000000"/>
                <w:sz w:val="16"/>
                <w:szCs w:val="16"/>
              </w:rPr>
              <w:t>0</w:t>
            </w:r>
          </w:p>
        </w:tc>
        <w:tc>
          <w:tcPr>
            <w:tcW w:w="708" w:type="dxa"/>
            <w:vAlign w:val="bottom"/>
          </w:tcPr>
          <w:p w14:paraId="72B8A199" w14:textId="65FEBFC0" w:rsidR="00B23932" w:rsidRPr="00B23932" w:rsidRDefault="00B23932" w:rsidP="00B23932">
            <w:pPr>
              <w:jc w:val="right"/>
              <w:rPr>
                <w:b/>
                <w:bCs/>
                <w:sz w:val="16"/>
                <w:szCs w:val="16"/>
              </w:rPr>
            </w:pPr>
            <w:r w:rsidRPr="0031519F">
              <w:rPr>
                <w:rFonts w:cs="Arial"/>
                <w:b/>
                <w:bCs/>
                <w:sz w:val="16"/>
                <w:szCs w:val="16"/>
              </w:rPr>
              <w:t>1</w:t>
            </w:r>
          </w:p>
        </w:tc>
      </w:tr>
      <w:tr w:rsidR="00B23932" w:rsidRPr="00BA08BA" w14:paraId="1AF88ED4" w14:textId="77777777" w:rsidTr="004F3003">
        <w:tc>
          <w:tcPr>
            <w:tcW w:w="1305" w:type="dxa"/>
          </w:tcPr>
          <w:p w14:paraId="4C229F63" w14:textId="77777777" w:rsidR="00B23932" w:rsidRPr="004F3003" w:rsidRDefault="00B23932" w:rsidP="00B23932">
            <w:pPr>
              <w:ind w:right="-425"/>
              <w:jc w:val="both"/>
              <w:rPr>
                <w:rFonts w:cs="Arial"/>
                <w:sz w:val="16"/>
                <w:szCs w:val="16"/>
              </w:rPr>
            </w:pPr>
            <w:r w:rsidRPr="004F3003">
              <w:rPr>
                <w:rFonts w:cs="Arial"/>
                <w:sz w:val="16"/>
                <w:szCs w:val="16"/>
              </w:rPr>
              <w:t>DM</w:t>
            </w:r>
          </w:p>
        </w:tc>
        <w:tc>
          <w:tcPr>
            <w:tcW w:w="709" w:type="dxa"/>
          </w:tcPr>
          <w:p w14:paraId="67496A09" w14:textId="1DDC2D15" w:rsidR="00B23932" w:rsidRPr="00B23932" w:rsidRDefault="00B23932" w:rsidP="00B23932">
            <w:pPr>
              <w:jc w:val="right"/>
              <w:rPr>
                <w:sz w:val="16"/>
                <w:szCs w:val="16"/>
              </w:rPr>
            </w:pPr>
            <w:r w:rsidRPr="0031519F">
              <w:rPr>
                <w:rFonts w:cs="Arial"/>
                <w:color w:val="000000"/>
                <w:sz w:val="16"/>
                <w:szCs w:val="16"/>
              </w:rPr>
              <w:t>21</w:t>
            </w:r>
          </w:p>
        </w:tc>
        <w:tc>
          <w:tcPr>
            <w:tcW w:w="1559" w:type="dxa"/>
          </w:tcPr>
          <w:p w14:paraId="0675C9A5" w14:textId="22BA4104" w:rsidR="00B23932" w:rsidRPr="00B23932" w:rsidRDefault="00B23932" w:rsidP="00B23932">
            <w:pPr>
              <w:jc w:val="right"/>
              <w:rPr>
                <w:sz w:val="16"/>
                <w:szCs w:val="16"/>
              </w:rPr>
            </w:pPr>
            <w:r w:rsidRPr="0031519F">
              <w:rPr>
                <w:rFonts w:cs="Arial"/>
                <w:color w:val="000000"/>
                <w:sz w:val="16"/>
                <w:szCs w:val="16"/>
              </w:rPr>
              <w:t>0</w:t>
            </w:r>
          </w:p>
        </w:tc>
        <w:tc>
          <w:tcPr>
            <w:tcW w:w="1417" w:type="dxa"/>
          </w:tcPr>
          <w:p w14:paraId="0AD00193" w14:textId="0429F919" w:rsidR="00B23932" w:rsidRPr="00B23932" w:rsidRDefault="00B23932" w:rsidP="00B23932">
            <w:pPr>
              <w:jc w:val="right"/>
              <w:rPr>
                <w:rFonts w:cs="Arial"/>
                <w:color w:val="000000"/>
                <w:sz w:val="16"/>
                <w:szCs w:val="16"/>
              </w:rPr>
            </w:pPr>
            <w:r w:rsidRPr="0031519F">
              <w:rPr>
                <w:rFonts w:cs="Arial"/>
                <w:color w:val="000000"/>
                <w:sz w:val="16"/>
                <w:szCs w:val="16"/>
              </w:rPr>
              <w:t>3</w:t>
            </w:r>
          </w:p>
        </w:tc>
        <w:tc>
          <w:tcPr>
            <w:tcW w:w="709" w:type="dxa"/>
          </w:tcPr>
          <w:p w14:paraId="2BF4D189" w14:textId="5945DF9D" w:rsidR="00B23932" w:rsidRPr="00B23932" w:rsidRDefault="00B23932" w:rsidP="00B23932">
            <w:pPr>
              <w:jc w:val="right"/>
              <w:rPr>
                <w:sz w:val="16"/>
                <w:szCs w:val="16"/>
              </w:rPr>
            </w:pPr>
            <w:r w:rsidRPr="0031519F">
              <w:rPr>
                <w:rFonts w:cs="Arial"/>
                <w:color w:val="000000"/>
                <w:sz w:val="16"/>
                <w:szCs w:val="16"/>
              </w:rPr>
              <w:t>1</w:t>
            </w:r>
          </w:p>
        </w:tc>
        <w:tc>
          <w:tcPr>
            <w:tcW w:w="992" w:type="dxa"/>
          </w:tcPr>
          <w:p w14:paraId="27C5948E" w14:textId="16576D3A" w:rsidR="00B23932" w:rsidRPr="00B23932" w:rsidRDefault="00B23932" w:rsidP="00B23932">
            <w:pPr>
              <w:jc w:val="right"/>
              <w:rPr>
                <w:sz w:val="16"/>
                <w:szCs w:val="16"/>
              </w:rPr>
            </w:pPr>
            <w:r w:rsidRPr="0031519F">
              <w:rPr>
                <w:rFonts w:cs="Arial"/>
                <w:color w:val="000000"/>
                <w:sz w:val="16"/>
                <w:szCs w:val="16"/>
              </w:rPr>
              <w:t>8</w:t>
            </w:r>
          </w:p>
        </w:tc>
        <w:tc>
          <w:tcPr>
            <w:tcW w:w="1418" w:type="dxa"/>
          </w:tcPr>
          <w:p w14:paraId="3CCA6FC4" w14:textId="790F0C2D" w:rsidR="00B23932" w:rsidRPr="00B23932" w:rsidRDefault="00B23932" w:rsidP="00B23932">
            <w:pPr>
              <w:jc w:val="right"/>
              <w:rPr>
                <w:sz w:val="16"/>
                <w:szCs w:val="16"/>
              </w:rPr>
            </w:pPr>
            <w:r w:rsidRPr="0031519F">
              <w:rPr>
                <w:rFonts w:cs="Arial"/>
                <w:color w:val="000000"/>
                <w:sz w:val="16"/>
                <w:szCs w:val="16"/>
              </w:rPr>
              <w:t>10</w:t>
            </w:r>
          </w:p>
        </w:tc>
        <w:tc>
          <w:tcPr>
            <w:tcW w:w="1276" w:type="dxa"/>
          </w:tcPr>
          <w:p w14:paraId="7C5D38D5" w14:textId="51531BF9" w:rsidR="00B23932" w:rsidRPr="00B23932" w:rsidRDefault="00B23932" w:rsidP="00B23932">
            <w:pPr>
              <w:jc w:val="right"/>
              <w:rPr>
                <w:rFonts w:cs="Arial"/>
                <w:sz w:val="16"/>
                <w:szCs w:val="16"/>
              </w:rPr>
            </w:pPr>
            <w:r w:rsidRPr="0031519F">
              <w:rPr>
                <w:rFonts w:cs="Arial"/>
                <w:color w:val="000000"/>
                <w:sz w:val="16"/>
                <w:szCs w:val="16"/>
              </w:rPr>
              <w:t>0</w:t>
            </w:r>
          </w:p>
        </w:tc>
        <w:tc>
          <w:tcPr>
            <w:tcW w:w="708" w:type="dxa"/>
            <w:vAlign w:val="bottom"/>
          </w:tcPr>
          <w:p w14:paraId="6A174D2C" w14:textId="7C650295" w:rsidR="00B23932" w:rsidRPr="00B23932" w:rsidRDefault="00B23932" w:rsidP="00B23932">
            <w:pPr>
              <w:jc w:val="right"/>
              <w:rPr>
                <w:b/>
                <w:bCs/>
                <w:sz w:val="16"/>
                <w:szCs w:val="16"/>
              </w:rPr>
            </w:pPr>
            <w:r w:rsidRPr="0031519F">
              <w:rPr>
                <w:rFonts w:cs="Arial"/>
                <w:b/>
                <w:bCs/>
                <w:sz w:val="16"/>
                <w:szCs w:val="16"/>
              </w:rPr>
              <w:t>43</w:t>
            </w:r>
          </w:p>
        </w:tc>
      </w:tr>
      <w:tr w:rsidR="00B23932" w:rsidRPr="00BA08BA" w14:paraId="0B079D3E" w14:textId="77777777" w:rsidTr="004F3003">
        <w:tc>
          <w:tcPr>
            <w:tcW w:w="1305" w:type="dxa"/>
          </w:tcPr>
          <w:p w14:paraId="4C8C2425" w14:textId="77777777" w:rsidR="00B23932" w:rsidRPr="004F3003" w:rsidRDefault="00B23932" w:rsidP="00B23932">
            <w:pPr>
              <w:ind w:right="-425"/>
              <w:jc w:val="both"/>
              <w:rPr>
                <w:rFonts w:cs="Arial"/>
                <w:sz w:val="16"/>
                <w:szCs w:val="16"/>
              </w:rPr>
            </w:pPr>
            <w:r w:rsidRPr="004F3003">
              <w:rPr>
                <w:rFonts w:cs="Arial"/>
                <w:sz w:val="16"/>
                <w:szCs w:val="16"/>
              </w:rPr>
              <w:t>HV</w:t>
            </w:r>
          </w:p>
        </w:tc>
        <w:tc>
          <w:tcPr>
            <w:tcW w:w="709" w:type="dxa"/>
          </w:tcPr>
          <w:p w14:paraId="37538412" w14:textId="5E5D0DBE" w:rsidR="00B23932" w:rsidRPr="00B23932" w:rsidRDefault="00B23932" w:rsidP="00B23932">
            <w:pPr>
              <w:jc w:val="right"/>
              <w:rPr>
                <w:sz w:val="16"/>
                <w:szCs w:val="16"/>
              </w:rPr>
            </w:pPr>
            <w:r w:rsidRPr="0031519F">
              <w:rPr>
                <w:rFonts w:cs="Arial"/>
                <w:color w:val="000000"/>
                <w:sz w:val="16"/>
                <w:szCs w:val="16"/>
              </w:rPr>
              <w:t>5</w:t>
            </w:r>
          </w:p>
        </w:tc>
        <w:tc>
          <w:tcPr>
            <w:tcW w:w="1559" w:type="dxa"/>
          </w:tcPr>
          <w:p w14:paraId="19FE7E35" w14:textId="32E52351" w:rsidR="00B23932" w:rsidRPr="00B23932" w:rsidRDefault="00B23932" w:rsidP="00B23932">
            <w:pPr>
              <w:jc w:val="right"/>
              <w:rPr>
                <w:sz w:val="16"/>
                <w:szCs w:val="16"/>
              </w:rPr>
            </w:pPr>
            <w:r w:rsidRPr="0031519F">
              <w:rPr>
                <w:rFonts w:cs="Arial"/>
                <w:color w:val="000000"/>
                <w:sz w:val="16"/>
                <w:szCs w:val="16"/>
              </w:rPr>
              <w:t>1</w:t>
            </w:r>
          </w:p>
        </w:tc>
        <w:tc>
          <w:tcPr>
            <w:tcW w:w="1417" w:type="dxa"/>
          </w:tcPr>
          <w:p w14:paraId="693F9DE3" w14:textId="68A07854" w:rsidR="00B23932" w:rsidRPr="00B23932" w:rsidRDefault="00B23932" w:rsidP="00B23932">
            <w:pPr>
              <w:jc w:val="right"/>
              <w:rPr>
                <w:rFonts w:cs="Arial"/>
                <w:color w:val="000000"/>
                <w:sz w:val="16"/>
                <w:szCs w:val="16"/>
              </w:rPr>
            </w:pPr>
            <w:r w:rsidRPr="0031519F">
              <w:rPr>
                <w:rFonts w:cs="Arial"/>
                <w:color w:val="000000"/>
                <w:sz w:val="16"/>
                <w:szCs w:val="16"/>
              </w:rPr>
              <w:t>0</w:t>
            </w:r>
          </w:p>
        </w:tc>
        <w:tc>
          <w:tcPr>
            <w:tcW w:w="709" w:type="dxa"/>
          </w:tcPr>
          <w:p w14:paraId="5329BF30" w14:textId="6F3516BD" w:rsidR="00B23932" w:rsidRPr="00B23932" w:rsidRDefault="00B23932" w:rsidP="00B23932">
            <w:pPr>
              <w:jc w:val="right"/>
              <w:rPr>
                <w:sz w:val="16"/>
                <w:szCs w:val="16"/>
              </w:rPr>
            </w:pPr>
            <w:r w:rsidRPr="0031519F">
              <w:rPr>
                <w:rFonts w:cs="Arial"/>
                <w:color w:val="000000"/>
                <w:sz w:val="16"/>
                <w:szCs w:val="16"/>
              </w:rPr>
              <w:t>0</w:t>
            </w:r>
          </w:p>
        </w:tc>
        <w:tc>
          <w:tcPr>
            <w:tcW w:w="992" w:type="dxa"/>
          </w:tcPr>
          <w:p w14:paraId="069E5406" w14:textId="3306093C" w:rsidR="00B23932" w:rsidRPr="00B23932" w:rsidRDefault="00B23932" w:rsidP="00B23932">
            <w:pPr>
              <w:jc w:val="right"/>
              <w:rPr>
                <w:sz w:val="16"/>
                <w:szCs w:val="16"/>
              </w:rPr>
            </w:pPr>
            <w:r w:rsidRPr="0031519F">
              <w:rPr>
                <w:rFonts w:cs="Arial"/>
                <w:color w:val="000000"/>
                <w:sz w:val="16"/>
                <w:szCs w:val="16"/>
              </w:rPr>
              <w:t>4</w:t>
            </w:r>
          </w:p>
        </w:tc>
        <w:tc>
          <w:tcPr>
            <w:tcW w:w="1418" w:type="dxa"/>
          </w:tcPr>
          <w:p w14:paraId="3A7239B1" w14:textId="4A211A3F" w:rsidR="00B23932" w:rsidRPr="00B23932" w:rsidRDefault="00B23932" w:rsidP="00B23932">
            <w:pPr>
              <w:jc w:val="right"/>
              <w:rPr>
                <w:sz w:val="16"/>
                <w:szCs w:val="16"/>
              </w:rPr>
            </w:pPr>
            <w:r w:rsidRPr="0031519F">
              <w:rPr>
                <w:rFonts w:cs="Arial"/>
                <w:color w:val="000000"/>
                <w:sz w:val="16"/>
                <w:szCs w:val="16"/>
              </w:rPr>
              <w:t>8</w:t>
            </w:r>
          </w:p>
        </w:tc>
        <w:tc>
          <w:tcPr>
            <w:tcW w:w="1276" w:type="dxa"/>
          </w:tcPr>
          <w:p w14:paraId="65AE7390" w14:textId="72F8B023" w:rsidR="00B23932" w:rsidRPr="00B23932" w:rsidRDefault="00B23932" w:rsidP="00B23932">
            <w:pPr>
              <w:jc w:val="right"/>
              <w:rPr>
                <w:rFonts w:cs="Arial"/>
                <w:sz w:val="16"/>
                <w:szCs w:val="16"/>
              </w:rPr>
            </w:pPr>
            <w:r w:rsidRPr="0031519F">
              <w:rPr>
                <w:rFonts w:cs="Arial"/>
                <w:color w:val="000000"/>
                <w:sz w:val="16"/>
                <w:szCs w:val="16"/>
              </w:rPr>
              <w:t>1</w:t>
            </w:r>
          </w:p>
        </w:tc>
        <w:tc>
          <w:tcPr>
            <w:tcW w:w="708" w:type="dxa"/>
            <w:vAlign w:val="bottom"/>
          </w:tcPr>
          <w:p w14:paraId="03987686" w14:textId="498A12F8" w:rsidR="00B23932" w:rsidRPr="00B23932" w:rsidRDefault="00B23932" w:rsidP="00B23932">
            <w:pPr>
              <w:jc w:val="right"/>
              <w:rPr>
                <w:b/>
                <w:bCs/>
                <w:sz w:val="16"/>
                <w:szCs w:val="16"/>
              </w:rPr>
            </w:pPr>
            <w:r w:rsidRPr="0031519F">
              <w:rPr>
                <w:rFonts w:cs="Arial"/>
                <w:b/>
                <w:bCs/>
                <w:sz w:val="16"/>
                <w:szCs w:val="16"/>
              </w:rPr>
              <w:t>19</w:t>
            </w:r>
          </w:p>
        </w:tc>
      </w:tr>
      <w:tr w:rsidR="00B23932" w:rsidRPr="00BA08BA" w14:paraId="1A110982" w14:textId="77777777" w:rsidTr="004F3003">
        <w:tc>
          <w:tcPr>
            <w:tcW w:w="1305" w:type="dxa"/>
          </w:tcPr>
          <w:p w14:paraId="3E280D98" w14:textId="77777777" w:rsidR="00B23932" w:rsidRPr="004F3003" w:rsidRDefault="00B23932" w:rsidP="00B23932">
            <w:pPr>
              <w:ind w:right="-425"/>
              <w:jc w:val="both"/>
              <w:rPr>
                <w:rFonts w:cs="Arial"/>
                <w:sz w:val="16"/>
                <w:szCs w:val="16"/>
              </w:rPr>
            </w:pPr>
            <w:r w:rsidRPr="004F3003">
              <w:rPr>
                <w:rFonts w:cs="Arial"/>
                <w:sz w:val="16"/>
                <w:szCs w:val="16"/>
              </w:rPr>
              <w:t>MG</w:t>
            </w:r>
          </w:p>
        </w:tc>
        <w:tc>
          <w:tcPr>
            <w:tcW w:w="709" w:type="dxa"/>
          </w:tcPr>
          <w:p w14:paraId="219E514B" w14:textId="1B88A67B" w:rsidR="00B23932" w:rsidRPr="00B23932" w:rsidRDefault="00B23932" w:rsidP="00B23932">
            <w:pPr>
              <w:jc w:val="right"/>
              <w:rPr>
                <w:sz w:val="16"/>
                <w:szCs w:val="16"/>
              </w:rPr>
            </w:pPr>
            <w:r w:rsidRPr="0031519F">
              <w:rPr>
                <w:rFonts w:cs="Arial"/>
                <w:color w:val="000000"/>
                <w:sz w:val="16"/>
                <w:szCs w:val="16"/>
              </w:rPr>
              <w:t>0</w:t>
            </w:r>
          </w:p>
        </w:tc>
        <w:tc>
          <w:tcPr>
            <w:tcW w:w="1559" w:type="dxa"/>
          </w:tcPr>
          <w:p w14:paraId="51A17240" w14:textId="64677E2B" w:rsidR="00B23932" w:rsidRPr="00B23932" w:rsidRDefault="00B23932" w:rsidP="00B23932">
            <w:pPr>
              <w:jc w:val="right"/>
              <w:rPr>
                <w:sz w:val="16"/>
                <w:szCs w:val="16"/>
              </w:rPr>
            </w:pPr>
            <w:r w:rsidRPr="0031519F">
              <w:rPr>
                <w:rFonts w:cs="Arial"/>
                <w:color w:val="000000"/>
                <w:sz w:val="16"/>
                <w:szCs w:val="16"/>
              </w:rPr>
              <w:t>0</w:t>
            </w:r>
          </w:p>
        </w:tc>
        <w:tc>
          <w:tcPr>
            <w:tcW w:w="1417" w:type="dxa"/>
          </w:tcPr>
          <w:p w14:paraId="2DCBC30D" w14:textId="62B643E6" w:rsidR="00B23932" w:rsidRPr="00B23932" w:rsidRDefault="00B23932" w:rsidP="00B23932">
            <w:pPr>
              <w:jc w:val="right"/>
              <w:rPr>
                <w:rFonts w:cs="Arial"/>
                <w:color w:val="000000"/>
                <w:sz w:val="16"/>
                <w:szCs w:val="16"/>
              </w:rPr>
            </w:pPr>
            <w:r w:rsidRPr="0031519F">
              <w:rPr>
                <w:rFonts w:cs="Arial"/>
                <w:color w:val="000000"/>
                <w:sz w:val="16"/>
                <w:szCs w:val="16"/>
              </w:rPr>
              <w:t>0</w:t>
            </w:r>
          </w:p>
        </w:tc>
        <w:tc>
          <w:tcPr>
            <w:tcW w:w="709" w:type="dxa"/>
          </w:tcPr>
          <w:p w14:paraId="358DC4D7" w14:textId="0557B67C" w:rsidR="00B23932" w:rsidRPr="00B23932" w:rsidRDefault="00B23932" w:rsidP="00B23932">
            <w:pPr>
              <w:jc w:val="right"/>
              <w:rPr>
                <w:sz w:val="16"/>
                <w:szCs w:val="16"/>
              </w:rPr>
            </w:pPr>
            <w:r w:rsidRPr="0031519F">
              <w:rPr>
                <w:rFonts w:cs="Arial"/>
                <w:color w:val="000000"/>
                <w:sz w:val="16"/>
                <w:szCs w:val="16"/>
              </w:rPr>
              <w:t>0</w:t>
            </w:r>
          </w:p>
        </w:tc>
        <w:tc>
          <w:tcPr>
            <w:tcW w:w="992" w:type="dxa"/>
          </w:tcPr>
          <w:p w14:paraId="33ED210D" w14:textId="099D215C" w:rsidR="00B23932" w:rsidRPr="00B23932" w:rsidRDefault="00B23932" w:rsidP="00B23932">
            <w:pPr>
              <w:jc w:val="right"/>
              <w:rPr>
                <w:sz w:val="16"/>
                <w:szCs w:val="16"/>
              </w:rPr>
            </w:pPr>
            <w:r w:rsidRPr="0031519F">
              <w:rPr>
                <w:rFonts w:cs="Arial"/>
                <w:color w:val="000000"/>
                <w:sz w:val="16"/>
                <w:szCs w:val="16"/>
              </w:rPr>
              <w:t>0</w:t>
            </w:r>
          </w:p>
        </w:tc>
        <w:tc>
          <w:tcPr>
            <w:tcW w:w="1418" w:type="dxa"/>
          </w:tcPr>
          <w:p w14:paraId="0CEB7435" w14:textId="51068F6E" w:rsidR="00B23932" w:rsidRPr="00B23932" w:rsidRDefault="00B23932" w:rsidP="00B23932">
            <w:pPr>
              <w:jc w:val="right"/>
              <w:rPr>
                <w:sz w:val="16"/>
                <w:szCs w:val="16"/>
              </w:rPr>
            </w:pPr>
            <w:r w:rsidRPr="0031519F">
              <w:rPr>
                <w:rFonts w:cs="Arial"/>
                <w:color w:val="000000"/>
                <w:sz w:val="16"/>
                <w:szCs w:val="16"/>
              </w:rPr>
              <w:t>1</w:t>
            </w:r>
          </w:p>
        </w:tc>
        <w:tc>
          <w:tcPr>
            <w:tcW w:w="1276" w:type="dxa"/>
          </w:tcPr>
          <w:p w14:paraId="0348EE01" w14:textId="03B958EA" w:rsidR="00B23932" w:rsidRPr="00B23932" w:rsidRDefault="00B23932" w:rsidP="00B23932">
            <w:pPr>
              <w:jc w:val="right"/>
              <w:rPr>
                <w:rFonts w:cs="Arial"/>
                <w:sz w:val="16"/>
                <w:szCs w:val="16"/>
              </w:rPr>
            </w:pPr>
            <w:r w:rsidRPr="0031519F">
              <w:rPr>
                <w:rFonts w:cs="Arial"/>
                <w:color w:val="000000"/>
                <w:sz w:val="16"/>
                <w:szCs w:val="16"/>
              </w:rPr>
              <w:t>0</w:t>
            </w:r>
          </w:p>
        </w:tc>
        <w:tc>
          <w:tcPr>
            <w:tcW w:w="708" w:type="dxa"/>
            <w:vAlign w:val="bottom"/>
          </w:tcPr>
          <w:p w14:paraId="1AC531B7" w14:textId="7894B656" w:rsidR="00B23932" w:rsidRPr="00B23932" w:rsidRDefault="00B23932" w:rsidP="00B23932">
            <w:pPr>
              <w:jc w:val="right"/>
              <w:rPr>
                <w:b/>
                <w:bCs/>
                <w:sz w:val="16"/>
                <w:szCs w:val="16"/>
              </w:rPr>
            </w:pPr>
            <w:r w:rsidRPr="0031519F">
              <w:rPr>
                <w:rFonts w:cs="Arial"/>
                <w:b/>
                <w:bCs/>
                <w:sz w:val="16"/>
                <w:szCs w:val="16"/>
              </w:rPr>
              <w:t>1</w:t>
            </w:r>
          </w:p>
        </w:tc>
      </w:tr>
      <w:tr w:rsidR="00B23932" w:rsidRPr="00BA08BA" w14:paraId="7D295E1A" w14:textId="77777777" w:rsidTr="004F3003">
        <w:tc>
          <w:tcPr>
            <w:tcW w:w="1305" w:type="dxa"/>
          </w:tcPr>
          <w:p w14:paraId="1AA67368" w14:textId="77777777" w:rsidR="00B23932" w:rsidRPr="004F3003" w:rsidRDefault="00B23932" w:rsidP="00B23932">
            <w:pPr>
              <w:ind w:right="-425"/>
              <w:jc w:val="both"/>
              <w:rPr>
                <w:rFonts w:cs="Arial"/>
                <w:b/>
                <w:bCs/>
                <w:sz w:val="16"/>
                <w:szCs w:val="16"/>
              </w:rPr>
            </w:pPr>
            <w:r w:rsidRPr="004F3003">
              <w:rPr>
                <w:rFonts w:cs="Arial"/>
                <w:b/>
                <w:bCs/>
                <w:sz w:val="16"/>
                <w:szCs w:val="16"/>
              </w:rPr>
              <w:t>Total</w:t>
            </w:r>
          </w:p>
        </w:tc>
        <w:tc>
          <w:tcPr>
            <w:tcW w:w="709" w:type="dxa"/>
            <w:vAlign w:val="bottom"/>
          </w:tcPr>
          <w:p w14:paraId="7EA61294" w14:textId="71602E61" w:rsidR="00B23932" w:rsidRPr="00B23932" w:rsidRDefault="00B23932" w:rsidP="00B23932">
            <w:pPr>
              <w:jc w:val="right"/>
              <w:rPr>
                <w:b/>
                <w:bCs/>
                <w:sz w:val="16"/>
                <w:szCs w:val="16"/>
              </w:rPr>
            </w:pPr>
            <w:r w:rsidRPr="0031519F">
              <w:rPr>
                <w:rFonts w:cs="Arial"/>
                <w:b/>
                <w:bCs/>
                <w:sz w:val="16"/>
                <w:szCs w:val="16"/>
              </w:rPr>
              <w:t>28</w:t>
            </w:r>
          </w:p>
        </w:tc>
        <w:tc>
          <w:tcPr>
            <w:tcW w:w="1559" w:type="dxa"/>
            <w:vAlign w:val="bottom"/>
          </w:tcPr>
          <w:p w14:paraId="4423A1A4" w14:textId="11E03B9F" w:rsidR="00B23932" w:rsidRPr="00B23932" w:rsidRDefault="00B23932" w:rsidP="00B23932">
            <w:pPr>
              <w:jc w:val="right"/>
              <w:rPr>
                <w:b/>
                <w:bCs/>
                <w:sz w:val="16"/>
                <w:szCs w:val="16"/>
              </w:rPr>
            </w:pPr>
            <w:r w:rsidRPr="0031519F">
              <w:rPr>
                <w:rFonts w:cs="Arial"/>
                <w:b/>
                <w:bCs/>
                <w:sz w:val="16"/>
                <w:szCs w:val="16"/>
              </w:rPr>
              <w:t>2</w:t>
            </w:r>
          </w:p>
        </w:tc>
        <w:tc>
          <w:tcPr>
            <w:tcW w:w="1417" w:type="dxa"/>
            <w:vAlign w:val="bottom"/>
          </w:tcPr>
          <w:p w14:paraId="011CCFBE" w14:textId="1100640E" w:rsidR="00B23932" w:rsidRPr="00B23932" w:rsidRDefault="00B23932" w:rsidP="00B23932">
            <w:pPr>
              <w:jc w:val="right"/>
              <w:rPr>
                <w:rFonts w:cs="Arial"/>
                <w:b/>
                <w:bCs/>
                <w:sz w:val="16"/>
                <w:szCs w:val="16"/>
              </w:rPr>
            </w:pPr>
            <w:r w:rsidRPr="0031519F">
              <w:rPr>
                <w:rFonts w:cs="Arial"/>
                <w:b/>
                <w:bCs/>
                <w:sz w:val="16"/>
                <w:szCs w:val="16"/>
              </w:rPr>
              <w:t>3</w:t>
            </w:r>
          </w:p>
        </w:tc>
        <w:tc>
          <w:tcPr>
            <w:tcW w:w="709" w:type="dxa"/>
            <w:vAlign w:val="bottom"/>
          </w:tcPr>
          <w:p w14:paraId="2793E47C" w14:textId="570B189E" w:rsidR="00B23932" w:rsidRPr="00B23932" w:rsidRDefault="00B23932" w:rsidP="00B23932">
            <w:pPr>
              <w:jc w:val="right"/>
              <w:rPr>
                <w:b/>
                <w:bCs/>
                <w:sz w:val="16"/>
                <w:szCs w:val="16"/>
              </w:rPr>
            </w:pPr>
            <w:r w:rsidRPr="0031519F">
              <w:rPr>
                <w:rFonts w:cs="Arial"/>
                <w:b/>
                <w:bCs/>
                <w:sz w:val="16"/>
                <w:szCs w:val="16"/>
              </w:rPr>
              <w:t>4</w:t>
            </w:r>
          </w:p>
        </w:tc>
        <w:tc>
          <w:tcPr>
            <w:tcW w:w="992" w:type="dxa"/>
            <w:vAlign w:val="bottom"/>
          </w:tcPr>
          <w:p w14:paraId="1795BF25" w14:textId="6C1582BD" w:rsidR="00B23932" w:rsidRPr="00B23932" w:rsidRDefault="00B23932" w:rsidP="00B23932">
            <w:pPr>
              <w:jc w:val="right"/>
              <w:rPr>
                <w:b/>
                <w:bCs/>
                <w:sz w:val="16"/>
                <w:szCs w:val="16"/>
              </w:rPr>
            </w:pPr>
            <w:r w:rsidRPr="0031519F">
              <w:rPr>
                <w:rFonts w:cs="Arial"/>
                <w:b/>
                <w:bCs/>
                <w:sz w:val="16"/>
                <w:szCs w:val="16"/>
              </w:rPr>
              <w:t>24</w:t>
            </w:r>
          </w:p>
        </w:tc>
        <w:tc>
          <w:tcPr>
            <w:tcW w:w="1418" w:type="dxa"/>
            <w:vAlign w:val="bottom"/>
          </w:tcPr>
          <w:p w14:paraId="0554D8B3" w14:textId="7C23FD52" w:rsidR="00B23932" w:rsidRPr="00B23932" w:rsidRDefault="00B23932" w:rsidP="00B23932">
            <w:pPr>
              <w:jc w:val="right"/>
              <w:rPr>
                <w:b/>
                <w:bCs/>
                <w:sz w:val="16"/>
                <w:szCs w:val="16"/>
              </w:rPr>
            </w:pPr>
            <w:r w:rsidRPr="0031519F">
              <w:rPr>
                <w:rFonts w:cs="Arial"/>
                <w:b/>
                <w:bCs/>
                <w:sz w:val="16"/>
                <w:szCs w:val="16"/>
              </w:rPr>
              <w:t>39</w:t>
            </w:r>
          </w:p>
        </w:tc>
        <w:tc>
          <w:tcPr>
            <w:tcW w:w="1276" w:type="dxa"/>
            <w:vAlign w:val="bottom"/>
          </w:tcPr>
          <w:p w14:paraId="553A7A73" w14:textId="0BBA2B34" w:rsidR="00B23932" w:rsidRPr="00B23932" w:rsidRDefault="00B23932" w:rsidP="00B23932">
            <w:pPr>
              <w:jc w:val="right"/>
              <w:rPr>
                <w:rFonts w:cs="Arial"/>
                <w:sz w:val="16"/>
                <w:szCs w:val="16"/>
              </w:rPr>
            </w:pPr>
            <w:r w:rsidRPr="0031519F">
              <w:rPr>
                <w:rFonts w:cs="Arial"/>
                <w:b/>
                <w:bCs/>
                <w:sz w:val="16"/>
                <w:szCs w:val="16"/>
              </w:rPr>
              <w:t>1</w:t>
            </w:r>
          </w:p>
        </w:tc>
        <w:tc>
          <w:tcPr>
            <w:tcW w:w="708" w:type="dxa"/>
            <w:vAlign w:val="bottom"/>
          </w:tcPr>
          <w:p w14:paraId="6FB13ACB" w14:textId="00181979" w:rsidR="00B23932" w:rsidRPr="00B23932" w:rsidRDefault="00B23932" w:rsidP="00B23932">
            <w:pPr>
              <w:jc w:val="right"/>
              <w:rPr>
                <w:b/>
                <w:bCs/>
                <w:sz w:val="16"/>
                <w:szCs w:val="16"/>
              </w:rPr>
            </w:pPr>
            <w:r w:rsidRPr="0031519F">
              <w:rPr>
                <w:rFonts w:cs="Arial"/>
                <w:b/>
                <w:bCs/>
                <w:sz w:val="16"/>
                <w:szCs w:val="16"/>
              </w:rPr>
              <w:t>101</w:t>
            </w:r>
          </w:p>
        </w:tc>
      </w:tr>
    </w:tbl>
    <w:p w14:paraId="370BFC10" w14:textId="6394BA5A" w:rsidR="00D505F2" w:rsidRDefault="00D505F2" w:rsidP="00237AB1">
      <w:pPr>
        <w:ind w:left="-142" w:right="-425"/>
        <w:jc w:val="both"/>
        <w:rPr>
          <w:rFonts w:cs="Arial"/>
        </w:rPr>
      </w:pPr>
    </w:p>
    <w:p w14:paraId="1C006F71" w14:textId="7766EEE6"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3"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3"/>
      <w:r w:rsidRPr="004B6F52">
        <w:rPr>
          <w:sz w:val="16"/>
          <w:szCs w:val="16"/>
        </w:rPr>
        <w:t xml:space="preserve">from </w:t>
      </w:r>
      <w:r w:rsidR="008E6F77">
        <w:rPr>
          <w:bCs/>
          <w:sz w:val="16"/>
          <w:szCs w:val="16"/>
        </w:rPr>
        <w:t>1 April</w:t>
      </w:r>
      <w:r w:rsidR="00A828FA">
        <w:rPr>
          <w:bCs/>
          <w:sz w:val="16"/>
          <w:szCs w:val="16"/>
        </w:rPr>
        <w:t xml:space="preserve"> 2025 to </w:t>
      </w:r>
      <w:r w:rsidR="008E6F77">
        <w:rPr>
          <w:bCs/>
          <w:sz w:val="16"/>
          <w:szCs w:val="16"/>
        </w:rPr>
        <w:t>30 June</w:t>
      </w:r>
      <w:r w:rsidR="00A828FA">
        <w:rPr>
          <w:bCs/>
          <w:sz w:val="16"/>
          <w:szCs w:val="16"/>
        </w:rPr>
        <w:t xml:space="preserve"> 2025</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9B656A">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493D77" w14:paraId="5A3BBB23" w14:textId="77777777" w:rsidTr="00BD03F1">
        <w:trPr>
          <w:trHeight w:val="222"/>
        </w:trPr>
        <w:tc>
          <w:tcPr>
            <w:tcW w:w="1588" w:type="dxa"/>
          </w:tcPr>
          <w:p w14:paraId="0687FF23" w14:textId="77777777" w:rsidR="00493D77" w:rsidRPr="00294D17" w:rsidRDefault="00493D77" w:rsidP="00493D77">
            <w:pPr>
              <w:ind w:right="-425"/>
              <w:jc w:val="both"/>
              <w:rPr>
                <w:rFonts w:cs="Arial"/>
                <w:b/>
                <w:bCs/>
              </w:rPr>
            </w:pPr>
            <w:r w:rsidRPr="00294D17">
              <w:rPr>
                <w:rFonts w:cs="Arial"/>
                <w:b/>
                <w:bCs/>
              </w:rPr>
              <w:t>Total</w:t>
            </w:r>
          </w:p>
        </w:tc>
        <w:tc>
          <w:tcPr>
            <w:tcW w:w="992" w:type="dxa"/>
            <w:vAlign w:val="bottom"/>
          </w:tcPr>
          <w:p w14:paraId="5B6FF504" w14:textId="3060E806" w:rsidR="00493D77" w:rsidRPr="008742B2" w:rsidRDefault="00B23932" w:rsidP="00493D77">
            <w:pPr>
              <w:jc w:val="right"/>
              <w:rPr>
                <w:b/>
                <w:bCs/>
              </w:rPr>
            </w:pPr>
            <w:r>
              <w:rPr>
                <w:b/>
                <w:bCs/>
              </w:rPr>
              <w:t>0</w:t>
            </w:r>
          </w:p>
        </w:tc>
        <w:tc>
          <w:tcPr>
            <w:tcW w:w="1418" w:type="dxa"/>
            <w:vAlign w:val="bottom"/>
          </w:tcPr>
          <w:p w14:paraId="2A53915F" w14:textId="2B37809D" w:rsidR="00493D77" w:rsidRPr="008742B2" w:rsidRDefault="00B23932" w:rsidP="00493D77">
            <w:pPr>
              <w:jc w:val="right"/>
              <w:rPr>
                <w:b/>
                <w:bCs/>
              </w:rPr>
            </w:pPr>
            <w:r>
              <w:rPr>
                <w:b/>
                <w:bCs/>
              </w:rPr>
              <w:t>0</w:t>
            </w:r>
          </w:p>
        </w:tc>
        <w:tc>
          <w:tcPr>
            <w:tcW w:w="1134" w:type="dxa"/>
            <w:vAlign w:val="bottom"/>
          </w:tcPr>
          <w:p w14:paraId="62FCB111" w14:textId="59468B82" w:rsidR="00493D77" w:rsidRPr="008742B2" w:rsidRDefault="00B23932" w:rsidP="00493D77">
            <w:pPr>
              <w:jc w:val="right"/>
              <w:rPr>
                <w:b/>
                <w:bCs/>
              </w:rPr>
            </w:pPr>
            <w:r>
              <w:rPr>
                <w:b/>
                <w:bCs/>
              </w:rPr>
              <w:t>0</w:t>
            </w:r>
          </w:p>
        </w:tc>
        <w:tc>
          <w:tcPr>
            <w:tcW w:w="850" w:type="dxa"/>
            <w:vAlign w:val="bottom"/>
          </w:tcPr>
          <w:p w14:paraId="1321C4ED" w14:textId="2041D41A" w:rsidR="00493D77" w:rsidRPr="008742B2" w:rsidRDefault="00B23932" w:rsidP="00493D77">
            <w:pPr>
              <w:jc w:val="right"/>
              <w:rPr>
                <w:b/>
                <w:bCs/>
              </w:rPr>
            </w:pPr>
            <w:r>
              <w:rPr>
                <w:b/>
                <w:bCs/>
              </w:rPr>
              <w:t>2</w:t>
            </w:r>
          </w:p>
        </w:tc>
        <w:tc>
          <w:tcPr>
            <w:tcW w:w="1276" w:type="dxa"/>
            <w:vAlign w:val="bottom"/>
          </w:tcPr>
          <w:p w14:paraId="70642BB8" w14:textId="1390CE33" w:rsidR="00493D77" w:rsidRPr="008742B2" w:rsidRDefault="00B23932" w:rsidP="00493D77">
            <w:pPr>
              <w:jc w:val="right"/>
              <w:rPr>
                <w:b/>
                <w:bCs/>
              </w:rPr>
            </w:pPr>
            <w:r>
              <w:rPr>
                <w:b/>
                <w:bCs/>
              </w:rPr>
              <w:t>1</w:t>
            </w:r>
          </w:p>
        </w:tc>
        <w:tc>
          <w:tcPr>
            <w:tcW w:w="851" w:type="dxa"/>
            <w:vAlign w:val="bottom"/>
          </w:tcPr>
          <w:p w14:paraId="542CEAE2" w14:textId="14FA7311" w:rsidR="00493D77" w:rsidRPr="008742B2" w:rsidRDefault="00B23932" w:rsidP="00493D77">
            <w:pPr>
              <w:jc w:val="right"/>
              <w:rPr>
                <w:b/>
                <w:bCs/>
              </w:rPr>
            </w:pPr>
            <w:r>
              <w:rPr>
                <w:b/>
                <w:bCs/>
              </w:rPr>
              <w:t>3</w:t>
            </w:r>
          </w:p>
        </w:tc>
      </w:tr>
    </w:tbl>
    <w:p w14:paraId="5681D27B" w14:textId="77777777" w:rsidR="00B23CEA" w:rsidRDefault="00B23CEA" w:rsidP="00CA7C48">
      <w:pPr>
        <w:spacing w:after="120" w:line="240" w:lineRule="auto"/>
        <w:ind w:left="794" w:hanging="794"/>
        <w:rPr>
          <w:b/>
          <w:sz w:val="16"/>
          <w:szCs w:val="16"/>
        </w:rPr>
      </w:pPr>
      <w:bookmarkStart w:id="14" w:name="_Hlk69483860"/>
    </w:p>
    <w:p w14:paraId="1B8999AA" w14:textId="53EFBBF3"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8E6F77">
        <w:rPr>
          <w:bCs/>
          <w:sz w:val="16"/>
          <w:szCs w:val="16"/>
        </w:rPr>
        <w:t>1 April</w:t>
      </w:r>
      <w:r w:rsidR="00A828FA">
        <w:rPr>
          <w:bCs/>
          <w:sz w:val="16"/>
          <w:szCs w:val="16"/>
        </w:rPr>
        <w:t xml:space="preserve"> 2025 to </w:t>
      </w:r>
      <w:r w:rsidR="008E6F77">
        <w:rPr>
          <w:bCs/>
          <w:sz w:val="16"/>
          <w:szCs w:val="16"/>
        </w:rPr>
        <w:t>30 June</w:t>
      </w:r>
      <w:r w:rsidR="00A828FA">
        <w:rPr>
          <w:bCs/>
          <w:sz w:val="16"/>
          <w:szCs w:val="16"/>
        </w:rPr>
        <w:t xml:space="preserve"> 2025</w:t>
      </w:r>
      <w:r w:rsidR="001466E0" w:rsidRPr="00152D32">
        <w:rPr>
          <w:sz w:val="16"/>
          <w:szCs w:val="16"/>
          <w:vertAlign w:val="superscript"/>
        </w:rPr>
        <w:fldChar w:fldCharType="begin"/>
      </w:r>
      <w:r w:rsidR="001466E0" w:rsidRPr="00152D32">
        <w:rPr>
          <w:sz w:val="16"/>
          <w:szCs w:val="16"/>
          <w:vertAlign w:val="superscript"/>
        </w:rPr>
        <w:instrText xml:space="preserve"> NOTEREF _Ref74754019 \h </w:instrText>
      </w:r>
      <w:r w:rsidR="001466E0">
        <w:rPr>
          <w:sz w:val="16"/>
          <w:szCs w:val="16"/>
          <w:vertAlign w:val="superscript"/>
        </w:rPr>
        <w:instrText xml:space="preserve"> \* MERGEFORMAT </w:instrText>
      </w:r>
      <w:r w:rsidR="001466E0" w:rsidRPr="00152D32">
        <w:rPr>
          <w:sz w:val="16"/>
          <w:szCs w:val="16"/>
          <w:vertAlign w:val="superscript"/>
        </w:rPr>
      </w:r>
      <w:r w:rsidR="001466E0" w:rsidRPr="00152D32">
        <w:rPr>
          <w:sz w:val="16"/>
          <w:szCs w:val="16"/>
          <w:vertAlign w:val="superscript"/>
        </w:rPr>
        <w:fldChar w:fldCharType="separate"/>
      </w:r>
      <w:r w:rsidR="009B656A">
        <w:rPr>
          <w:sz w:val="16"/>
          <w:szCs w:val="16"/>
          <w:vertAlign w:val="superscript"/>
        </w:rPr>
        <w:t>5</w:t>
      </w:r>
      <w:r w:rsidR="001466E0"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493D77" w14:paraId="16A64130" w14:textId="77777777" w:rsidTr="00E65E47">
        <w:tc>
          <w:tcPr>
            <w:tcW w:w="1496" w:type="dxa"/>
          </w:tcPr>
          <w:p w14:paraId="11A0DFEF" w14:textId="77777777" w:rsidR="00493D77" w:rsidRPr="00294D17" w:rsidRDefault="00493D77" w:rsidP="00493D77">
            <w:pPr>
              <w:ind w:right="-425"/>
              <w:jc w:val="both"/>
              <w:rPr>
                <w:rFonts w:cs="Arial"/>
                <w:b/>
                <w:bCs/>
              </w:rPr>
            </w:pPr>
            <w:r w:rsidRPr="00294D17">
              <w:rPr>
                <w:rFonts w:cs="Arial"/>
                <w:b/>
                <w:bCs/>
              </w:rPr>
              <w:t>Total</w:t>
            </w:r>
          </w:p>
        </w:tc>
        <w:tc>
          <w:tcPr>
            <w:tcW w:w="1793" w:type="dxa"/>
            <w:vAlign w:val="bottom"/>
          </w:tcPr>
          <w:p w14:paraId="171714C6" w14:textId="1DAE0FBA" w:rsidR="00493D77" w:rsidRPr="00900EA0" w:rsidRDefault="00B23932" w:rsidP="00493D77">
            <w:pPr>
              <w:jc w:val="right"/>
              <w:rPr>
                <w:b/>
                <w:bCs/>
              </w:rPr>
            </w:pPr>
            <w:r>
              <w:rPr>
                <w:b/>
                <w:bCs/>
              </w:rPr>
              <w:t>1</w:t>
            </w:r>
          </w:p>
        </w:tc>
        <w:tc>
          <w:tcPr>
            <w:tcW w:w="1227" w:type="dxa"/>
            <w:vAlign w:val="bottom"/>
          </w:tcPr>
          <w:p w14:paraId="3DCD9CB4" w14:textId="3CB638C4" w:rsidR="00493D77" w:rsidRPr="00900EA0" w:rsidRDefault="00B23932" w:rsidP="00493D77">
            <w:pPr>
              <w:jc w:val="right"/>
              <w:rPr>
                <w:b/>
                <w:bCs/>
              </w:rPr>
            </w:pPr>
            <w:r>
              <w:rPr>
                <w:b/>
                <w:bCs/>
              </w:rPr>
              <w:t>2</w:t>
            </w:r>
          </w:p>
        </w:tc>
        <w:tc>
          <w:tcPr>
            <w:tcW w:w="2742" w:type="dxa"/>
            <w:vAlign w:val="bottom"/>
          </w:tcPr>
          <w:p w14:paraId="1EDA8F9D" w14:textId="20DC6D23" w:rsidR="00493D77" w:rsidRPr="00900EA0" w:rsidRDefault="00B23932" w:rsidP="00493D77">
            <w:pPr>
              <w:jc w:val="right"/>
              <w:rPr>
                <w:b/>
                <w:bCs/>
              </w:rPr>
            </w:pPr>
            <w:r>
              <w:rPr>
                <w:b/>
                <w:bCs/>
              </w:rPr>
              <w:t>1</w:t>
            </w:r>
          </w:p>
        </w:tc>
        <w:tc>
          <w:tcPr>
            <w:tcW w:w="851" w:type="dxa"/>
            <w:vAlign w:val="bottom"/>
          </w:tcPr>
          <w:p w14:paraId="14017305" w14:textId="1EEDA4F7" w:rsidR="00493D77" w:rsidRPr="00900EA0" w:rsidRDefault="00B23932" w:rsidP="00493D77">
            <w:pPr>
              <w:jc w:val="right"/>
              <w:rPr>
                <w:b/>
                <w:bCs/>
              </w:rPr>
            </w:pPr>
            <w:r>
              <w:rPr>
                <w:b/>
                <w:bCs/>
              </w:rPr>
              <w:t>4</w:t>
            </w:r>
          </w:p>
        </w:tc>
      </w:tr>
    </w:tbl>
    <w:p w14:paraId="466F9F6E" w14:textId="77777777" w:rsidR="002522F2" w:rsidRDefault="002522F2" w:rsidP="00A42818">
      <w:pPr>
        <w:ind w:left="-142" w:right="-425"/>
        <w:jc w:val="both"/>
        <w:rPr>
          <w:rFonts w:cs="Arial"/>
        </w:rPr>
      </w:pPr>
    </w:p>
    <w:p w14:paraId="27F37C5D" w14:textId="6750B0F6" w:rsidR="00152C1E" w:rsidRDefault="00237AB1" w:rsidP="00A42818">
      <w:pPr>
        <w:ind w:left="-142" w:right="-425"/>
        <w:jc w:val="both"/>
        <w:rPr>
          <w:rFonts w:cs="Arial"/>
        </w:rPr>
      </w:pPr>
      <w:r w:rsidRPr="00CE1294">
        <w:rPr>
          <w:rFonts w:cs="Arial"/>
        </w:rPr>
        <w:t xml:space="preserve">During quarter </w:t>
      </w:r>
      <w:r w:rsidR="00EF7EFC">
        <w:rPr>
          <w:rFonts w:cs="Arial"/>
        </w:rPr>
        <w:t>68</w:t>
      </w:r>
      <w:r w:rsidR="00CE7CB6" w:rsidRPr="00CE1294">
        <w:rPr>
          <w:rFonts w:cs="Arial"/>
        </w:rPr>
        <w:t xml:space="preserve"> </w:t>
      </w:r>
      <w:r w:rsidRPr="00CE1294">
        <w:rPr>
          <w:rFonts w:cs="Arial"/>
        </w:rPr>
        <w:t>the num</w:t>
      </w:r>
      <w:r w:rsidRPr="00376E4E">
        <w:rPr>
          <w:rFonts w:cs="Arial"/>
        </w:rPr>
        <w:t xml:space="preserve">ber of interactions highlighted in tables </w:t>
      </w:r>
      <w:r w:rsidR="00A42818" w:rsidRPr="00376E4E">
        <w:rPr>
          <w:rFonts w:cs="Arial"/>
        </w:rPr>
        <w:t>4</w:t>
      </w:r>
      <w:r w:rsidR="008D0261" w:rsidRPr="00376E4E">
        <w:rPr>
          <w:rFonts w:cs="Arial"/>
        </w:rPr>
        <w:t xml:space="preserve"> to </w:t>
      </w:r>
      <w:r w:rsidR="002522F2" w:rsidRPr="00376E4E">
        <w:rPr>
          <w:rFonts w:cs="Arial"/>
        </w:rPr>
        <w:t>8</w:t>
      </w:r>
      <w:r w:rsidR="0077183E" w:rsidRPr="00376E4E">
        <w:rPr>
          <w:rFonts w:cs="Arial"/>
        </w:rPr>
        <w:t xml:space="preserve"> </w:t>
      </w:r>
      <w:r w:rsidRPr="00376E4E">
        <w:rPr>
          <w:rFonts w:cs="Arial"/>
        </w:rPr>
        <w:t xml:space="preserve">related to a total of </w:t>
      </w:r>
      <w:r w:rsidR="00376E4E">
        <w:rPr>
          <w:rFonts w:cs="Arial"/>
        </w:rPr>
        <w:t>21</w:t>
      </w:r>
      <w:r w:rsidR="008C1F84" w:rsidRPr="00376E4E">
        <w:rPr>
          <w:rFonts w:cs="Arial"/>
        </w:rPr>
        <w:t>7</w:t>
      </w:r>
      <w:r w:rsidR="001356EB" w:rsidRPr="00376E4E">
        <w:rPr>
          <w:rFonts w:cs="Arial"/>
        </w:rPr>
        <w:t xml:space="preserve"> </w:t>
      </w:r>
      <w:r w:rsidRPr="00376E4E">
        <w:rPr>
          <w:rFonts w:cs="Arial"/>
        </w:rPr>
        <w:t>clients (</w:t>
      </w:r>
      <w:r w:rsidR="001356EB" w:rsidRPr="00376E4E">
        <w:rPr>
          <w:rFonts w:cs="Arial"/>
        </w:rPr>
        <w:t>1</w:t>
      </w:r>
      <w:r w:rsidR="00376E4E">
        <w:rPr>
          <w:rFonts w:cs="Arial"/>
        </w:rPr>
        <w:t>45</w:t>
      </w:r>
      <w:r w:rsidR="00840066" w:rsidRPr="00376E4E">
        <w:rPr>
          <w:rFonts w:cs="Arial"/>
        </w:rPr>
        <w:t xml:space="preserve"> </w:t>
      </w:r>
      <w:r w:rsidRPr="00376E4E">
        <w:rPr>
          <w:rFonts w:cs="Arial"/>
        </w:rPr>
        <w:t xml:space="preserve">female and </w:t>
      </w:r>
      <w:r w:rsidR="008C1F84" w:rsidRPr="00376E4E">
        <w:rPr>
          <w:rFonts w:cs="Arial"/>
        </w:rPr>
        <w:t>7</w:t>
      </w:r>
      <w:r w:rsidR="00376E4E">
        <w:rPr>
          <w:rFonts w:cs="Arial"/>
        </w:rPr>
        <w:t>2</w:t>
      </w:r>
      <w:r w:rsidR="001356EB"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0B21D53E"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w:t>
      </w:r>
      <w:r w:rsidR="00454E1A">
        <w:rPr>
          <w:rFonts w:ascii="Verdana" w:hAnsi="Verdana" w:cs="Arial"/>
          <w:sz w:val="20"/>
          <w:szCs w:val="20"/>
        </w:rPr>
        <w:t>quarantining</w:t>
      </w:r>
      <w:r w:rsidR="00A42818" w:rsidRPr="00B106D4">
        <w:rPr>
          <w:rFonts w:ascii="Verdana" w:hAnsi="Verdana" w:cs="Arial"/>
          <w:sz w:val="20"/>
          <w:szCs w:val="20"/>
        </w:rPr>
        <w:t xml:space="preserve"> 60%, 75% or 90% </w:t>
      </w:r>
      <w:r w:rsidR="00454E1A" w:rsidRPr="00454E1A">
        <w:rPr>
          <w:rFonts w:ascii="Verdana" w:hAnsi="Verdana" w:cs="Arial"/>
          <w:sz w:val="20"/>
          <w:szCs w:val="20"/>
        </w:rPr>
        <w:t xml:space="preserve">of </w:t>
      </w:r>
      <w:r w:rsidR="00454E1A">
        <w:rPr>
          <w:rFonts w:ascii="Verdana" w:hAnsi="Verdana" w:cs="Arial"/>
          <w:sz w:val="20"/>
          <w:szCs w:val="20"/>
        </w:rPr>
        <w:t xml:space="preserve">their </w:t>
      </w:r>
      <w:r w:rsidR="00454E1A" w:rsidRPr="00454E1A">
        <w:rPr>
          <w:rFonts w:ascii="Verdana" w:hAnsi="Verdana" w:cs="Arial"/>
          <w:sz w:val="20"/>
          <w:szCs w:val="20"/>
        </w:rPr>
        <w:t>welfare payments</w:t>
      </w:r>
      <w:r w:rsidR="00454E1A">
        <w:rPr>
          <w:rFonts w:cs="Arial"/>
        </w:rPr>
        <w:t xml:space="preserve">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lastRenderedPageBreak/>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7CBF1BDA" w:rsidR="00B9722A" w:rsidRPr="001B0466" w:rsidRDefault="00B9722A" w:rsidP="00C34899">
      <w:pPr>
        <w:tabs>
          <w:tab w:val="left" w:pos="1134"/>
        </w:tabs>
        <w:ind w:left="-142" w:right="-425"/>
        <w:jc w:val="both"/>
      </w:pPr>
      <w:r w:rsidRPr="001B0466">
        <w:t xml:space="preserve">The types of client interactions evident during quarter </w:t>
      </w:r>
      <w:r w:rsidR="00EF7EFC">
        <w:t>68</w:t>
      </w:r>
      <w:r w:rsidRPr="001B0466">
        <w:t xml:space="preserve"> reinforce the Commission’s belief that </w:t>
      </w:r>
      <w:r w:rsidR="002C782B">
        <w:t xml:space="preserve">a cohort of </w:t>
      </w:r>
      <w:r w:rsidRPr="001B0466">
        <w:t>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8E6F77">
        <w:t>1 April</w:t>
      </w:r>
      <w:r w:rsidR="00A828FA">
        <w:t xml:space="preserve"> </w:t>
      </w:r>
      <w:r w:rsidR="00BC09BB">
        <w:t>202</w:t>
      </w:r>
      <w:r w:rsidR="00A828FA">
        <w:t>5</w:t>
      </w:r>
      <w:r w:rsidR="00BC09BB">
        <w:t xml:space="preserve"> to </w:t>
      </w:r>
      <w:r w:rsidR="008E6F77">
        <w:t>30 June</w:t>
      </w:r>
      <w:r w:rsidR="00A828FA">
        <w:t xml:space="preserve"> </w:t>
      </w:r>
      <w:r w:rsidR="00BC09BB">
        <w:t>202</w:t>
      </w:r>
      <w:r w:rsidR="00A828FA">
        <w:t>5</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5D1BB5D3" w:rsidR="00B9722A" w:rsidRPr="001B0466" w:rsidRDefault="002C71F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54.8</w:t>
      </w:r>
      <w:r w:rsidR="00DD36DF">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w:t>
      </w:r>
      <w:proofErr w:type="gramStart"/>
      <w:r w:rsidR="00DE0E94" w:rsidRPr="000F203E">
        <w:rPr>
          <w:rFonts w:ascii="Verdana" w:hAnsi="Verdana" w:cs="Arial"/>
          <w:sz w:val="20"/>
          <w:szCs w:val="20"/>
        </w:rPr>
        <w:t>a</w:t>
      </w:r>
      <w:r w:rsidR="002A33C4" w:rsidRPr="000F203E">
        <w:rPr>
          <w:rFonts w:ascii="Verdana" w:hAnsi="Verdana" w:cs="Arial"/>
          <w:sz w:val="20"/>
          <w:szCs w:val="20"/>
        </w:rPr>
        <w:t>greement</w:t>
      </w:r>
      <w:r w:rsidR="00C34899" w:rsidRPr="000F203E">
        <w:rPr>
          <w:rFonts w:ascii="Verdana" w:hAnsi="Verdana" w:cs="Arial"/>
          <w:sz w:val="20"/>
          <w:szCs w:val="20"/>
        </w:rPr>
        <w:t>;</w:t>
      </w:r>
      <w:proofErr w:type="gramEnd"/>
    </w:p>
    <w:p w14:paraId="0B6EF2B3" w14:textId="6605E9D6"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2C71FA">
        <w:rPr>
          <w:rFonts w:ascii="Verdana" w:hAnsi="Verdana" w:cs="Arial"/>
          <w:sz w:val="20"/>
          <w:szCs w:val="20"/>
        </w:rPr>
        <w:t>50</w:t>
      </w:r>
      <w:r w:rsidR="00DD36D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proofErr w:type="gramStart"/>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roofErr w:type="gramEnd"/>
    </w:p>
    <w:p w14:paraId="3A616BEF" w14:textId="7C2CC5A5" w:rsidR="00B9722A" w:rsidRPr="001B0466" w:rsidRDefault="001356EB"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w:t>
      </w:r>
      <w:r w:rsidR="002C71FA">
        <w:rPr>
          <w:rFonts w:ascii="Verdana" w:hAnsi="Verdana" w:cs="Arial"/>
          <w:sz w:val="20"/>
          <w:szCs w:val="20"/>
        </w:rPr>
        <w:t>7.2</w:t>
      </w:r>
      <w:r w:rsidR="00DD36D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t>
      </w:r>
      <w:r w:rsidR="00F445B4" w:rsidRPr="00F445B4">
        <w:rPr>
          <w:rFonts w:ascii="Verdana" w:hAnsi="Verdana" w:cs="Arial"/>
          <w:sz w:val="20"/>
          <w:szCs w:val="20"/>
        </w:rPr>
        <w:t>with or without succes</w:t>
      </w:r>
      <w:r w:rsidR="00F445B4">
        <w:rPr>
          <w:rFonts w:ascii="Verdana" w:hAnsi="Verdana" w:cs="Arial"/>
          <w:sz w:val="20"/>
          <w:szCs w:val="20"/>
        </w:rPr>
        <w:t>s</w:t>
      </w:r>
      <w:r w:rsidR="00F445B4" w:rsidRPr="00F445B4">
        <w:rPr>
          <w:rFonts w:ascii="Verdana" w:hAnsi="Verdana" w:cs="Arial"/>
          <w:sz w:val="20"/>
          <w:szCs w:val="20"/>
        </w:rPr>
        <w:t>fully appl</w:t>
      </w:r>
      <w:r w:rsidR="00F445B4">
        <w:rPr>
          <w:rFonts w:ascii="Verdana" w:hAnsi="Verdana" w:cs="Arial"/>
          <w:sz w:val="20"/>
          <w:szCs w:val="20"/>
        </w:rPr>
        <w:t>y</w:t>
      </w:r>
      <w:r w:rsidR="00F445B4" w:rsidRPr="00F445B4">
        <w:rPr>
          <w:rFonts w:ascii="Verdana" w:hAnsi="Verdana" w:cs="Arial"/>
          <w:sz w:val="20"/>
          <w:szCs w:val="20"/>
        </w:rPr>
        <w:t xml:space="preserve">ing to amend or end their voluntary agreement with no other action </w:t>
      </w:r>
      <w:proofErr w:type="gramStart"/>
      <w:r w:rsidR="00F445B4" w:rsidRPr="00F445B4">
        <w:rPr>
          <w:rFonts w:ascii="Verdana" w:hAnsi="Verdana" w:cs="Arial"/>
          <w:sz w:val="20"/>
          <w:szCs w:val="20"/>
        </w:rPr>
        <w:t>types</w:t>
      </w:r>
      <w:r w:rsidR="00C34899" w:rsidRPr="001B0466">
        <w:rPr>
          <w:rFonts w:ascii="Verdana" w:hAnsi="Verdana" w:cs="Arial"/>
          <w:sz w:val="20"/>
          <w:szCs w:val="20"/>
        </w:rPr>
        <w:t>;</w:t>
      </w:r>
      <w:proofErr w:type="gramEnd"/>
    </w:p>
    <w:p w14:paraId="46767E6D" w14:textId="6B90D519" w:rsidR="00B9722A" w:rsidRPr="001B0466" w:rsidRDefault="00B97D94"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0</w:t>
      </w:r>
      <w:r w:rsidR="002C71FA">
        <w:rPr>
          <w:rFonts w:ascii="Verdana" w:hAnsi="Verdana" w:cs="Arial"/>
          <w:sz w:val="20"/>
          <w:szCs w:val="20"/>
        </w:rPr>
        <w:t>.5</w:t>
      </w:r>
      <w:r w:rsidR="00DD36D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7F5A18">
        <w:rPr>
          <w:rFonts w:ascii="Verdana" w:hAnsi="Verdana" w:cs="Arial"/>
          <w:sz w:val="20"/>
          <w:szCs w:val="20"/>
        </w:rPr>
        <w:t xml:space="preserve"> </w:t>
      </w:r>
      <w:r w:rsidR="007F5A18" w:rsidRPr="007F5A18">
        <w:rPr>
          <w:rFonts w:ascii="Verdana" w:hAnsi="Verdana" w:cs="Arial"/>
          <w:sz w:val="20"/>
          <w:szCs w:val="20"/>
        </w:rPr>
        <w:t>or successfully applied to amend or end their voluntary agreement</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64E98188" w14:textId="2E39C0EB" w:rsidR="00C014C9" w:rsidRDefault="00106839" w:rsidP="002522F2">
      <w:pPr>
        <w:tabs>
          <w:tab w:val="decimal" w:pos="284"/>
        </w:tabs>
        <w:ind w:left="-142" w:right="-425"/>
        <w:jc w:val="both"/>
      </w:pPr>
      <w:bookmarkStart w:id="15" w:name="_Hlk97302962"/>
      <w:r w:rsidRPr="001B0466">
        <w:rPr>
          <w:rFonts w:cs="Arial"/>
        </w:rPr>
        <w:t xml:space="preserve">There </w:t>
      </w:r>
      <w:r w:rsidR="002C782B">
        <w:rPr>
          <w:rFonts w:cs="Arial"/>
        </w:rPr>
        <w:t xml:space="preserve">also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5"/>
    </w:p>
    <w:p w14:paraId="769147B7" w14:textId="77777777" w:rsidR="00EE4468" w:rsidRDefault="00EE4468" w:rsidP="00C014C9">
      <w:pPr>
        <w:tabs>
          <w:tab w:val="decimal" w:pos="284"/>
        </w:tabs>
        <w:ind w:left="-142" w:right="-425"/>
        <w:jc w:val="both"/>
      </w:pPr>
    </w:p>
    <w:p w14:paraId="78EF6562" w14:textId="59C85C7F" w:rsidR="00240AAF" w:rsidRDefault="00CD0A5A" w:rsidP="00C014C9">
      <w:pPr>
        <w:tabs>
          <w:tab w:val="decimal" w:pos="284"/>
        </w:tabs>
        <w:ind w:left="-142" w:right="-425"/>
        <w:jc w:val="both"/>
        <w:rPr>
          <w:rFonts w:cs="Arial"/>
        </w:rPr>
      </w:pPr>
      <w:r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C014C9" w:rsidRPr="001B0466">
        <w:rPr>
          <w:rFonts w:cs="Arial"/>
        </w:rPr>
        <w:t>th</w:t>
      </w:r>
      <w:r w:rsidR="00C014C9">
        <w:rPr>
          <w:rFonts w:cs="Arial"/>
        </w:rPr>
        <w:t>is cohort of clients:</w:t>
      </w:r>
    </w:p>
    <w:p w14:paraId="431EED9F" w14:textId="0C0FDBDF" w:rsidR="007B1F5A" w:rsidRPr="000479CF" w:rsidRDefault="002C71FA"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13.8</w:t>
      </w:r>
      <w:r w:rsidR="00DD36DF" w:rsidRPr="000479CF">
        <w:rPr>
          <w:rFonts w:ascii="Verdana" w:hAnsi="Verdana" w:cs="Arial"/>
          <w:sz w:val="20"/>
          <w:szCs w:val="20"/>
        </w:rPr>
        <w:t>%</w:t>
      </w:r>
      <w:r w:rsidR="007B1F5A" w:rsidRPr="000479CF">
        <w:rPr>
          <w:rFonts w:ascii="Verdana" w:hAnsi="Verdana" w:cs="Arial"/>
          <w:sz w:val="20"/>
          <w:szCs w:val="20"/>
        </w:rPr>
        <w:t xml:space="preserve"> of clients were ordered to attend a support service under a case </w:t>
      </w:r>
      <w:proofErr w:type="gramStart"/>
      <w:r w:rsidR="007B1F5A" w:rsidRPr="000479CF">
        <w:rPr>
          <w:rFonts w:ascii="Verdana" w:hAnsi="Verdana" w:cs="Arial"/>
          <w:sz w:val="20"/>
          <w:szCs w:val="20"/>
        </w:rPr>
        <w:t>plan;</w:t>
      </w:r>
      <w:proofErr w:type="gramEnd"/>
    </w:p>
    <w:p w14:paraId="039AEB9E" w14:textId="600114A1" w:rsidR="00EB52B2" w:rsidRPr="000479CF" w:rsidRDefault="002C71FA"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1.8</w:t>
      </w:r>
      <w:r w:rsidR="00DD36DF" w:rsidRPr="000479CF">
        <w:rPr>
          <w:rFonts w:ascii="Verdana" w:hAnsi="Verdana" w:cs="Arial"/>
          <w:sz w:val="20"/>
          <w:szCs w:val="20"/>
        </w:rPr>
        <w:t>%</w:t>
      </w:r>
      <w:r w:rsidR="00EB52B2" w:rsidRPr="000479CF">
        <w:rPr>
          <w:rFonts w:ascii="Verdana" w:hAnsi="Verdana" w:cs="Arial"/>
          <w:sz w:val="20"/>
          <w:szCs w:val="20"/>
        </w:rPr>
        <w:t xml:space="preserve"> of clients were placed on a CIM </w:t>
      </w:r>
      <w:proofErr w:type="gramStart"/>
      <w:r w:rsidR="00EB52B2" w:rsidRPr="000479CF">
        <w:rPr>
          <w:rFonts w:ascii="Verdana" w:hAnsi="Verdana" w:cs="Arial"/>
          <w:sz w:val="20"/>
          <w:szCs w:val="20"/>
        </w:rPr>
        <w:t>order;</w:t>
      </w:r>
      <w:proofErr w:type="gramEnd"/>
    </w:p>
    <w:p w14:paraId="19F8E19F" w14:textId="263107EC" w:rsidR="00334048" w:rsidRPr="000479CF" w:rsidRDefault="002C71FA"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0.9</w:t>
      </w:r>
      <w:r w:rsidR="00DD36DF" w:rsidRPr="000479CF">
        <w:rPr>
          <w:rFonts w:ascii="Verdana" w:hAnsi="Verdana" w:cs="Arial"/>
          <w:sz w:val="20"/>
          <w:szCs w:val="20"/>
        </w:rPr>
        <w:t>%</w:t>
      </w:r>
      <w:r w:rsidR="00334048" w:rsidRPr="000479CF">
        <w:rPr>
          <w:rFonts w:ascii="Verdana" w:hAnsi="Verdana" w:cs="Arial"/>
          <w:sz w:val="20"/>
          <w:szCs w:val="20"/>
        </w:rPr>
        <w:t xml:space="preserve"> of clients were placed on a CIM order and ordered to attend a support service</w:t>
      </w:r>
      <w:r w:rsidR="00B43DA5" w:rsidRPr="000479CF">
        <w:rPr>
          <w:rFonts w:ascii="Verdana" w:hAnsi="Verdana" w:cs="Arial"/>
          <w:sz w:val="20"/>
          <w:szCs w:val="20"/>
        </w:rPr>
        <w:t>.</w:t>
      </w:r>
    </w:p>
    <w:bookmarkEnd w:id="14"/>
    <w:p w14:paraId="011C5F55" w14:textId="77777777" w:rsidR="00EE4468" w:rsidRPr="00EE4468" w:rsidRDefault="00EE4468" w:rsidP="007F5A18">
      <w:pPr>
        <w:tabs>
          <w:tab w:val="decimal" w:pos="284"/>
        </w:tabs>
        <w:ind w:right="-425"/>
        <w:jc w:val="both"/>
        <w:rPr>
          <w:rFonts w:cs="Arial"/>
        </w:rPr>
      </w:pPr>
      <w:r w:rsidRPr="00EE4468">
        <w:rPr>
          <w:rFonts w:cs="Arial"/>
        </w:rPr>
        <w:br w:type="page"/>
      </w:r>
    </w:p>
    <w:p w14:paraId="01840B62" w14:textId="00C0D79D" w:rsidR="00986092" w:rsidRPr="00143FBB" w:rsidRDefault="00986092" w:rsidP="00C41210">
      <w:pPr>
        <w:pStyle w:val="Heading2"/>
      </w:pPr>
      <w:r w:rsidRPr="00143FBB">
        <w:lastRenderedPageBreak/>
        <w:t>Notices</w:t>
      </w:r>
    </w:p>
    <w:p w14:paraId="41B569DF" w14:textId="188BD1C5" w:rsidR="005A5B78" w:rsidRPr="00483DC3" w:rsidRDefault="005A5B78" w:rsidP="00483DC3">
      <w:pPr>
        <w:ind w:left="-142" w:right="-425"/>
        <w:jc w:val="both"/>
        <w:rPr>
          <w:rFonts w:cs="Arial"/>
        </w:rPr>
      </w:pPr>
      <w:r w:rsidRPr="00B54944">
        <w:rPr>
          <w:rFonts w:cs="Arial"/>
        </w:rPr>
        <w:t xml:space="preserve">In </w:t>
      </w:r>
      <w:r w:rsidR="00856C85" w:rsidRPr="00B54944">
        <w:rPr>
          <w:rFonts w:cs="Arial"/>
        </w:rPr>
        <w:t xml:space="preserve">quarter </w:t>
      </w:r>
      <w:r w:rsidR="00EF7EFC">
        <w:rPr>
          <w:rFonts w:cs="Arial"/>
        </w:rPr>
        <w:t>68</w:t>
      </w:r>
      <w:r w:rsidR="004748B3" w:rsidRPr="00B54944">
        <w:rPr>
          <w:rFonts w:cs="Arial"/>
        </w:rPr>
        <w:t xml:space="preserve"> </w:t>
      </w:r>
      <w:r w:rsidRPr="00B54944">
        <w:rPr>
          <w:rFonts w:cs="Arial"/>
        </w:rPr>
        <w:t xml:space="preserve">the Commission </w:t>
      </w:r>
      <w:r w:rsidR="00084610" w:rsidRPr="00B54944">
        <w:rPr>
          <w:rFonts w:cs="Arial"/>
        </w:rPr>
        <w:t>assessed</w:t>
      </w:r>
      <w:r w:rsidR="00E46AAE" w:rsidRPr="00B54944">
        <w:rPr>
          <w:rFonts w:cs="Arial"/>
          <w:bCs/>
        </w:rPr>
        <w:t xml:space="preserve"> </w:t>
      </w:r>
      <w:r w:rsidR="00AC5811" w:rsidRPr="007A0A3F">
        <w:rPr>
          <w:rFonts w:cs="Arial"/>
        </w:rPr>
        <w:t>1,</w:t>
      </w:r>
      <w:r w:rsidR="004323A9">
        <w:rPr>
          <w:rFonts w:cs="Arial"/>
        </w:rPr>
        <w:t>7</w:t>
      </w:r>
      <w:r w:rsidR="00A543FF">
        <w:rPr>
          <w:rFonts w:cs="Arial"/>
        </w:rPr>
        <w:t>91</w:t>
      </w:r>
      <w:r w:rsidR="000E7C1E" w:rsidRPr="00B54944">
        <w:rPr>
          <w:rFonts w:cs="Arial"/>
        </w:rPr>
        <w:t xml:space="preserve"> </w:t>
      </w:r>
      <w:r w:rsidRPr="00B54944">
        <w:rPr>
          <w:rFonts w:cs="Arial"/>
        </w:rPr>
        <w:t>agency notices</w:t>
      </w:r>
      <w:r w:rsidRPr="00B54944">
        <w:rPr>
          <w:rFonts w:cs="Arial"/>
          <w:vertAlign w:val="superscript"/>
        </w:rPr>
        <w:footnoteReference w:id="7"/>
      </w:r>
      <w:r w:rsidR="00084610" w:rsidRPr="00B54944">
        <w:rPr>
          <w:rFonts w:cs="Arial"/>
        </w:rPr>
        <w:t xml:space="preserve"> for jurisdiction</w:t>
      </w:r>
      <w:r w:rsidR="00CE6E33" w:rsidRPr="00B54944">
        <w:rPr>
          <w:rFonts w:cs="Arial"/>
        </w:rPr>
        <w:t xml:space="preserve">. </w:t>
      </w:r>
      <w:r w:rsidRPr="00B54944">
        <w:rPr>
          <w:rFonts w:cs="Arial"/>
        </w:rPr>
        <w:t xml:space="preserve">Some individuals may have been the subject of more than one agency notice. Of that figure </w:t>
      </w:r>
      <w:r w:rsidR="003D78AF" w:rsidRPr="00B54944">
        <w:rPr>
          <w:rFonts w:cs="Arial"/>
        </w:rPr>
        <w:t>1,</w:t>
      </w:r>
      <w:r w:rsidR="004323A9">
        <w:rPr>
          <w:rFonts w:cs="Arial"/>
        </w:rPr>
        <w:t>1</w:t>
      </w:r>
      <w:r w:rsidR="00A543FF">
        <w:rPr>
          <w:rFonts w:cs="Arial"/>
        </w:rPr>
        <w:t>20</w:t>
      </w:r>
      <w:r w:rsidR="005174DF" w:rsidRPr="00B54944">
        <w:rPr>
          <w:rFonts w:cs="Arial"/>
        </w:rPr>
        <w:t xml:space="preserve"> </w:t>
      </w:r>
      <w:r w:rsidRPr="00B54944">
        <w:rPr>
          <w:rFonts w:cs="Arial"/>
        </w:rPr>
        <w:t>notices (</w:t>
      </w:r>
      <w:r w:rsidR="004323A9">
        <w:rPr>
          <w:rFonts w:cs="Arial"/>
        </w:rPr>
        <w:t>6</w:t>
      </w:r>
      <w:r w:rsidR="00A543FF">
        <w:rPr>
          <w:rFonts w:cs="Arial"/>
        </w:rPr>
        <w:t>3</w:t>
      </w:r>
      <w:r w:rsidR="00DD36DF" w:rsidRPr="00B54944">
        <w:rPr>
          <w:rFonts w:cs="Arial"/>
        </w:rPr>
        <w:t>%</w:t>
      </w:r>
      <w:r w:rsidRPr="00B54944">
        <w:rPr>
          <w:rFonts w:cs="Arial"/>
        </w:rPr>
        <w:t>)</w:t>
      </w:r>
      <w:r w:rsidR="00F257B3" w:rsidRPr="00B54944">
        <w:rPr>
          <w:rFonts w:cs="Arial"/>
        </w:rPr>
        <w:t xml:space="preserve"> relating to </w:t>
      </w:r>
      <w:r w:rsidR="00484A00" w:rsidRPr="00B54944">
        <w:rPr>
          <w:rFonts w:cs="Arial"/>
        </w:rPr>
        <w:t>6</w:t>
      </w:r>
      <w:r w:rsidR="004323A9">
        <w:rPr>
          <w:rFonts w:cs="Arial"/>
        </w:rPr>
        <w:t>4</w:t>
      </w:r>
      <w:r w:rsidR="00C92E85" w:rsidRPr="00B54944">
        <w:rPr>
          <w:rFonts w:cs="Arial"/>
        </w:rPr>
        <w:t>1</w:t>
      </w:r>
      <w:r w:rsidR="00484A00" w:rsidRPr="00B54944">
        <w:rPr>
          <w:rFonts w:cs="Arial"/>
        </w:rPr>
        <w:t xml:space="preserve"> </w:t>
      </w:r>
      <w:r w:rsidR="00F257B3" w:rsidRPr="00B54944">
        <w:rPr>
          <w:rFonts w:cs="Arial"/>
        </w:rPr>
        <w:t>clients</w:t>
      </w:r>
      <w:r w:rsidR="00526AA6" w:rsidRPr="00B54944">
        <w:rPr>
          <w:rFonts w:cs="Arial"/>
        </w:rPr>
        <w:t xml:space="preserve"> </w:t>
      </w:r>
      <w:r w:rsidRPr="00B54944">
        <w:rPr>
          <w:rFonts w:cs="Arial"/>
        </w:rPr>
        <w:t>were within the Commission’s jurisdiction</w:t>
      </w:r>
      <w:r w:rsidR="005A2DE3" w:rsidRPr="00B54944">
        <w:rPr>
          <w:rFonts w:cs="Arial"/>
        </w:rPr>
        <w:t>,</w:t>
      </w:r>
      <w:r w:rsidRPr="00B54944">
        <w:rPr>
          <w:rFonts w:cs="Arial"/>
        </w:rPr>
        <w:t xml:space="preserve"> and </w:t>
      </w:r>
      <w:r w:rsidR="004323A9">
        <w:rPr>
          <w:rFonts w:cs="Arial"/>
        </w:rPr>
        <w:t>671</w:t>
      </w:r>
      <w:r w:rsidR="00C92E85" w:rsidRPr="00B54944">
        <w:rPr>
          <w:rFonts w:cs="Arial"/>
        </w:rPr>
        <w:t xml:space="preserve"> </w:t>
      </w:r>
      <w:r w:rsidRPr="00B54944">
        <w:rPr>
          <w:rFonts w:cs="Arial"/>
        </w:rPr>
        <w:t>notices (</w:t>
      </w:r>
      <w:r w:rsidR="00AF40FF" w:rsidRPr="007A0A3F">
        <w:rPr>
          <w:rFonts w:cs="Arial"/>
        </w:rPr>
        <w:t>3</w:t>
      </w:r>
      <w:r w:rsidR="00A543FF">
        <w:rPr>
          <w:rFonts w:cs="Arial"/>
        </w:rPr>
        <w:t>7</w:t>
      </w:r>
      <w:r w:rsidR="00DD36DF" w:rsidRPr="00B54944">
        <w:rPr>
          <w:rFonts w:cs="Arial"/>
        </w:rPr>
        <w:t>%</w:t>
      </w:r>
      <w:r w:rsidRPr="00B54944">
        <w:rPr>
          <w:rFonts w:cs="Arial"/>
        </w:rPr>
        <w:t>)</w:t>
      </w:r>
      <w:r w:rsidRPr="00483DC3">
        <w:rPr>
          <w:rFonts w:cs="Arial"/>
        </w:rPr>
        <w:t xml:space="preserve"> were outside the Commission’s jurisdiction.</w:t>
      </w:r>
    </w:p>
    <w:p w14:paraId="2CBC4CEC" w14:textId="77777777" w:rsidR="001C67F7" w:rsidRPr="00DA470C" w:rsidRDefault="001C67F7" w:rsidP="005A5B78">
      <w:pPr>
        <w:tabs>
          <w:tab w:val="left" w:pos="1134"/>
        </w:tabs>
        <w:ind w:left="-142" w:right="-425"/>
        <w:jc w:val="both"/>
      </w:pPr>
    </w:p>
    <w:p w14:paraId="363A2C28" w14:textId="469A28B3" w:rsidR="005A5B78" w:rsidRPr="00241C79" w:rsidRDefault="00C7128D" w:rsidP="00C7128D">
      <w:pPr>
        <w:spacing w:after="120" w:line="240" w:lineRule="auto"/>
        <w:ind w:right="-425"/>
        <w:rPr>
          <w:rFonts w:cs="Arial"/>
          <w:bCs/>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8E6F77">
        <w:rPr>
          <w:bCs/>
          <w:sz w:val="16"/>
          <w:szCs w:val="16"/>
        </w:rPr>
        <w:t>1 April</w:t>
      </w:r>
      <w:r w:rsidR="0069185E">
        <w:rPr>
          <w:bCs/>
          <w:sz w:val="16"/>
          <w:szCs w:val="16"/>
        </w:rPr>
        <w:t xml:space="preserve"> 2025 to </w:t>
      </w:r>
      <w:r w:rsidR="008E6F77">
        <w:rPr>
          <w:bCs/>
          <w:sz w:val="16"/>
          <w:szCs w:val="16"/>
        </w:rPr>
        <w:t>30 June</w:t>
      </w:r>
      <w:r w:rsidR="0069185E">
        <w:rPr>
          <w:bCs/>
          <w:sz w:val="16"/>
          <w:szCs w:val="16"/>
        </w:rPr>
        <w:t xml:space="preserve"> 2025</w:t>
      </w:r>
    </w:p>
    <w:tbl>
      <w:tblPr>
        <w:tblW w:w="9673" w:type="dxa"/>
        <w:tblInd w:w="103" w:type="dxa"/>
        <w:tblLook w:val="04A0" w:firstRow="1" w:lastRow="0" w:firstColumn="1" w:lastColumn="0" w:noHBand="0" w:noVBand="1"/>
      </w:tblPr>
      <w:tblGrid>
        <w:gridCol w:w="4987"/>
        <w:gridCol w:w="851"/>
        <w:gridCol w:w="849"/>
        <w:gridCol w:w="779"/>
        <w:gridCol w:w="643"/>
        <w:gridCol w:w="706"/>
        <w:gridCol w:w="858"/>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hideMark/>
          </w:tcPr>
          <w:p w14:paraId="1324209D" w14:textId="77777777" w:rsidR="00557E24" w:rsidRPr="00AA1E6F" w:rsidRDefault="00557E24" w:rsidP="00557E24">
            <w:pPr>
              <w:spacing w:line="240" w:lineRule="auto"/>
              <w:jc w:val="center"/>
              <w:rPr>
                <w:rFonts w:cs="Arial"/>
                <w:b/>
                <w:bCs/>
                <w:lang w:eastAsia="en-AU"/>
              </w:rPr>
            </w:pPr>
            <w:r w:rsidRPr="00AA1E6F">
              <w:rPr>
                <w:rFonts w:cs="Arial"/>
                <w:b/>
                <w:bCs/>
                <w:lang w:eastAsia="en-AU"/>
              </w:rPr>
              <w:t>AU</w:t>
            </w:r>
          </w:p>
        </w:tc>
        <w:tc>
          <w:tcPr>
            <w:tcW w:w="850" w:type="dxa"/>
            <w:tcBorders>
              <w:top w:val="single" w:sz="4" w:space="0" w:color="auto"/>
              <w:left w:val="nil"/>
              <w:bottom w:val="single" w:sz="4" w:space="0" w:color="auto"/>
              <w:right w:val="single" w:sz="4" w:space="0" w:color="auto"/>
            </w:tcBorders>
            <w:hideMark/>
          </w:tcPr>
          <w:p w14:paraId="6C03EFCA" w14:textId="77777777" w:rsidR="00557E24" w:rsidRPr="00AA1E6F" w:rsidRDefault="00557E24" w:rsidP="00557E24">
            <w:pPr>
              <w:spacing w:line="240" w:lineRule="auto"/>
              <w:jc w:val="center"/>
              <w:rPr>
                <w:rFonts w:cs="Arial"/>
                <w:b/>
                <w:bCs/>
                <w:lang w:eastAsia="en-AU"/>
              </w:rPr>
            </w:pPr>
            <w:r w:rsidRPr="00AA1E6F">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AA1E6F" w:rsidRDefault="00557E24" w:rsidP="00557E24">
            <w:pPr>
              <w:spacing w:line="240" w:lineRule="auto"/>
              <w:jc w:val="center"/>
              <w:rPr>
                <w:rFonts w:cs="Arial"/>
                <w:b/>
                <w:bCs/>
                <w:lang w:eastAsia="en-AU"/>
              </w:rPr>
            </w:pPr>
            <w:r w:rsidRPr="00AA1E6F">
              <w:rPr>
                <w:rFonts w:cs="Arial"/>
                <w:b/>
                <w:bCs/>
                <w:lang w:eastAsia="en-AU"/>
              </w:rPr>
              <w:t>DM</w:t>
            </w:r>
            <w:r w:rsidR="0049342A" w:rsidRPr="00AA1E6F">
              <w:rPr>
                <w:rStyle w:val="FootnoteReference"/>
                <w:b/>
                <w:bCs/>
                <w:lang w:eastAsia="en-AU"/>
              </w:rPr>
              <w:footnoteReference w:id="8"/>
            </w:r>
          </w:p>
        </w:tc>
        <w:tc>
          <w:tcPr>
            <w:tcW w:w="643" w:type="dxa"/>
            <w:tcBorders>
              <w:top w:val="single" w:sz="4" w:space="0" w:color="auto"/>
              <w:left w:val="nil"/>
              <w:bottom w:val="single" w:sz="4" w:space="0" w:color="auto"/>
              <w:right w:val="single" w:sz="4" w:space="0" w:color="auto"/>
            </w:tcBorders>
          </w:tcPr>
          <w:p w14:paraId="6A084DD3" w14:textId="77777777" w:rsidR="00557E24" w:rsidRPr="00AA1E6F" w:rsidRDefault="00557E24" w:rsidP="00557E24">
            <w:pPr>
              <w:spacing w:line="240" w:lineRule="auto"/>
              <w:jc w:val="center"/>
              <w:rPr>
                <w:rFonts w:cs="Arial"/>
                <w:b/>
                <w:bCs/>
                <w:lang w:eastAsia="en-AU"/>
              </w:rPr>
            </w:pPr>
            <w:r w:rsidRPr="00AA1E6F">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AA1E6F" w:rsidRDefault="00557E24" w:rsidP="00557E24">
            <w:pPr>
              <w:spacing w:line="240" w:lineRule="auto"/>
              <w:jc w:val="center"/>
              <w:rPr>
                <w:rFonts w:cs="Arial"/>
                <w:b/>
                <w:bCs/>
                <w:lang w:eastAsia="en-AU"/>
              </w:rPr>
            </w:pPr>
            <w:r w:rsidRPr="00AA1E6F">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AA1E6F" w:rsidRDefault="00557E24" w:rsidP="00557E24">
            <w:pPr>
              <w:spacing w:line="240" w:lineRule="auto"/>
              <w:jc w:val="center"/>
              <w:rPr>
                <w:rFonts w:cs="Arial"/>
                <w:b/>
                <w:bCs/>
                <w:lang w:eastAsia="en-AU"/>
              </w:rPr>
            </w:pPr>
            <w:r w:rsidRPr="00AA1E6F">
              <w:rPr>
                <w:rFonts w:cs="Arial"/>
                <w:b/>
                <w:bCs/>
                <w:lang w:eastAsia="en-AU"/>
              </w:rPr>
              <w:t>Total</w:t>
            </w:r>
          </w:p>
        </w:tc>
      </w:tr>
      <w:tr w:rsidR="004323A9" w:rsidRPr="00650B45" w14:paraId="34AFEA3C"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tcPr>
          <w:p w14:paraId="4D5BCFD4" w14:textId="3C47363D" w:rsidR="004323A9" w:rsidRPr="005E0531" w:rsidRDefault="004323A9" w:rsidP="004323A9">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vAlign w:val="center"/>
          </w:tcPr>
          <w:p w14:paraId="5640E14A" w14:textId="7F365442" w:rsidR="004323A9" w:rsidRPr="00AA1E6F" w:rsidRDefault="004323A9" w:rsidP="004323A9">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vAlign w:val="center"/>
          </w:tcPr>
          <w:p w14:paraId="120FB598" w14:textId="624B6A46" w:rsidR="004323A9" w:rsidRPr="00AA1E6F" w:rsidRDefault="004323A9" w:rsidP="004323A9">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0238FAD7" w:rsidR="004323A9" w:rsidRPr="00AA1E6F" w:rsidRDefault="004323A9" w:rsidP="004323A9">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5EFBC3CC" w:rsidR="004323A9" w:rsidRPr="00AA1E6F" w:rsidRDefault="004323A9" w:rsidP="004323A9">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7B936411" w:rsidR="004323A9" w:rsidRPr="0087775F" w:rsidRDefault="004323A9" w:rsidP="004323A9">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6072D3CA" w:rsidR="004323A9" w:rsidRPr="0087775F" w:rsidRDefault="004323A9" w:rsidP="004323A9">
            <w:pPr>
              <w:spacing w:line="240" w:lineRule="auto"/>
              <w:jc w:val="right"/>
              <w:rPr>
                <w:rFonts w:cs="Arial"/>
                <w:b/>
                <w:bCs/>
                <w:lang w:eastAsia="en-AU"/>
              </w:rPr>
            </w:pPr>
            <w:r>
              <w:rPr>
                <w:rFonts w:cs="Arial"/>
                <w:b/>
                <w:bCs/>
              </w:rPr>
              <w:t>0</w:t>
            </w:r>
          </w:p>
        </w:tc>
      </w:tr>
      <w:tr w:rsidR="004323A9" w:rsidRPr="00650B45" w14:paraId="440532E3" w14:textId="77777777" w:rsidTr="00BE3183">
        <w:trPr>
          <w:trHeight w:val="284"/>
        </w:trPr>
        <w:tc>
          <w:tcPr>
            <w:tcW w:w="4995" w:type="dxa"/>
            <w:tcBorders>
              <w:top w:val="nil"/>
              <w:left w:val="single" w:sz="4" w:space="0" w:color="auto"/>
              <w:bottom w:val="single" w:sz="4" w:space="0" w:color="auto"/>
              <w:right w:val="single" w:sz="4" w:space="0" w:color="auto"/>
            </w:tcBorders>
            <w:vAlign w:val="center"/>
            <w:hideMark/>
          </w:tcPr>
          <w:p w14:paraId="5F5FF9EB" w14:textId="77777777" w:rsidR="004323A9" w:rsidRPr="0040594D" w:rsidRDefault="004323A9" w:rsidP="004323A9">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vAlign w:val="center"/>
          </w:tcPr>
          <w:p w14:paraId="00039A5F" w14:textId="3033D0B7" w:rsidR="004323A9" w:rsidRPr="00AA1E6F" w:rsidRDefault="004323A9" w:rsidP="004323A9">
            <w:pPr>
              <w:spacing w:line="240" w:lineRule="auto"/>
              <w:jc w:val="right"/>
              <w:rPr>
                <w:rFonts w:cs="Arial"/>
                <w:lang w:eastAsia="en-AU"/>
              </w:rPr>
            </w:pPr>
            <w:r>
              <w:rPr>
                <w:rFonts w:cs="Arial"/>
              </w:rPr>
              <w:t>5</w:t>
            </w:r>
          </w:p>
        </w:tc>
        <w:tc>
          <w:tcPr>
            <w:tcW w:w="850" w:type="dxa"/>
            <w:tcBorders>
              <w:top w:val="nil"/>
              <w:left w:val="nil"/>
              <w:bottom w:val="single" w:sz="4" w:space="0" w:color="auto"/>
              <w:right w:val="single" w:sz="4" w:space="0" w:color="auto"/>
            </w:tcBorders>
            <w:vAlign w:val="center"/>
          </w:tcPr>
          <w:p w14:paraId="2545D481" w14:textId="4EDAB846" w:rsidR="004323A9" w:rsidRPr="00AA1E6F" w:rsidRDefault="004323A9" w:rsidP="004323A9">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37DC2D52" w:rsidR="004323A9" w:rsidRPr="00AA1E6F" w:rsidRDefault="004323A9" w:rsidP="004323A9">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14C37F1B" w:rsidR="004323A9" w:rsidRPr="00AA1E6F" w:rsidRDefault="004323A9" w:rsidP="004323A9">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2AEFD9E5" w:rsidR="004323A9" w:rsidRPr="0087775F" w:rsidRDefault="004323A9" w:rsidP="004323A9">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4E86EAAD" w:rsidR="004323A9" w:rsidRPr="0087775F" w:rsidRDefault="004323A9" w:rsidP="004323A9">
            <w:pPr>
              <w:spacing w:line="240" w:lineRule="auto"/>
              <w:jc w:val="right"/>
              <w:rPr>
                <w:rFonts w:cs="Arial"/>
                <w:b/>
                <w:lang w:eastAsia="en-AU"/>
              </w:rPr>
            </w:pPr>
            <w:r>
              <w:rPr>
                <w:rFonts w:cs="Arial"/>
                <w:b/>
                <w:bCs/>
              </w:rPr>
              <w:t>5</w:t>
            </w:r>
          </w:p>
        </w:tc>
      </w:tr>
      <w:tr w:rsidR="004323A9" w:rsidRPr="00650B45" w14:paraId="4D198A6C"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33735DC2" w14:textId="408CA45C" w:rsidR="004323A9" w:rsidRDefault="004323A9" w:rsidP="004323A9">
            <w:pPr>
              <w:spacing w:line="240" w:lineRule="auto"/>
              <w:rPr>
                <w:rFonts w:cs="Arial"/>
              </w:rPr>
            </w:pPr>
            <w:r>
              <w:rPr>
                <w:rFonts w:cs="Arial"/>
              </w:rPr>
              <w:t>Childrens Court</w:t>
            </w:r>
          </w:p>
        </w:tc>
        <w:tc>
          <w:tcPr>
            <w:tcW w:w="851" w:type="dxa"/>
            <w:tcBorders>
              <w:top w:val="nil"/>
              <w:left w:val="nil"/>
              <w:bottom w:val="single" w:sz="4" w:space="0" w:color="auto"/>
              <w:right w:val="single" w:sz="4" w:space="0" w:color="auto"/>
            </w:tcBorders>
            <w:vAlign w:val="center"/>
          </w:tcPr>
          <w:p w14:paraId="6BE0A8A6" w14:textId="02199105" w:rsidR="004323A9" w:rsidRDefault="006028D0" w:rsidP="004323A9">
            <w:pPr>
              <w:spacing w:line="240" w:lineRule="auto"/>
              <w:jc w:val="right"/>
              <w:rPr>
                <w:rFonts w:cs="Arial"/>
              </w:rPr>
            </w:pPr>
            <w:r>
              <w:rPr>
                <w:rFonts w:cs="Arial"/>
              </w:rPr>
              <w:t>91</w:t>
            </w:r>
          </w:p>
        </w:tc>
        <w:tc>
          <w:tcPr>
            <w:tcW w:w="850" w:type="dxa"/>
            <w:tcBorders>
              <w:top w:val="nil"/>
              <w:left w:val="nil"/>
              <w:bottom w:val="single" w:sz="4" w:space="0" w:color="auto"/>
              <w:right w:val="single" w:sz="4" w:space="0" w:color="auto"/>
            </w:tcBorders>
            <w:vAlign w:val="center"/>
          </w:tcPr>
          <w:p w14:paraId="24B2EBF5" w14:textId="126D9852" w:rsidR="004323A9" w:rsidRDefault="004323A9" w:rsidP="004323A9">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7F12CF05" w14:textId="117931F9" w:rsidR="004323A9" w:rsidRDefault="004323A9" w:rsidP="004323A9">
            <w:pPr>
              <w:spacing w:line="240" w:lineRule="auto"/>
              <w:jc w:val="right"/>
              <w:rPr>
                <w:rFonts w:cs="Arial"/>
              </w:rPr>
            </w:pPr>
            <w:r>
              <w:rPr>
                <w:rFonts w:cs="Arial"/>
              </w:rPr>
              <w:t>0</w:t>
            </w:r>
          </w:p>
        </w:tc>
        <w:tc>
          <w:tcPr>
            <w:tcW w:w="643" w:type="dxa"/>
            <w:tcBorders>
              <w:top w:val="nil"/>
              <w:left w:val="nil"/>
              <w:bottom w:val="single" w:sz="4" w:space="0" w:color="auto"/>
              <w:right w:val="single" w:sz="4" w:space="0" w:color="auto"/>
            </w:tcBorders>
            <w:vAlign w:val="center"/>
          </w:tcPr>
          <w:p w14:paraId="0F9CFBCA" w14:textId="717EC910" w:rsidR="004323A9" w:rsidRDefault="004323A9" w:rsidP="004323A9">
            <w:pPr>
              <w:spacing w:line="240" w:lineRule="auto"/>
              <w:jc w:val="right"/>
              <w:rPr>
                <w:rFonts w:cs="Arial"/>
              </w:rPr>
            </w:pPr>
            <w:r>
              <w:rPr>
                <w:rFonts w:cs="Arial"/>
              </w:rPr>
              <w:t>1</w:t>
            </w:r>
          </w:p>
        </w:tc>
        <w:tc>
          <w:tcPr>
            <w:tcW w:w="706" w:type="dxa"/>
            <w:tcBorders>
              <w:top w:val="nil"/>
              <w:left w:val="nil"/>
              <w:bottom w:val="single" w:sz="4" w:space="0" w:color="auto"/>
              <w:right w:val="single" w:sz="4" w:space="0" w:color="auto"/>
            </w:tcBorders>
            <w:vAlign w:val="center"/>
          </w:tcPr>
          <w:p w14:paraId="1474295C" w14:textId="27F46014" w:rsidR="004323A9" w:rsidRPr="0087775F" w:rsidRDefault="004323A9" w:rsidP="004323A9">
            <w:pPr>
              <w:spacing w:line="240" w:lineRule="auto"/>
              <w:jc w:val="right"/>
              <w:rPr>
                <w:rFonts w:cs="Arial"/>
              </w:rPr>
            </w:pPr>
            <w:r>
              <w:rPr>
                <w:rFonts w:cs="Arial"/>
              </w:rPr>
              <w:t>9</w:t>
            </w:r>
          </w:p>
        </w:tc>
        <w:tc>
          <w:tcPr>
            <w:tcW w:w="849" w:type="dxa"/>
            <w:tcBorders>
              <w:top w:val="nil"/>
              <w:left w:val="nil"/>
              <w:bottom w:val="single" w:sz="4" w:space="0" w:color="auto"/>
              <w:right w:val="single" w:sz="4" w:space="0" w:color="auto"/>
            </w:tcBorders>
            <w:vAlign w:val="center"/>
          </w:tcPr>
          <w:p w14:paraId="47637202" w14:textId="6E5C2D4B" w:rsidR="004323A9" w:rsidRPr="0087775F" w:rsidRDefault="006028D0" w:rsidP="004323A9">
            <w:pPr>
              <w:spacing w:line="240" w:lineRule="auto"/>
              <w:jc w:val="right"/>
              <w:rPr>
                <w:rFonts w:cs="Arial"/>
                <w:b/>
                <w:bCs/>
              </w:rPr>
            </w:pPr>
            <w:r>
              <w:rPr>
                <w:rFonts w:cs="Arial"/>
                <w:b/>
                <w:bCs/>
              </w:rPr>
              <w:t>101</w:t>
            </w:r>
          </w:p>
        </w:tc>
      </w:tr>
      <w:tr w:rsidR="004323A9" w:rsidRPr="00650B45" w14:paraId="606D952D"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167E120C" w14:textId="77777777" w:rsidR="004323A9" w:rsidRDefault="004323A9" w:rsidP="004323A9">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vAlign w:val="center"/>
          </w:tcPr>
          <w:p w14:paraId="7D871931" w14:textId="2F9502DA" w:rsidR="004323A9" w:rsidRPr="00AA1E6F" w:rsidRDefault="004323A9" w:rsidP="004323A9">
            <w:pPr>
              <w:spacing w:line="240" w:lineRule="auto"/>
              <w:jc w:val="right"/>
              <w:rPr>
                <w:rFonts w:cs="Arial"/>
                <w:lang w:eastAsia="en-AU"/>
              </w:rPr>
            </w:pPr>
            <w:r>
              <w:rPr>
                <w:rFonts w:cs="Arial"/>
              </w:rPr>
              <w:t>116</w:t>
            </w:r>
          </w:p>
        </w:tc>
        <w:tc>
          <w:tcPr>
            <w:tcW w:w="850" w:type="dxa"/>
            <w:tcBorders>
              <w:top w:val="nil"/>
              <w:left w:val="nil"/>
              <w:bottom w:val="single" w:sz="4" w:space="0" w:color="auto"/>
              <w:right w:val="single" w:sz="4" w:space="0" w:color="auto"/>
            </w:tcBorders>
            <w:vAlign w:val="center"/>
          </w:tcPr>
          <w:p w14:paraId="42DE6DE7" w14:textId="029B1EF8" w:rsidR="004323A9" w:rsidRPr="00AA1E6F" w:rsidRDefault="004323A9" w:rsidP="004323A9">
            <w:pPr>
              <w:spacing w:line="240" w:lineRule="auto"/>
              <w:jc w:val="right"/>
              <w:rPr>
                <w:rFonts w:cs="Arial"/>
                <w:lang w:eastAsia="en-AU"/>
              </w:rPr>
            </w:pPr>
            <w:r>
              <w:rPr>
                <w:rFonts w:cs="Arial"/>
              </w:rPr>
              <w:t>2</w:t>
            </w:r>
          </w:p>
        </w:tc>
        <w:tc>
          <w:tcPr>
            <w:tcW w:w="779" w:type="dxa"/>
            <w:tcBorders>
              <w:top w:val="nil"/>
              <w:left w:val="nil"/>
              <w:bottom w:val="single" w:sz="4" w:space="0" w:color="auto"/>
              <w:right w:val="single" w:sz="4" w:space="0" w:color="auto"/>
            </w:tcBorders>
            <w:vAlign w:val="center"/>
          </w:tcPr>
          <w:p w14:paraId="6A2B0F8E" w14:textId="13FFC54C" w:rsidR="004323A9" w:rsidRPr="00AA1E6F" w:rsidRDefault="004323A9" w:rsidP="004323A9">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5640A6BD" w:rsidR="004323A9" w:rsidRPr="00AA1E6F" w:rsidRDefault="004323A9" w:rsidP="004323A9">
            <w:pPr>
              <w:spacing w:line="240" w:lineRule="auto"/>
              <w:jc w:val="right"/>
              <w:rPr>
                <w:rFonts w:cs="Arial"/>
                <w:lang w:eastAsia="en-AU"/>
              </w:rPr>
            </w:pPr>
            <w:r>
              <w:rPr>
                <w:rFonts w:cs="Arial"/>
              </w:rPr>
              <w:t>39</w:t>
            </w:r>
          </w:p>
        </w:tc>
        <w:tc>
          <w:tcPr>
            <w:tcW w:w="706" w:type="dxa"/>
            <w:tcBorders>
              <w:top w:val="nil"/>
              <w:left w:val="nil"/>
              <w:bottom w:val="single" w:sz="4" w:space="0" w:color="auto"/>
              <w:right w:val="single" w:sz="4" w:space="0" w:color="auto"/>
            </w:tcBorders>
            <w:vAlign w:val="center"/>
          </w:tcPr>
          <w:p w14:paraId="635B50F1" w14:textId="09497F00" w:rsidR="004323A9" w:rsidRPr="0087775F" w:rsidRDefault="004323A9" w:rsidP="004323A9">
            <w:pPr>
              <w:spacing w:line="240" w:lineRule="auto"/>
              <w:jc w:val="right"/>
              <w:rPr>
                <w:rFonts w:cs="Arial"/>
                <w:lang w:eastAsia="en-AU"/>
              </w:rPr>
            </w:pPr>
            <w:r>
              <w:rPr>
                <w:rFonts w:cs="Arial"/>
              </w:rPr>
              <w:t>23</w:t>
            </w:r>
          </w:p>
        </w:tc>
        <w:tc>
          <w:tcPr>
            <w:tcW w:w="849" w:type="dxa"/>
            <w:tcBorders>
              <w:top w:val="nil"/>
              <w:left w:val="nil"/>
              <w:bottom w:val="single" w:sz="4" w:space="0" w:color="auto"/>
              <w:right w:val="single" w:sz="4" w:space="0" w:color="auto"/>
            </w:tcBorders>
            <w:vAlign w:val="center"/>
          </w:tcPr>
          <w:p w14:paraId="413D1C25" w14:textId="6399CA69" w:rsidR="004323A9" w:rsidRPr="0087775F" w:rsidRDefault="004323A9" w:rsidP="004323A9">
            <w:pPr>
              <w:spacing w:line="240" w:lineRule="auto"/>
              <w:jc w:val="right"/>
              <w:rPr>
                <w:rFonts w:cs="Arial"/>
                <w:b/>
                <w:lang w:eastAsia="en-AU"/>
              </w:rPr>
            </w:pPr>
            <w:r>
              <w:rPr>
                <w:rFonts w:cs="Arial"/>
                <w:b/>
                <w:bCs/>
              </w:rPr>
              <w:t>180</w:t>
            </w:r>
          </w:p>
        </w:tc>
      </w:tr>
      <w:tr w:rsidR="004323A9" w:rsidRPr="00650B45" w14:paraId="326E9032"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6700C21A" w14:textId="77777777" w:rsidR="004323A9" w:rsidRDefault="004323A9" w:rsidP="004323A9">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vAlign w:val="center"/>
          </w:tcPr>
          <w:p w14:paraId="232348B9" w14:textId="1DF70CD1" w:rsidR="004323A9" w:rsidRPr="00AA1E6F" w:rsidRDefault="004323A9" w:rsidP="004323A9">
            <w:pPr>
              <w:spacing w:line="240" w:lineRule="auto"/>
              <w:jc w:val="right"/>
              <w:rPr>
                <w:rFonts w:cs="Arial"/>
                <w:lang w:eastAsia="en-AU"/>
              </w:rPr>
            </w:pPr>
            <w:r>
              <w:rPr>
                <w:rFonts w:cs="Arial"/>
              </w:rPr>
              <w:t>7</w:t>
            </w:r>
          </w:p>
        </w:tc>
        <w:tc>
          <w:tcPr>
            <w:tcW w:w="850" w:type="dxa"/>
            <w:tcBorders>
              <w:top w:val="nil"/>
              <w:left w:val="nil"/>
              <w:bottom w:val="single" w:sz="4" w:space="0" w:color="auto"/>
              <w:right w:val="single" w:sz="4" w:space="0" w:color="auto"/>
            </w:tcBorders>
            <w:vAlign w:val="center"/>
          </w:tcPr>
          <w:p w14:paraId="1BA99C8E" w14:textId="29B36C45" w:rsidR="004323A9" w:rsidRPr="00AA1E6F" w:rsidRDefault="004323A9" w:rsidP="004323A9">
            <w:pPr>
              <w:spacing w:line="240" w:lineRule="auto"/>
              <w:jc w:val="right"/>
              <w:rPr>
                <w:rFonts w:cs="Arial"/>
                <w:lang w:eastAsia="en-AU"/>
              </w:rPr>
            </w:pPr>
            <w:r>
              <w:rPr>
                <w:rFonts w:cs="Arial"/>
              </w:rPr>
              <w:t>2</w:t>
            </w:r>
          </w:p>
        </w:tc>
        <w:tc>
          <w:tcPr>
            <w:tcW w:w="779" w:type="dxa"/>
            <w:tcBorders>
              <w:top w:val="nil"/>
              <w:left w:val="nil"/>
              <w:bottom w:val="single" w:sz="4" w:space="0" w:color="auto"/>
              <w:right w:val="single" w:sz="4" w:space="0" w:color="auto"/>
            </w:tcBorders>
            <w:vAlign w:val="center"/>
          </w:tcPr>
          <w:p w14:paraId="54E7A1AA" w14:textId="634D4B56" w:rsidR="004323A9" w:rsidRPr="00AA1E6F" w:rsidRDefault="004323A9" w:rsidP="004323A9">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27500BE5" w:rsidR="004323A9" w:rsidRPr="00AA1E6F" w:rsidRDefault="004323A9" w:rsidP="004323A9">
            <w:pPr>
              <w:spacing w:line="240" w:lineRule="auto"/>
              <w:jc w:val="right"/>
              <w:rPr>
                <w:rFonts w:cs="Arial"/>
                <w:lang w:eastAsia="en-AU"/>
              </w:rPr>
            </w:pPr>
            <w:r>
              <w:rPr>
                <w:rFonts w:cs="Arial"/>
              </w:rPr>
              <w:t>7</w:t>
            </w:r>
          </w:p>
        </w:tc>
        <w:tc>
          <w:tcPr>
            <w:tcW w:w="706" w:type="dxa"/>
            <w:tcBorders>
              <w:top w:val="nil"/>
              <w:left w:val="nil"/>
              <w:bottom w:val="single" w:sz="4" w:space="0" w:color="auto"/>
              <w:right w:val="single" w:sz="4" w:space="0" w:color="auto"/>
            </w:tcBorders>
            <w:vAlign w:val="center"/>
          </w:tcPr>
          <w:p w14:paraId="772FC04E" w14:textId="44E50803" w:rsidR="004323A9" w:rsidRPr="0087775F" w:rsidRDefault="004323A9" w:rsidP="004323A9">
            <w:pPr>
              <w:spacing w:line="240" w:lineRule="auto"/>
              <w:jc w:val="right"/>
              <w:rPr>
                <w:rFonts w:cs="Arial"/>
                <w:lang w:eastAsia="en-AU"/>
              </w:rPr>
            </w:pPr>
            <w:r>
              <w:rPr>
                <w:rFonts w:cs="Arial"/>
              </w:rPr>
              <w:t>2</w:t>
            </w:r>
          </w:p>
        </w:tc>
        <w:tc>
          <w:tcPr>
            <w:tcW w:w="849" w:type="dxa"/>
            <w:tcBorders>
              <w:top w:val="nil"/>
              <w:left w:val="nil"/>
              <w:bottom w:val="single" w:sz="4" w:space="0" w:color="auto"/>
              <w:right w:val="single" w:sz="4" w:space="0" w:color="auto"/>
            </w:tcBorders>
            <w:vAlign w:val="center"/>
          </w:tcPr>
          <w:p w14:paraId="7DF1704F" w14:textId="2171414B" w:rsidR="004323A9" w:rsidRPr="0087775F" w:rsidRDefault="004323A9" w:rsidP="004323A9">
            <w:pPr>
              <w:spacing w:line="240" w:lineRule="auto"/>
              <w:jc w:val="right"/>
              <w:rPr>
                <w:rFonts w:cs="Arial"/>
                <w:b/>
                <w:lang w:eastAsia="en-AU"/>
              </w:rPr>
            </w:pPr>
            <w:r>
              <w:rPr>
                <w:rFonts w:cs="Arial"/>
                <w:b/>
                <w:bCs/>
              </w:rPr>
              <w:t>18</w:t>
            </w:r>
          </w:p>
        </w:tc>
      </w:tr>
      <w:tr w:rsidR="004323A9" w:rsidRPr="00650B45" w14:paraId="4D04E998"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569E8DA1" w14:textId="77777777" w:rsidR="004323A9" w:rsidRDefault="004323A9" w:rsidP="004323A9">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vAlign w:val="center"/>
          </w:tcPr>
          <w:p w14:paraId="1BAC2D8F" w14:textId="10E2AACC" w:rsidR="004323A9" w:rsidRPr="00AA1E6F" w:rsidRDefault="004323A9" w:rsidP="004323A9">
            <w:pPr>
              <w:spacing w:line="240" w:lineRule="auto"/>
              <w:jc w:val="right"/>
              <w:rPr>
                <w:rFonts w:cs="Arial"/>
                <w:lang w:eastAsia="en-AU"/>
              </w:rPr>
            </w:pPr>
            <w:r>
              <w:rPr>
                <w:rFonts w:cs="Arial"/>
              </w:rPr>
              <w:t>34</w:t>
            </w:r>
          </w:p>
        </w:tc>
        <w:tc>
          <w:tcPr>
            <w:tcW w:w="850" w:type="dxa"/>
            <w:tcBorders>
              <w:top w:val="nil"/>
              <w:left w:val="nil"/>
              <w:bottom w:val="single" w:sz="4" w:space="0" w:color="auto"/>
              <w:right w:val="single" w:sz="4" w:space="0" w:color="auto"/>
            </w:tcBorders>
            <w:vAlign w:val="center"/>
          </w:tcPr>
          <w:p w14:paraId="375C9925" w14:textId="62BF11B3" w:rsidR="004323A9" w:rsidRPr="00AA1E6F" w:rsidRDefault="004323A9" w:rsidP="004323A9">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766C043E" w14:textId="5716E5B4" w:rsidR="004323A9" w:rsidRPr="00AA1E6F" w:rsidRDefault="004323A9" w:rsidP="004323A9">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247716E4" w:rsidR="004323A9" w:rsidRPr="00AA1E6F" w:rsidRDefault="004323A9" w:rsidP="004323A9">
            <w:pPr>
              <w:spacing w:line="240" w:lineRule="auto"/>
              <w:jc w:val="right"/>
              <w:rPr>
                <w:rFonts w:cs="Arial"/>
                <w:lang w:eastAsia="en-AU"/>
              </w:rPr>
            </w:pPr>
            <w:r>
              <w:rPr>
                <w:rFonts w:cs="Arial"/>
              </w:rPr>
              <w:t>16</w:t>
            </w:r>
          </w:p>
        </w:tc>
        <w:tc>
          <w:tcPr>
            <w:tcW w:w="706" w:type="dxa"/>
            <w:tcBorders>
              <w:top w:val="nil"/>
              <w:left w:val="nil"/>
              <w:bottom w:val="single" w:sz="4" w:space="0" w:color="auto"/>
              <w:right w:val="single" w:sz="4" w:space="0" w:color="auto"/>
            </w:tcBorders>
            <w:vAlign w:val="center"/>
          </w:tcPr>
          <w:p w14:paraId="76B03AEF" w14:textId="07B5DCE8" w:rsidR="004323A9" w:rsidRPr="0087775F" w:rsidRDefault="004323A9" w:rsidP="004323A9">
            <w:pPr>
              <w:spacing w:line="240" w:lineRule="auto"/>
              <w:jc w:val="right"/>
              <w:rPr>
                <w:rFonts w:cs="Arial"/>
                <w:lang w:eastAsia="en-AU"/>
              </w:rPr>
            </w:pPr>
            <w:r>
              <w:rPr>
                <w:rFonts w:cs="Arial"/>
              </w:rPr>
              <w:t>5</w:t>
            </w:r>
          </w:p>
        </w:tc>
        <w:tc>
          <w:tcPr>
            <w:tcW w:w="849" w:type="dxa"/>
            <w:tcBorders>
              <w:top w:val="nil"/>
              <w:left w:val="nil"/>
              <w:bottom w:val="single" w:sz="4" w:space="0" w:color="auto"/>
              <w:right w:val="single" w:sz="4" w:space="0" w:color="auto"/>
            </w:tcBorders>
            <w:vAlign w:val="center"/>
          </w:tcPr>
          <w:p w14:paraId="61D1E9D8" w14:textId="66E86CF9" w:rsidR="004323A9" w:rsidRPr="0087775F" w:rsidRDefault="004323A9" w:rsidP="004323A9">
            <w:pPr>
              <w:spacing w:line="240" w:lineRule="auto"/>
              <w:jc w:val="right"/>
              <w:rPr>
                <w:rFonts w:cs="Arial"/>
                <w:b/>
                <w:lang w:eastAsia="en-AU"/>
              </w:rPr>
            </w:pPr>
            <w:r>
              <w:rPr>
                <w:rFonts w:cs="Arial"/>
                <w:b/>
                <w:bCs/>
              </w:rPr>
              <w:t>56</w:t>
            </w:r>
          </w:p>
        </w:tc>
      </w:tr>
      <w:tr w:rsidR="004323A9" w:rsidRPr="00650B45" w14:paraId="725BA5E1" w14:textId="77777777" w:rsidTr="00BE3183">
        <w:trPr>
          <w:trHeight w:val="284"/>
        </w:trPr>
        <w:tc>
          <w:tcPr>
            <w:tcW w:w="4995" w:type="dxa"/>
            <w:tcBorders>
              <w:top w:val="nil"/>
              <w:left w:val="single" w:sz="4" w:space="0" w:color="auto"/>
              <w:bottom w:val="single" w:sz="4" w:space="0" w:color="auto"/>
              <w:right w:val="single" w:sz="4" w:space="0" w:color="auto"/>
            </w:tcBorders>
            <w:vAlign w:val="center"/>
            <w:hideMark/>
          </w:tcPr>
          <w:p w14:paraId="50825C29" w14:textId="77777777" w:rsidR="004323A9" w:rsidRPr="0040594D" w:rsidRDefault="004323A9" w:rsidP="004323A9">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vAlign w:val="center"/>
          </w:tcPr>
          <w:p w14:paraId="341678F9" w14:textId="7DA96B3D" w:rsidR="004323A9" w:rsidRPr="00AA1E6F" w:rsidRDefault="004323A9" w:rsidP="004323A9">
            <w:pPr>
              <w:spacing w:line="240" w:lineRule="auto"/>
              <w:jc w:val="right"/>
              <w:rPr>
                <w:rFonts w:cs="Arial"/>
                <w:lang w:eastAsia="en-AU"/>
              </w:rPr>
            </w:pPr>
            <w:r>
              <w:rPr>
                <w:rFonts w:cs="Arial"/>
              </w:rPr>
              <w:t>193</w:t>
            </w:r>
          </w:p>
        </w:tc>
        <w:tc>
          <w:tcPr>
            <w:tcW w:w="850" w:type="dxa"/>
            <w:tcBorders>
              <w:top w:val="nil"/>
              <w:left w:val="nil"/>
              <w:bottom w:val="single" w:sz="4" w:space="0" w:color="auto"/>
              <w:right w:val="single" w:sz="4" w:space="0" w:color="auto"/>
            </w:tcBorders>
            <w:vAlign w:val="center"/>
          </w:tcPr>
          <w:p w14:paraId="5D2BA765" w14:textId="6783FABE" w:rsidR="004323A9" w:rsidRPr="00AA1E6F" w:rsidRDefault="004323A9" w:rsidP="004323A9">
            <w:pPr>
              <w:spacing w:line="240" w:lineRule="auto"/>
              <w:jc w:val="right"/>
              <w:rPr>
                <w:rFonts w:cs="Arial"/>
                <w:lang w:eastAsia="en-AU"/>
              </w:rPr>
            </w:pPr>
            <w:r>
              <w:rPr>
                <w:rFonts w:cs="Arial"/>
              </w:rPr>
              <w:t>18</w:t>
            </w:r>
          </w:p>
        </w:tc>
        <w:tc>
          <w:tcPr>
            <w:tcW w:w="779" w:type="dxa"/>
            <w:tcBorders>
              <w:top w:val="nil"/>
              <w:left w:val="nil"/>
              <w:bottom w:val="single" w:sz="4" w:space="0" w:color="auto"/>
              <w:right w:val="single" w:sz="4" w:space="0" w:color="auto"/>
            </w:tcBorders>
            <w:vAlign w:val="center"/>
          </w:tcPr>
          <w:p w14:paraId="6EC1BDB5" w14:textId="4D374754" w:rsidR="004323A9" w:rsidRPr="00AA1E6F" w:rsidRDefault="004323A9" w:rsidP="004323A9">
            <w:pPr>
              <w:spacing w:line="240" w:lineRule="auto"/>
              <w:jc w:val="right"/>
              <w:rPr>
                <w:rFonts w:cs="Arial"/>
                <w:lang w:eastAsia="en-AU"/>
              </w:rPr>
            </w:pPr>
            <w:r>
              <w:rPr>
                <w:rFonts w:cs="Arial"/>
              </w:rPr>
              <w:t>336</w:t>
            </w:r>
          </w:p>
        </w:tc>
        <w:tc>
          <w:tcPr>
            <w:tcW w:w="643" w:type="dxa"/>
            <w:tcBorders>
              <w:top w:val="nil"/>
              <w:left w:val="nil"/>
              <w:bottom w:val="single" w:sz="4" w:space="0" w:color="auto"/>
              <w:right w:val="single" w:sz="4" w:space="0" w:color="auto"/>
            </w:tcBorders>
            <w:vAlign w:val="center"/>
          </w:tcPr>
          <w:p w14:paraId="1997B7CD" w14:textId="5CB84877" w:rsidR="004323A9" w:rsidRPr="00AA1E6F" w:rsidRDefault="004323A9" w:rsidP="004323A9">
            <w:pPr>
              <w:spacing w:line="240" w:lineRule="auto"/>
              <w:jc w:val="right"/>
              <w:rPr>
                <w:rFonts w:cs="Arial"/>
                <w:lang w:eastAsia="en-AU"/>
              </w:rPr>
            </w:pPr>
            <w:r>
              <w:rPr>
                <w:rFonts w:cs="Arial"/>
              </w:rPr>
              <w:t>142</w:t>
            </w:r>
          </w:p>
        </w:tc>
        <w:tc>
          <w:tcPr>
            <w:tcW w:w="706" w:type="dxa"/>
            <w:tcBorders>
              <w:top w:val="nil"/>
              <w:left w:val="nil"/>
              <w:bottom w:val="single" w:sz="4" w:space="0" w:color="auto"/>
              <w:right w:val="single" w:sz="4" w:space="0" w:color="auto"/>
            </w:tcBorders>
            <w:vAlign w:val="center"/>
          </w:tcPr>
          <w:p w14:paraId="6C72EE70" w14:textId="24C0ED1A" w:rsidR="004323A9" w:rsidRPr="0087775F" w:rsidRDefault="004323A9" w:rsidP="004323A9">
            <w:pPr>
              <w:spacing w:line="240" w:lineRule="auto"/>
              <w:jc w:val="right"/>
              <w:rPr>
                <w:rFonts w:cs="Arial"/>
                <w:lang w:eastAsia="en-AU"/>
              </w:rPr>
            </w:pPr>
            <w:r>
              <w:rPr>
                <w:rFonts w:cs="Arial"/>
              </w:rPr>
              <w:t>22</w:t>
            </w:r>
          </w:p>
        </w:tc>
        <w:tc>
          <w:tcPr>
            <w:tcW w:w="849" w:type="dxa"/>
            <w:tcBorders>
              <w:top w:val="nil"/>
              <w:left w:val="nil"/>
              <w:bottom w:val="single" w:sz="4" w:space="0" w:color="auto"/>
              <w:right w:val="single" w:sz="4" w:space="0" w:color="auto"/>
            </w:tcBorders>
            <w:vAlign w:val="center"/>
          </w:tcPr>
          <w:p w14:paraId="10323D05" w14:textId="1854B931" w:rsidR="004323A9" w:rsidRPr="0087775F" w:rsidRDefault="004323A9" w:rsidP="004323A9">
            <w:pPr>
              <w:spacing w:line="240" w:lineRule="auto"/>
              <w:jc w:val="right"/>
              <w:rPr>
                <w:rFonts w:cs="Arial"/>
                <w:b/>
                <w:lang w:eastAsia="en-AU"/>
              </w:rPr>
            </w:pPr>
            <w:r>
              <w:rPr>
                <w:rFonts w:cs="Arial"/>
                <w:b/>
                <w:bCs/>
              </w:rPr>
              <w:t>711</w:t>
            </w:r>
          </w:p>
        </w:tc>
      </w:tr>
      <w:tr w:rsidR="004323A9" w:rsidRPr="00650B45" w14:paraId="427883C4" w14:textId="77777777" w:rsidTr="00BE3183">
        <w:trPr>
          <w:trHeight w:val="284"/>
        </w:trPr>
        <w:tc>
          <w:tcPr>
            <w:tcW w:w="4995" w:type="dxa"/>
            <w:tcBorders>
              <w:top w:val="nil"/>
              <w:left w:val="single" w:sz="4" w:space="0" w:color="auto"/>
              <w:bottom w:val="single" w:sz="4" w:space="0" w:color="auto"/>
              <w:right w:val="single" w:sz="4" w:space="0" w:color="auto"/>
            </w:tcBorders>
            <w:vAlign w:val="center"/>
            <w:hideMark/>
          </w:tcPr>
          <w:p w14:paraId="40F7AA5D" w14:textId="77777777" w:rsidR="004323A9" w:rsidRPr="0040594D" w:rsidRDefault="004323A9" w:rsidP="004323A9">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vAlign w:val="center"/>
          </w:tcPr>
          <w:p w14:paraId="784F94EA" w14:textId="05514FDE" w:rsidR="004323A9" w:rsidRPr="00AA1E6F" w:rsidRDefault="004323A9" w:rsidP="004323A9">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vAlign w:val="center"/>
          </w:tcPr>
          <w:p w14:paraId="2010BAC3" w14:textId="1B719A91" w:rsidR="004323A9" w:rsidRPr="00AA1E6F" w:rsidRDefault="004323A9" w:rsidP="004323A9">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704378E0" w:rsidR="004323A9" w:rsidRPr="00AA1E6F" w:rsidRDefault="004323A9" w:rsidP="004323A9">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67811F29" w:rsidR="004323A9" w:rsidRPr="00AA1E6F" w:rsidRDefault="004323A9" w:rsidP="004323A9">
            <w:pPr>
              <w:spacing w:line="240" w:lineRule="auto"/>
              <w:jc w:val="right"/>
              <w:rPr>
                <w:rFonts w:cs="Arial"/>
                <w:lang w:eastAsia="en-AU"/>
              </w:rPr>
            </w:pPr>
            <w:r>
              <w:rPr>
                <w:rFonts w:cs="Arial"/>
              </w:rPr>
              <w:t>2</w:t>
            </w:r>
          </w:p>
        </w:tc>
        <w:tc>
          <w:tcPr>
            <w:tcW w:w="706" w:type="dxa"/>
            <w:tcBorders>
              <w:top w:val="nil"/>
              <w:left w:val="nil"/>
              <w:bottom w:val="single" w:sz="4" w:space="0" w:color="auto"/>
              <w:right w:val="single" w:sz="4" w:space="0" w:color="auto"/>
            </w:tcBorders>
            <w:vAlign w:val="center"/>
          </w:tcPr>
          <w:p w14:paraId="30E7D1DC" w14:textId="5F95566A" w:rsidR="004323A9" w:rsidRPr="0087775F" w:rsidRDefault="004323A9" w:rsidP="004323A9">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7F20F745" w:rsidR="004323A9" w:rsidRPr="0087775F" w:rsidRDefault="004323A9" w:rsidP="004323A9">
            <w:pPr>
              <w:spacing w:line="240" w:lineRule="auto"/>
              <w:jc w:val="right"/>
              <w:rPr>
                <w:rFonts w:cs="Arial"/>
                <w:b/>
                <w:lang w:eastAsia="en-AU"/>
              </w:rPr>
            </w:pPr>
            <w:r>
              <w:rPr>
                <w:rFonts w:cs="Arial"/>
                <w:b/>
                <w:bCs/>
              </w:rPr>
              <w:t>2</w:t>
            </w:r>
          </w:p>
        </w:tc>
      </w:tr>
      <w:tr w:rsidR="00C92E85" w:rsidRPr="00650B45" w14:paraId="626FFFAF" w14:textId="77777777" w:rsidTr="00BE3183">
        <w:trPr>
          <w:trHeight w:val="284"/>
        </w:trPr>
        <w:tc>
          <w:tcPr>
            <w:tcW w:w="4995" w:type="dxa"/>
            <w:tcBorders>
              <w:top w:val="nil"/>
              <w:left w:val="single" w:sz="4" w:space="0" w:color="auto"/>
              <w:bottom w:val="single" w:sz="4" w:space="0" w:color="auto"/>
              <w:right w:val="single" w:sz="4" w:space="0" w:color="auto"/>
            </w:tcBorders>
            <w:vAlign w:val="center"/>
            <w:hideMark/>
          </w:tcPr>
          <w:p w14:paraId="2463C21C" w14:textId="77777777" w:rsidR="00C92E85" w:rsidRPr="00371BE2" w:rsidRDefault="00C92E85" w:rsidP="00C92E85">
            <w:pPr>
              <w:spacing w:line="240" w:lineRule="auto"/>
              <w:rPr>
                <w:rFonts w:cs="Arial"/>
                <w:lang w:eastAsia="en-AU"/>
              </w:rPr>
            </w:pPr>
            <w:bookmarkStart w:id="16"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vAlign w:val="center"/>
          </w:tcPr>
          <w:p w14:paraId="221A5FBA" w14:textId="36658BB7" w:rsidR="00C92E85" w:rsidRPr="00AA1E6F" w:rsidRDefault="00C92E85" w:rsidP="00C92E85">
            <w:pPr>
              <w:spacing w:line="240" w:lineRule="auto"/>
              <w:jc w:val="right"/>
              <w:rPr>
                <w:rFonts w:cs="Arial"/>
                <w:lang w:eastAsia="en-AU"/>
              </w:rPr>
            </w:pPr>
          </w:p>
        </w:tc>
        <w:tc>
          <w:tcPr>
            <w:tcW w:w="850" w:type="dxa"/>
            <w:tcBorders>
              <w:top w:val="nil"/>
              <w:left w:val="nil"/>
              <w:bottom w:val="single" w:sz="4" w:space="0" w:color="auto"/>
              <w:right w:val="single" w:sz="4" w:space="0" w:color="auto"/>
            </w:tcBorders>
            <w:vAlign w:val="center"/>
          </w:tcPr>
          <w:p w14:paraId="68D714D8" w14:textId="7F568CD4" w:rsidR="00C92E85" w:rsidRPr="00AA1E6F" w:rsidRDefault="00C92E85" w:rsidP="00C92E85">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52220CEC" w:rsidR="00C92E85" w:rsidRPr="00AA1E6F" w:rsidRDefault="00C92E85" w:rsidP="00C92E85">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54F4E5D5" w:rsidR="00C92E85" w:rsidRPr="00AA1E6F" w:rsidRDefault="00C92E85" w:rsidP="00C92E85">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392B80B1" w:rsidR="00C92E85" w:rsidRPr="0087775F" w:rsidRDefault="00C92E85" w:rsidP="00C92E85">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0648FD56" w:rsidR="00C92E85" w:rsidRPr="0087775F" w:rsidRDefault="00C92E85" w:rsidP="00C92E85">
            <w:pPr>
              <w:spacing w:line="240" w:lineRule="auto"/>
              <w:jc w:val="right"/>
              <w:rPr>
                <w:rFonts w:cs="Arial"/>
                <w:b/>
                <w:lang w:eastAsia="en-AU"/>
              </w:rPr>
            </w:pPr>
          </w:p>
        </w:tc>
      </w:tr>
      <w:bookmarkEnd w:id="16"/>
      <w:tr w:rsidR="004323A9" w:rsidRPr="00650B45" w14:paraId="1804ED43"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3DBFB2B9" w14:textId="5A9B9B27" w:rsidR="004323A9" w:rsidRPr="00371BE2" w:rsidRDefault="004323A9" w:rsidP="004323A9">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vAlign w:val="center"/>
          </w:tcPr>
          <w:p w14:paraId="7E38485B" w14:textId="5BF86EFB" w:rsidR="004323A9" w:rsidRPr="00AA1E6F" w:rsidRDefault="004323A9" w:rsidP="004323A9">
            <w:pPr>
              <w:spacing w:line="240" w:lineRule="auto"/>
              <w:jc w:val="right"/>
              <w:rPr>
                <w:rFonts w:cs="Arial"/>
              </w:rPr>
            </w:pPr>
            <w:r>
              <w:rPr>
                <w:rFonts w:cs="Arial"/>
              </w:rPr>
              <w:t>13</w:t>
            </w:r>
          </w:p>
        </w:tc>
        <w:tc>
          <w:tcPr>
            <w:tcW w:w="850" w:type="dxa"/>
            <w:tcBorders>
              <w:top w:val="nil"/>
              <w:left w:val="nil"/>
              <w:bottom w:val="single" w:sz="4" w:space="0" w:color="auto"/>
              <w:right w:val="single" w:sz="4" w:space="0" w:color="auto"/>
            </w:tcBorders>
            <w:vAlign w:val="center"/>
          </w:tcPr>
          <w:p w14:paraId="503CD381" w14:textId="64C67869" w:rsidR="004323A9" w:rsidRPr="00AA1E6F" w:rsidRDefault="004323A9" w:rsidP="004323A9">
            <w:pPr>
              <w:spacing w:line="240" w:lineRule="auto"/>
              <w:jc w:val="right"/>
              <w:rPr>
                <w:rFonts w:cs="Arial"/>
              </w:rPr>
            </w:pPr>
            <w:r>
              <w:rPr>
                <w:rFonts w:cs="Arial"/>
              </w:rPr>
              <w:t>5</w:t>
            </w:r>
          </w:p>
        </w:tc>
        <w:tc>
          <w:tcPr>
            <w:tcW w:w="779" w:type="dxa"/>
            <w:tcBorders>
              <w:top w:val="nil"/>
              <w:left w:val="nil"/>
              <w:bottom w:val="single" w:sz="4" w:space="0" w:color="auto"/>
              <w:right w:val="single" w:sz="4" w:space="0" w:color="auto"/>
            </w:tcBorders>
            <w:vAlign w:val="center"/>
          </w:tcPr>
          <w:p w14:paraId="488ACCDC" w14:textId="2D063D32" w:rsidR="004323A9" w:rsidRPr="00AA1E6F" w:rsidRDefault="004323A9" w:rsidP="004323A9">
            <w:pPr>
              <w:spacing w:line="240" w:lineRule="auto"/>
              <w:jc w:val="right"/>
              <w:rPr>
                <w:rFonts w:cs="Arial"/>
              </w:rPr>
            </w:pPr>
            <w:r>
              <w:rPr>
                <w:rFonts w:cs="Arial"/>
              </w:rPr>
              <w:t>8</w:t>
            </w:r>
          </w:p>
        </w:tc>
        <w:tc>
          <w:tcPr>
            <w:tcW w:w="643" w:type="dxa"/>
            <w:tcBorders>
              <w:top w:val="nil"/>
              <w:left w:val="nil"/>
              <w:bottom w:val="single" w:sz="4" w:space="0" w:color="auto"/>
              <w:right w:val="single" w:sz="4" w:space="0" w:color="auto"/>
            </w:tcBorders>
            <w:vAlign w:val="center"/>
          </w:tcPr>
          <w:p w14:paraId="0FE1FB54" w14:textId="636673F7" w:rsidR="004323A9" w:rsidRPr="00AA1E6F" w:rsidRDefault="004323A9" w:rsidP="004323A9">
            <w:pPr>
              <w:spacing w:line="240" w:lineRule="auto"/>
              <w:jc w:val="right"/>
              <w:rPr>
                <w:rFonts w:cs="Arial"/>
              </w:rPr>
            </w:pPr>
            <w:r>
              <w:rPr>
                <w:rFonts w:cs="Arial"/>
              </w:rPr>
              <w:t>6</w:t>
            </w:r>
          </w:p>
        </w:tc>
        <w:tc>
          <w:tcPr>
            <w:tcW w:w="706" w:type="dxa"/>
            <w:tcBorders>
              <w:top w:val="nil"/>
              <w:left w:val="nil"/>
              <w:bottom w:val="single" w:sz="4" w:space="0" w:color="auto"/>
              <w:right w:val="single" w:sz="4" w:space="0" w:color="auto"/>
            </w:tcBorders>
            <w:vAlign w:val="center"/>
          </w:tcPr>
          <w:p w14:paraId="6B736C1A" w14:textId="6C7BAB89" w:rsidR="004323A9" w:rsidRPr="0087775F" w:rsidRDefault="004323A9" w:rsidP="004323A9">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46071030" w14:textId="5F709AAF" w:rsidR="004323A9" w:rsidRPr="0087775F" w:rsidRDefault="004323A9" w:rsidP="004323A9">
            <w:pPr>
              <w:spacing w:line="240" w:lineRule="auto"/>
              <w:jc w:val="right"/>
              <w:rPr>
                <w:rFonts w:cs="Arial"/>
                <w:b/>
                <w:bCs/>
              </w:rPr>
            </w:pPr>
            <w:r>
              <w:rPr>
                <w:rFonts w:cs="Arial"/>
                <w:b/>
                <w:bCs/>
              </w:rPr>
              <w:t>32</w:t>
            </w:r>
          </w:p>
        </w:tc>
      </w:tr>
      <w:tr w:rsidR="004323A9" w:rsidRPr="00650B45" w14:paraId="2A2A6B6B"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4DE3038E" w14:textId="78C5FB05" w:rsidR="004323A9" w:rsidRPr="00371BE2" w:rsidRDefault="004323A9" w:rsidP="004323A9">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vAlign w:val="center"/>
          </w:tcPr>
          <w:p w14:paraId="190C4072" w14:textId="7DEB0569" w:rsidR="004323A9" w:rsidRPr="00AA1E6F" w:rsidRDefault="004323A9" w:rsidP="004323A9">
            <w:pPr>
              <w:spacing w:line="240" w:lineRule="auto"/>
              <w:jc w:val="right"/>
              <w:rPr>
                <w:rFonts w:cs="Arial"/>
              </w:rPr>
            </w:pPr>
            <w:r>
              <w:rPr>
                <w:rFonts w:cs="Arial"/>
              </w:rPr>
              <w:t>0</w:t>
            </w:r>
          </w:p>
        </w:tc>
        <w:tc>
          <w:tcPr>
            <w:tcW w:w="850" w:type="dxa"/>
            <w:tcBorders>
              <w:top w:val="nil"/>
              <w:left w:val="nil"/>
              <w:bottom w:val="single" w:sz="4" w:space="0" w:color="auto"/>
              <w:right w:val="single" w:sz="4" w:space="0" w:color="auto"/>
            </w:tcBorders>
            <w:vAlign w:val="center"/>
          </w:tcPr>
          <w:p w14:paraId="0611116F" w14:textId="3C3B852E" w:rsidR="004323A9" w:rsidRPr="00AA1E6F" w:rsidRDefault="004323A9" w:rsidP="004323A9">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52710F40" w:rsidR="004323A9" w:rsidRPr="00AA1E6F" w:rsidRDefault="004323A9" w:rsidP="004323A9">
            <w:pPr>
              <w:spacing w:line="240" w:lineRule="auto"/>
              <w:jc w:val="right"/>
              <w:rPr>
                <w:rFonts w:cs="Arial"/>
              </w:rPr>
            </w:pPr>
            <w:r>
              <w:rPr>
                <w:rFonts w:cs="Arial"/>
              </w:rPr>
              <w:t>6</w:t>
            </w:r>
          </w:p>
        </w:tc>
        <w:tc>
          <w:tcPr>
            <w:tcW w:w="643" w:type="dxa"/>
            <w:tcBorders>
              <w:top w:val="nil"/>
              <w:left w:val="nil"/>
              <w:bottom w:val="single" w:sz="4" w:space="0" w:color="auto"/>
              <w:right w:val="single" w:sz="4" w:space="0" w:color="auto"/>
            </w:tcBorders>
            <w:vAlign w:val="center"/>
          </w:tcPr>
          <w:p w14:paraId="5E3C036C" w14:textId="5662E669" w:rsidR="004323A9" w:rsidRPr="00AA1E6F" w:rsidRDefault="004323A9" w:rsidP="004323A9">
            <w:pPr>
              <w:spacing w:line="240" w:lineRule="auto"/>
              <w:jc w:val="right"/>
              <w:rPr>
                <w:rFonts w:cs="Arial"/>
              </w:rPr>
            </w:pPr>
            <w:r>
              <w:rPr>
                <w:rFonts w:cs="Arial"/>
              </w:rPr>
              <w:t>3</w:t>
            </w:r>
          </w:p>
        </w:tc>
        <w:tc>
          <w:tcPr>
            <w:tcW w:w="706" w:type="dxa"/>
            <w:tcBorders>
              <w:top w:val="nil"/>
              <w:left w:val="nil"/>
              <w:bottom w:val="single" w:sz="4" w:space="0" w:color="auto"/>
              <w:right w:val="single" w:sz="4" w:space="0" w:color="auto"/>
            </w:tcBorders>
            <w:vAlign w:val="center"/>
          </w:tcPr>
          <w:p w14:paraId="3F5C3F2B" w14:textId="2B2E3405" w:rsidR="004323A9" w:rsidRPr="0087775F" w:rsidRDefault="004323A9" w:rsidP="004323A9">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268E708B" w:rsidR="004323A9" w:rsidRPr="0087775F" w:rsidRDefault="004323A9" w:rsidP="004323A9">
            <w:pPr>
              <w:spacing w:line="240" w:lineRule="auto"/>
              <w:jc w:val="right"/>
              <w:rPr>
                <w:rFonts w:cs="Arial"/>
                <w:b/>
                <w:bCs/>
              </w:rPr>
            </w:pPr>
            <w:r>
              <w:rPr>
                <w:rFonts w:cs="Arial"/>
                <w:b/>
                <w:bCs/>
              </w:rPr>
              <w:t>9</w:t>
            </w:r>
          </w:p>
        </w:tc>
      </w:tr>
      <w:tr w:rsidR="004323A9" w:rsidRPr="00650B45" w14:paraId="4C455349"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hideMark/>
          </w:tcPr>
          <w:p w14:paraId="7DB0CCD0" w14:textId="77777777" w:rsidR="004323A9" w:rsidRPr="00371BE2" w:rsidRDefault="004323A9" w:rsidP="004323A9">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vAlign w:val="center"/>
          </w:tcPr>
          <w:p w14:paraId="02AE4B84" w14:textId="41805E56" w:rsidR="004323A9" w:rsidRPr="00AA1E6F" w:rsidRDefault="004323A9" w:rsidP="004323A9">
            <w:pPr>
              <w:spacing w:line="240" w:lineRule="auto"/>
              <w:jc w:val="right"/>
              <w:rPr>
                <w:rFonts w:cs="Arial"/>
                <w:lang w:eastAsia="en-AU"/>
              </w:rPr>
            </w:pPr>
            <w:r>
              <w:rPr>
                <w:rFonts w:cs="Arial"/>
              </w:rPr>
              <w:t>0</w:t>
            </w:r>
          </w:p>
        </w:tc>
        <w:tc>
          <w:tcPr>
            <w:tcW w:w="850" w:type="dxa"/>
            <w:tcBorders>
              <w:top w:val="single" w:sz="4" w:space="0" w:color="auto"/>
              <w:left w:val="nil"/>
              <w:bottom w:val="single" w:sz="4" w:space="0" w:color="auto"/>
              <w:right w:val="single" w:sz="4" w:space="0" w:color="auto"/>
            </w:tcBorders>
            <w:vAlign w:val="center"/>
          </w:tcPr>
          <w:p w14:paraId="7393B57B" w14:textId="74AFDAE9" w:rsidR="004323A9" w:rsidRPr="00AA1E6F" w:rsidRDefault="004323A9" w:rsidP="004323A9">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196E1C66" w:rsidR="004323A9" w:rsidRPr="00AA1E6F" w:rsidRDefault="004323A9" w:rsidP="004323A9">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3044435B" w:rsidR="004323A9" w:rsidRPr="00AA1E6F" w:rsidRDefault="004323A9" w:rsidP="004323A9">
            <w:pPr>
              <w:spacing w:line="240" w:lineRule="auto"/>
              <w:jc w:val="right"/>
              <w:rPr>
                <w:rFonts w:cs="Arial"/>
                <w:lang w:eastAsia="en-AU"/>
              </w:rPr>
            </w:pPr>
            <w:r>
              <w:rPr>
                <w:rFonts w:cs="Arial"/>
              </w:rPr>
              <w:t>6</w:t>
            </w:r>
          </w:p>
        </w:tc>
        <w:tc>
          <w:tcPr>
            <w:tcW w:w="706" w:type="dxa"/>
            <w:tcBorders>
              <w:top w:val="single" w:sz="4" w:space="0" w:color="auto"/>
              <w:left w:val="nil"/>
              <w:bottom w:val="single" w:sz="4" w:space="0" w:color="auto"/>
              <w:right w:val="single" w:sz="4" w:space="0" w:color="auto"/>
            </w:tcBorders>
            <w:vAlign w:val="center"/>
          </w:tcPr>
          <w:p w14:paraId="7C287A88" w14:textId="45D8CCC8" w:rsidR="004323A9" w:rsidRPr="0087775F" w:rsidRDefault="004323A9" w:rsidP="004323A9">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2934DC84" w:rsidR="004323A9" w:rsidRPr="0087775F" w:rsidRDefault="004323A9" w:rsidP="004323A9">
            <w:pPr>
              <w:spacing w:line="240" w:lineRule="auto"/>
              <w:jc w:val="right"/>
              <w:rPr>
                <w:rFonts w:cs="Arial"/>
                <w:b/>
                <w:lang w:eastAsia="en-AU"/>
              </w:rPr>
            </w:pPr>
            <w:r>
              <w:rPr>
                <w:rFonts w:cs="Arial"/>
                <w:b/>
                <w:bCs/>
              </w:rPr>
              <w:t>6</w:t>
            </w:r>
          </w:p>
        </w:tc>
      </w:tr>
      <w:tr w:rsidR="004323A9" w:rsidRPr="00557E24" w14:paraId="3F20CE90"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tcPr>
          <w:p w14:paraId="1A98E419" w14:textId="77777777" w:rsidR="004323A9" w:rsidRPr="00371BE2" w:rsidRDefault="004323A9" w:rsidP="004323A9">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vAlign w:val="center"/>
          </w:tcPr>
          <w:p w14:paraId="76735EFB" w14:textId="381AC554" w:rsidR="004323A9" w:rsidRPr="00E105F5" w:rsidRDefault="004323A9" w:rsidP="004323A9">
            <w:pPr>
              <w:spacing w:line="240" w:lineRule="auto"/>
              <w:jc w:val="right"/>
              <w:rPr>
                <w:rFonts w:cs="Arial"/>
                <w:b/>
                <w:bCs/>
                <w:lang w:eastAsia="en-AU"/>
              </w:rPr>
            </w:pPr>
            <w:r>
              <w:rPr>
                <w:rFonts w:cs="Arial"/>
                <w:b/>
                <w:bCs/>
              </w:rPr>
              <w:t>45</w:t>
            </w:r>
            <w:r w:rsidR="006028D0">
              <w:rPr>
                <w:rFonts w:cs="Arial"/>
                <w:b/>
                <w:bCs/>
              </w:rPr>
              <w:t>9</w:t>
            </w:r>
          </w:p>
        </w:tc>
        <w:tc>
          <w:tcPr>
            <w:tcW w:w="850" w:type="dxa"/>
            <w:tcBorders>
              <w:top w:val="single" w:sz="4" w:space="0" w:color="auto"/>
              <w:left w:val="nil"/>
              <w:bottom w:val="single" w:sz="4" w:space="0" w:color="auto"/>
              <w:right w:val="single" w:sz="4" w:space="0" w:color="auto"/>
            </w:tcBorders>
            <w:vAlign w:val="center"/>
          </w:tcPr>
          <w:p w14:paraId="430FC376" w14:textId="4E354BD4" w:rsidR="004323A9" w:rsidRPr="00E105F5" w:rsidRDefault="004323A9" w:rsidP="004323A9">
            <w:pPr>
              <w:spacing w:line="240" w:lineRule="auto"/>
              <w:jc w:val="right"/>
              <w:rPr>
                <w:rFonts w:cs="Arial"/>
                <w:b/>
                <w:bCs/>
                <w:lang w:eastAsia="en-AU"/>
              </w:rPr>
            </w:pPr>
            <w:r>
              <w:rPr>
                <w:rFonts w:cs="Arial"/>
                <w:b/>
                <w:bCs/>
              </w:rPr>
              <w:t>28</w:t>
            </w:r>
          </w:p>
        </w:tc>
        <w:tc>
          <w:tcPr>
            <w:tcW w:w="779" w:type="dxa"/>
            <w:tcBorders>
              <w:top w:val="single" w:sz="4" w:space="0" w:color="auto"/>
              <w:left w:val="nil"/>
              <w:bottom w:val="single" w:sz="4" w:space="0" w:color="auto"/>
              <w:right w:val="single" w:sz="4" w:space="0" w:color="auto"/>
            </w:tcBorders>
            <w:vAlign w:val="center"/>
          </w:tcPr>
          <w:p w14:paraId="4ECA5E82" w14:textId="6DAAEB7D" w:rsidR="004323A9" w:rsidRPr="00E105F5" w:rsidRDefault="004323A9" w:rsidP="004323A9">
            <w:pPr>
              <w:spacing w:line="240" w:lineRule="auto"/>
              <w:jc w:val="right"/>
              <w:rPr>
                <w:rFonts w:cs="Arial"/>
                <w:b/>
                <w:bCs/>
                <w:lang w:eastAsia="en-AU"/>
              </w:rPr>
            </w:pPr>
            <w:r>
              <w:rPr>
                <w:rFonts w:cs="Arial"/>
                <w:b/>
                <w:bCs/>
              </w:rPr>
              <w:t>350</w:t>
            </w:r>
          </w:p>
        </w:tc>
        <w:tc>
          <w:tcPr>
            <w:tcW w:w="643" w:type="dxa"/>
            <w:tcBorders>
              <w:top w:val="single" w:sz="4" w:space="0" w:color="auto"/>
              <w:left w:val="nil"/>
              <w:bottom w:val="single" w:sz="4" w:space="0" w:color="auto"/>
              <w:right w:val="single" w:sz="4" w:space="0" w:color="auto"/>
            </w:tcBorders>
            <w:vAlign w:val="center"/>
          </w:tcPr>
          <w:p w14:paraId="4498767F" w14:textId="511914B1" w:rsidR="004323A9" w:rsidRPr="00E105F5" w:rsidRDefault="004323A9" w:rsidP="004323A9">
            <w:pPr>
              <w:spacing w:line="240" w:lineRule="auto"/>
              <w:jc w:val="right"/>
              <w:rPr>
                <w:rFonts w:cs="Arial"/>
                <w:b/>
                <w:bCs/>
                <w:lang w:eastAsia="en-AU"/>
              </w:rPr>
            </w:pPr>
            <w:r>
              <w:rPr>
                <w:rFonts w:cs="Arial"/>
                <w:b/>
                <w:bCs/>
              </w:rPr>
              <w:t>222</w:t>
            </w:r>
          </w:p>
        </w:tc>
        <w:tc>
          <w:tcPr>
            <w:tcW w:w="706" w:type="dxa"/>
            <w:tcBorders>
              <w:top w:val="single" w:sz="4" w:space="0" w:color="auto"/>
              <w:left w:val="nil"/>
              <w:bottom w:val="single" w:sz="4" w:space="0" w:color="auto"/>
              <w:right w:val="single" w:sz="4" w:space="0" w:color="auto"/>
            </w:tcBorders>
            <w:vAlign w:val="center"/>
          </w:tcPr>
          <w:p w14:paraId="2806B4BD" w14:textId="4A3BB4EC" w:rsidR="004323A9" w:rsidRPr="00E105F5" w:rsidRDefault="004323A9" w:rsidP="004323A9">
            <w:pPr>
              <w:spacing w:line="240" w:lineRule="auto"/>
              <w:jc w:val="right"/>
              <w:rPr>
                <w:rFonts w:cs="Arial"/>
                <w:b/>
                <w:bCs/>
                <w:lang w:eastAsia="en-AU"/>
              </w:rPr>
            </w:pPr>
            <w:r>
              <w:rPr>
                <w:rFonts w:cs="Arial"/>
                <w:b/>
                <w:bCs/>
              </w:rPr>
              <w:t>61</w:t>
            </w:r>
          </w:p>
        </w:tc>
        <w:tc>
          <w:tcPr>
            <w:tcW w:w="849" w:type="dxa"/>
            <w:tcBorders>
              <w:top w:val="single" w:sz="4" w:space="0" w:color="auto"/>
              <w:left w:val="nil"/>
              <w:bottom w:val="single" w:sz="4" w:space="0" w:color="auto"/>
              <w:right w:val="single" w:sz="4" w:space="0" w:color="auto"/>
            </w:tcBorders>
            <w:vAlign w:val="center"/>
          </w:tcPr>
          <w:p w14:paraId="24507EE5" w14:textId="7BB501FB" w:rsidR="004323A9" w:rsidRPr="00E105F5" w:rsidRDefault="004323A9" w:rsidP="004323A9">
            <w:pPr>
              <w:spacing w:line="240" w:lineRule="auto"/>
              <w:jc w:val="right"/>
              <w:rPr>
                <w:rFonts w:cs="Arial"/>
                <w:b/>
                <w:lang w:eastAsia="en-AU"/>
              </w:rPr>
            </w:pPr>
            <w:r>
              <w:rPr>
                <w:rFonts w:cs="Arial"/>
                <w:b/>
                <w:bCs/>
              </w:rPr>
              <w:t>1,1</w:t>
            </w:r>
            <w:r w:rsidR="006028D0">
              <w:rPr>
                <w:rFonts w:cs="Arial"/>
                <w:b/>
                <w:bCs/>
              </w:rPr>
              <w:t>20</w:t>
            </w:r>
          </w:p>
        </w:tc>
      </w:tr>
    </w:tbl>
    <w:p w14:paraId="68A14D11" w14:textId="77777777" w:rsidR="00557E24" w:rsidRPr="00811A70" w:rsidRDefault="00557E24" w:rsidP="008D3D27">
      <w:pPr>
        <w:spacing w:line="240" w:lineRule="auto"/>
        <w:ind w:left="-142" w:right="-425"/>
        <w:rPr>
          <w:rFonts w:cs="Arial"/>
          <w:bCs/>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56A8B1D0" w14:textId="4997F921" w:rsidR="001660C6" w:rsidRPr="00EB111D" w:rsidRDefault="00C92E85"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4</w:t>
      </w:r>
      <w:r w:rsidR="004323A9">
        <w:rPr>
          <w:rFonts w:ascii="Verdana" w:hAnsi="Verdana" w:cs="Arial"/>
          <w:sz w:val="20"/>
          <w:szCs w:val="20"/>
        </w:rPr>
        <w:t>5</w:t>
      </w:r>
      <w:r w:rsidR="006028D0">
        <w:rPr>
          <w:rFonts w:ascii="Verdana" w:hAnsi="Verdana" w:cs="Arial"/>
          <w:sz w:val="20"/>
          <w:szCs w:val="20"/>
        </w:rPr>
        <w:t>9</w:t>
      </w:r>
      <w:r w:rsidR="001660C6">
        <w:rPr>
          <w:rFonts w:ascii="Verdana" w:hAnsi="Verdana" w:cs="Arial"/>
          <w:sz w:val="20"/>
          <w:szCs w:val="20"/>
        </w:rPr>
        <w:t xml:space="preserve"> notices were assessed as within jurisdiction for </w:t>
      </w:r>
      <w:r w:rsidR="001660C6" w:rsidRPr="00EB111D">
        <w:rPr>
          <w:rFonts w:ascii="Verdana" w:hAnsi="Verdana" w:cs="Arial"/>
          <w:sz w:val="20"/>
          <w:szCs w:val="20"/>
        </w:rPr>
        <w:t>Aurukun relating to 2</w:t>
      </w:r>
      <w:r w:rsidR="004323A9">
        <w:rPr>
          <w:rFonts w:ascii="Verdana" w:hAnsi="Verdana" w:cs="Arial"/>
          <w:sz w:val="20"/>
          <w:szCs w:val="20"/>
        </w:rPr>
        <w:t>30</w:t>
      </w:r>
      <w:r w:rsidR="001660C6" w:rsidRPr="00EB111D">
        <w:rPr>
          <w:rFonts w:ascii="Verdana" w:hAnsi="Verdana" w:cs="Arial"/>
          <w:sz w:val="20"/>
          <w:szCs w:val="20"/>
        </w:rPr>
        <w:t xml:space="preserve"> clients (1</w:t>
      </w:r>
      <w:r w:rsidR="004323A9">
        <w:rPr>
          <w:rFonts w:ascii="Verdana" w:hAnsi="Verdana" w:cs="Arial"/>
          <w:sz w:val="20"/>
          <w:szCs w:val="20"/>
        </w:rPr>
        <w:t>45</w:t>
      </w:r>
      <w:r w:rsidR="001660C6" w:rsidRPr="00EB111D">
        <w:rPr>
          <w:rFonts w:ascii="Verdana" w:hAnsi="Verdana" w:cs="Arial"/>
          <w:sz w:val="20"/>
          <w:szCs w:val="20"/>
        </w:rPr>
        <w:t xml:space="preserve"> female and </w:t>
      </w:r>
      <w:r w:rsidR="004323A9">
        <w:rPr>
          <w:rFonts w:ascii="Verdana" w:hAnsi="Verdana" w:cs="Arial"/>
          <w:sz w:val="20"/>
          <w:szCs w:val="20"/>
        </w:rPr>
        <w:t>85</w:t>
      </w:r>
      <w:r w:rsidR="001660C6" w:rsidRPr="00EB111D">
        <w:rPr>
          <w:rFonts w:ascii="Verdana" w:hAnsi="Verdana" w:cs="Arial"/>
          <w:sz w:val="20"/>
          <w:szCs w:val="20"/>
        </w:rPr>
        <w:t xml:space="preserve"> male)</w:t>
      </w:r>
    </w:p>
    <w:p w14:paraId="20BA6F8D" w14:textId="64CE23A6" w:rsidR="001660C6" w:rsidRPr="00EB111D" w:rsidRDefault="004323A9"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28</w:t>
      </w:r>
      <w:r w:rsidR="001660C6">
        <w:rPr>
          <w:rFonts w:ascii="Verdana" w:hAnsi="Verdana" w:cs="Arial"/>
          <w:sz w:val="20"/>
          <w:szCs w:val="20"/>
        </w:rPr>
        <w:t xml:space="preserve"> notices were assessed as within jurisdiction for </w:t>
      </w:r>
      <w:r w:rsidR="001660C6" w:rsidRPr="00EB111D">
        <w:rPr>
          <w:rFonts w:ascii="Verdana" w:hAnsi="Verdana" w:cs="Arial"/>
          <w:sz w:val="20"/>
          <w:szCs w:val="20"/>
        </w:rPr>
        <w:t xml:space="preserve">Coen relating to </w:t>
      </w:r>
      <w:r>
        <w:rPr>
          <w:rFonts w:ascii="Verdana" w:hAnsi="Verdana" w:cs="Arial"/>
          <w:sz w:val="20"/>
          <w:szCs w:val="20"/>
        </w:rPr>
        <w:t>21</w:t>
      </w:r>
      <w:r w:rsidR="001660C6" w:rsidRPr="00EB111D">
        <w:rPr>
          <w:rFonts w:ascii="Verdana" w:hAnsi="Verdana" w:cs="Arial"/>
          <w:sz w:val="20"/>
          <w:szCs w:val="20"/>
        </w:rPr>
        <w:t xml:space="preserve"> clients (</w:t>
      </w:r>
      <w:r w:rsidR="00C92E85">
        <w:rPr>
          <w:rFonts w:ascii="Verdana" w:hAnsi="Verdana" w:cs="Arial"/>
          <w:sz w:val="20"/>
          <w:szCs w:val="20"/>
        </w:rPr>
        <w:t>1</w:t>
      </w:r>
      <w:r>
        <w:rPr>
          <w:rFonts w:ascii="Verdana" w:hAnsi="Verdana" w:cs="Arial"/>
          <w:sz w:val="20"/>
          <w:szCs w:val="20"/>
        </w:rPr>
        <w:t>2</w:t>
      </w:r>
      <w:r w:rsidR="00C92E85" w:rsidRPr="00EB111D">
        <w:rPr>
          <w:rFonts w:ascii="Verdana" w:hAnsi="Verdana" w:cs="Arial"/>
          <w:sz w:val="20"/>
          <w:szCs w:val="20"/>
        </w:rPr>
        <w:t xml:space="preserve"> </w:t>
      </w:r>
      <w:r w:rsidR="001660C6" w:rsidRPr="00EB111D">
        <w:rPr>
          <w:rFonts w:ascii="Verdana" w:hAnsi="Verdana" w:cs="Arial"/>
          <w:sz w:val="20"/>
          <w:szCs w:val="20"/>
        </w:rPr>
        <w:t xml:space="preserve">female and </w:t>
      </w:r>
      <w:r>
        <w:rPr>
          <w:rFonts w:ascii="Verdana" w:hAnsi="Verdana" w:cs="Arial"/>
          <w:sz w:val="20"/>
          <w:szCs w:val="20"/>
        </w:rPr>
        <w:t>9</w:t>
      </w:r>
      <w:r w:rsidR="001660C6" w:rsidRPr="00EB111D">
        <w:rPr>
          <w:rFonts w:ascii="Verdana" w:hAnsi="Verdana" w:cs="Arial"/>
          <w:sz w:val="20"/>
          <w:szCs w:val="20"/>
        </w:rPr>
        <w:t xml:space="preserve"> male)</w:t>
      </w:r>
    </w:p>
    <w:p w14:paraId="2B5638C9" w14:textId="2DF05E1C" w:rsidR="001660C6" w:rsidRPr="00EB111D" w:rsidRDefault="001660C6"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3</w:t>
      </w:r>
      <w:r w:rsidR="004323A9">
        <w:rPr>
          <w:rFonts w:ascii="Verdana" w:hAnsi="Verdana" w:cs="Arial"/>
          <w:sz w:val="20"/>
          <w:szCs w:val="20"/>
        </w:rPr>
        <w:t>50</w:t>
      </w:r>
      <w:r>
        <w:rPr>
          <w:rFonts w:ascii="Verdana" w:hAnsi="Verdana" w:cs="Arial"/>
          <w:sz w:val="20"/>
          <w:szCs w:val="20"/>
        </w:rPr>
        <w:t xml:space="preserve"> notices were assessed as within jurisdiction for </w:t>
      </w:r>
      <w:r w:rsidRPr="00EB111D">
        <w:rPr>
          <w:rFonts w:ascii="Verdana" w:hAnsi="Verdana" w:cs="Arial"/>
          <w:sz w:val="20"/>
          <w:szCs w:val="20"/>
        </w:rPr>
        <w:t>Doomadgee relating to 2</w:t>
      </w:r>
      <w:r w:rsidR="004323A9">
        <w:rPr>
          <w:rFonts w:ascii="Verdana" w:hAnsi="Verdana" w:cs="Arial"/>
          <w:sz w:val="20"/>
          <w:szCs w:val="20"/>
        </w:rPr>
        <w:t>25</w:t>
      </w:r>
      <w:r w:rsidRPr="00EB111D">
        <w:rPr>
          <w:rFonts w:ascii="Verdana" w:hAnsi="Verdana" w:cs="Arial"/>
          <w:sz w:val="20"/>
          <w:szCs w:val="20"/>
        </w:rPr>
        <w:t xml:space="preserve"> clients (1</w:t>
      </w:r>
      <w:r w:rsidR="004323A9">
        <w:rPr>
          <w:rFonts w:ascii="Verdana" w:hAnsi="Verdana" w:cs="Arial"/>
          <w:sz w:val="20"/>
          <w:szCs w:val="20"/>
        </w:rPr>
        <w:t>61</w:t>
      </w:r>
      <w:r w:rsidRPr="00EB111D">
        <w:rPr>
          <w:rFonts w:ascii="Verdana" w:hAnsi="Verdana" w:cs="Arial"/>
          <w:sz w:val="20"/>
          <w:szCs w:val="20"/>
        </w:rPr>
        <w:t xml:space="preserve"> female and </w:t>
      </w:r>
      <w:r w:rsidR="00C92E85">
        <w:rPr>
          <w:rFonts w:ascii="Verdana" w:hAnsi="Verdana" w:cs="Arial"/>
          <w:sz w:val="20"/>
          <w:szCs w:val="20"/>
        </w:rPr>
        <w:t>6</w:t>
      </w:r>
      <w:r w:rsidR="004323A9">
        <w:rPr>
          <w:rFonts w:ascii="Verdana" w:hAnsi="Verdana" w:cs="Arial"/>
          <w:sz w:val="20"/>
          <w:szCs w:val="20"/>
        </w:rPr>
        <w:t>4</w:t>
      </w:r>
      <w:r w:rsidRPr="00EB111D">
        <w:rPr>
          <w:rFonts w:ascii="Verdana" w:hAnsi="Verdana" w:cs="Arial"/>
          <w:sz w:val="20"/>
          <w:szCs w:val="20"/>
        </w:rPr>
        <w:t xml:space="preserve"> male)</w:t>
      </w:r>
    </w:p>
    <w:p w14:paraId="25CD3237" w14:textId="532F5007" w:rsidR="001660C6" w:rsidRPr="00EB111D" w:rsidRDefault="001660C6"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2</w:t>
      </w:r>
      <w:r w:rsidR="004323A9">
        <w:rPr>
          <w:rFonts w:ascii="Verdana" w:hAnsi="Verdana" w:cs="Arial"/>
          <w:sz w:val="20"/>
          <w:szCs w:val="20"/>
        </w:rPr>
        <w:t>22</w:t>
      </w:r>
      <w:r>
        <w:rPr>
          <w:rFonts w:ascii="Verdana" w:hAnsi="Verdana" w:cs="Arial"/>
          <w:sz w:val="20"/>
          <w:szCs w:val="20"/>
        </w:rPr>
        <w:t xml:space="preserve"> notices were assessed as within jurisdiction for </w:t>
      </w:r>
      <w:r w:rsidRPr="00EB111D">
        <w:rPr>
          <w:rFonts w:ascii="Verdana" w:hAnsi="Verdana" w:cs="Arial"/>
          <w:sz w:val="20"/>
          <w:szCs w:val="20"/>
        </w:rPr>
        <w:t>Hope Vale relating to 1</w:t>
      </w:r>
      <w:r w:rsidR="004323A9">
        <w:rPr>
          <w:rFonts w:ascii="Verdana" w:hAnsi="Verdana" w:cs="Arial"/>
          <w:sz w:val="20"/>
          <w:szCs w:val="20"/>
        </w:rPr>
        <w:t>41</w:t>
      </w:r>
      <w:r w:rsidRPr="00EB111D">
        <w:rPr>
          <w:rFonts w:ascii="Verdana" w:hAnsi="Verdana" w:cs="Arial"/>
          <w:sz w:val="20"/>
          <w:szCs w:val="20"/>
        </w:rPr>
        <w:t xml:space="preserve"> clients (8</w:t>
      </w:r>
      <w:r w:rsidR="004323A9">
        <w:rPr>
          <w:rFonts w:ascii="Verdana" w:hAnsi="Verdana" w:cs="Arial"/>
          <w:sz w:val="20"/>
          <w:szCs w:val="20"/>
        </w:rPr>
        <w:t>5</w:t>
      </w:r>
      <w:r w:rsidRPr="00EB111D">
        <w:rPr>
          <w:rFonts w:ascii="Verdana" w:hAnsi="Verdana" w:cs="Arial"/>
          <w:sz w:val="20"/>
          <w:szCs w:val="20"/>
        </w:rPr>
        <w:t xml:space="preserve"> female and 5</w:t>
      </w:r>
      <w:r w:rsidR="004323A9">
        <w:rPr>
          <w:rFonts w:ascii="Verdana" w:hAnsi="Verdana" w:cs="Arial"/>
          <w:sz w:val="20"/>
          <w:szCs w:val="20"/>
        </w:rPr>
        <w:t>6</w:t>
      </w:r>
      <w:r w:rsidRPr="00EB111D">
        <w:rPr>
          <w:rFonts w:ascii="Verdana" w:hAnsi="Verdana" w:cs="Arial"/>
          <w:sz w:val="20"/>
          <w:szCs w:val="20"/>
        </w:rPr>
        <w:t xml:space="preserve"> male)</w:t>
      </w:r>
    </w:p>
    <w:p w14:paraId="4C0C2E7D" w14:textId="578A1D36" w:rsidR="001660C6" w:rsidRPr="00EB111D" w:rsidRDefault="004323A9"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61</w:t>
      </w:r>
      <w:r w:rsidR="001660C6">
        <w:rPr>
          <w:rFonts w:ascii="Verdana" w:hAnsi="Verdana" w:cs="Arial"/>
          <w:sz w:val="20"/>
          <w:szCs w:val="20"/>
        </w:rPr>
        <w:t xml:space="preserve"> notices were assessed as within jurisdiction for </w:t>
      </w:r>
      <w:r w:rsidR="001660C6" w:rsidRPr="00EB111D">
        <w:rPr>
          <w:rFonts w:ascii="Verdana" w:hAnsi="Verdana" w:cs="Arial"/>
          <w:sz w:val="20"/>
          <w:szCs w:val="20"/>
        </w:rPr>
        <w:t>Mossman Gorge relating to 2</w:t>
      </w:r>
      <w:r>
        <w:rPr>
          <w:rFonts w:ascii="Verdana" w:hAnsi="Verdana" w:cs="Arial"/>
          <w:sz w:val="20"/>
          <w:szCs w:val="20"/>
        </w:rPr>
        <w:t>4</w:t>
      </w:r>
      <w:r w:rsidR="001660C6" w:rsidRPr="00EB111D">
        <w:rPr>
          <w:rFonts w:ascii="Verdana" w:hAnsi="Verdana" w:cs="Arial"/>
          <w:sz w:val="20"/>
          <w:szCs w:val="20"/>
        </w:rPr>
        <w:t xml:space="preserve"> clients (1</w:t>
      </w:r>
      <w:r>
        <w:rPr>
          <w:rFonts w:ascii="Verdana" w:hAnsi="Verdana" w:cs="Arial"/>
          <w:sz w:val="20"/>
          <w:szCs w:val="20"/>
        </w:rPr>
        <w:t>5</w:t>
      </w:r>
      <w:r w:rsidR="001660C6" w:rsidRPr="00EB111D">
        <w:rPr>
          <w:rFonts w:ascii="Verdana" w:hAnsi="Verdana" w:cs="Arial"/>
          <w:sz w:val="20"/>
          <w:szCs w:val="20"/>
        </w:rPr>
        <w:t xml:space="preserve"> female and </w:t>
      </w:r>
      <w:r>
        <w:rPr>
          <w:rFonts w:ascii="Verdana" w:hAnsi="Verdana" w:cs="Arial"/>
          <w:sz w:val="20"/>
          <w:szCs w:val="20"/>
        </w:rPr>
        <w:t>9</w:t>
      </w:r>
      <w:r w:rsidR="001660C6" w:rsidRPr="00EB111D">
        <w:rPr>
          <w:rFonts w:ascii="Verdana" w:hAnsi="Verdana" w:cs="Arial"/>
          <w:sz w:val="20"/>
          <w:szCs w:val="20"/>
        </w:rPr>
        <w:t xml:space="preserve"> male).</w:t>
      </w:r>
    </w:p>
    <w:p w14:paraId="48607A65" w14:textId="77777777" w:rsidR="00322A26" w:rsidRDefault="00322A26" w:rsidP="005A5B78">
      <w:pPr>
        <w:ind w:left="-142" w:right="-425"/>
        <w:jc w:val="both"/>
        <w:rPr>
          <w:rFonts w:cs="Arial"/>
        </w:rPr>
      </w:pPr>
    </w:p>
    <w:p w14:paraId="5FD440B8" w14:textId="7CC4AFF5" w:rsidR="001660C6" w:rsidRDefault="001660C6" w:rsidP="001660C6">
      <w:pPr>
        <w:ind w:left="-142" w:right="-425"/>
        <w:jc w:val="both"/>
        <w:rPr>
          <w:rFonts w:cs="Arial"/>
        </w:rPr>
      </w:pPr>
      <w:r w:rsidRPr="00EB111D">
        <w:rPr>
          <w:rFonts w:cs="Arial"/>
        </w:rPr>
        <w:t xml:space="preserve">For quarter </w:t>
      </w:r>
      <w:r w:rsidR="00EF7EFC">
        <w:rPr>
          <w:rFonts w:cs="Arial"/>
        </w:rPr>
        <w:t>68</w:t>
      </w:r>
      <w:r w:rsidRPr="00EB111D">
        <w:rPr>
          <w:rFonts w:cs="Arial"/>
        </w:rPr>
        <w:t xml:space="preserve">, </w:t>
      </w:r>
      <w:r w:rsidR="00C92E85">
        <w:rPr>
          <w:rFonts w:cs="Arial"/>
        </w:rPr>
        <w:t>3</w:t>
      </w:r>
      <w:r w:rsidR="004323A9">
        <w:rPr>
          <w:rFonts w:cs="Arial"/>
        </w:rPr>
        <w:t>8</w:t>
      </w:r>
      <w:r w:rsidRPr="00EB111D">
        <w:rPr>
          <w:rFonts w:cs="Arial"/>
        </w:rPr>
        <w:t xml:space="preserve">% of clients </w:t>
      </w:r>
      <w:r>
        <w:rPr>
          <w:rFonts w:cs="Arial"/>
        </w:rPr>
        <w:t>were assessed as receiving</w:t>
      </w:r>
      <w:r w:rsidRPr="00EB111D">
        <w:rPr>
          <w:rFonts w:cs="Arial"/>
        </w:rPr>
        <w:t xml:space="preserve"> more than one notice</w:t>
      </w:r>
      <w:r>
        <w:rPr>
          <w:rFonts w:cs="Arial"/>
        </w:rPr>
        <w:t xml:space="preserve"> within jurisdiction</w:t>
      </w:r>
      <w:r w:rsidRPr="00EB111D">
        <w:rPr>
          <w:rFonts w:cs="Arial"/>
        </w:rPr>
        <w:t>. Frequently this illustrates multiple child school absences for the one family, or multiple Magistrates Court notices relating to one incident. This may also be suggestive of the complexity of behaviours experienced by a significant proportion of our clients. Conversely, it is important to note the majority of FRC clients (</w:t>
      </w:r>
      <w:r w:rsidR="00C92E85">
        <w:rPr>
          <w:rFonts w:cs="Arial"/>
        </w:rPr>
        <w:t>6</w:t>
      </w:r>
      <w:r w:rsidR="004323A9">
        <w:rPr>
          <w:rFonts w:cs="Arial"/>
        </w:rPr>
        <w:t>2</w:t>
      </w:r>
      <w:r w:rsidRPr="00EB111D">
        <w:rPr>
          <w:rFonts w:cs="Arial"/>
        </w:rPr>
        <w:t xml:space="preserve">%) </w:t>
      </w:r>
      <w:r>
        <w:rPr>
          <w:rFonts w:cs="Arial"/>
        </w:rPr>
        <w:t>were assessed as receiving</w:t>
      </w:r>
      <w:r w:rsidRPr="00EB111D">
        <w:rPr>
          <w:rFonts w:cs="Arial"/>
        </w:rPr>
        <w:t xml:space="preserve"> only one notice </w:t>
      </w:r>
      <w:r>
        <w:rPr>
          <w:rFonts w:cs="Arial"/>
        </w:rPr>
        <w:t xml:space="preserve">within jurisdiction </w:t>
      </w:r>
      <w:r w:rsidRPr="00EB111D">
        <w:rPr>
          <w:rFonts w:cs="Arial"/>
        </w:rPr>
        <w:t xml:space="preserve">during the reporting period. </w:t>
      </w:r>
      <w:r w:rsidR="00084F95">
        <w:rPr>
          <w:rFonts w:cs="Arial"/>
        </w:rPr>
        <w:t>Twenty</w:t>
      </w:r>
      <w:r>
        <w:rPr>
          <w:rFonts w:cs="Arial"/>
        </w:rPr>
        <w:t>-</w:t>
      </w:r>
      <w:r w:rsidR="004323A9">
        <w:rPr>
          <w:rFonts w:cs="Arial"/>
        </w:rPr>
        <w:t xml:space="preserve">four </w:t>
      </w:r>
      <w:r w:rsidRPr="00626560">
        <w:rPr>
          <w:rFonts w:cs="Arial"/>
        </w:rPr>
        <w:t>new</w:t>
      </w:r>
      <w:r>
        <w:rPr>
          <w:rFonts w:cs="Arial"/>
        </w:rPr>
        <w:t xml:space="preserve"> clients were added to the Commission’s database during the quarter.</w:t>
      </w:r>
    </w:p>
    <w:p w14:paraId="08E441E8" w14:textId="1EC6775C" w:rsidR="005C425D" w:rsidRPr="002935B1" w:rsidRDefault="005C425D" w:rsidP="005A5B78">
      <w:pPr>
        <w:ind w:left="-142" w:right="-425"/>
        <w:rPr>
          <w:rFonts w:cs="Arial"/>
          <w:bCs/>
          <w:sz w:val="16"/>
          <w:szCs w:val="16"/>
        </w:rPr>
      </w:pPr>
    </w:p>
    <w:p w14:paraId="6BA31C39" w14:textId="5E825A95" w:rsidR="00960D3D" w:rsidRDefault="00960D3D">
      <w:pPr>
        <w:spacing w:line="240" w:lineRule="auto"/>
        <w:rPr>
          <w:rFonts w:cs="Arial"/>
          <w:b/>
          <w:sz w:val="16"/>
          <w:szCs w:val="16"/>
        </w:rPr>
      </w:pPr>
      <w:r>
        <w:rPr>
          <w:rFonts w:cs="Arial"/>
          <w:b/>
          <w:sz w:val="16"/>
          <w:szCs w:val="16"/>
        </w:rPr>
        <w:br w:type="page"/>
      </w:r>
    </w:p>
    <w:p w14:paraId="72D23545" w14:textId="68951068" w:rsidR="00ED0FBA" w:rsidRPr="0071779E" w:rsidRDefault="00ED0FBA" w:rsidP="00960D3D">
      <w:pPr>
        <w:spacing w:after="120" w:line="240" w:lineRule="auto"/>
        <w:ind w:left="-142" w:right="-425"/>
        <w:rPr>
          <w:bCs/>
          <w:sz w:val="16"/>
          <w:szCs w:val="16"/>
        </w:rPr>
      </w:pPr>
      <w:r w:rsidRPr="003362C2">
        <w:rPr>
          <w:b/>
          <w:sz w:val="16"/>
          <w:szCs w:val="16"/>
        </w:rPr>
        <w:lastRenderedPageBreak/>
        <w:t xml:space="preserve">Table 10: </w:t>
      </w:r>
      <w:r w:rsidRPr="0071779E">
        <w:rPr>
          <w:bCs/>
          <w:sz w:val="16"/>
          <w:szCs w:val="16"/>
        </w:rPr>
        <w:t xml:space="preserve">Notices in jurisdiction by type and quarter 1 </w:t>
      </w:r>
      <w:r>
        <w:rPr>
          <w:bCs/>
          <w:sz w:val="16"/>
          <w:szCs w:val="16"/>
        </w:rPr>
        <w:t>April</w:t>
      </w:r>
      <w:r w:rsidRPr="0071779E">
        <w:rPr>
          <w:bCs/>
          <w:sz w:val="16"/>
          <w:szCs w:val="16"/>
        </w:rPr>
        <w:t xml:space="preserve"> 202</w:t>
      </w:r>
      <w:r>
        <w:rPr>
          <w:bCs/>
          <w:sz w:val="16"/>
          <w:szCs w:val="16"/>
        </w:rPr>
        <w:t>4</w:t>
      </w:r>
      <w:r w:rsidRPr="0071779E">
        <w:rPr>
          <w:bCs/>
          <w:sz w:val="16"/>
          <w:szCs w:val="16"/>
        </w:rPr>
        <w:t xml:space="preserve"> to 3</w:t>
      </w:r>
      <w:r>
        <w:rPr>
          <w:bCs/>
          <w:sz w:val="16"/>
          <w:szCs w:val="16"/>
        </w:rPr>
        <w:t xml:space="preserve">0 June </w:t>
      </w:r>
      <w:r w:rsidRPr="0071779E">
        <w:rPr>
          <w:bCs/>
          <w:sz w:val="16"/>
          <w:szCs w:val="16"/>
        </w:rPr>
        <w:t>202</w:t>
      </w:r>
      <w:r>
        <w:rPr>
          <w:bCs/>
          <w:sz w:val="16"/>
          <w:szCs w:val="16"/>
        </w:rPr>
        <w:t>5</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ED0FBA" w:rsidRPr="0093030B" w14:paraId="48E0BA3F" w14:textId="77777777" w:rsidTr="006E46CB">
        <w:trPr>
          <w:trHeight w:val="480"/>
        </w:trPr>
        <w:tc>
          <w:tcPr>
            <w:tcW w:w="3460" w:type="dxa"/>
            <w:tcBorders>
              <w:top w:val="single" w:sz="4" w:space="0" w:color="auto"/>
              <w:left w:val="single" w:sz="4" w:space="0" w:color="auto"/>
              <w:bottom w:val="single" w:sz="4" w:space="0" w:color="auto"/>
              <w:right w:val="single" w:sz="4" w:space="0" w:color="auto"/>
            </w:tcBorders>
            <w:hideMark/>
          </w:tcPr>
          <w:p w14:paraId="05529700" w14:textId="77777777" w:rsidR="00ED0FBA" w:rsidRPr="0093030B" w:rsidRDefault="00ED0FBA" w:rsidP="00ED0FBA">
            <w:pPr>
              <w:pStyle w:val="TableText"/>
              <w:ind w:left="49"/>
              <w:rPr>
                <w:b/>
                <w:lang w:eastAsia="en-AU"/>
              </w:rPr>
            </w:pPr>
            <w:bookmarkStart w:id="17"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4C778316" w14:textId="223354F2" w:rsidR="00ED0FBA" w:rsidRDefault="00ED0FBA" w:rsidP="00ED0FBA">
            <w:pPr>
              <w:pStyle w:val="TableText"/>
              <w:jc w:val="right"/>
              <w:rPr>
                <w:b/>
                <w:lang w:eastAsia="en-AU"/>
              </w:rPr>
            </w:pPr>
            <w:r>
              <w:rPr>
                <w:rFonts w:cs="Arial"/>
                <w:b/>
                <w:bCs/>
              </w:rPr>
              <w:t>Qtr 64</w:t>
            </w:r>
          </w:p>
        </w:tc>
        <w:tc>
          <w:tcPr>
            <w:tcW w:w="1012" w:type="dxa"/>
            <w:tcBorders>
              <w:top w:val="single" w:sz="4" w:space="0" w:color="auto"/>
              <w:left w:val="nil"/>
              <w:bottom w:val="single" w:sz="4" w:space="0" w:color="auto"/>
              <w:right w:val="single" w:sz="4" w:space="0" w:color="auto"/>
            </w:tcBorders>
          </w:tcPr>
          <w:p w14:paraId="1FECC3A7" w14:textId="2FB790C6" w:rsidR="00ED0FBA" w:rsidRDefault="00ED0FBA" w:rsidP="00ED0FBA">
            <w:pPr>
              <w:pStyle w:val="TableText"/>
              <w:jc w:val="right"/>
              <w:rPr>
                <w:b/>
                <w:lang w:eastAsia="en-AU"/>
              </w:rPr>
            </w:pPr>
            <w:r>
              <w:rPr>
                <w:rFonts w:cs="Arial"/>
                <w:b/>
                <w:bCs/>
              </w:rPr>
              <w:t>Qtr 65</w:t>
            </w:r>
          </w:p>
        </w:tc>
        <w:tc>
          <w:tcPr>
            <w:tcW w:w="1012" w:type="dxa"/>
            <w:tcBorders>
              <w:top w:val="single" w:sz="4" w:space="0" w:color="auto"/>
              <w:left w:val="nil"/>
              <w:bottom w:val="single" w:sz="4" w:space="0" w:color="auto"/>
              <w:right w:val="single" w:sz="4" w:space="0" w:color="auto"/>
            </w:tcBorders>
          </w:tcPr>
          <w:p w14:paraId="591A9D48" w14:textId="317AE9E7" w:rsidR="00ED0FBA" w:rsidRDefault="00ED0FBA" w:rsidP="00ED0FBA">
            <w:pPr>
              <w:pStyle w:val="TableText"/>
              <w:jc w:val="right"/>
              <w:rPr>
                <w:b/>
                <w:lang w:eastAsia="en-AU"/>
              </w:rPr>
            </w:pPr>
            <w:r>
              <w:rPr>
                <w:rFonts w:cs="Arial"/>
                <w:b/>
                <w:bCs/>
              </w:rPr>
              <w:t>Qtr 66</w:t>
            </w:r>
          </w:p>
        </w:tc>
        <w:tc>
          <w:tcPr>
            <w:tcW w:w="1012" w:type="dxa"/>
            <w:tcBorders>
              <w:top w:val="single" w:sz="4" w:space="0" w:color="auto"/>
              <w:left w:val="nil"/>
              <w:bottom w:val="single" w:sz="4" w:space="0" w:color="auto"/>
              <w:right w:val="single" w:sz="4" w:space="0" w:color="auto"/>
            </w:tcBorders>
          </w:tcPr>
          <w:p w14:paraId="6D10B529" w14:textId="71370295" w:rsidR="00ED0FBA" w:rsidRDefault="00ED0FBA" w:rsidP="00ED0FBA">
            <w:pPr>
              <w:pStyle w:val="TableText"/>
              <w:jc w:val="right"/>
              <w:rPr>
                <w:b/>
                <w:lang w:eastAsia="en-AU"/>
              </w:rPr>
            </w:pPr>
            <w:r>
              <w:rPr>
                <w:rFonts w:cs="Arial"/>
                <w:b/>
                <w:bCs/>
              </w:rPr>
              <w:t>Qtr 67</w:t>
            </w:r>
          </w:p>
        </w:tc>
        <w:tc>
          <w:tcPr>
            <w:tcW w:w="1012" w:type="dxa"/>
            <w:tcBorders>
              <w:top w:val="single" w:sz="4" w:space="0" w:color="auto"/>
              <w:left w:val="nil"/>
              <w:bottom w:val="single" w:sz="4" w:space="0" w:color="auto"/>
              <w:right w:val="single" w:sz="4" w:space="0" w:color="auto"/>
            </w:tcBorders>
          </w:tcPr>
          <w:p w14:paraId="3502D637" w14:textId="38246029" w:rsidR="00ED0FBA" w:rsidRDefault="00ED0FBA" w:rsidP="00ED0FBA">
            <w:pPr>
              <w:pStyle w:val="TableText"/>
              <w:jc w:val="right"/>
              <w:rPr>
                <w:b/>
                <w:lang w:eastAsia="en-AU"/>
              </w:rPr>
            </w:pPr>
            <w:r>
              <w:rPr>
                <w:rFonts w:cs="Arial"/>
                <w:b/>
                <w:bCs/>
              </w:rPr>
              <w:t>Qtr 6</w:t>
            </w:r>
            <w:r>
              <w:rPr>
                <w:rFonts w:cs="Arial"/>
                <w:b/>
                <w:bCs/>
              </w:rPr>
              <w:t>8</w:t>
            </w:r>
          </w:p>
        </w:tc>
      </w:tr>
      <w:tr w:rsidR="00B83DD2" w:rsidRPr="0093030B" w14:paraId="6175C973"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7055DA8D" w14:textId="77777777" w:rsidR="00B83DD2" w:rsidRDefault="00B83DD2" w:rsidP="00B83DD2">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28AE40FF" w14:textId="33652C63"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0002E29" w14:textId="6DE988FC"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61F7A539" w14:textId="2E6DCEAE"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48A5CBC" w14:textId="750CCE25"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B14A11D" w14:textId="0BAF5DFB" w:rsidR="00B83DD2" w:rsidRDefault="00B83DD2" w:rsidP="00B83DD2">
            <w:pPr>
              <w:jc w:val="right"/>
              <w:rPr>
                <w:rFonts w:cs="Arial"/>
              </w:rPr>
            </w:pPr>
            <w:r>
              <w:rPr>
                <w:rFonts w:cs="Arial"/>
              </w:rPr>
              <w:t>0</w:t>
            </w:r>
          </w:p>
        </w:tc>
      </w:tr>
      <w:tr w:rsidR="00B83DD2" w:rsidRPr="0093030B" w14:paraId="4B5BB06A"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7EBE1A9D" w14:textId="77777777" w:rsidR="00B83DD2" w:rsidRPr="0093030B" w:rsidRDefault="00B83DD2" w:rsidP="00B83DD2">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5E0FF112" w14:textId="3C26C574" w:rsidR="00B83DD2" w:rsidRDefault="00B83DD2" w:rsidP="00B83DD2">
            <w:pPr>
              <w:jc w:val="right"/>
              <w:rPr>
                <w:rFonts w:cs="Arial"/>
              </w:rPr>
            </w:pPr>
            <w:r>
              <w:rPr>
                <w:rFonts w:cs="Arial"/>
              </w:rPr>
              <w:t>16</w:t>
            </w:r>
          </w:p>
        </w:tc>
        <w:tc>
          <w:tcPr>
            <w:tcW w:w="1012" w:type="dxa"/>
            <w:tcBorders>
              <w:top w:val="nil"/>
              <w:left w:val="nil"/>
              <w:bottom w:val="single" w:sz="4" w:space="0" w:color="auto"/>
              <w:right w:val="single" w:sz="4" w:space="0" w:color="auto"/>
            </w:tcBorders>
          </w:tcPr>
          <w:p w14:paraId="24A01915" w14:textId="467E2E9B" w:rsidR="00B83DD2" w:rsidRDefault="00B83DD2" w:rsidP="00B83DD2">
            <w:pPr>
              <w:jc w:val="right"/>
              <w:rPr>
                <w:rFonts w:cs="Arial"/>
              </w:rPr>
            </w:pPr>
            <w:r>
              <w:rPr>
                <w:rFonts w:cs="Arial"/>
              </w:rPr>
              <w:t>16</w:t>
            </w:r>
          </w:p>
        </w:tc>
        <w:tc>
          <w:tcPr>
            <w:tcW w:w="1012" w:type="dxa"/>
            <w:tcBorders>
              <w:top w:val="nil"/>
              <w:left w:val="nil"/>
              <w:bottom w:val="single" w:sz="4" w:space="0" w:color="auto"/>
              <w:right w:val="single" w:sz="4" w:space="0" w:color="auto"/>
            </w:tcBorders>
          </w:tcPr>
          <w:p w14:paraId="2CEEF06E" w14:textId="25C63EA0" w:rsidR="00B83DD2" w:rsidRDefault="00B83DD2" w:rsidP="00B83DD2">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658A6F78" w14:textId="314658F6" w:rsidR="00B83DD2" w:rsidRDefault="00B83DD2" w:rsidP="00B83DD2">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0AE341B0" w14:textId="7EA2D7AA" w:rsidR="00B83DD2" w:rsidRDefault="00B83DD2" w:rsidP="00B83DD2">
            <w:pPr>
              <w:jc w:val="right"/>
              <w:rPr>
                <w:rFonts w:cs="Arial"/>
              </w:rPr>
            </w:pPr>
            <w:r>
              <w:rPr>
                <w:rFonts w:cs="Arial"/>
              </w:rPr>
              <w:t>5</w:t>
            </w:r>
          </w:p>
        </w:tc>
      </w:tr>
      <w:tr w:rsidR="00B83DD2" w:rsidRPr="0093030B" w14:paraId="02E65C1B"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178BA42F" w14:textId="77777777" w:rsidR="00B83DD2" w:rsidRDefault="00B83DD2" w:rsidP="00B83DD2">
            <w:pPr>
              <w:pStyle w:val="TableText"/>
              <w:ind w:left="49"/>
              <w:rPr>
                <w:lang w:eastAsia="en-AU"/>
              </w:rPr>
            </w:pPr>
            <w:r>
              <w:rPr>
                <w:lang w:eastAsia="en-AU"/>
              </w:rPr>
              <w:t>Childrens Court</w:t>
            </w:r>
          </w:p>
        </w:tc>
        <w:tc>
          <w:tcPr>
            <w:tcW w:w="1012" w:type="dxa"/>
            <w:tcBorders>
              <w:top w:val="nil"/>
              <w:left w:val="nil"/>
              <w:bottom w:val="single" w:sz="4" w:space="0" w:color="auto"/>
              <w:right w:val="single" w:sz="4" w:space="0" w:color="auto"/>
            </w:tcBorders>
          </w:tcPr>
          <w:p w14:paraId="63265219" w14:textId="228D2C6E"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50287DAB" w14:textId="7BED8C5A"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C69FB3D" w14:textId="01D09B6E"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8D81F23" w14:textId="5D29C906" w:rsidR="00B83DD2" w:rsidRDefault="00B83DD2" w:rsidP="00B83DD2">
            <w:pPr>
              <w:jc w:val="right"/>
              <w:rPr>
                <w:rFonts w:cs="Arial"/>
              </w:rPr>
            </w:pPr>
            <w:r>
              <w:rPr>
                <w:rFonts w:cs="Arial"/>
              </w:rPr>
              <w:t>24</w:t>
            </w:r>
          </w:p>
        </w:tc>
        <w:tc>
          <w:tcPr>
            <w:tcW w:w="1012" w:type="dxa"/>
            <w:tcBorders>
              <w:top w:val="nil"/>
              <w:left w:val="nil"/>
              <w:bottom w:val="single" w:sz="4" w:space="0" w:color="auto"/>
              <w:right w:val="single" w:sz="4" w:space="0" w:color="auto"/>
            </w:tcBorders>
          </w:tcPr>
          <w:p w14:paraId="262F6299" w14:textId="3A5919EA" w:rsidR="00B83DD2" w:rsidRDefault="00B83DD2" w:rsidP="00B83DD2">
            <w:pPr>
              <w:jc w:val="right"/>
              <w:rPr>
                <w:rFonts w:cs="Arial"/>
              </w:rPr>
            </w:pPr>
            <w:r>
              <w:rPr>
                <w:rFonts w:cs="Arial"/>
              </w:rPr>
              <w:t>101</w:t>
            </w:r>
          </w:p>
        </w:tc>
      </w:tr>
      <w:tr w:rsidR="00B83DD2" w:rsidRPr="0093030B" w14:paraId="526FD001"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5A682716" w14:textId="77777777" w:rsidR="00B83DD2" w:rsidRPr="0093030B" w:rsidRDefault="00B83DD2" w:rsidP="00B83DD2">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68B0686F" w14:textId="7443AE7F" w:rsidR="00B83DD2" w:rsidRDefault="00B83DD2" w:rsidP="00B83DD2">
            <w:pPr>
              <w:jc w:val="right"/>
              <w:rPr>
                <w:rFonts w:cs="Arial"/>
              </w:rPr>
            </w:pPr>
            <w:r>
              <w:rPr>
                <w:rFonts w:cs="Arial"/>
              </w:rPr>
              <w:t>385</w:t>
            </w:r>
          </w:p>
        </w:tc>
        <w:tc>
          <w:tcPr>
            <w:tcW w:w="1012" w:type="dxa"/>
            <w:tcBorders>
              <w:top w:val="nil"/>
              <w:left w:val="nil"/>
              <w:bottom w:val="single" w:sz="4" w:space="0" w:color="auto"/>
              <w:right w:val="single" w:sz="4" w:space="0" w:color="auto"/>
            </w:tcBorders>
          </w:tcPr>
          <w:p w14:paraId="52A35B51" w14:textId="4866EE49" w:rsidR="00B83DD2" w:rsidRDefault="00B83DD2" w:rsidP="00B83DD2">
            <w:pPr>
              <w:jc w:val="right"/>
              <w:rPr>
                <w:rFonts w:cs="Arial"/>
              </w:rPr>
            </w:pPr>
            <w:r>
              <w:rPr>
                <w:rFonts w:cs="Arial"/>
              </w:rPr>
              <w:t>319</w:t>
            </w:r>
          </w:p>
        </w:tc>
        <w:tc>
          <w:tcPr>
            <w:tcW w:w="1012" w:type="dxa"/>
            <w:tcBorders>
              <w:top w:val="nil"/>
              <w:left w:val="nil"/>
              <w:bottom w:val="single" w:sz="4" w:space="0" w:color="auto"/>
              <w:right w:val="single" w:sz="4" w:space="0" w:color="auto"/>
            </w:tcBorders>
          </w:tcPr>
          <w:p w14:paraId="5FF308F7" w14:textId="62C080E9" w:rsidR="00B83DD2" w:rsidRDefault="00B83DD2" w:rsidP="00B83DD2">
            <w:pPr>
              <w:jc w:val="right"/>
              <w:rPr>
                <w:rFonts w:cs="Arial"/>
              </w:rPr>
            </w:pPr>
            <w:r>
              <w:rPr>
                <w:rFonts w:cs="Arial"/>
              </w:rPr>
              <w:t>294</w:t>
            </w:r>
          </w:p>
        </w:tc>
        <w:tc>
          <w:tcPr>
            <w:tcW w:w="1012" w:type="dxa"/>
            <w:tcBorders>
              <w:top w:val="nil"/>
              <w:left w:val="nil"/>
              <w:bottom w:val="single" w:sz="4" w:space="0" w:color="auto"/>
              <w:right w:val="single" w:sz="4" w:space="0" w:color="auto"/>
            </w:tcBorders>
          </w:tcPr>
          <w:p w14:paraId="09ABE412" w14:textId="3EF04446" w:rsidR="00B83DD2" w:rsidRDefault="00B83DD2" w:rsidP="00B83DD2">
            <w:pPr>
              <w:jc w:val="right"/>
              <w:rPr>
                <w:rFonts w:cs="Arial"/>
              </w:rPr>
            </w:pPr>
            <w:r>
              <w:rPr>
                <w:rFonts w:cs="Arial"/>
              </w:rPr>
              <w:t>247</w:t>
            </w:r>
          </w:p>
        </w:tc>
        <w:tc>
          <w:tcPr>
            <w:tcW w:w="1012" w:type="dxa"/>
            <w:tcBorders>
              <w:top w:val="nil"/>
              <w:left w:val="nil"/>
              <w:bottom w:val="single" w:sz="4" w:space="0" w:color="auto"/>
              <w:right w:val="single" w:sz="4" w:space="0" w:color="auto"/>
            </w:tcBorders>
          </w:tcPr>
          <w:p w14:paraId="22592F14" w14:textId="5342C177" w:rsidR="00B83DD2" w:rsidRDefault="00B83DD2" w:rsidP="00B83DD2">
            <w:pPr>
              <w:jc w:val="right"/>
              <w:rPr>
                <w:rFonts w:cs="Arial"/>
              </w:rPr>
            </w:pPr>
            <w:r>
              <w:rPr>
                <w:rFonts w:cs="Arial"/>
              </w:rPr>
              <w:t>180</w:t>
            </w:r>
          </w:p>
        </w:tc>
      </w:tr>
      <w:tr w:rsidR="00B83DD2" w:rsidRPr="0093030B" w14:paraId="13849276"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268BA9FB" w14:textId="77777777" w:rsidR="00B83DD2" w:rsidRPr="0093030B" w:rsidRDefault="00B83DD2" w:rsidP="00B83DD2">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5704C013" w14:textId="70F95762" w:rsidR="00B83DD2" w:rsidRDefault="00B83DD2" w:rsidP="00B83DD2">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6C497416" w14:textId="4220736A" w:rsidR="00B83DD2" w:rsidRDefault="00B83DD2" w:rsidP="00B83DD2">
            <w:pPr>
              <w:jc w:val="right"/>
              <w:rPr>
                <w:rFonts w:cs="Arial"/>
              </w:rPr>
            </w:pPr>
            <w:r>
              <w:rPr>
                <w:rFonts w:cs="Arial"/>
              </w:rPr>
              <w:t>29</w:t>
            </w:r>
          </w:p>
        </w:tc>
        <w:tc>
          <w:tcPr>
            <w:tcW w:w="1012" w:type="dxa"/>
            <w:tcBorders>
              <w:top w:val="nil"/>
              <w:left w:val="nil"/>
              <w:bottom w:val="single" w:sz="4" w:space="0" w:color="auto"/>
              <w:right w:val="single" w:sz="4" w:space="0" w:color="auto"/>
            </w:tcBorders>
          </w:tcPr>
          <w:p w14:paraId="58F7725E" w14:textId="64557034" w:rsidR="00B83DD2" w:rsidRDefault="00B83DD2" w:rsidP="00B83DD2">
            <w:pPr>
              <w:jc w:val="right"/>
              <w:rPr>
                <w:rFonts w:cs="Arial"/>
              </w:rPr>
            </w:pPr>
            <w:r>
              <w:rPr>
                <w:rFonts w:cs="Arial"/>
              </w:rPr>
              <w:t>39</w:t>
            </w:r>
          </w:p>
        </w:tc>
        <w:tc>
          <w:tcPr>
            <w:tcW w:w="1012" w:type="dxa"/>
            <w:tcBorders>
              <w:top w:val="nil"/>
              <w:left w:val="nil"/>
              <w:bottom w:val="single" w:sz="4" w:space="0" w:color="auto"/>
              <w:right w:val="single" w:sz="4" w:space="0" w:color="auto"/>
            </w:tcBorders>
          </w:tcPr>
          <w:p w14:paraId="27EB5C16" w14:textId="6E5D893D" w:rsidR="00B83DD2" w:rsidRDefault="00B83DD2" w:rsidP="00B83DD2">
            <w:pPr>
              <w:jc w:val="right"/>
              <w:rPr>
                <w:rFonts w:cs="Arial"/>
              </w:rPr>
            </w:pPr>
            <w:r>
              <w:rPr>
                <w:rFonts w:cs="Arial"/>
              </w:rPr>
              <w:t>16</w:t>
            </w:r>
          </w:p>
        </w:tc>
        <w:tc>
          <w:tcPr>
            <w:tcW w:w="1012" w:type="dxa"/>
            <w:tcBorders>
              <w:top w:val="nil"/>
              <w:left w:val="nil"/>
              <w:bottom w:val="single" w:sz="4" w:space="0" w:color="auto"/>
              <w:right w:val="single" w:sz="4" w:space="0" w:color="auto"/>
            </w:tcBorders>
          </w:tcPr>
          <w:p w14:paraId="0B388CF7" w14:textId="2B20F42F" w:rsidR="00B83DD2" w:rsidRDefault="00B83DD2" w:rsidP="00B83DD2">
            <w:pPr>
              <w:jc w:val="right"/>
              <w:rPr>
                <w:rFonts w:cs="Arial"/>
              </w:rPr>
            </w:pPr>
            <w:r>
              <w:rPr>
                <w:rFonts w:cs="Arial"/>
              </w:rPr>
              <w:t>18</w:t>
            </w:r>
          </w:p>
        </w:tc>
      </w:tr>
      <w:tr w:rsidR="00B83DD2" w:rsidRPr="0093030B" w14:paraId="74674469"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5FF36B38" w14:textId="77777777" w:rsidR="00B83DD2" w:rsidRPr="0093030B" w:rsidRDefault="00B83DD2" w:rsidP="00B83DD2">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18651F95" w14:textId="268C781F" w:rsidR="00B83DD2" w:rsidRDefault="00B83DD2" w:rsidP="00B83DD2">
            <w:pPr>
              <w:jc w:val="right"/>
              <w:rPr>
                <w:rFonts w:cs="Arial"/>
              </w:rPr>
            </w:pPr>
            <w:r>
              <w:rPr>
                <w:rFonts w:cs="Arial"/>
              </w:rPr>
              <w:t>50</w:t>
            </w:r>
          </w:p>
        </w:tc>
        <w:tc>
          <w:tcPr>
            <w:tcW w:w="1012" w:type="dxa"/>
            <w:tcBorders>
              <w:top w:val="nil"/>
              <w:left w:val="nil"/>
              <w:bottom w:val="single" w:sz="4" w:space="0" w:color="auto"/>
              <w:right w:val="single" w:sz="4" w:space="0" w:color="auto"/>
            </w:tcBorders>
          </w:tcPr>
          <w:p w14:paraId="7A79619B" w14:textId="08E340BC" w:rsidR="00B83DD2" w:rsidRDefault="00B83DD2" w:rsidP="00B83DD2">
            <w:pPr>
              <w:jc w:val="right"/>
              <w:rPr>
                <w:rFonts w:cs="Arial"/>
              </w:rPr>
            </w:pPr>
            <w:r>
              <w:rPr>
                <w:rFonts w:cs="Arial"/>
              </w:rPr>
              <w:t>53</w:t>
            </w:r>
          </w:p>
        </w:tc>
        <w:tc>
          <w:tcPr>
            <w:tcW w:w="1012" w:type="dxa"/>
            <w:tcBorders>
              <w:top w:val="nil"/>
              <w:left w:val="nil"/>
              <w:bottom w:val="single" w:sz="4" w:space="0" w:color="auto"/>
              <w:right w:val="single" w:sz="4" w:space="0" w:color="auto"/>
            </w:tcBorders>
          </w:tcPr>
          <w:p w14:paraId="1DA26648" w14:textId="0B887812" w:rsidR="00B83DD2" w:rsidRDefault="00B83DD2" w:rsidP="00B83DD2">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7A3A8C14" w14:textId="0EF237DA" w:rsidR="00B83DD2" w:rsidRDefault="00B83DD2" w:rsidP="00B83DD2">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331CD6C0" w14:textId="22426AD0" w:rsidR="00B83DD2" w:rsidRDefault="00B83DD2" w:rsidP="00B83DD2">
            <w:pPr>
              <w:jc w:val="right"/>
              <w:rPr>
                <w:rFonts w:cs="Arial"/>
              </w:rPr>
            </w:pPr>
            <w:r>
              <w:rPr>
                <w:rFonts w:cs="Arial"/>
              </w:rPr>
              <w:t>56</w:t>
            </w:r>
          </w:p>
        </w:tc>
      </w:tr>
      <w:tr w:rsidR="00B83DD2" w:rsidRPr="0093030B" w14:paraId="53060384"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38B866FB" w14:textId="77777777" w:rsidR="00B83DD2" w:rsidRPr="0093030B" w:rsidRDefault="00B83DD2" w:rsidP="00B83DD2">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15538853" w14:textId="51AB0722" w:rsidR="00B83DD2" w:rsidRDefault="00B83DD2" w:rsidP="00B83DD2">
            <w:pPr>
              <w:jc w:val="right"/>
              <w:rPr>
                <w:rFonts w:cs="Arial"/>
              </w:rPr>
            </w:pPr>
            <w:r>
              <w:rPr>
                <w:rFonts w:cs="Arial"/>
              </w:rPr>
              <w:t>720</w:t>
            </w:r>
          </w:p>
        </w:tc>
        <w:tc>
          <w:tcPr>
            <w:tcW w:w="1012" w:type="dxa"/>
            <w:tcBorders>
              <w:top w:val="nil"/>
              <w:left w:val="nil"/>
              <w:bottom w:val="single" w:sz="4" w:space="0" w:color="auto"/>
              <w:right w:val="single" w:sz="4" w:space="0" w:color="auto"/>
            </w:tcBorders>
          </w:tcPr>
          <w:p w14:paraId="40A18329" w14:textId="394E7793" w:rsidR="00B83DD2" w:rsidRDefault="00B83DD2" w:rsidP="00B83DD2">
            <w:pPr>
              <w:jc w:val="right"/>
              <w:rPr>
                <w:rFonts w:cs="Arial"/>
              </w:rPr>
            </w:pPr>
            <w:r>
              <w:rPr>
                <w:rFonts w:cs="Arial"/>
              </w:rPr>
              <w:t>749</w:t>
            </w:r>
          </w:p>
        </w:tc>
        <w:tc>
          <w:tcPr>
            <w:tcW w:w="1012" w:type="dxa"/>
            <w:tcBorders>
              <w:top w:val="nil"/>
              <w:left w:val="nil"/>
              <w:bottom w:val="single" w:sz="4" w:space="0" w:color="auto"/>
              <w:right w:val="single" w:sz="4" w:space="0" w:color="auto"/>
            </w:tcBorders>
          </w:tcPr>
          <w:p w14:paraId="0F319FC7" w14:textId="57931FBB" w:rsidR="00B83DD2" w:rsidRDefault="00B83DD2" w:rsidP="00B83DD2">
            <w:pPr>
              <w:jc w:val="right"/>
              <w:rPr>
                <w:rFonts w:cs="Arial"/>
              </w:rPr>
            </w:pPr>
            <w:r>
              <w:rPr>
                <w:rFonts w:cs="Arial"/>
              </w:rPr>
              <w:t>732</w:t>
            </w:r>
          </w:p>
        </w:tc>
        <w:tc>
          <w:tcPr>
            <w:tcW w:w="1012" w:type="dxa"/>
            <w:tcBorders>
              <w:top w:val="nil"/>
              <w:left w:val="nil"/>
              <w:bottom w:val="single" w:sz="4" w:space="0" w:color="auto"/>
              <w:right w:val="single" w:sz="4" w:space="0" w:color="auto"/>
            </w:tcBorders>
          </w:tcPr>
          <w:p w14:paraId="7DCB4DA3" w14:textId="0E9D33E9" w:rsidR="00B83DD2" w:rsidRDefault="00B83DD2" w:rsidP="00B83DD2">
            <w:pPr>
              <w:jc w:val="right"/>
              <w:rPr>
                <w:rFonts w:cs="Arial"/>
              </w:rPr>
            </w:pPr>
            <w:r>
              <w:rPr>
                <w:rFonts w:cs="Arial"/>
              </w:rPr>
              <w:t>652</w:t>
            </w:r>
          </w:p>
        </w:tc>
        <w:tc>
          <w:tcPr>
            <w:tcW w:w="1012" w:type="dxa"/>
            <w:tcBorders>
              <w:top w:val="nil"/>
              <w:left w:val="nil"/>
              <w:bottom w:val="single" w:sz="4" w:space="0" w:color="auto"/>
              <w:right w:val="single" w:sz="4" w:space="0" w:color="auto"/>
            </w:tcBorders>
          </w:tcPr>
          <w:p w14:paraId="7B6E56D4" w14:textId="020C67F9" w:rsidR="00B83DD2" w:rsidRDefault="00B83DD2" w:rsidP="00B83DD2">
            <w:pPr>
              <w:jc w:val="right"/>
              <w:rPr>
                <w:rFonts w:cs="Arial"/>
              </w:rPr>
            </w:pPr>
            <w:r>
              <w:rPr>
                <w:rFonts w:cs="Arial"/>
              </w:rPr>
              <w:t>711</w:t>
            </w:r>
          </w:p>
        </w:tc>
      </w:tr>
      <w:tr w:rsidR="00B83DD2" w:rsidRPr="0093030B" w14:paraId="3FC02CD9"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28C1CC93" w14:textId="77777777" w:rsidR="00B83DD2" w:rsidRPr="0093030B" w:rsidRDefault="00B83DD2" w:rsidP="00B83DD2">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2DD1F347" w14:textId="23DA116F" w:rsidR="00B83DD2" w:rsidRDefault="00B83DD2" w:rsidP="00B83DD2">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6A6EB665" w14:textId="24EAB07D" w:rsidR="00B83DD2" w:rsidRDefault="00B83DD2" w:rsidP="00B83DD2">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34582519" w14:textId="33F3502B" w:rsidR="00B83DD2" w:rsidRDefault="00B83DD2" w:rsidP="00B83DD2">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3493F2D8" w14:textId="6748F2F9"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AD81C3D" w14:textId="04004ABD" w:rsidR="00B83DD2" w:rsidRDefault="00B83DD2" w:rsidP="00B83DD2">
            <w:pPr>
              <w:jc w:val="right"/>
              <w:rPr>
                <w:rFonts w:cs="Arial"/>
              </w:rPr>
            </w:pPr>
            <w:r>
              <w:rPr>
                <w:rFonts w:cs="Arial"/>
              </w:rPr>
              <w:t>2</w:t>
            </w:r>
          </w:p>
        </w:tc>
      </w:tr>
      <w:tr w:rsidR="00B83DD2" w:rsidRPr="0093030B" w14:paraId="0C95EAE5"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4A854EC2" w14:textId="77777777" w:rsidR="00B83DD2" w:rsidRPr="0093030B" w:rsidRDefault="00B83DD2" w:rsidP="00B83DD2">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772B3EB7" w14:textId="71EA5D58" w:rsidR="00B83DD2" w:rsidRDefault="00B83DD2" w:rsidP="00B83DD2">
            <w:pPr>
              <w:jc w:val="right"/>
              <w:rPr>
                <w:rFonts w:cs="Arial"/>
              </w:rPr>
            </w:pPr>
            <w:r>
              <w:rPr>
                <w:rFonts w:cs="Arial"/>
              </w:rPr>
              <w:t>77</w:t>
            </w:r>
          </w:p>
        </w:tc>
        <w:tc>
          <w:tcPr>
            <w:tcW w:w="1012" w:type="dxa"/>
            <w:tcBorders>
              <w:top w:val="nil"/>
              <w:left w:val="nil"/>
              <w:bottom w:val="single" w:sz="4" w:space="0" w:color="auto"/>
              <w:right w:val="single" w:sz="4" w:space="0" w:color="auto"/>
            </w:tcBorders>
          </w:tcPr>
          <w:p w14:paraId="5111F54E" w14:textId="302C6CB3" w:rsidR="00B83DD2" w:rsidRDefault="00B83DD2" w:rsidP="00B83DD2">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38FC90DF" w14:textId="0D6C0D74" w:rsidR="00B83DD2" w:rsidRDefault="00B83DD2" w:rsidP="00B83DD2">
            <w:pPr>
              <w:jc w:val="right"/>
              <w:rPr>
                <w:rFonts w:cs="Arial"/>
              </w:rPr>
            </w:pPr>
            <w:r>
              <w:rPr>
                <w:rFonts w:cs="Arial"/>
              </w:rPr>
              <w:t>55</w:t>
            </w:r>
          </w:p>
        </w:tc>
        <w:tc>
          <w:tcPr>
            <w:tcW w:w="1012" w:type="dxa"/>
            <w:tcBorders>
              <w:top w:val="nil"/>
              <w:left w:val="nil"/>
              <w:bottom w:val="single" w:sz="4" w:space="0" w:color="auto"/>
              <w:right w:val="single" w:sz="4" w:space="0" w:color="auto"/>
            </w:tcBorders>
          </w:tcPr>
          <w:p w14:paraId="4C4E8531" w14:textId="71D29036" w:rsidR="00B83DD2" w:rsidRDefault="00B83DD2" w:rsidP="00B83DD2">
            <w:pPr>
              <w:jc w:val="right"/>
              <w:rPr>
                <w:rFonts w:cs="Arial"/>
              </w:rPr>
            </w:pPr>
            <w:r>
              <w:rPr>
                <w:rFonts w:cs="Arial"/>
              </w:rPr>
              <w:t>53</w:t>
            </w:r>
          </w:p>
        </w:tc>
        <w:tc>
          <w:tcPr>
            <w:tcW w:w="1012" w:type="dxa"/>
            <w:tcBorders>
              <w:top w:val="nil"/>
              <w:left w:val="nil"/>
              <w:bottom w:val="single" w:sz="4" w:space="0" w:color="auto"/>
              <w:right w:val="single" w:sz="4" w:space="0" w:color="auto"/>
            </w:tcBorders>
          </w:tcPr>
          <w:p w14:paraId="7B587BE5" w14:textId="1F3269FA" w:rsidR="00B83DD2" w:rsidRDefault="00B83DD2" w:rsidP="00B83DD2">
            <w:pPr>
              <w:jc w:val="right"/>
              <w:rPr>
                <w:rFonts w:cs="Arial"/>
              </w:rPr>
            </w:pPr>
            <w:r>
              <w:rPr>
                <w:rFonts w:cs="Arial"/>
              </w:rPr>
              <w:t>41</w:t>
            </w:r>
          </w:p>
        </w:tc>
      </w:tr>
      <w:tr w:rsidR="00B83DD2" w:rsidRPr="0093030B" w14:paraId="728C327F"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6E60F97A" w14:textId="77777777" w:rsidR="00B83DD2" w:rsidRPr="0093030B" w:rsidRDefault="00B83DD2" w:rsidP="00B83DD2">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194FB68F" w14:textId="5247FEA0" w:rsidR="00B83DD2" w:rsidRDefault="00B83DD2" w:rsidP="00B83DD2">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221B3B88" w14:textId="30FC9565"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9C79100" w14:textId="37B51431" w:rsidR="00B83DD2" w:rsidRDefault="00B83DD2" w:rsidP="00B83DD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8125024" w14:textId="46732BA0" w:rsidR="00B83DD2" w:rsidRDefault="00B83DD2" w:rsidP="00B83DD2">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01995630" w14:textId="7F1680B4" w:rsidR="00B83DD2" w:rsidRDefault="00B83DD2" w:rsidP="00B83DD2">
            <w:pPr>
              <w:jc w:val="right"/>
              <w:rPr>
                <w:rFonts w:cs="Arial"/>
              </w:rPr>
            </w:pPr>
            <w:r>
              <w:rPr>
                <w:rFonts w:cs="Arial"/>
              </w:rPr>
              <w:t>6</w:t>
            </w:r>
          </w:p>
        </w:tc>
      </w:tr>
      <w:tr w:rsidR="00B83DD2" w:rsidRPr="0093030B" w14:paraId="6C55217F" w14:textId="77777777" w:rsidTr="006E46CB">
        <w:trPr>
          <w:trHeight w:val="255"/>
        </w:trPr>
        <w:tc>
          <w:tcPr>
            <w:tcW w:w="3460" w:type="dxa"/>
            <w:tcBorders>
              <w:top w:val="nil"/>
              <w:left w:val="single" w:sz="4" w:space="0" w:color="auto"/>
              <w:bottom w:val="single" w:sz="4" w:space="0" w:color="auto"/>
              <w:right w:val="single" w:sz="4" w:space="0" w:color="auto"/>
            </w:tcBorders>
            <w:noWrap/>
            <w:hideMark/>
          </w:tcPr>
          <w:p w14:paraId="077A21C9" w14:textId="77777777" w:rsidR="00B83DD2" w:rsidRPr="0093030B" w:rsidRDefault="00B83DD2" w:rsidP="00B83DD2">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736ECD65" w14:textId="5B411D34" w:rsidR="00B83DD2" w:rsidRDefault="00B83DD2" w:rsidP="00B83DD2">
            <w:pPr>
              <w:jc w:val="right"/>
              <w:rPr>
                <w:rFonts w:cs="Arial"/>
                <w:b/>
                <w:bCs/>
              </w:rPr>
            </w:pPr>
            <w:r>
              <w:rPr>
                <w:rFonts w:cs="Arial"/>
                <w:b/>
                <w:bCs/>
              </w:rPr>
              <w:t>1280</w:t>
            </w:r>
          </w:p>
        </w:tc>
        <w:tc>
          <w:tcPr>
            <w:tcW w:w="1012" w:type="dxa"/>
            <w:tcBorders>
              <w:top w:val="nil"/>
              <w:left w:val="nil"/>
              <w:bottom w:val="single" w:sz="4" w:space="0" w:color="auto"/>
              <w:right w:val="single" w:sz="4" w:space="0" w:color="auto"/>
            </w:tcBorders>
          </w:tcPr>
          <w:p w14:paraId="7CCA906D" w14:textId="5E77C5DF" w:rsidR="00B83DD2" w:rsidRDefault="00B83DD2" w:rsidP="00B83DD2">
            <w:pPr>
              <w:jc w:val="right"/>
              <w:rPr>
                <w:rFonts w:cs="Arial"/>
                <w:b/>
                <w:bCs/>
              </w:rPr>
            </w:pPr>
            <w:r>
              <w:rPr>
                <w:rFonts w:cs="Arial"/>
                <w:b/>
                <w:bCs/>
              </w:rPr>
              <w:t>1225</w:t>
            </w:r>
          </w:p>
        </w:tc>
        <w:tc>
          <w:tcPr>
            <w:tcW w:w="1012" w:type="dxa"/>
            <w:tcBorders>
              <w:top w:val="nil"/>
              <w:left w:val="nil"/>
              <w:bottom w:val="single" w:sz="4" w:space="0" w:color="auto"/>
              <w:right w:val="single" w:sz="4" w:space="0" w:color="auto"/>
            </w:tcBorders>
          </w:tcPr>
          <w:p w14:paraId="0213A5CE" w14:textId="6CFC18F3" w:rsidR="00B83DD2" w:rsidRDefault="00B83DD2" w:rsidP="00B83DD2">
            <w:pPr>
              <w:jc w:val="right"/>
              <w:rPr>
                <w:rFonts w:cs="Arial"/>
                <w:b/>
                <w:bCs/>
              </w:rPr>
            </w:pPr>
            <w:r>
              <w:rPr>
                <w:rFonts w:cs="Arial"/>
                <w:b/>
                <w:bCs/>
              </w:rPr>
              <w:t>1173</w:t>
            </w:r>
          </w:p>
        </w:tc>
        <w:tc>
          <w:tcPr>
            <w:tcW w:w="1012" w:type="dxa"/>
            <w:tcBorders>
              <w:top w:val="nil"/>
              <w:left w:val="nil"/>
              <w:bottom w:val="single" w:sz="4" w:space="0" w:color="auto"/>
              <w:right w:val="single" w:sz="4" w:space="0" w:color="auto"/>
            </w:tcBorders>
          </w:tcPr>
          <w:p w14:paraId="46CC7B38" w14:textId="68EBA0A3" w:rsidR="00B83DD2" w:rsidRDefault="00B83DD2" w:rsidP="00B83DD2">
            <w:pPr>
              <w:jc w:val="right"/>
              <w:rPr>
                <w:rFonts w:cs="Arial"/>
                <w:b/>
                <w:bCs/>
              </w:rPr>
            </w:pPr>
            <w:r>
              <w:rPr>
                <w:rFonts w:cs="Arial"/>
                <w:b/>
                <w:bCs/>
              </w:rPr>
              <w:t>1077</w:t>
            </w:r>
          </w:p>
        </w:tc>
        <w:tc>
          <w:tcPr>
            <w:tcW w:w="1012" w:type="dxa"/>
            <w:tcBorders>
              <w:top w:val="nil"/>
              <w:left w:val="nil"/>
              <w:bottom w:val="single" w:sz="4" w:space="0" w:color="auto"/>
              <w:right w:val="single" w:sz="4" w:space="0" w:color="auto"/>
            </w:tcBorders>
          </w:tcPr>
          <w:p w14:paraId="2D9FF3B5" w14:textId="1D547E17" w:rsidR="00B83DD2" w:rsidRDefault="00B83DD2" w:rsidP="00B83DD2">
            <w:pPr>
              <w:jc w:val="right"/>
              <w:rPr>
                <w:rFonts w:cs="Arial"/>
                <w:b/>
                <w:bCs/>
              </w:rPr>
            </w:pPr>
            <w:r>
              <w:rPr>
                <w:rFonts w:cs="Arial"/>
                <w:b/>
                <w:bCs/>
              </w:rPr>
              <w:t>1120</w:t>
            </w:r>
          </w:p>
        </w:tc>
      </w:tr>
      <w:bookmarkEnd w:id="17"/>
    </w:tbl>
    <w:p w14:paraId="18F2EE90" w14:textId="77777777" w:rsidR="00ED0FBA" w:rsidRPr="0071779E" w:rsidRDefault="00ED0FBA" w:rsidP="00ED0FBA">
      <w:pPr>
        <w:ind w:left="-142" w:right="-425"/>
        <w:jc w:val="both"/>
        <w:rPr>
          <w:rFonts w:cs="Arial"/>
        </w:rPr>
      </w:pPr>
    </w:p>
    <w:p w14:paraId="3AB6D3AB" w14:textId="54CC31BB" w:rsidR="00ED0FBA" w:rsidRDefault="00ED0FBA" w:rsidP="00ED0FBA">
      <w:pPr>
        <w:ind w:left="-142" w:right="-425"/>
        <w:rPr>
          <w:rFonts w:cs="Arial"/>
          <w:sz w:val="16"/>
          <w:szCs w:val="16"/>
        </w:rPr>
      </w:pPr>
      <w:r>
        <w:rPr>
          <w:rFonts w:cs="Arial"/>
          <w:b/>
          <w:sz w:val="16"/>
          <w:szCs w:val="16"/>
        </w:rPr>
        <w:t>Table 11</w:t>
      </w:r>
      <w:r w:rsidRPr="00860212">
        <w:rPr>
          <w:rFonts w:cs="Arial"/>
          <w:b/>
          <w:sz w:val="16"/>
          <w:szCs w:val="16"/>
        </w:rPr>
        <w:t xml:space="preserve">: </w:t>
      </w:r>
      <w:r>
        <w:rPr>
          <w:rFonts w:cs="Arial"/>
          <w:sz w:val="16"/>
          <w:szCs w:val="16"/>
        </w:rPr>
        <w:t>Notices i</w:t>
      </w:r>
      <w:r w:rsidRPr="00D24CB4">
        <w:rPr>
          <w:rFonts w:cs="Arial"/>
          <w:sz w:val="16"/>
          <w:szCs w:val="16"/>
        </w:rPr>
        <w:t>n jurisdiction</w:t>
      </w:r>
      <w:r>
        <w:rPr>
          <w:rFonts w:cs="Arial"/>
          <w:b/>
          <w:sz w:val="16"/>
          <w:szCs w:val="16"/>
        </w:rPr>
        <w:t xml:space="preserve"> </w:t>
      </w:r>
      <w:r w:rsidRPr="00901D09">
        <w:rPr>
          <w:rFonts w:cs="Arial"/>
          <w:sz w:val="16"/>
          <w:szCs w:val="16"/>
        </w:rPr>
        <w:t xml:space="preserve">by community and quarter </w:t>
      </w:r>
      <w:r>
        <w:rPr>
          <w:rFonts w:cs="Arial"/>
          <w:sz w:val="16"/>
          <w:szCs w:val="16"/>
        </w:rPr>
        <w:t xml:space="preserve">1 </w:t>
      </w:r>
      <w:r>
        <w:rPr>
          <w:bCs/>
          <w:sz w:val="16"/>
          <w:szCs w:val="16"/>
        </w:rPr>
        <w:t>April</w:t>
      </w:r>
      <w:r w:rsidRPr="0071779E">
        <w:rPr>
          <w:bCs/>
          <w:sz w:val="16"/>
          <w:szCs w:val="16"/>
        </w:rPr>
        <w:t xml:space="preserve"> 202</w:t>
      </w:r>
      <w:r>
        <w:rPr>
          <w:bCs/>
          <w:sz w:val="16"/>
          <w:szCs w:val="16"/>
        </w:rPr>
        <w:t>4</w:t>
      </w:r>
      <w:r w:rsidRPr="0071779E">
        <w:rPr>
          <w:bCs/>
          <w:sz w:val="16"/>
          <w:szCs w:val="16"/>
        </w:rPr>
        <w:t xml:space="preserve"> to 3</w:t>
      </w:r>
      <w:r>
        <w:rPr>
          <w:bCs/>
          <w:sz w:val="16"/>
          <w:szCs w:val="16"/>
        </w:rPr>
        <w:t xml:space="preserve">0 June </w:t>
      </w:r>
      <w:r w:rsidRPr="0071779E">
        <w:rPr>
          <w:bCs/>
          <w:sz w:val="16"/>
          <w:szCs w:val="16"/>
        </w:rPr>
        <w:t>202</w:t>
      </w:r>
      <w:r>
        <w:rPr>
          <w:bCs/>
          <w:sz w:val="16"/>
          <w:szCs w:val="16"/>
        </w:rPr>
        <w:t>5</w:t>
      </w:r>
    </w:p>
    <w:p w14:paraId="12E31A4B" w14:textId="77777777" w:rsidR="00ED0FBA" w:rsidRDefault="00ED0FBA" w:rsidP="00ED0FBA">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960D3D" w:rsidRPr="0093030B" w14:paraId="464AAD6E" w14:textId="77777777" w:rsidTr="006E46CB">
        <w:trPr>
          <w:trHeight w:val="480"/>
        </w:trPr>
        <w:tc>
          <w:tcPr>
            <w:tcW w:w="3460" w:type="dxa"/>
            <w:tcBorders>
              <w:top w:val="single" w:sz="4" w:space="0" w:color="auto"/>
              <w:left w:val="single" w:sz="4" w:space="0" w:color="auto"/>
              <w:bottom w:val="single" w:sz="4" w:space="0" w:color="auto"/>
              <w:right w:val="single" w:sz="4" w:space="0" w:color="auto"/>
            </w:tcBorders>
            <w:hideMark/>
          </w:tcPr>
          <w:p w14:paraId="2D747A8D" w14:textId="77777777" w:rsidR="00960D3D" w:rsidRPr="0093030B" w:rsidRDefault="00960D3D" w:rsidP="00960D3D">
            <w:pPr>
              <w:pStyle w:val="TableText"/>
              <w:ind w:left="49"/>
              <w:rPr>
                <w:b/>
                <w:lang w:eastAsia="en-AU"/>
              </w:rPr>
            </w:pPr>
            <w:bookmarkStart w:id="18"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688E3BC0" w14:textId="08435B88" w:rsidR="00960D3D" w:rsidRDefault="00960D3D" w:rsidP="00960D3D">
            <w:pPr>
              <w:pStyle w:val="TableText"/>
              <w:jc w:val="right"/>
              <w:rPr>
                <w:b/>
                <w:lang w:eastAsia="en-AU"/>
              </w:rPr>
            </w:pPr>
            <w:r>
              <w:rPr>
                <w:rFonts w:cs="Arial"/>
                <w:b/>
                <w:bCs/>
              </w:rPr>
              <w:t>Qtr 64</w:t>
            </w:r>
          </w:p>
        </w:tc>
        <w:tc>
          <w:tcPr>
            <w:tcW w:w="1012" w:type="dxa"/>
            <w:tcBorders>
              <w:top w:val="single" w:sz="4" w:space="0" w:color="auto"/>
              <w:left w:val="nil"/>
              <w:bottom w:val="single" w:sz="4" w:space="0" w:color="auto"/>
              <w:right w:val="single" w:sz="4" w:space="0" w:color="auto"/>
            </w:tcBorders>
          </w:tcPr>
          <w:p w14:paraId="33972E5C" w14:textId="7B5085DD" w:rsidR="00960D3D" w:rsidRDefault="00960D3D" w:rsidP="00960D3D">
            <w:pPr>
              <w:pStyle w:val="TableText"/>
              <w:jc w:val="right"/>
              <w:rPr>
                <w:b/>
                <w:lang w:eastAsia="en-AU"/>
              </w:rPr>
            </w:pPr>
            <w:r>
              <w:rPr>
                <w:rFonts w:cs="Arial"/>
                <w:b/>
                <w:bCs/>
              </w:rPr>
              <w:t>Qtr 65</w:t>
            </w:r>
          </w:p>
        </w:tc>
        <w:tc>
          <w:tcPr>
            <w:tcW w:w="1012" w:type="dxa"/>
            <w:tcBorders>
              <w:top w:val="single" w:sz="4" w:space="0" w:color="auto"/>
              <w:left w:val="nil"/>
              <w:bottom w:val="single" w:sz="4" w:space="0" w:color="auto"/>
              <w:right w:val="single" w:sz="4" w:space="0" w:color="auto"/>
            </w:tcBorders>
          </w:tcPr>
          <w:p w14:paraId="49DA51B1" w14:textId="5419B06F" w:rsidR="00960D3D" w:rsidRDefault="00960D3D" w:rsidP="00960D3D">
            <w:pPr>
              <w:pStyle w:val="TableText"/>
              <w:jc w:val="right"/>
              <w:rPr>
                <w:b/>
                <w:lang w:eastAsia="en-AU"/>
              </w:rPr>
            </w:pPr>
            <w:r>
              <w:rPr>
                <w:rFonts w:cs="Arial"/>
                <w:b/>
                <w:bCs/>
              </w:rPr>
              <w:t>Qtr 66</w:t>
            </w:r>
          </w:p>
        </w:tc>
        <w:tc>
          <w:tcPr>
            <w:tcW w:w="1012" w:type="dxa"/>
            <w:tcBorders>
              <w:top w:val="single" w:sz="4" w:space="0" w:color="auto"/>
              <w:left w:val="nil"/>
              <w:bottom w:val="single" w:sz="4" w:space="0" w:color="auto"/>
              <w:right w:val="single" w:sz="4" w:space="0" w:color="auto"/>
            </w:tcBorders>
          </w:tcPr>
          <w:p w14:paraId="577CDE13" w14:textId="243DF994" w:rsidR="00960D3D" w:rsidRDefault="00960D3D" w:rsidP="00960D3D">
            <w:pPr>
              <w:pStyle w:val="TableText"/>
              <w:jc w:val="right"/>
              <w:rPr>
                <w:b/>
                <w:lang w:eastAsia="en-AU"/>
              </w:rPr>
            </w:pPr>
            <w:r>
              <w:rPr>
                <w:rFonts w:cs="Arial"/>
                <w:b/>
                <w:bCs/>
              </w:rPr>
              <w:t>Qtr 67</w:t>
            </w:r>
          </w:p>
        </w:tc>
        <w:tc>
          <w:tcPr>
            <w:tcW w:w="1012" w:type="dxa"/>
            <w:tcBorders>
              <w:top w:val="single" w:sz="4" w:space="0" w:color="auto"/>
              <w:left w:val="nil"/>
              <w:bottom w:val="single" w:sz="4" w:space="0" w:color="auto"/>
              <w:right w:val="single" w:sz="4" w:space="0" w:color="auto"/>
            </w:tcBorders>
          </w:tcPr>
          <w:p w14:paraId="6C605285" w14:textId="3715A1BD" w:rsidR="00960D3D" w:rsidRDefault="00960D3D" w:rsidP="00960D3D">
            <w:pPr>
              <w:pStyle w:val="TableText"/>
              <w:jc w:val="right"/>
              <w:rPr>
                <w:rFonts w:cs="Arial"/>
                <w:b/>
                <w:bCs/>
              </w:rPr>
            </w:pPr>
            <w:r>
              <w:rPr>
                <w:rFonts w:cs="Arial"/>
                <w:b/>
                <w:bCs/>
              </w:rPr>
              <w:t>Qtr 6</w:t>
            </w:r>
            <w:r>
              <w:rPr>
                <w:rFonts w:cs="Arial"/>
                <w:b/>
                <w:bCs/>
              </w:rPr>
              <w:t>8</w:t>
            </w:r>
          </w:p>
        </w:tc>
      </w:tr>
      <w:tr w:rsidR="00B83DD2" w:rsidRPr="0093030B" w14:paraId="528722DA"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39EC2B34" w14:textId="77777777" w:rsidR="00B83DD2" w:rsidRPr="0093030B" w:rsidRDefault="00B83DD2" w:rsidP="00B83DD2">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3442465A" w14:textId="23AD7748" w:rsidR="00B83DD2" w:rsidRDefault="00B83DD2" w:rsidP="00B83DD2">
            <w:pPr>
              <w:jc w:val="right"/>
              <w:rPr>
                <w:rFonts w:cs="Arial"/>
              </w:rPr>
            </w:pPr>
            <w:r>
              <w:rPr>
                <w:rFonts w:cs="Arial"/>
              </w:rPr>
              <w:t>634</w:t>
            </w:r>
          </w:p>
        </w:tc>
        <w:tc>
          <w:tcPr>
            <w:tcW w:w="1012" w:type="dxa"/>
            <w:tcBorders>
              <w:top w:val="nil"/>
              <w:left w:val="nil"/>
              <w:bottom w:val="single" w:sz="4" w:space="0" w:color="auto"/>
              <w:right w:val="single" w:sz="4" w:space="0" w:color="auto"/>
            </w:tcBorders>
          </w:tcPr>
          <w:p w14:paraId="6D91CA14" w14:textId="4C31F18F" w:rsidR="00B83DD2" w:rsidRDefault="00B83DD2" w:rsidP="00B83DD2">
            <w:pPr>
              <w:jc w:val="right"/>
              <w:rPr>
                <w:rFonts w:cs="Arial"/>
              </w:rPr>
            </w:pPr>
            <w:r>
              <w:rPr>
                <w:rFonts w:cs="Arial"/>
              </w:rPr>
              <w:t>514</w:t>
            </w:r>
          </w:p>
        </w:tc>
        <w:tc>
          <w:tcPr>
            <w:tcW w:w="1012" w:type="dxa"/>
            <w:tcBorders>
              <w:top w:val="nil"/>
              <w:left w:val="nil"/>
              <w:bottom w:val="single" w:sz="4" w:space="0" w:color="auto"/>
              <w:right w:val="single" w:sz="4" w:space="0" w:color="auto"/>
            </w:tcBorders>
          </w:tcPr>
          <w:p w14:paraId="0D0243E0" w14:textId="0D6BE525" w:rsidR="00B83DD2" w:rsidRDefault="00B83DD2" w:rsidP="00B83DD2">
            <w:pPr>
              <w:jc w:val="right"/>
              <w:rPr>
                <w:rFonts w:cs="Arial"/>
              </w:rPr>
            </w:pPr>
            <w:r>
              <w:rPr>
                <w:rFonts w:cs="Arial"/>
              </w:rPr>
              <w:t>506</w:t>
            </w:r>
          </w:p>
        </w:tc>
        <w:tc>
          <w:tcPr>
            <w:tcW w:w="1012" w:type="dxa"/>
            <w:tcBorders>
              <w:top w:val="nil"/>
              <w:left w:val="nil"/>
              <w:bottom w:val="single" w:sz="4" w:space="0" w:color="auto"/>
              <w:right w:val="single" w:sz="4" w:space="0" w:color="auto"/>
            </w:tcBorders>
          </w:tcPr>
          <w:p w14:paraId="2AF29D5A" w14:textId="34E8C3BB" w:rsidR="00B83DD2" w:rsidRDefault="00B83DD2" w:rsidP="00B83DD2">
            <w:pPr>
              <w:jc w:val="right"/>
              <w:rPr>
                <w:rFonts w:cs="Arial"/>
              </w:rPr>
            </w:pPr>
            <w:r>
              <w:rPr>
                <w:rFonts w:cs="Arial"/>
              </w:rPr>
              <w:t>418</w:t>
            </w:r>
          </w:p>
        </w:tc>
        <w:tc>
          <w:tcPr>
            <w:tcW w:w="1012" w:type="dxa"/>
            <w:tcBorders>
              <w:top w:val="nil"/>
              <w:left w:val="nil"/>
              <w:bottom w:val="single" w:sz="4" w:space="0" w:color="auto"/>
              <w:right w:val="single" w:sz="4" w:space="0" w:color="auto"/>
            </w:tcBorders>
          </w:tcPr>
          <w:p w14:paraId="388B4948" w14:textId="26B4D5AF" w:rsidR="00B83DD2" w:rsidRDefault="00B83DD2" w:rsidP="00B83DD2">
            <w:pPr>
              <w:jc w:val="right"/>
              <w:rPr>
                <w:rFonts w:cs="Arial"/>
              </w:rPr>
            </w:pPr>
            <w:r>
              <w:rPr>
                <w:rFonts w:cs="Arial"/>
              </w:rPr>
              <w:t>459</w:t>
            </w:r>
          </w:p>
        </w:tc>
      </w:tr>
      <w:tr w:rsidR="00B83DD2" w:rsidRPr="0093030B" w14:paraId="2027D7B5"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2550DAEA" w14:textId="77777777" w:rsidR="00B83DD2" w:rsidRPr="0093030B" w:rsidRDefault="00B83DD2" w:rsidP="00B83DD2">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29EB150E" w14:textId="68AAA90D" w:rsidR="00B83DD2" w:rsidRDefault="00B83DD2" w:rsidP="00B83DD2">
            <w:pPr>
              <w:jc w:val="right"/>
              <w:rPr>
                <w:rFonts w:cs="Arial"/>
              </w:rPr>
            </w:pPr>
            <w:r>
              <w:rPr>
                <w:rFonts w:cs="Arial"/>
              </w:rPr>
              <w:t>26</w:t>
            </w:r>
          </w:p>
        </w:tc>
        <w:tc>
          <w:tcPr>
            <w:tcW w:w="1012" w:type="dxa"/>
            <w:tcBorders>
              <w:top w:val="nil"/>
              <w:left w:val="nil"/>
              <w:bottom w:val="single" w:sz="4" w:space="0" w:color="auto"/>
              <w:right w:val="single" w:sz="4" w:space="0" w:color="auto"/>
            </w:tcBorders>
          </w:tcPr>
          <w:p w14:paraId="3A938FF4" w14:textId="6679E861" w:rsidR="00B83DD2" w:rsidRDefault="00B83DD2" w:rsidP="00B83DD2">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4A0663A0" w14:textId="13BC640B" w:rsidR="00B83DD2" w:rsidRDefault="00B83DD2" w:rsidP="00B83DD2">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7228BEBF" w14:textId="41EAC563" w:rsidR="00B83DD2" w:rsidRDefault="00B83DD2" w:rsidP="00B83DD2">
            <w:pPr>
              <w:jc w:val="right"/>
              <w:rPr>
                <w:rFonts w:cs="Arial"/>
              </w:rPr>
            </w:pPr>
            <w:r>
              <w:rPr>
                <w:rFonts w:cs="Arial"/>
              </w:rPr>
              <w:t>87</w:t>
            </w:r>
          </w:p>
        </w:tc>
        <w:tc>
          <w:tcPr>
            <w:tcW w:w="1012" w:type="dxa"/>
            <w:tcBorders>
              <w:top w:val="nil"/>
              <w:left w:val="nil"/>
              <w:bottom w:val="single" w:sz="4" w:space="0" w:color="auto"/>
              <w:right w:val="single" w:sz="4" w:space="0" w:color="auto"/>
            </w:tcBorders>
          </w:tcPr>
          <w:p w14:paraId="202AAC7C" w14:textId="140F672F" w:rsidR="00B83DD2" w:rsidRDefault="00B83DD2" w:rsidP="00B83DD2">
            <w:pPr>
              <w:jc w:val="right"/>
              <w:rPr>
                <w:rFonts w:cs="Arial"/>
              </w:rPr>
            </w:pPr>
            <w:r>
              <w:rPr>
                <w:rFonts w:cs="Arial"/>
              </w:rPr>
              <w:t>28</w:t>
            </w:r>
          </w:p>
        </w:tc>
      </w:tr>
      <w:tr w:rsidR="00B83DD2" w:rsidRPr="0093030B" w14:paraId="0B8592B7"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338AF93F" w14:textId="77777777" w:rsidR="00B83DD2" w:rsidRPr="0093030B" w:rsidRDefault="00B83DD2" w:rsidP="00B83DD2">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7588AC17" w14:textId="1FD1B252" w:rsidR="00B83DD2" w:rsidRDefault="00B83DD2" w:rsidP="00B83DD2">
            <w:pPr>
              <w:jc w:val="right"/>
              <w:rPr>
                <w:rFonts w:cs="Arial"/>
              </w:rPr>
            </w:pPr>
            <w:r>
              <w:rPr>
                <w:rFonts w:cs="Arial"/>
              </w:rPr>
              <w:t>361</w:t>
            </w:r>
          </w:p>
        </w:tc>
        <w:tc>
          <w:tcPr>
            <w:tcW w:w="1012" w:type="dxa"/>
            <w:tcBorders>
              <w:top w:val="nil"/>
              <w:left w:val="nil"/>
              <w:bottom w:val="single" w:sz="4" w:space="0" w:color="auto"/>
              <w:right w:val="single" w:sz="4" w:space="0" w:color="auto"/>
            </w:tcBorders>
          </w:tcPr>
          <w:p w14:paraId="173EF621" w14:textId="459C0CC9" w:rsidR="00B83DD2" w:rsidRDefault="00B83DD2" w:rsidP="00B83DD2">
            <w:pPr>
              <w:jc w:val="right"/>
              <w:rPr>
                <w:rFonts w:cs="Arial"/>
              </w:rPr>
            </w:pPr>
            <w:r>
              <w:rPr>
                <w:rFonts w:cs="Arial"/>
              </w:rPr>
              <w:t>358</w:t>
            </w:r>
          </w:p>
        </w:tc>
        <w:tc>
          <w:tcPr>
            <w:tcW w:w="1012" w:type="dxa"/>
            <w:tcBorders>
              <w:top w:val="nil"/>
              <w:left w:val="nil"/>
              <w:bottom w:val="single" w:sz="4" w:space="0" w:color="auto"/>
              <w:right w:val="single" w:sz="4" w:space="0" w:color="auto"/>
            </w:tcBorders>
          </w:tcPr>
          <w:p w14:paraId="6575088F" w14:textId="2A829307" w:rsidR="00B83DD2" w:rsidRDefault="00B83DD2" w:rsidP="00B83DD2">
            <w:pPr>
              <w:jc w:val="right"/>
              <w:rPr>
                <w:rFonts w:cs="Arial"/>
              </w:rPr>
            </w:pPr>
            <w:r>
              <w:rPr>
                <w:rFonts w:cs="Arial"/>
              </w:rPr>
              <w:t>351</w:t>
            </w:r>
          </w:p>
        </w:tc>
        <w:tc>
          <w:tcPr>
            <w:tcW w:w="1012" w:type="dxa"/>
            <w:tcBorders>
              <w:top w:val="nil"/>
              <w:left w:val="nil"/>
              <w:bottom w:val="single" w:sz="4" w:space="0" w:color="auto"/>
              <w:right w:val="single" w:sz="4" w:space="0" w:color="auto"/>
            </w:tcBorders>
          </w:tcPr>
          <w:p w14:paraId="55D6351B" w14:textId="70789B61" w:rsidR="00B83DD2" w:rsidRDefault="00B83DD2" w:rsidP="00B83DD2">
            <w:pPr>
              <w:jc w:val="right"/>
              <w:rPr>
                <w:rFonts w:cs="Arial"/>
              </w:rPr>
            </w:pPr>
            <w:r>
              <w:rPr>
                <w:rFonts w:cs="Arial"/>
              </w:rPr>
              <w:t>324</w:t>
            </w:r>
          </w:p>
        </w:tc>
        <w:tc>
          <w:tcPr>
            <w:tcW w:w="1012" w:type="dxa"/>
            <w:tcBorders>
              <w:top w:val="nil"/>
              <w:left w:val="nil"/>
              <w:bottom w:val="single" w:sz="4" w:space="0" w:color="auto"/>
              <w:right w:val="single" w:sz="4" w:space="0" w:color="auto"/>
            </w:tcBorders>
          </w:tcPr>
          <w:p w14:paraId="15C040E0" w14:textId="5A3A1127" w:rsidR="00B83DD2" w:rsidRDefault="00B83DD2" w:rsidP="00B83DD2">
            <w:pPr>
              <w:jc w:val="right"/>
              <w:rPr>
                <w:rFonts w:cs="Arial"/>
              </w:rPr>
            </w:pPr>
            <w:r>
              <w:rPr>
                <w:rFonts w:cs="Arial"/>
              </w:rPr>
              <w:t>350</w:t>
            </w:r>
          </w:p>
        </w:tc>
      </w:tr>
      <w:tr w:rsidR="00B83DD2" w:rsidRPr="0093030B" w14:paraId="15376712"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tcPr>
          <w:p w14:paraId="1E5A38F2" w14:textId="77777777" w:rsidR="00B83DD2" w:rsidRPr="0093030B" w:rsidRDefault="00B83DD2" w:rsidP="00B83DD2">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064753D0" w14:textId="05A9DA6D" w:rsidR="00B83DD2" w:rsidRDefault="00B83DD2" w:rsidP="00B83DD2">
            <w:pPr>
              <w:jc w:val="right"/>
              <w:rPr>
                <w:rFonts w:cs="Arial"/>
              </w:rPr>
            </w:pPr>
            <w:r>
              <w:rPr>
                <w:rFonts w:cs="Arial"/>
              </w:rPr>
              <w:t>213</w:t>
            </w:r>
          </w:p>
        </w:tc>
        <w:tc>
          <w:tcPr>
            <w:tcW w:w="1012" w:type="dxa"/>
            <w:tcBorders>
              <w:top w:val="nil"/>
              <w:left w:val="nil"/>
              <w:bottom w:val="single" w:sz="4" w:space="0" w:color="auto"/>
              <w:right w:val="single" w:sz="4" w:space="0" w:color="auto"/>
            </w:tcBorders>
          </w:tcPr>
          <w:p w14:paraId="7967195E" w14:textId="42D2B2FB" w:rsidR="00B83DD2" w:rsidRDefault="00B83DD2" w:rsidP="00B83DD2">
            <w:pPr>
              <w:jc w:val="right"/>
              <w:rPr>
                <w:rFonts w:cs="Arial"/>
              </w:rPr>
            </w:pPr>
            <w:r>
              <w:rPr>
                <w:rFonts w:cs="Arial"/>
              </w:rPr>
              <w:t>259</w:t>
            </w:r>
          </w:p>
        </w:tc>
        <w:tc>
          <w:tcPr>
            <w:tcW w:w="1012" w:type="dxa"/>
            <w:tcBorders>
              <w:top w:val="nil"/>
              <w:left w:val="nil"/>
              <w:bottom w:val="single" w:sz="4" w:space="0" w:color="auto"/>
              <w:right w:val="single" w:sz="4" w:space="0" w:color="auto"/>
            </w:tcBorders>
          </w:tcPr>
          <w:p w14:paraId="03451DF1" w14:textId="4A133550" w:rsidR="00B83DD2" w:rsidRDefault="00B83DD2" w:rsidP="00B83DD2">
            <w:pPr>
              <w:jc w:val="right"/>
              <w:rPr>
                <w:rFonts w:cs="Arial"/>
              </w:rPr>
            </w:pPr>
            <w:r>
              <w:rPr>
                <w:rFonts w:cs="Arial"/>
              </w:rPr>
              <w:t>225</w:t>
            </w:r>
          </w:p>
        </w:tc>
        <w:tc>
          <w:tcPr>
            <w:tcW w:w="1012" w:type="dxa"/>
            <w:tcBorders>
              <w:top w:val="nil"/>
              <w:left w:val="nil"/>
              <w:bottom w:val="single" w:sz="4" w:space="0" w:color="auto"/>
              <w:right w:val="single" w:sz="4" w:space="0" w:color="auto"/>
            </w:tcBorders>
          </w:tcPr>
          <w:p w14:paraId="0D9A6485" w14:textId="04E6EDD4" w:rsidR="00B83DD2" w:rsidRDefault="00B83DD2" w:rsidP="00B83DD2">
            <w:pPr>
              <w:jc w:val="right"/>
              <w:rPr>
                <w:rFonts w:cs="Arial"/>
              </w:rPr>
            </w:pPr>
            <w:r>
              <w:rPr>
                <w:rFonts w:cs="Arial"/>
              </w:rPr>
              <w:t>207</w:t>
            </w:r>
          </w:p>
        </w:tc>
        <w:tc>
          <w:tcPr>
            <w:tcW w:w="1012" w:type="dxa"/>
            <w:tcBorders>
              <w:top w:val="nil"/>
              <w:left w:val="nil"/>
              <w:bottom w:val="single" w:sz="4" w:space="0" w:color="auto"/>
              <w:right w:val="single" w:sz="4" w:space="0" w:color="auto"/>
            </w:tcBorders>
          </w:tcPr>
          <w:p w14:paraId="770EFE1C" w14:textId="1CAA3E6D" w:rsidR="00B83DD2" w:rsidRDefault="00B83DD2" w:rsidP="00B83DD2">
            <w:pPr>
              <w:jc w:val="right"/>
              <w:rPr>
                <w:rFonts w:cs="Arial"/>
              </w:rPr>
            </w:pPr>
            <w:r>
              <w:rPr>
                <w:rFonts w:cs="Arial"/>
              </w:rPr>
              <w:t>222</w:t>
            </w:r>
          </w:p>
        </w:tc>
      </w:tr>
      <w:tr w:rsidR="00B83DD2" w:rsidRPr="0093030B" w14:paraId="0A7DA40C" w14:textId="77777777" w:rsidTr="006E46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0979CA6D" w14:textId="77777777" w:rsidR="00B83DD2" w:rsidRPr="0093030B" w:rsidRDefault="00B83DD2" w:rsidP="00B83DD2">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20576382" w14:textId="3B80560B" w:rsidR="00B83DD2" w:rsidRDefault="00B83DD2" w:rsidP="00B83DD2">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539136A3" w14:textId="37223133" w:rsidR="00B83DD2" w:rsidRDefault="00B83DD2" w:rsidP="00B83DD2">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04E9DED7" w14:textId="130F8948" w:rsidR="00B83DD2" w:rsidRDefault="00B83DD2" w:rsidP="00B83DD2">
            <w:pPr>
              <w:jc w:val="right"/>
              <w:rPr>
                <w:rFonts w:cs="Arial"/>
              </w:rPr>
            </w:pPr>
            <w:r>
              <w:rPr>
                <w:rFonts w:cs="Arial"/>
              </w:rPr>
              <w:t>50</w:t>
            </w:r>
          </w:p>
        </w:tc>
        <w:tc>
          <w:tcPr>
            <w:tcW w:w="1012" w:type="dxa"/>
            <w:tcBorders>
              <w:top w:val="nil"/>
              <w:left w:val="nil"/>
              <w:bottom w:val="single" w:sz="4" w:space="0" w:color="auto"/>
              <w:right w:val="single" w:sz="4" w:space="0" w:color="auto"/>
            </w:tcBorders>
          </w:tcPr>
          <w:p w14:paraId="1B16867F" w14:textId="15BE3096" w:rsidR="00B83DD2" w:rsidRDefault="00B83DD2" w:rsidP="00B83DD2">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4A3265F1" w14:textId="3A5C66CE" w:rsidR="00B83DD2" w:rsidRDefault="00B83DD2" w:rsidP="00B83DD2">
            <w:pPr>
              <w:jc w:val="right"/>
              <w:rPr>
                <w:rFonts w:cs="Arial"/>
              </w:rPr>
            </w:pPr>
            <w:r>
              <w:rPr>
                <w:rFonts w:cs="Arial"/>
              </w:rPr>
              <w:t>61</w:t>
            </w:r>
          </w:p>
        </w:tc>
      </w:tr>
      <w:tr w:rsidR="00B83DD2" w:rsidRPr="0093030B" w14:paraId="2687B65E" w14:textId="77777777" w:rsidTr="006E46CB">
        <w:trPr>
          <w:trHeight w:val="255"/>
        </w:trPr>
        <w:tc>
          <w:tcPr>
            <w:tcW w:w="3460" w:type="dxa"/>
            <w:tcBorders>
              <w:top w:val="nil"/>
              <w:left w:val="single" w:sz="4" w:space="0" w:color="auto"/>
              <w:bottom w:val="single" w:sz="4" w:space="0" w:color="auto"/>
              <w:right w:val="single" w:sz="4" w:space="0" w:color="auto"/>
            </w:tcBorders>
            <w:noWrap/>
            <w:hideMark/>
          </w:tcPr>
          <w:p w14:paraId="110B1D81" w14:textId="77777777" w:rsidR="00B83DD2" w:rsidRPr="0093030B" w:rsidRDefault="00B83DD2" w:rsidP="00B83DD2">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727799BA" w14:textId="7D95CBCD" w:rsidR="00B83DD2" w:rsidRDefault="00B83DD2" w:rsidP="00B83DD2">
            <w:pPr>
              <w:jc w:val="right"/>
              <w:rPr>
                <w:rFonts w:cs="Arial"/>
                <w:b/>
                <w:bCs/>
              </w:rPr>
            </w:pPr>
            <w:r>
              <w:rPr>
                <w:rFonts w:cs="Arial"/>
                <w:b/>
                <w:bCs/>
              </w:rPr>
              <w:t>1280</w:t>
            </w:r>
          </w:p>
        </w:tc>
        <w:tc>
          <w:tcPr>
            <w:tcW w:w="1012" w:type="dxa"/>
            <w:tcBorders>
              <w:top w:val="nil"/>
              <w:left w:val="nil"/>
              <w:bottom w:val="single" w:sz="4" w:space="0" w:color="auto"/>
              <w:right w:val="single" w:sz="4" w:space="0" w:color="auto"/>
            </w:tcBorders>
          </w:tcPr>
          <w:p w14:paraId="715179CA" w14:textId="1F4C88BB" w:rsidR="00B83DD2" w:rsidRDefault="00B83DD2" w:rsidP="00B83DD2">
            <w:pPr>
              <w:jc w:val="right"/>
              <w:rPr>
                <w:rFonts w:cs="Arial"/>
                <w:b/>
                <w:bCs/>
              </w:rPr>
            </w:pPr>
            <w:r>
              <w:rPr>
                <w:rFonts w:cs="Arial"/>
                <w:b/>
                <w:bCs/>
              </w:rPr>
              <w:t>1225</w:t>
            </w:r>
          </w:p>
        </w:tc>
        <w:tc>
          <w:tcPr>
            <w:tcW w:w="1012" w:type="dxa"/>
            <w:tcBorders>
              <w:top w:val="nil"/>
              <w:left w:val="nil"/>
              <w:bottom w:val="single" w:sz="4" w:space="0" w:color="auto"/>
              <w:right w:val="single" w:sz="4" w:space="0" w:color="auto"/>
            </w:tcBorders>
          </w:tcPr>
          <w:p w14:paraId="5DBA3916" w14:textId="117A7832" w:rsidR="00B83DD2" w:rsidRDefault="00B83DD2" w:rsidP="00B83DD2">
            <w:pPr>
              <w:jc w:val="right"/>
              <w:rPr>
                <w:rFonts w:cs="Arial"/>
                <w:b/>
                <w:bCs/>
              </w:rPr>
            </w:pPr>
            <w:r>
              <w:rPr>
                <w:rFonts w:cs="Arial"/>
                <w:b/>
                <w:bCs/>
              </w:rPr>
              <w:t>1173</w:t>
            </w:r>
          </w:p>
        </w:tc>
        <w:tc>
          <w:tcPr>
            <w:tcW w:w="1012" w:type="dxa"/>
            <w:tcBorders>
              <w:top w:val="nil"/>
              <w:left w:val="nil"/>
              <w:bottom w:val="single" w:sz="4" w:space="0" w:color="auto"/>
              <w:right w:val="single" w:sz="4" w:space="0" w:color="auto"/>
            </w:tcBorders>
          </w:tcPr>
          <w:p w14:paraId="4C2CE0D3" w14:textId="1F7E07DA" w:rsidR="00B83DD2" w:rsidRDefault="00B83DD2" w:rsidP="00B83DD2">
            <w:pPr>
              <w:jc w:val="right"/>
              <w:rPr>
                <w:rFonts w:cs="Arial"/>
                <w:b/>
                <w:bCs/>
              </w:rPr>
            </w:pPr>
            <w:r>
              <w:rPr>
                <w:rFonts w:cs="Arial"/>
                <w:b/>
                <w:bCs/>
              </w:rPr>
              <w:t>1077</w:t>
            </w:r>
          </w:p>
        </w:tc>
        <w:tc>
          <w:tcPr>
            <w:tcW w:w="1012" w:type="dxa"/>
            <w:tcBorders>
              <w:top w:val="nil"/>
              <w:left w:val="nil"/>
              <w:bottom w:val="single" w:sz="4" w:space="0" w:color="auto"/>
              <w:right w:val="single" w:sz="4" w:space="0" w:color="auto"/>
            </w:tcBorders>
          </w:tcPr>
          <w:p w14:paraId="70B9E4B4" w14:textId="05E0C302" w:rsidR="00B83DD2" w:rsidRDefault="00B83DD2" w:rsidP="00B83DD2">
            <w:pPr>
              <w:jc w:val="right"/>
              <w:rPr>
                <w:rFonts w:cs="Arial"/>
                <w:b/>
                <w:bCs/>
              </w:rPr>
            </w:pPr>
            <w:r>
              <w:rPr>
                <w:rFonts w:cs="Arial"/>
                <w:b/>
                <w:bCs/>
              </w:rPr>
              <w:t>1120</w:t>
            </w:r>
          </w:p>
        </w:tc>
      </w:tr>
      <w:bookmarkEnd w:id="18"/>
    </w:tbl>
    <w:p w14:paraId="11FF95F7" w14:textId="77777777" w:rsidR="00ED0FBA" w:rsidRDefault="00ED0FBA" w:rsidP="005A5B78">
      <w:pPr>
        <w:ind w:left="-142" w:right="-425"/>
        <w:jc w:val="both"/>
        <w:rPr>
          <w:rFonts w:cs="Arial"/>
        </w:rPr>
      </w:pPr>
    </w:p>
    <w:p w14:paraId="17828798" w14:textId="4618A0DD" w:rsidR="00623001" w:rsidRPr="00C04C81" w:rsidRDefault="00351892" w:rsidP="00351892">
      <w:pPr>
        <w:ind w:left="-142" w:right="-425"/>
        <w:jc w:val="both"/>
        <w:rPr>
          <w:rFonts w:cs="Arial"/>
          <w:b/>
          <w:bCs/>
        </w:rPr>
      </w:pPr>
      <w:r w:rsidRPr="00C4332D">
        <w:rPr>
          <w:rFonts w:cs="Arial"/>
          <w:b/>
          <w:bCs/>
        </w:rPr>
        <w:t>Notices received by the Commission which were unable to be accessed for jurisdiction</w:t>
      </w:r>
    </w:p>
    <w:p w14:paraId="6C2D4221" w14:textId="360351E9" w:rsidR="009859DB" w:rsidRDefault="00A3452D" w:rsidP="001656BF">
      <w:pPr>
        <w:ind w:left="-142" w:right="-425"/>
        <w:jc w:val="both"/>
      </w:pPr>
      <w:r>
        <w:t xml:space="preserve">The </w:t>
      </w:r>
      <w:r w:rsidR="004C054F">
        <w:t>Commission</w:t>
      </w:r>
      <w:r>
        <w:t xml:space="preserve"> received </w:t>
      </w:r>
      <w:r w:rsidR="004F72CB">
        <w:t xml:space="preserve">eight </w:t>
      </w:r>
      <w:r>
        <w:t>Childrens Court notice</w:t>
      </w:r>
      <w:r w:rsidR="007D1311">
        <w:t>s</w:t>
      </w:r>
      <w:r>
        <w:t xml:space="preserve"> </w:t>
      </w:r>
      <w:r w:rsidR="00351892">
        <w:t>that</w:t>
      </w:r>
      <w:r>
        <w:t xml:space="preserve"> could not be assessed for jurisdiction due to a lack of parent information recorded by the Court</w:t>
      </w:r>
      <w:r w:rsidR="00351892">
        <w:t xml:space="preserve">. </w:t>
      </w:r>
      <w:r w:rsidR="003A16A7">
        <w:t xml:space="preserve">The </w:t>
      </w:r>
      <w:r w:rsidR="001656BF">
        <w:t>Commission</w:t>
      </w:r>
      <w:r w:rsidR="00351892">
        <w:t xml:space="preserve"> was unable </w:t>
      </w:r>
      <w:r>
        <w:t xml:space="preserve">to generate a Services Australia Personal Information Disclosure (PID) for </w:t>
      </w:r>
      <w:r w:rsidR="003A16A7">
        <w:t xml:space="preserve">the </w:t>
      </w:r>
      <w:r>
        <w:t>child record (</w:t>
      </w:r>
      <w:r w:rsidR="003A16A7">
        <w:t xml:space="preserve">as they were </w:t>
      </w:r>
      <w:r>
        <w:t>under 16 and not receiving a welfare payment).</w:t>
      </w:r>
    </w:p>
    <w:p w14:paraId="7FEE4D49" w14:textId="77777777" w:rsidR="00B361A6" w:rsidRDefault="00B361A6" w:rsidP="001656BF">
      <w:pPr>
        <w:ind w:left="-142" w:right="-425"/>
        <w:jc w:val="both"/>
        <w:rPr>
          <w:rFonts w:cs="Arial"/>
          <w:bCs/>
        </w:rPr>
      </w:pPr>
    </w:p>
    <w:p w14:paraId="5D53EAA0" w14:textId="249BA64A" w:rsidR="005A5B78" w:rsidRPr="00143FBB" w:rsidRDefault="005A5B78" w:rsidP="00C41210">
      <w:pPr>
        <w:pStyle w:val="Heading2"/>
      </w:pPr>
      <w:r w:rsidRPr="00143FBB">
        <w:t>Conferences</w:t>
      </w:r>
    </w:p>
    <w:p w14:paraId="775CD6DC" w14:textId="7F87A1C3" w:rsidR="00DD1B0A" w:rsidRDefault="001C4411" w:rsidP="00CB1032">
      <w:pPr>
        <w:ind w:left="-142" w:right="-425"/>
        <w:jc w:val="both"/>
      </w:pPr>
      <w:r>
        <w:rPr>
          <w:rFonts w:cs="Arial"/>
        </w:rPr>
        <w:t xml:space="preserve">In quarter </w:t>
      </w:r>
      <w:r w:rsidR="00EF7EFC">
        <w:rPr>
          <w:rFonts w:cs="Arial"/>
        </w:rPr>
        <w:t>68</w:t>
      </w:r>
      <w:r w:rsidR="00362DE8">
        <w:rPr>
          <w:rFonts w:cs="Arial"/>
        </w:rPr>
        <w:t xml:space="preserve"> </w:t>
      </w:r>
      <w:r w:rsidR="004F72CB">
        <w:rPr>
          <w:rFonts w:cs="Arial"/>
        </w:rPr>
        <w:t xml:space="preserve">241 </w:t>
      </w:r>
      <w:r w:rsidRPr="00213E4C">
        <w:rPr>
          <w:rFonts w:cs="Arial"/>
        </w:rPr>
        <w:t>conferences</w:t>
      </w:r>
      <w:r w:rsidRPr="0081647B">
        <w:rPr>
          <w:rStyle w:val="FootnoteReference"/>
        </w:rPr>
        <w:footnoteReference w:id="9"/>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603C65">
        <w:rPr>
          <w:rFonts w:cs="Arial"/>
        </w:rPr>
        <w:t>1</w:t>
      </w:r>
      <w:r w:rsidR="004F72CB">
        <w:rPr>
          <w:rFonts w:cs="Arial"/>
        </w:rPr>
        <w:t>93</w:t>
      </w:r>
      <w:r w:rsidR="00603C65">
        <w:rPr>
          <w:rFonts w:cs="Arial"/>
        </w:rPr>
        <w:t xml:space="preserve">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4F72CB">
        <w:t xml:space="preserve">increased </w:t>
      </w:r>
      <w:r w:rsidR="00803D0A">
        <w:t xml:space="preserve">from </w:t>
      </w:r>
      <w:r w:rsidR="004F72CB">
        <w:t>59.2</w:t>
      </w:r>
      <w:r w:rsidR="00DD36DF">
        <w:rPr>
          <w:rFonts w:cs="Arial"/>
        </w:rPr>
        <w:t>%</w:t>
      </w:r>
      <w:r w:rsidR="00FC7C1D">
        <w:rPr>
          <w:rFonts w:cs="Arial"/>
        </w:rPr>
        <w:t xml:space="preserve"> </w:t>
      </w:r>
      <w:r w:rsidR="00803D0A">
        <w:t xml:space="preserve">in quarter </w:t>
      </w:r>
      <w:r w:rsidR="008E6F77">
        <w:t>67</w:t>
      </w:r>
      <w:r w:rsidR="00CB7115">
        <w:t xml:space="preserve"> </w:t>
      </w:r>
      <w:r w:rsidR="00803D0A">
        <w:t xml:space="preserve">to </w:t>
      </w:r>
      <w:r w:rsidR="004F72CB">
        <w:t>68.9</w:t>
      </w:r>
      <w:r w:rsidR="00DD36DF">
        <w:rPr>
          <w:rFonts w:cs="Arial"/>
        </w:rPr>
        <w:t>%</w:t>
      </w:r>
      <w:r w:rsidR="00FC7C1D">
        <w:rPr>
          <w:rFonts w:cs="Arial"/>
        </w:rPr>
        <w:t xml:space="preserve"> </w:t>
      </w:r>
      <w:r w:rsidR="00803D0A">
        <w:t xml:space="preserve">in quarter </w:t>
      </w:r>
      <w:r w:rsidR="00EF7EFC">
        <w:t>68</w:t>
      </w:r>
      <w:r w:rsidR="008637A3">
        <w:t>.</w:t>
      </w:r>
    </w:p>
    <w:p w14:paraId="3D58187E" w14:textId="77777777" w:rsidR="004D5B34" w:rsidRDefault="004D5B34" w:rsidP="00CB1032">
      <w:pPr>
        <w:ind w:left="-142" w:right="-425"/>
        <w:jc w:val="both"/>
        <w:rPr>
          <w:rFonts w:cs="Arial"/>
        </w:rPr>
      </w:pPr>
    </w:p>
    <w:p w14:paraId="3A7BC7F0" w14:textId="2DB4A22A" w:rsidR="000F7A65" w:rsidRDefault="000F7A65" w:rsidP="000F7A65">
      <w:pPr>
        <w:ind w:left="-142" w:right="-425"/>
        <w:rPr>
          <w:rFonts w:cs="Arial"/>
          <w:sz w:val="16"/>
          <w:szCs w:val="16"/>
        </w:rPr>
      </w:pPr>
      <w:r>
        <w:rPr>
          <w:rFonts w:cs="Arial"/>
          <w:b/>
          <w:sz w:val="16"/>
          <w:szCs w:val="16"/>
        </w:rPr>
        <w:t>Table 12</w:t>
      </w:r>
      <w:r w:rsidRPr="00122C57">
        <w:rPr>
          <w:rFonts w:cs="Arial"/>
          <w:b/>
          <w:sz w:val="16"/>
          <w:szCs w:val="16"/>
        </w:rPr>
        <w:t>:</w:t>
      </w:r>
      <w:r w:rsidRPr="00122C57">
        <w:rPr>
          <w:rFonts w:cs="Arial"/>
          <w:sz w:val="16"/>
          <w:szCs w:val="16"/>
        </w:rPr>
        <w:t xml:space="preserve"> Conferences by community and quarter </w:t>
      </w:r>
      <w:r>
        <w:rPr>
          <w:rFonts w:cs="Arial"/>
          <w:sz w:val="16"/>
          <w:szCs w:val="16"/>
        </w:rPr>
        <w:t xml:space="preserve">1 </w:t>
      </w:r>
      <w:r>
        <w:rPr>
          <w:bCs/>
          <w:sz w:val="16"/>
          <w:szCs w:val="16"/>
        </w:rPr>
        <w:t>April</w:t>
      </w:r>
      <w:r w:rsidRPr="0071779E">
        <w:rPr>
          <w:bCs/>
          <w:sz w:val="16"/>
          <w:szCs w:val="16"/>
        </w:rPr>
        <w:t xml:space="preserve"> 202</w:t>
      </w:r>
      <w:r>
        <w:rPr>
          <w:bCs/>
          <w:sz w:val="16"/>
          <w:szCs w:val="16"/>
        </w:rPr>
        <w:t>4</w:t>
      </w:r>
      <w:r w:rsidRPr="0071779E">
        <w:rPr>
          <w:bCs/>
          <w:sz w:val="16"/>
          <w:szCs w:val="16"/>
        </w:rPr>
        <w:t xml:space="preserve"> to 3</w:t>
      </w:r>
      <w:r>
        <w:rPr>
          <w:bCs/>
          <w:sz w:val="16"/>
          <w:szCs w:val="16"/>
        </w:rPr>
        <w:t xml:space="preserve">0 June </w:t>
      </w:r>
      <w:r w:rsidRPr="0071779E">
        <w:rPr>
          <w:bCs/>
          <w:sz w:val="16"/>
          <w:szCs w:val="16"/>
        </w:rPr>
        <w:t>202</w:t>
      </w:r>
      <w:r>
        <w:rPr>
          <w:bCs/>
          <w:sz w:val="16"/>
          <w:szCs w:val="16"/>
        </w:rPr>
        <w:t>5</w:t>
      </w:r>
    </w:p>
    <w:p w14:paraId="39B22338" w14:textId="77777777" w:rsidR="000F7A65" w:rsidRPr="0071779E" w:rsidRDefault="000F7A65" w:rsidP="000F7A65">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0F7A65" w:rsidRPr="00C5395B" w14:paraId="4F53B81D" w14:textId="77777777" w:rsidTr="006E46CB">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01FDFDCE" w14:textId="77777777" w:rsidR="000F7A65" w:rsidRPr="00C5395B" w:rsidRDefault="000F7A65" w:rsidP="000F7A65">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07FE6EE1" w14:textId="1F3F8927" w:rsidR="000F7A65" w:rsidRDefault="000F7A65" w:rsidP="000F7A65">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46F05334" w14:textId="5915C0EA" w:rsidR="000F7A65" w:rsidRDefault="000F7A65" w:rsidP="000F7A65">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0CB4DBD5" w14:textId="5B66DE82" w:rsidR="000F7A65" w:rsidRDefault="000F7A65" w:rsidP="000F7A65">
            <w:pPr>
              <w:pStyle w:val="TableText"/>
              <w:jc w:val="right"/>
              <w:rPr>
                <w:b/>
                <w:lang w:eastAsia="en-AU"/>
              </w:rPr>
            </w:pPr>
            <w:r w:rsidRPr="00BA518C">
              <w:rPr>
                <w:b/>
                <w:lang w:eastAsia="en-AU"/>
              </w:rPr>
              <w:t>Qtr 6</w:t>
            </w:r>
            <w:r>
              <w:rPr>
                <w:b/>
                <w:lang w:eastAsia="en-AU"/>
              </w:rPr>
              <w:t>6</w:t>
            </w:r>
          </w:p>
        </w:tc>
        <w:tc>
          <w:tcPr>
            <w:tcW w:w="960" w:type="dxa"/>
            <w:tcBorders>
              <w:top w:val="single" w:sz="4" w:space="0" w:color="auto"/>
              <w:left w:val="nil"/>
              <w:bottom w:val="single" w:sz="4" w:space="0" w:color="auto"/>
              <w:right w:val="single" w:sz="4" w:space="0" w:color="auto"/>
            </w:tcBorders>
          </w:tcPr>
          <w:p w14:paraId="11623ECB" w14:textId="1C5E1299" w:rsidR="000F7A65" w:rsidRDefault="000F7A65" w:rsidP="000F7A65">
            <w:pPr>
              <w:pStyle w:val="TableText"/>
              <w:jc w:val="right"/>
              <w:rPr>
                <w:b/>
                <w:lang w:eastAsia="en-AU"/>
              </w:rPr>
            </w:pPr>
            <w:r w:rsidRPr="00BA518C">
              <w:rPr>
                <w:b/>
                <w:lang w:eastAsia="en-AU"/>
              </w:rPr>
              <w:t>Qtr 6</w:t>
            </w:r>
            <w:r>
              <w:rPr>
                <w:b/>
                <w:lang w:eastAsia="en-AU"/>
              </w:rPr>
              <w:t>7</w:t>
            </w:r>
          </w:p>
        </w:tc>
        <w:tc>
          <w:tcPr>
            <w:tcW w:w="960" w:type="dxa"/>
            <w:tcBorders>
              <w:top w:val="single" w:sz="4" w:space="0" w:color="auto"/>
              <w:left w:val="nil"/>
              <w:bottom w:val="single" w:sz="4" w:space="0" w:color="auto"/>
              <w:right w:val="single" w:sz="4" w:space="0" w:color="auto"/>
            </w:tcBorders>
          </w:tcPr>
          <w:p w14:paraId="010F9F02" w14:textId="0460D5BD" w:rsidR="000F7A65" w:rsidRPr="00BA518C" w:rsidRDefault="000F7A65" w:rsidP="000F7A65">
            <w:pPr>
              <w:pStyle w:val="TableText"/>
              <w:jc w:val="right"/>
              <w:rPr>
                <w:b/>
                <w:lang w:eastAsia="en-AU"/>
              </w:rPr>
            </w:pPr>
            <w:r w:rsidRPr="00BA518C">
              <w:rPr>
                <w:b/>
                <w:lang w:eastAsia="en-AU"/>
              </w:rPr>
              <w:t>Qtr 6</w:t>
            </w:r>
            <w:r>
              <w:rPr>
                <w:b/>
                <w:lang w:eastAsia="en-AU"/>
              </w:rPr>
              <w:t>8</w:t>
            </w:r>
          </w:p>
        </w:tc>
      </w:tr>
      <w:tr w:rsidR="00A33914" w:rsidRPr="00C5395B" w14:paraId="031A40BE" w14:textId="77777777" w:rsidTr="006E46CB">
        <w:trPr>
          <w:trHeight w:val="255"/>
        </w:trPr>
        <w:tc>
          <w:tcPr>
            <w:tcW w:w="2080" w:type="dxa"/>
            <w:tcBorders>
              <w:top w:val="nil"/>
              <w:left w:val="single" w:sz="4" w:space="0" w:color="auto"/>
              <w:bottom w:val="single" w:sz="4" w:space="0" w:color="auto"/>
              <w:right w:val="single" w:sz="4" w:space="0" w:color="auto"/>
            </w:tcBorders>
            <w:noWrap/>
            <w:hideMark/>
          </w:tcPr>
          <w:p w14:paraId="59CB06B4" w14:textId="77777777" w:rsidR="00A33914" w:rsidRPr="00C5395B" w:rsidRDefault="00A33914" w:rsidP="00A33914">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CCD0859" w14:textId="69180417" w:rsidR="00A33914" w:rsidRDefault="00A33914" w:rsidP="00A33914">
            <w:pPr>
              <w:jc w:val="right"/>
              <w:rPr>
                <w:rFonts w:cs="Arial"/>
              </w:rPr>
            </w:pPr>
            <w:r>
              <w:rPr>
                <w:rFonts w:cs="Arial"/>
              </w:rPr>
              <w:t>85</w:t>
            </w:r>
          </w:p>
        </w:tc>
        <w:tc>
          <w:tcPr>
            <w:tcW w:w="960" w:type="dxa"/>
            <w:tcBorders>
              <w:top w:val="nil"/>
              <w:left w:val="nil"/>
              <w:bottom w:val="single" w:sz="4" w:space="0" w:color="auto"/>
              <w:right w:val="single" w:sz="4" w:space="0" w:color="auto"/>
            </w:tcBorders>
          </w:tcPr>
          <w:p w14:paraId="40C619D2" w14:textId="1BD3EDC1" w:rsidR="00A33914" w:rsidRDefault="00A33914" w:rsidP="00A33914">
            <w:pPr>
              <w:jc w:val="right"/>
              <w:rPr>
                <w:rFonts w:cs="Arial"/>
              </w:rPr>
            </w:pPr>
            <w:r>
              <w:rPr>
                <w:rFonts w:cs="Arial"/>
              </w:rPr>
              <w:t>64</w:t>
            </w:r>
          </w:p>
        </w:tc>
        <w:tc>
          <w:tcPr>
            <w:tcW w:w="960" w:type="dxa"/>
            <w:tcBorders>
              <w:top w:val="nil"/>
              <w:left w:val="nil"/>
              <w:bottom w:val="single" w:sz="4" w:space="0" w:color="auto"/>
              <w:right w:val="single" w:sz="4" w:space="0" w:color="auto"/>
            </w:tcBorders>
          </w:tcPr>
          <w:p w14:paraId="0AD95ED1" w14:textId="49C72431" w:rsidR="00A33914" w:rsidRDefault="00A33914" w:rsidP="00A33914">
            <w:pPr>
              <w:jc w:val="right"/>
              <w:rPr>
                <w:rFonts w:cs="Arial"/>
              </w:rPr>
            </w:pPr>
            <w:r>
              <w:rPr>
                <w:rFonts w:cs="Arial"/>
              </w:rPr>
              <w:t>70</w:t>
            </w:r>
          </w:p>
        </w:tc>
        <w:tc>
          <w:tcPr>
            <w:tcW w:w="960" w:type="dxa"/>
            <w:tcBorders>
              <w:top w:val="nil"/>
              <w:left w:val="nil"/>
              <w:bottom w:val="single" w:sz="4" w:space="0" w:color="auto"/>
              <w:right w:val="single" w:sz="4" w:space="0" w:color="auto"/>
            </w:tcBorders>
          </w:tcPr>
          <w:p w14:paraId="50171D04" w14:textId="3E1B287C" w:rsidR="00A33914" w:rsidRDefault="00A33914" w:rsidP="00A33914">
            <w:pPr>
              <w:jc w:val="right"/>
              <w:rPr>
                <w:rFonts w:cs="Arial"/>
              </w:rPr>
            </w:pPr>
            <w:r>
              <w:rPr>
                <w:rFonts w:cs="Arial"/>
              </w:rPr>
              <w:t>39</w:t>
            </w:r>
          </w:p>
        </w:tc>
        <w:tc>
          <w:tcPr>
            <w:tcW w:w="960" w:type="dxa"/>
            <w:tcBorders>
              <w:top w:val="nil"/>
              <w:left w:val="nil"/>
              <w:bottom w:val="single" w:sz="4" w:space="0" w:color="auto"/>
              <w:right w:val="single" w:sz="4" w:space="0" w:color="auto"/>
            </w:tcBorders>
          </w:tcPr>
          <w:p w14:paraId="21C0F8EC" w14:textId="45287C6B" w:rsidR="00A33914" w:rsidRDefault="00A33914" w:rsidP="00A33914">
            <w:pPr>
              <w:jc w:val="right"/>
              <w:rPr>
                <w:rFonts w:cs="Arial"/>
              </w:rPr>
            </w:pPr>
            <w:r>
              <w:rPr>
                <w:rFonts w:cs="Arial"/>
              </w:rPr>
              <w:t>92</w:t>
            </w:r>
          </w:p>
        </w:tc>
      </w:tr>
      <w:tr w:rsidR="00A33914" w:rsidRPr="00C5395B" w14:paraId="72E998F8" w14:textId="77777777" w:rsidTr="006E46CB">
        <w:trPr>
          <w:trHeight w:val="255"/>
        </w:trPr>
        <w:tc>
          <w:tcPr>
            <w:tcW w:w="2080" w:type="dxa"/>
            <w:tcBorders>
              <w:top w:val="nil"/>
              <w:left w:val="single" w:sz="4" w:space="0" w:color="auto"/>
              <w:bottom w:val="single" w:sz="4" w:space="0" w:color="auto"/>
              <w:right w:val="single" w:sz="4" w:space="0" w:color="auto"/>
            </w:tcBorders>
            <w:noWrap/>
            <w:hideMark/>
          </w:tcPr>
          <w:p w14:paraId="213265AF" w14:textId="77777777" w:rsidR="00A33914" w:rsidRPr="00C5395B" w:rsidRDefault="00A33914" w:rsidP="00A33914">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573A7F2" w14:textId="48916B15" w:rsidR="00A33914" w:rsidRDefault="00A33914" w:rsidP="00A33914">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60FEB053" w14:textId="7DA65439" w:rsidR="00A33914" w:rsidRDefault="00A33914" w:rsidP="00A33914">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25BF4FF3" w14:textId="454B84AF" w:rsidR="00A33914" w:rsidRDefault="00A33914" w:rsidP="00A33914">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376AD10E" w14:textId="68A30D67" w:rsidR="00A33914" w:rsidRDefault="00A33914" w:rsidP="00A33914">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17E2CD45" w14:textId="749875FD" w:rsidR="00A33914" w:rsidRDefault="00A33914" w:rsidP="00A33914">
            <w:pPr>
              <w:jc w:val="right"/>
              <w:rPr>
                <w:rFonts w:cs="Arial"/>
              </w:rPr>
            </w:pPr>
            <w:r>
              <w:rPr>
                <w:rFonts w:cs="Arial"/>
              </w:rPr>
              <w:t>4</w:t>
            </w:r>
          </w:p>
        </w:tc>
      </w:tr>
      <w:tr w:rsidR="00A33914" w:rsidRPr="00C5395B" w14:paraId="3AB30CD1" w14:textId="77777777" w:rsidTr="006E46CB">
        <w:trPr>
          <w:trHeight w:val="255"/>
        </w:trPr>
        <w:tc>
          <w:tcPr>
            <w:tcW w:w="2080" w:type="dxa"/>
            <w:tcBorders>
              <w:top w:val="nil"/>
              <w:left w:val="single" w:sz="4" w:space="0" w:color="auto"/>
              <w:bottom w:val="single" w:sz="4" w:space="0" w:color="auto"/>
              <w:right w:val="single" w:sz="4" w:space="0" w:color="auto"/>
            </w:tcBorders>
            <w:noWrap/>
          </w:tcPr>
          <w:p w14:paraId="069E582F" w14:textId="77777777" w:rsidR="00A33914" w:rsidRPr="00C5395B" w:rsidRDefault="00A33914" w:rsidP="00A33914">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03A9C0BF" w14:textId="6771BA5D" w:rsidR="00A33914" w:rsidRDefault="00A33914" w:rsidP="00A33914">
            <w:pPr>
              <w:jc w:val="right"/>
              <w:rPr>
                <w:rFonts w:cs="Arial"/>
              </w:rPr>
            </w:pPr>
            <w:r>
              <w:rPr>
                <w:rFonts w:cs="Arial"/>
              </w:rPr>
              <w:t>74</w:t>
            </w:r>
          </w:p>
        </w:tc>
        <w:tc>
          <w:tcPr>
            <w:tcW w:w="960" w:type="dxa"/>
            <w:tcBorders>
              <w:top w:val="nil"/>
              <w:left w:val="nil"/>
              <w:bottom w:val="single" w:sz="4" w:space="0" w:color="auto"/>
              <w:right w:val="single" w:sz="4" w:space="0" w:color="auto"/>
            </w:tcBorders>
          </w:tcPr>
          <w:p w14:paraId="2253FF4F" w14:textId="6685EA6D" w:rsidR="00A33914" w:rsidRDefault="00A33914" w:rsidP="00A33914">
            <w:pPr>
              <w:jc w:val="right"/>
              <w:rPr>
                <w:rFonts w:cs="Arial"/>
              </w:rPr>
            </w:pPr>
            <w:r>
              <w:rPr>
                <w:rFonts w:cs="Arial"/>
              </w:rPr>
              <w:t>75</w:t>
            </w:r>
          </w:p>
        </w:tc>
        <w:tc>
          <w:tcPr>
            <w:tcW w:w="960" w:type="dxa"/>
            <w:tcBorders>
              <w:top w:val="nil"/>
              <w:left w:val="nil"/>
              <w:bottom w:val="single" w:sz="4" w:space="0" w:color="auto"/>
              <w:right w:val="single" w:sz="4" w:space="0" w:color="auto"/>
            </w:tcBorders>
          </w:tcPr>
          <w:p w14:paraId="0B763BB7" w14:textId="4144318F" w:rsidR="00A33914" w:rsidRDefault="00A33914" w:rsidP="00A33914">
            <w:pPr>
              <w:jc w:val="right"/>
              <w:rPr>
                <w:rFonts w:cs="Arial"/>
              </w:rPr>
            </w:pPr>
            <w:r>
              <w:rPr>
                <w:rFonts w:cs="Arial"/>
              </w:rPr>
              <w:t>69</w:t>
            </w:r>
          </w:p>
        </w:tc>
        <w:tc>
          <w:tcPr>
            <w:tcW w:w="960" w:type="dxa"/>
            <w:tcBorders>
              <w:top w:val="nil"/>
              <w:left w:val="nil"/>
              <w:bottom w:val="single" w:sz="4" w:space="0" w:color="auto"/>
              <w:right w:val="single" w:sz="4" w:space="0" w:color="auto"/>
            </w:tcBorders>
          </w:tcPr>
          <w:p w14:paraId="51DD8FEE" w14:textId="349B0724" w:rsidR="00A33914" w:rsidRDefault="00A33914" w:rsidP="00A33914">
            <w:pPr>
              <w:jc w:val="right"/>
              <w:rPr>
                <w:rFonts w:cs="Arial"/>
              </w:rPr>
            </w:pPr>
            <w:r>
              <w:rPr>
                <w:rFonts w:cs="Arial"/>
              </w:rPr>
              <w:t>73</w:t>
            </w:r>
          </w:p>
        </w:tc>
        <w:tc>
          <w:tcPr>
            <w:tcW w:w="960" w:type="dxa"/>
            <w:tcBorders>
              <w:top w:val="nil"/>
              <w:left w:val="nil"/>
              <w:bottom w:val="single" w:sz="4" w:space="0" w:color="auto"/>
              <w:right w:val="single" w:sz="4" w:space="0" w:color="auto"/>
            </w:tcBorders>
          </w:tcPr>
          <w:p w14:paraId="3BE77CFF" w14:textId="71A8BA89" w:rsidR="00A33914" w:rsidRDefault="00A33914" w:rsidP="00A33914">
            <w:pPr>
              <w:jc w:val="right"/>
              <w:rPr>
                <w:rFonts w:cs="Arial"/>
              </w:rPr>
            </w:pPr>
            <w:r>
              <w:rPr>
                <w:rFonts w:cs="Arial"/>
              </w:rPr>
              <w:t>84</w:t>
            </w:r>
          </w:p>
        </w:tc>
      </w:tr>
      <w:tr w:rsidR="00A33914" w:rsidRPr="00C5395B" w14:paraId="64232ACF" w14:textId="77777777" w:rsidTr="006E46CB">
        <w:trPr>
          <w:trHeight w:val="255"/>
        </w:trPr>
        <w:tc>
          <w:tcPr>
            <w:tcW w:w="2080" w:type="dxa"/>
            <w:tcBorders>
              <w:top w:val="nil"/>
              <w:left w:val="single" w:sz="4" w:space="0" w:color="auto"/>
              <w:bottom w:val="single" w:sz="4" w:space="0" w:color="auto"/>
              <w:right w:val="single" w:sz="4" w:space="0" w:color="auto"/>
            </w:tcBorders>
            <w:noWrap/>
            <w:hideMark/>
          </w:tcPr>
          <w:p w14:paraId="01FF8106" w14:textId="77777777" w:rsidR="00A33914" w:rsidRPr="00C5395B" w:rsidRDefault="00A33914" w:rsidP="00A33914">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42058784" w14:textId="1DB7B2C6" w:rsidR="00A33914" w:rsidRDefault="00A33914" w:rsidP="00A33914">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692C9F9B" w14:textId="0819CB9C" w:rsidR="00A33914" w:rsidRDefault="00A33914" w:rsidP="00A33914">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6FF3E72E" w14:textId="2C903E23" w:rsidR="00A33914" w:rsidRDefault="00A33914" w:rsidP="00A33914">
            <w:pPr>
              <w:jc w:val="right"/>
              <w:rPr>
                <w:rFonts w:cs="Arial"/>
              </w:rPr>
            </w:pPr>
            <w:r>
              <w:rPr>
                <w:rFonts w:cs="Arial"/>
              </w:rPr>
              <w:t>39</w:t>
            </w:r>
          </w:p>
        </w:tc>
        <w:tc>
          <w:tcPr>
            <w:tcW w:w="960" w:type="dxa"/>
            <w:tcBorders>
              <w:top w:val="nil"/>
              <w:left w:val="nil"/>
              <w:bottom w:val="single" w:sz="4" w:space="0" w:color="auto"/>
              <w:right w:val="single" w:sz="4" w:space="0" w:color="auto"/>
            </w:tcBorders>
          </w:tcPr>
          <w:p w14:paraId="7AF8C2CC" w14:textId="595D6C85" w:rsidR="00A33914" w:rsidRDefault="00A33914" w:rsidP="00A33914">
            <w:pPr>
              <w:jc w:val="right"/>
              <w:rPr>
                <w:rFonts w:cs="Arial"/>
              </w:rPr>
            </w:pPr>
            <w:r>
              <w:rPr>
                <w:rFonts w:cs="Arial"/>
              </w:rPr>
              <w:t>54</w:t>
            </w:r>
          </w:p>
        </w:tc>
        <w:tc>
          <w:tcPr>
            <w:tcW w:w="960" w:type="dxa"/>
            <w:tcBorders>
              <w:top w:val="nil"/>
              <w:left w:val="nil"/>
              <w:bottom w:val="single" w:sz="4" w:space="0" w:color="auto"/>
              <w:right w:val="single" w:sz="4" w:space="0" w:color="auto"/>
            </w:tcBorders>
          </w:tcPr>
          <w:p w14:paraId="34560C50" w14:textId="04C61C2D" w:rsidR="00A33914" w:rsidRDefault="00A33914" w:rsidP="00A33914">
            <w:pPr>
              <w:jc w:val="right"/>
              <w:rPr>
                <w:rFonts w:cs="Arial"/>
              </w:rPr>
            </w:pPr>
            <w:r>
              <w:rPr>
                <w:rFonts w:cs="Arial"/>
              </w:rPr>
              <w:t>47</w:t>
            </w:r>
          </w:p>
        </w:tc>
      </w:tr>
      <w:tr w:rsidR="00A33914" w:rsidRPr="00C5395B" w14:paraId="356BAFA9" w14:textId="77777777" w:rsidTr="006E46CB">
        <w:trPr>
          <w:trHeight w:val="255"/>
        </w:trPr>
        <w:tc>
          <w:tcPr>
            <w:tcW w:w="2080" w:type="dxa"/>
            <w:tcBorders>
              <w:top w:val="nil"/>
              <w:left w:val="single" w:sz="4" w:space="0" w:color="auto"/>
              <w:bottom w:val="single" w:sz="4" w:space="0" w:color="auto"/>
              <w:right w:val="single" w:sz="4" w:space="0" w:color="auto"/>
            </w:tcBorders>
            <w:noWrap/>
            <w:hideMark/>
          </w:tcPr>
          <w:p w14:paraId="342E278F" w14:textId="77777777" w:rsidR="00A33914" w:rsidRPr="00C5395B" w:rsidRDefault="00A33914" w:rsidP="00A33914">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69B0630D" w14:textId="0E1F9D69" w:rsidR="00A33914" w:rsidRDefault="00A33914" w:rsidP="00A33914">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2ED4DC37" w14:textId="3C554CF4" w:rsidR="00A33914" w:rsidRDefault="00A33914" w:rsidP="00A33914">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3710F270" w14:textId="5D36F61D" w:rsidR="00A33914" w:rsidRDefault="00A33914" w:rsidP="00A33914">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20317EF7" w14:textId="4E09A7D6" w:rsidR="00A33914" w:rsidRDefault="00A33914" w:rsidP="00A33914">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5E0A020" w14:textId="3B42ED6D" w:rsidR="00A33914" w:rsidRDefault="00A33914" w:rsidP="00A33914">
            <w:pPr>
              <w:jc w:val="right"/>
              <w:rPr>
                <w:rFonts w:cs="Arial"/>
              </w:rPr>
            </w:pPr>
            <w:r>
              <w:rPr>
                <w:rFonts w:cs="Arial"/>
              </w:rPr>
              <w:t>14</w:t>
            </w:r>
          </w:p>
        </w:tc>
      </w:tr>
      <w:tr w:rsidR="00A33914" w:rsidRPr="00C5395B" w14:paraId="02A73749" w14:textId="77777777" w:rsidTr="006E46CB">
        <w:trPr>
          <w:trHeight w:val="255"/>
        </w:trPr>
        <w:tc>
          <w:tcPr>
            <w:tcW w:w="2080" w:type="dxa"/>
            <w:tcBorders>
              <w:top w:val="nil"/>
              <w:left w:val="single" w:sz="4" w:space="0" w:color="auto"/>
              <w:bottom w:val="single" w:sz="4" w:space="0" w:color="auto"/>
              <w:right w:val="single" w:sz="4" w:space="0" w:color="auto"/>
            </w:tcBorders>
            <w:noWrap/>
            <w:hideMark/>
          </w:tcPr>
          <w:p w14:paraId="7F3EBD88" w14:textId="77777777" w:rsidR="00A33914" w:rsidRPr="00C5395B" w:rsidRDefault="00A33914" w:rsidP="00A33914">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4FA1420" w14:textId="25049A7E" w:rsidR="00A33914" w:rsidRDefault="00A33914" w:rsidP="00A33914">
            <w:pPr>
              <w:jc w:val="right"/>
              <w:rPr>
                <w:rFonts w:cs="Arial"/>
                <w:b/>
                <w:bCs/>
              </w:rPr>
            </w:pPr>
            <w:r>
              <w:rPr>
                <w:rFonts w:cs="Arial"/>
                <w:b/>
                <w:bCs/>
              </w:rPr>
              <w:t>201</w:t>
            </w:r>
          </w:p>
        </w:tc>
        <w:tc>
          <w:tcPr>
            <w:tcW w:w="960" w:type="dxa"/>
            <w:tcBorders>
              <w:top w:val="nil"/>
              <w:left w:val="nil"/>
              <w:bottom w:val="single" w:sz="4" w:space="0" w:color="auto"/>
              <w:right w:val="single" w:sz="4" w:space="0" w:color="auto"/>
            </w:tcBorders>
          </w:tcPr>
          <w:p w14:paraId="28E2E412" w14:textId="0372231D" w:rsidR="00A33914" w:rsidRDefault="00A33914" w:rsidP="00A33914">
            <w:pPr>
              <w:jc w:val="right"/>
              <w:rPr>
                <w:rFonts w:cs="Arial"/>
                <w:b/>
                <w:bCs/>
              </w:rPr>
            </w:pPr>
            <w:r>
              <w:rPr>
                <w:rFonts w:cs="Arial"/>
                <w:b/>
                <w:bCs/>
              </w:rPr>
              <w:t>176</w:t>
            </w:r>
          </w:p>
        </w:tc>
        <w:tc>
          <w:tcPr>
            <w:tcW w:w="960" w:type="dxa"/>
            <w:tcBorders>
              <w:top w:val="nil"/>
              <w:left w:val="nil"/>
              <w:bottom w:val="single" w:sz="4" w:space="0" w:color="auto"/>
              <w:right w:val="single" w:sz="4" w:space="0" w:color="auto"/>
            </w:tcBorders>
          </w:tcPr>
          <w:p w14:paraId="23545537" w14:textId="0D9D9A37" w:rsidR="00A33914" w:rsidRDefault="00A33914" w:rsidP="00A33914">
            <w:pPr>
              <w:jc w:val="right"/>
              <w:rPr>
                <w:rFonts w:cs="Arial"/>
                <w:b/>
                <w:bCs/>
              </w:rPr>
            </w:pPr>
            <w:r>
              <w:rPr>
                <w:rFonts w:cs="Arial"/>
                <w:b/>
                <w:bCs/>
              </w:rPr>
              <w:t>196</w:t>
            </w:r>
          </w:p>
        </w:tc>
        <w:tc>
          <w:tcPr>
            <w:tcW w:w="960" w:type="dxa"/>
            <w:tcBorders>
              <w:top w:val="nil"/>
              <w:left w:val="nil"/>
              <w:bottom w:val="single" w:sz="4" w:space="0" w:color="auto"/>
              <w:right w:val="single" w:sz="4" w:space="0" w:color="auto"/>
            </w:tcBorders>
          </w:tcPr>
          <w:p w14:paraId="7555EE2D" w14:textId="7D352517" w:rsidR="00A33914" w:rsidRDefault="00A33914" w:rsidP="00A33914">
            <w:pPr>
              <w:jc w:val="right"/>
              <w:rPr>
                <w:rFonts w:cs="Arial"/>
                <w:b/>
                <w:bCs/>
              </w:rPr>
            </w:pPr>
            <w:r>
              <w:rPr>
                <w:rFonts w:cs="Arial"/>
                <w:b/>
                <w:bCs/>
              </w:rPr>
              <w:t>174</w:t>
            </w:r>
          </w:p>
        </w:tc>
        <w:tc>
          <w:tcPr>
            <w:tcW w:w="960" w:type="dxa"/>
            <w:tcBorders>
              <w:top w:val="nil"/>
              <w:left w:val="nil"/>
              <w:bottom w:val="single" w:sz="4" w:space="0" w:color="auto"/>
              <w:right w:val="single" w:sz="4" w:space="0" w:color="auto"/>
            </w:tcBorders>
          </w:tcPr>
          <w:p w14:paraId="7C9F3452" w14:textId="119B4C7C" w:rsidR="00A33914" w:rsidRDefault="00A33914" w:rsidP="00A33914">
            <w:pPr>
              <w:jc w:val="right"/>
              <w:rPr>
                <w:rFonts w:cs="Arial"/>
                <w:b/>
                <w:bCs/>
              </w:rPr>
            </w:pPr>
            <w:r>
              <w:rPr>
                <w:rFonts w:cs="Arial"/>
                <w:b/>
                <w:bCs/>
              </w:rPr>
              <w:t>241</w:t>
            </w:r>
          </w:p>
        </w:tc>
      </w:tr>
    </w:tbl>
    <w:p w14:paraId="72B50667" w14:textId="77777777" w:rsidR="000F7A65" w:rsidRDefault="000F7A65" w:rsidP="00CB1032">
      <w:pPr>
        <w:ind w:left="-142" w:right="-425"/>
        <w:jc w:val="both"/>
        <w:rPr>
          <w:rFonts w:cs="Arial"/>
        </w:rPr>
      </w:pPr>
    </w:p>
    <w:p w14:paraId="5226DD6A" w14:textId="77777777" w:rsidR="000109D5" w:rsidRDefault="000109D5" w:rsidP="00CB1032">
      <w:pPr>
        <w:ind w:left="-142" w:right="-425"/>
        <w:jc w:val="both"/>
        <w:rPr>
          <w:rFonts w:cs="Arial"/>
        </w:rPr>
      </w:pPr>
    </w:p>
    <w:p w14:paraId="7BAE3B75" w14:textId="0EC2B52B" w:rsidR="005A5B78" w:rsidRPr="002D4651" w:rsidRDefault="005A5B78" w:rsidP="00C41210">
      <w:pPr>
        <w:pStyle w:val="Heading2"/>
      </w:pPr>
      <w:r w:rsidRPr="002D4651">
        <w:lastRenderedPageBreak/>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3E95688B" w:rsidR="00C872F0" w:rsidRDefault="006F3F88" w:rsidP="00964A63">
      <w:pPr>
        <w:ind w:left="-142" w:right="-425"/>
        <w:jc w:val="both"/>
      </w:pPr>
      <w:r>
        <w:rPr>
          <w:rFonts w:cs="Arial"/>
        </w:rPr>
        <w:t xml:space="preserve">A total of </w:t>
      </w:r>
      <w:r w:rsidR="00FB3E7A">
        <w:rPr>
          <w:rFonts w:cs="Arial"/>
        </w:rPr>
        <w:t>105</w:t>
      </w:r>
      <w:r w:rsidR="000D6B88">
        <w:rPr>
          <w:rFonts w:cs="Arial"/>
        </w:rPr>
        <w:t xml:space="preserve">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FB3E7A">
        <w:rPr>
          <w:rFonts w:cs="Arial"/>
        </w:rPr>
        <w:t>91</w:t>
      </w:r>
      <w:r w:rsidR="000D6B88" w:rsidRPr="003573E3">
        <w:rPr>
          <w:rFonts w:cs="Arial"/>
        </w:rPr>
        <w:t xml:space="preserve"> </w:t>
      </w:r>
      <w:r w:rsidR="001E5AFF" w:rsidRPr="003573E3">
        <w:rPr>
          <w:rFonts w:cs="Arial"/>
        </w:rPr>
        <w:t xml:space="preserve">clients </w:t>
      </w:r>
      <w:r>
        <w:rPr>
          <w:rFonts w:cs="Arial"/>
        </w:rPr>
        <w:t xml:space="preserve">were made in quarter </w:t>
      </w:r>
      <w:r w:rsidR="00EF7EFC">
        <w:rPr>
          <w:rFonts w:cs="Arial"/>
        </w:rPr>
        <w:t>68</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47241E65" w14:textId="77777777" w:rsidR="00B361A6" w:rsidRDefault="00B361A6" w:rsidP="00964A63">
      <w:pPr>
        <w:ind w:left="-142" w:right="-425"/>
        <w:jc w:val="both"/>
      </w:pPr>
    </w:p>
    <w:p w14:paraId="383E28DE" w14:textId="68ACFAB0" w:rsidR="00B361A6" w:rsidRDefault="00B361A6" w:rsidP="00B361A6">
      <w:pPr>
        <w:tabs>
          <w:tab w:val="left" w:pos="0"/>
        </w:tabs>
        <w:ind w:left="426" w:right="-425" w:hanging="568"/>
        <w:jc w:val="both"/>
        <w:rPr>
          <w:rFonts w:cs="Arial"/>
          <w:sz w:val="16"/>
          <w:szCs w:val="16"/>
        </w:rPr>
      </w:pPr>
      <w:r>
        <w:rPr>
          <w:rFonts w:cs="Arial"/>
          <w:b/>
          <w:sz w:val="16"/>
          <w:szCs w:val="16"/>
        </w:rPr>
        <w:t>Table 13</w:t>
      </w:r>
      <w:r w:rsidRPr="004063DB">
        <w:rPr>
          <w:rFonts w:cs="Arial"/>
          <w:b/>
          <w:sz w:val="16"/>
          <w:szCs w:val="16"/>
        </w:rPr>
        <w:t xml:space="preserve">: </w:t>
      </w:r>
      <w:r>
        <w:rPr>
          <w:rFonts w:cs="Arial"/>
          <w:sz w:val="16"/>
          <w:szCs w:val="16"/>
        </w:rPr>
        <w:t>Referrals</w:t>
      </w:r>
      <w:r w:rsidRPr="0053018A">
        <w:rPr>
          <w:rFonts w:cs="Arial"/>
          <w:sz w:val="16"/>
          <w:szCs w:val="16"/>
        </w:rPr>
        <w:t xml:space="preserve"> </w:t>
      </w:r>
      <w:r>
        <w:rPr>
          <w:rFonts w:cs="Arial"/>
          <w:sz w:val="16"/>
          <w:szCs w:val="16"/>
        </w:rPr>
        <w:t xml:space="preserve">by community and quarter 1 </w:t>
      </w:r>
      <w:r>
        <w:rPr>
          <w:rFonts w:cs="Arial"/>
          <w:sz w:val="16"/>
          <w:szCs w:val="16"/>
        </w:rPr>
        <w:t>April</w:t>
      </w:r>
      <w:r>
        <w:rPr>
          <w:rFonts w:cs="Arial"/>
          <w:sz w:val="16"/>
          <w:szCs w:val="16"/>
        </w:rPr>
        <w:t xml:space="preserve"> 2024 to 3</w:t>
      </w:r>
      <w:r>
        <w:rPr>
          <w:rFonts w:cs="Arial"/>
          <w:sz w:val="16"/>
          <w:szCs w:val="16"/>
        </w:rPr>
        <w:t xml:space="preserve">0 June </w:t>
      </w:r>
      <w:r>
        <w:rPr>
          <w:rFonts w:cs="Arial"/>
          <w:sz w:val="16"/>
          <w:szCs w:val="16"/>
        </w:rPr>
        <w:t>2025</w:t>
      </w:r>
    </w:p>
    <w:p w14:paraId="43B2A9EF" w14:textId="77777777" w:rsidR="00B361A6" w:rsidRPr="0070366B" w:rsidRDefault="00B361A6" w:rsidP="00B361A6">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D826AB" w:rsidRPr="00C5395B" w14:paraId="49497B1F" w14:textId="77777777" w:rsidTr="006E46CB">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382E1522" w14:textId="77777777" w:rsidR="00D826AB" w:rsidRPr="00C5395B" w:rsidRDefault="00D826AB" w:rsidP="00D826AB">
            <w:pPr>
              <w:pStyle w:val="TableText"/>
              <w:rPr>
                <w:b/>
                <w:lang w:eastAsia="en-AU"/>
              </w:rPr>
            </w:pPr>
            <w:bookmarkStart w:id="19"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5AED94FD" w14:textId="695DAF3C" w:rsidR="00D826AB" w:rsidRDefault="00D826AB" w:rsidP="00D826AB">
            <w:pPr>
              <w:pStyle w:val="TableText"/>
              <w:jc w:val="right"/>
              <w:rPr>
                <w:b/>
                <w:lang w:eastAsia="en-AU"/>
              </w:rPr>
            </w:pPr>
            <w:r w:rsidRPr="00BA518C">
              <w:rPr>
                <w:b/>
                <w:lang w:eastAsia="en-AU"/>
              </w:rPr>
              <w:t>Qtr 6</w:t>
            </w:r>
            <w:r>
              <w:rPr>
                <w:b/>
                <w:lang w:eastAsia="en-AU"/>
              </w:rPr>
              <w:t>4</w:t>
            </w:r>
          </w:p>
        </w:tc>
        <w:tc>
          <w:tcPr>
            <w:tcW w:w="993" w:type="dxa"/>
            <w:tcBorders>
              <w:top w:val="single" w:sz="4" w:space="0" w:color="auto"/>
              <w:left w:val="nil"/>
              <w:bottom w:val="single" w:sz="4" w:space="0" w:color="auto"/>
              <w:right w:val="single" w:sz="4" w:space="0" w:color="auto"/>
            </w:tcBorders>
          </w:tcPr>
          <w:p w14:paraId="67798D5E" w14:textId="28212579" w:rsidR="00D826AB" w:rsidRDefault="00D826AB" w:rsidP="00D826AB">
            <w:pPr>
              <w:pStyle w:val="TableText"/>
              <w:jc w:val="right"/>
              <w:rPr>
                <w:b/>
                <w:lang w:eastAsia="en-AU"/>
              </w:rPr>
            </w:pPr>
            <w:r w:rsidRPr="00BA518C">
              <w:rPr>
                <w:b/>
                <w:lang w:eastAsia="en-AU"/>
              </w:rPr>
              <w:t>Qtr 6</w:t>
            </w:r>
            <w:r>
              <w:rPr>
                <w:b/>
                <w:lang w:eastAsia="en-AU"/>
              </w:rPr>
              <w:t>5</w:t>
            </w:r>
          </w:p>
        </w:tc>
        <w:tc>
          <w:tcPr>
            <w:tcW w:w="993" w:type="dxa"/>
            <w:tcBorders>
              <w:top w:val="single" w:sz="4" w:space="0" w:color="auto"/>
              <w:left w:val="nil"/>
              <w:bottom w:val="single" w:sz="4" w:space="0" w:color="auto"/>
              <w:right w:val="single" w:sz="4" w:space="0" w:color="auto"/>
            </w:tcBorders>
          </w:tcPr>
          <w:p w14:paraId="3D3138B9" w14:textId="1F8213C6" w:rsidR="00D826AB" w:rsidRDefault="00D826AB" w:rsidP="00D826AB">
            <w:pPr>
              <w:pStyle w:val="TableText"/>
              <w:jc w:val="right"/>
              <w:rPr>
                <w:b/>
                <w:lang w:eastAsia="en-AU"/>
              </w:rPr>
            </w:pPr>
            <w:r w:rsidRPr="00BA518C">
              <w:rPr>
                <w:b/>
                <w:lang w:eastAsia="en-AU"/>
              </w:rPr>
              <w:t>Qtr 6</w:t>
            </w:r>
            <w:r>
              <w:rPr>
                <w:b/>
                <w:lang w:eastAsia="en-AU"/>
              </w:rPr>
              <w:t>6</w:t>
            </w:r>
          </w:p>
        </w:tc>
        <w:tc>
          <w:tcPr>
            <w:tcW w:w="993" w:type="dxa"/>
            <w:tcBorders>
              <w:top w:val="single" w:sz="4" w:space="0" w:color="auto"/>
              <w:left w:val="nil"/>
              <w:bottom w:val="single" w:sz="4" w:space="0" w:color="auto"/>
              <w:right w:val="single" w:sz="4" w:space="0" w:color="auto"/>
            </w:tcBorders>
          </w:tcPr>
          <w:p w14:paraId="2459E86D" w14:textId="36BFCA13" w:rsidR="00D826AB" w:rsidRDefault="00D826AB" w:rsidP="00D826AB">
            <w:pPr>
              <w:pStyle w:val="TableText"/>
              <w:jc w:val="right"/>
              <w:rPr>
                <w:b/>
                <w:lang w:eastAsia="en-AU"/>
              </w:rPr>
            </w:pPr>
            <w:r w:rsidRPr="00BA518C">
              <w:rPr>
                <w:b/>
                <w:lang w:eastAsia="en-AU"/>
              </w:rPr>
              <w:t>Qtr 6</w:t>
            </w:r>
            <w:r>
              <w:rPr>
                <w:b/>
                <w:lang w:eastAsia="en-AU"/>
              </w:rPr>
              <w:t>7</w:t>
            </w:r>
          </w:p>
        </w:tc>
        <w:tc>
          <w:tcPr>
            <w:tcW w:w="993" w:type="dxa"/>
            <w:tcBorders>
              <w:top w:val="single" w:sz="4" w:space="0" w:color="auto"/>
              <w:left w:val="nil"/>
              <w:bottom w:val="single" w:sz="4" w:space="0" w:color="auto"/>
              <w:right w:val="single" w:sz="4" w:space="0" w:color="auto"/>
            </w:tcBorders>
          </w:tcPr>
          <w:p w14:paraId="2836618F" w14:textId="37F50E84" w:rsidR="00D826AB" w:rsidRPr="00BA518C" w:rsidRDefault="00D826AB" w:rsidP="00D826AB">
            <w:pPr>
              <w:pStyle w:val="TableText"/>
              <w:jc w:val="right"/>
              <w:rPr>
                <w:b/>
                <w:lang w:eastAsia="en-AU"/>
              </w:rPr>
            </w:pPr>
            <w:r w:rsidRPr="00BA518C">
              <w:rPr>
                <w:b/>
                <w:lang w:eastAsia="en-AU"/>
              </w:rPr>
              <w:t>Qtr 6</w:t>
            </w:r>
            <w:r>
              <w:rPr>
                <w:b/>
                <w:lang w:eastAsia="en-AU"/>
              </w:rPr>
              <w:t>8</w:t>
            </w:r>
          </w:p>
        </w:tc>
      </w:tr>
      <w:tr w:rsidR="00B37FA2" w:rsidRPr="00C5395B" w14:paraId="559918AD" w14:textId="77777777" w:rsidTr="006E46CB">
        <w:trPr>
          <w:trHeight w:val="255"/>
        </w:trPr>
        <w:tc>
          <w:tcPr>
            <w:tcW w:w="2029" w:type="dxa"/>
            <w:tcBorders>
              <w:top w:val="nil"/>
              <w:left w:val="single" w:sz="4" w:space="0" w:color="auto"/>
              <w:bottom w:val="single" w:sz="4" w:space="0" w:color="auto"/>
              <w:right w:val="single" w:sz="4" w:space="0" w:color="auto"/>
            </w:tcBorders>
            <w:noWrap/>
            <w:hideMark/>
          </w:tcPr>
          <w:p w14:paraId="23053BBD" w14:textId="77777777" w:rsidR="00B37FA2" w:rsidRPr="00C5395B" w:rsidRDefault="00B37FA2" w:rsidP="00B37FA2">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1AD19595" w14:textId="0C546D7A" w:rsidR="00B37FA2" w:rsidRDefault="00B37FA2" w:rsidP="00B37FA2">
            <w:pPr>
              <w:jc w:val="right"/>
              <w:rPr>
                <w:rFonts w:cs="Arial"/>
              </w:rPr>
            </w:pPr>
            <w:r>
              <w:rPr>
                <w:rFonts w:cs="Arial"/>
              </w:rPr>
              <w:t>57</w:t>
            </w:r>
          </w:p>
        </w:tc>
        <w:tc>
          <w:tcPr>
            <w:tcW w:w="993" w:type="dxa"/>
            <w:tcBorders>
              <w:top w:val="nil"/>
              <w:left w:val="nil"/>
              <w:bottom w:val="single" w:sz="4" w:space="0" w:color="auto"/>
              <w:right w:val="single" w:sz="4" w:space="0" w:color="auto"/>
            </w:tcBorders>
          </w:tcPr>
          <w:p w14:paraId="75643963" w14:textId="67A1830D" w:rsidR="00B37FA2" w:rsidRDefault="00B37FA2" w:rsidP="00B37FA2">
            <w:pPr>
              <w:jc w:val="right"/>
              <w:rPr>
                <w:rFonts w:cs="Arial"/>
              </w:rPr>
            </w:pPr>
            <w:r>
              <w:rPr>
                <w:rFonts w:cs="Arial"/>
              </w:rPr>
              <w:t>29</w:t>
            </w:r>
          </w:p>
        </w:tc>
        <w:tc>
          <w:tcPr>
            <w:tcW w:w="993" w:type="dxa"/>
            <w:tcBorders>
              <w:top w:val="nil"/>
              <w:left w:val="nil"/>
              <w:bottom w:val="single" w:sz="4" w:space="0" w:color="auto"/>
              <w:right w:val="single" w:sz="4" w:space="0" w:color="auto"/>
            </w:tcBorders>
          </w:tcPr>
          <w:p w14:paraId="20FA7704" w14:textId="7D147D2B" w:rsidR="00B37FA2" w:rsidRDefault="00B37FA2" w:rsidP="00B37FA2">
            <w:pPr>
              <w:jc w:val="right"/>
              <w:rPr>
                <w:rFonts w:cs="Arial"/>
              </w:rPr>
            </w:pPr>
            <w:r>
              <w:rPr>
                <w:rFonts w:cs="Arial"/>
              </w:rPr>
              <w:t>54</w:t>
            </w:r>
          </w:p>
        </w:tc>
        <w:tc>
          <w:tcPr>
            <w:tcW w:w="993" w:type="dxa"/>
            <w:tcBorders>
              <w:top w:val="nil"/>
              <w:left w:val="nil"/>
              <w:bottom w:val="single" w:sz="4" w:space="0" w:color="auto"/>
              <w:right w:val="single" w:sz="4" w:space="0" w:color="auto"/>
            </w:tcBorders>
          </w:tcPr>
          <w:p w14:paraId="43B4853B" w14:textId="69DDBF5E" w:rsidR="00B37FA2" w:rsidRDefault="00B37FA2" w:rsidP="00B37FA2">
            <w:pPr>
              <w:jc w:val="right"/>
              <w:rPr>
                <w:rFonts w:cs="Arial"/>
              </w:rPr>
            </w:pPr>
            <w:r>
              <w:rPr>
                <w:rFonts w:cs="Arial"/>
              </w:rPr>
              <w:t>22</w:t>
            </w:r>
          </w:p>
        </w:tc>
        <w:tc>
          <w:tcPr>
            <w:tcW w:w="993" w:type="dxa"/>
            <w:tcBorders>
              <w:top w:val="nil"/>
              <w:left w:val="nil"/>
              <w:bottom w:val="single" w:sz="4" w:space="0" w:color="auto"/>
              <w:right w:val="single" w:sz="4" w:space="0" w:color="auto"/>
            </w:tcBorders>
          </w:tcPr>
          <w:p w14:paraId="7F680BC9" w14:textId="32B342EC" w:rsidR="00B37FA2" w:rsidRDefault="00B37FA2" w:rsidP="00B37FA2">
            <w:pPr>
              <w:jc w:val="right"/>
              <w:rPr>
                <w:rFonts w:cs="Arial"/>
              </w:rPr>
            </w:pPr>
            <w:r>
              <w:rPr>
                <w:rFonts w:cs="Arial"/>
              </w:rPr>
              <w:t>44</w:t>
            </w:r>
          </w:p>
        </w:tc>
      </w:tr>
      <w:tr w:rsidR="00B37FA2" w:rsidRPr="00C5395B" w14:paraId="25E2E2CD" w14:textId="77777777" w:rsidTr="006E46CB">
        <w:trPr>
          <w:trHeight w:val="255"/>
        </w:trPr>
        <w:tc>
          <w:tcPr>
            <w:tcW w:w="2029" w:type="dxa"/>
            <w:tcBorders>
              <w:top w:val="nil"/>
              <w:left w:val="single" w:sz="4" w:space="0" w:color="auto"/>
              <w:bottom w:val="single" w:sz="4" w:space="0" w:color="auto"/>
              <w:right w:val="single" w:sz="4" w:space="0" w:color="auto"/>
            </w:tcBorders>
            <w:noWrap/>
            <w:hideMark/>
          </w:tcPr>
          <w:p w14:paraId="6D548C05" w14:textId="77777777" w:rsidR="00B37FA2" w:rsidRPr="00C5395B" w:rsidRDefault="00B37FA2" w:rsidP="00B37FA2">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5F8CA096" w14:textId="4AE99631" w:rsidR="00B37FA2" w:rsidRDefault="00B37FA2" w:rsidP="00B37FA2">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30F9959A" w14:textId="2116AA8B" w:rsidR="00B37FA2" w:rsidRDefault="00B37FA2" w:rsidP="00B37FA2">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71ECF921" w14:textId="002CFF4D" w:rsidR="00B37FA2" w:rsidRDefault="00B37FA2" w:rsidP="00B37FA2">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2B1E4C11" w14:textId="280773A9" w:rsidR="00B37FA2" w:rsidRDefault="00B37FA2" w:rsidP="00B37FA2">
            <w:pPr>
              <w:jc w:val="right"/>
              <w:rPr>
                <w:rFonts w:cs="Arial"/>
              </w:rPr>
            </w:pPr>
            <w:r>
              <w:rPr>
                <w:rFonts w:cs="Arial"/>
              </w:rPr>
              <w:t>2</w:t>
            </w:r>
          </w:p>
        </w:tc>
        <w:tc>
          <w:tcPr>
            <w:tcW w:w="993" w:type="dxa"/>
            <w:tcBorders>
              <w:top w:val="nil"/>
              <w:left w:val="nil"/>
              <w:bottom w:val="single" w:sz="4" w:space="0" w:color="auto"/>
              <w:right w:val="single" w:sz="4" w:space="0" w:color="auto"/>
            </w:tcBorders>
          </w:tcPr>
          <w:p w14:paraId="4459035D" w14:textId="221B352C" w:rsidR="00B37FA2" w:rsidRDefault="00B37FA2" w:rsidP="00B37FA2">
            <w:pPr>
              <w:jc w:val="right"/>
              <w:rPr>
                <w:rFonts w:cs="Arial"/>
              </w:rPr>
            </w:pPr>
            <w:r>
              <w:rPr>
                <w:rFonts w:cs="Arial"/>
              </w:rPr>
              <w:t>1</w:t>
            </w:r>
          </w:p>
        </w:tc>
      </w:tr>
      <w:tr w:rsidR="00B37FA2" w:rsidRPr="00C5395B" w14:paraId="69A7712B" w14:textId="77777777" w:rsidTr="006E46CB">
        <w:trPr>
          <w:trHeight w:val="255"/>
        </w:trPr>
        <w:tc>
          <w:tcPr>
            <w:tcW w:w="2029" w:type="dxa"/>
            <w:tcBorders>
              <w:top w:val="nil"/>
              <w:left w:val="single" w:sz="4" w:space="0" w:color="auto"/>
              <w:bottom w:val="single" w:sz="4" w:space="0" w:color="auto"/>
              <w:right w:val="single" w:sz="4" w:space="0" w:color="auto"/>
            </w:tcBorders>
            <w:noWrap/>
          </w:tcPr>
          <w:p w14:paraId="0C23880D" w14:textId="77777777" w:rsidR="00B37FA2" w:rsidRPr="00C5395B" w:rsidRDefault="00B37FA2" w:rsidP="00B37FA2">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4A270954" w14:textId="5A9F5348" w:rsidR="00B37FA2" w:rsidRDefault="00B37FA2" w:rsidP="00B37FA2">
            <w:pPr>
              <w:jc w:val="right"/>
              <w:rPr>
                <w:rFonts w:cs="Arial"/>
              </w:rPr>
            </w:pPr>
            <w:r>
              <w:rPr>
                <w:rFonts w:cs="Arial"/>
              </w:rPr>
              <w:t>26</w:t>
            </w:r>
          </w:p>
        </w:tc>
        <w:tc>
          <w:tcPr>
            <w:tcW w:w="993" w:type="dxa"/>
            <w:tcBorders>
              <w:top w:val="nil"/>
              <w:left w:val="nil"/>
              <w:bottom w:val="single" w:sz="4" w:space="0" w:color="auto"/>
              <w:right w:val="single" w:sz="4" w:space="0" w:color="auto"/>
            </w:tcBorders>
          </w:tcPr>
          <w:p w14:paraId="569DB49B" w14:textId="2BBBCEE5" w:rsidR="00B37FA2" w:rsidRDefault="00B37FA2" w:rsidP="00B37FA2">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7B267705" w14:textId="2699D592" w:rsidR="00B37FA2" w:rsidRDefault="00B37FA2" w:rsidP="00B37FA2">
            <w:pPr>
              <w:jc w:val="right"/>
              <w:rPr>
                <w:rFonts w:cs="Arial"/>
              </w:rPr>
            </w:pPr>
            <w:r>
              <w:rPr>
                <w:rFonts w:cs="Arial"/>
              </w:rPr>
              <w:t>27</w:t>
            </w:r>
          </w:p>
        </w:tc>
        <w:tc>
          <w:tcPr>
            <w:tcW w:w="993" w:type="dxa"/>
            <w:tcBorders>
              <w:top w:val="nil"/>
              <w:left w:val="nil"/>
              <w:bottom w:val="single" w:sz="4" w:space="0" w:color="auto"/>
              <w:right w:val="single" w:sz="4" w:space="0" w:color="auto"/>
            </w:tcBorders>
          </w:tcPr>
          <w:p w14:paraId="0DB0FD6B" w14:textId="65AE8F3E" w:rsidR="00B37FA2" w:rsidRDefault="00B37FA2" w:rsidP="00B37FA2">
            <w:pPr>
              <w:jc w:val="right"/>
              <w:rPr>
                <w:rFonts w:cs="Arial"/>
              </w:rPr>
            </w:pPr>
            <w:r>
              <w:rPr>
                <w:rFonts w:cs="Arial"/>
              </w:rPr>
              <w:t>18</w:t>
            </w:r>
          </w:p>
        </w:tc>
        <w:tc>
          <w:tcPr>
            <w:tcW w:w="993" w:type="dxa"/>
            <w:tcBorders>
              <w:top w:val="nil"/>
              <w:left w:val="nil"/>
              <w:bottom w:val="single" w:sz="4" w:space="0" w:color="auto"/>
              <w:right w:val="single" w:sz="4" w:space="0" w:color="auto"/>
            </w:tcBorders>
          </w:tcPr>
          <w:p w14:paraId="59F6BC6C" w14:textId="08D39FDF" w:rsidR="00B37FA2" w:rsidRDefault="00B37FA2" w:rsidP="00B37FA2">
            <w:pPr>
              <w:jc w:val="right"/>
              <w:rPr>
                <w:rFonts w:cs="Arial"/>
              </w:rPr>
            </w:pPr>
            <w:r>
              <w:rPr>
                <w:rFonts w:cs="Arial"/>
              </w:rPr>
              <w:t>32</w:t>
            </w:r>
          </w:p>
        </w:tc>
      </w:tr>
      <w:tr w:rsidR="00B37FA2" w:rsidRPr="00C5395B" w14:paraId="0CEE26EA" w14:textId="77777777" w:rsidTr="006E46CB">
        <w:trPr>
          <w:trHeight w:val="255"/>
        </w:trPr>
        <w:tc>
          <w:tcPr>
            <w:tcW w:w="2029" w:type="dxa"/>
            <w:tcBorders>
              <w:top w:val="nil"/>
              <w:left w:val="single" w:sz="4" w:space="0" w:color="auto"/>
              <w:bottom w:val="single" w:sz="4" w:space="0" w:color="auto"/>
              <w:right w:val="single" w:sz="4" w:space="0" w:color="auto"/>
            </w:tcBorders>
            <w:noWrap/>
          </w:tcPr>
          <w:p w14:paraId="57AD7B13" w14:textId="77777777" w:rsidR="00B37FA2" w:rsidRPr="00C5395B" w:rsidRDefault="00B37FA2" w:rsidP="00B37FA2">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35577CCB" w14:textId="253878C4" w:rsidR="00B37FA2" w:rsidRDefault="00B37FA2" w:rsidP="00B37FA2">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785B3901" w14:textId="2C03901F" w:rsidR="00B37FA2" w:rsidRDefault="00B37FA2" w:rsidP="00B37FA2">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5EA6E395" w14:textId="29DABBB1" w:rsidR="00B37FA2" w:rsidRDefault="00B37FA2" w:rsidP="00B37FA2">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4375ADA9" w14:textId="2A0DBC0F" w:rsidR="00B37FA2" w:rsidRDefault="00B37FA2" w:rsidP="00B37FA2">
            <w:pPr>
              <w:jc w:val="right"/>
              <w:rPr>
                <w:rFonts w:cs="Arial"/>
              </w:rPr>
            </w:pPr>
            <w:r>
              <w:rPr>
                <w:rFonts w:cs="Arial"/>
              </w:rPr>
              <w:t>20</w:t>
            </w:r>
          </w:p>
        </w:tc>
        <w:tc>
          <w:tcPr>
            <w:tcW w:w="993" w:type="dxa"/>
            <w:tcBorders>
              <w:top w:val="nil"/>
              <w:left w:val="nil"/>
              <w:bottom w:val="single" w:sz="4" w:space="0" w:color="auto"/>
              <w:right w:val="single" w:sz="4" w:space="0" w:color="auto"/>
            </w:tcBorders>
          </w:tcPr>
          <w:p w14:paraId="149400C4" w14:textId="39A8DB0B" w:rsidR="00B37FA2" w:rsidRDefault="00B37FA2" w:rsidP="00B37FA2">
            <w:pPr>
              <w:jc w:val="right"/>
              <w:rPr>
                <w:rFonts w:cs="Arial"/>
              </w:rPr>
            </w:pPr>
            <w:r>
              <w:rPr>
                <w:rFonts w:cs="Arial"/>
              </w:rPr>
              <w:t>18</w:t>
            </w:r>
          </w:p>
        </w:tc>
      </w:tr>
      <w:tr w:rsidR="00B37FA2" w:rsidRPr="00C5395B" w14:paraId="40C3C8EB" w14:textId="77777777" w:rsidTr="006E46CB">
        <w:trPr>
          <w:trHeight w:val="255"/>
        </w:trPr>
        <w:tc>
          <w:tcPr>
            <w:tcW w:w="2029" w:type="dxa"/>
            <w:tcBorders>
              <w:top w:val="nil"/>
              <w:left w:val="single" w:sz="4" w:space="0" w:color="auto"/>
              <w:bottom w:val="single" w:sz="4" w:space="0" w:color="auto"/>
              <w:right w:val="single" w:sz="4" w:space="0" w:color="auto"/>
            </w:tcBorders>
            <w:noWrap/>
            <w:hideMark/>
          </w:tcPr>
          <w:p w14:paraId="27578BF7" w14:textId="77777777" w:rsidR="00B37FA2" w:rsidRPr="00C5395B" w:rsidRDefault="00B37FA2" w:rsidP="00B37FA2">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64A15BF8" w14:textId="1894086E" w:rsidR="00B37FA2" w:rsidRDefault="00B37FA2" w:rsidP="00B37FA2">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1D521FBF" w14:textId="59CDDE99" w:rsidR="00B37FA2" w:rsidRDefault="00B37FA2" w:rsidP="00B37FA2">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7298B661" w14:textId="68A86B7A" w:rsidR="00B37FA2" w:rsidRDefault="00B37FA2" w:rsidP="00B37FA2">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679998D4" w14:textId="6E0AE3A8" w:rsidR="00B37FA2" w:rsidRDefault="00B37FA2" w:rsidP="00B37FA2">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0A88E4F2" w14:textId="1DE81535" w:rsidR="00B37FA2" w:rsidRDefault="00B37FA2" w:rsidP="00B37FA2">
            <w:pPr>
              <w:jc w:val="right"/>
              <w:rPr>
                <w:rFonts w:cs="Arial"/>
              </w:rPr>
            </w:pPr>
            <w:r>
              <w:rPr>
                <w:rFonts w:cs="Arial"/>
              </w:rPr>
              <w:t>10</w:t>
            </w:r>
          </w:p>
        </w:tc>
      </w:tr>
      <w:tr w:rsidR="00B37FA2" w:rsidRPr="00C5395B" w14:paraId="7B4E21CC" w14:textId="77777777" w:rsidTr="006E46CB">
        <w:trPr>
          <w:trHeight w:val="255"/>
        </w:trPr>
        <w:tc>
          <w:tcPr>
            <w:tcW w:w="2029" w:type="dxa"/>
            <w:tcBorders>
              <w:top w:val="nil"/>
              <w:left w:val="single" w:sz="4" w:space="0" w:color="auto"/>
              <w:bottom w:val="single" w:sz="4" w:space="0" w:color="auto"/>
              <w:right w:val="single" w:sz="4" w:space="0" w:color="auto"/>
            </w:tcBorders>
            <w:noWrap/>
            <w:hideMark/>
          </w:tcPr>
          <w:p w14:paraId="31FFB145" w14:textId="77777777" w:rsidR="00B37FA2" w:rsidRPr="00C5395B" w:rsidRDefault="00B37FA2" w:rsidP="00B37FA2">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39406C00" w14:textId="6E7AD257" w:rsidR="00B37FA2" w:rsidRDefault="00B37FA2" w:rsidP="00B37FA2">
            <w:pPr>
              <w:jc w:val="right"/>
              <w:rPr>
                <w:rFonts w:cs="Arial"/>
                <w:b/>
                <w:bCs/>
              </w:rPr>
            </w:pPr>
            <w:r>
              <w:rPr>
                <w:rFonts w:cs="Arial"/>
                <w:b/>
                <w:bCs/>
              </w:rPr>
              <w:t>98</w:t>
            </w:r>
          </w:p>
        </w:tc>
        <w:tc>
          <w:tcPr>
            <w:tcW w:w="993" w:type="dxa"/>
            <w:tcBorders>
              <w:top w:val="nil"/>
              <w:left w:val="nil"/>
              <w:bottom w:val="single" w:sz="4" w:space="0" w:color="auto"/>
              <w:right w:val="single" w:sz="4" w:space="0" w:color="auto"/>
            </w:tcBorders>
          </w:tcPr>
          <w:p w14:paraId="777BFDDC" w14:textId="66A7499A" w:rsidR="00B37FA2" w:rsidRDefault="00B37FA2" w:rsidP="00B37FA2">
            <w:pPr>
              <w:jc w:val="right"/>
              <w:rPr>
                <w:rFonts w:cs="Arial"/>
                <w:b/>
                <w:bCs/>
              </w:rPr>
            </w:pPr>
            <w:r>
              <w:rPr>
                <w:rFonts w:cs="Arial"/>
                <w:b/>
                <w:bCs/>
              </w:rPr>
              <w:t>60</w:t>
            </w:r>
          </w:p>
        </w:tc>
        <w:tc>
          <w:tcPr>
            <w:tcW w:w="993" w:type="dxa"/>
            <w:tcBorders>
              <w:top w:val="nil"/>
              <w:left w:val="nil"/>
              <w:bottom w:val="single" w:sz="4" w:space="0" w:color="auto"/>
              <w:right w:val="single" w:sz="4" w:space="0" w:color="auto"/>
            </w:tcBorders>
          </w:tcPr>
          <w:p w14:paraId="6AC6D429" w14:textId="60D3B5F6" w:rsidR="00B37FA2" w:rsidRDefault="00B37FA2" w:rsidP="00B37FA2">
            <w:pPr>
              <w:jc w:val="right"/>
              <w:rPr>
                <w:rFonts w:cs="Arial"/>
                <w:b/>
                <w:bCs/>
              </w:rPr>
            </w:pPr>
            <w:r>
              <w:rPr>
                <w:rFonts w:cs="Arial"/>
                <w:b/>
                <w:bCs/>
              </w:rPr>
              <w:t>112</w:t>
            </w:r>
          </w:p>
        </w:tc>
        <w:tc>
          <w:tcPr>
            <w:tcW w:w="993" w:type="dxa"/>
            <w:tcBorders>
              <w:top w:val="nil"/>
              <w:left w:val="nil"/>
              <w:bottom w:val="single" w:sz="4" w:space="0" w:color="auto"/>
              <w:right w:val="single" w:sz="4" w:space="0" w:color="auto"/>
            </w:tcBorders>
          </w:tcPr>
          <w:p w14:paraId="68C610D1" w14:textId="3DEB7B1D" w:rsidR="00B37FA2" w:rsidRDefault="00B37FA2" w:rsidP="00B37FA2">
            <w:pPr>
              <w:jc w:val="right"/>
              <w:rPr>
                <w:rFonts w:cs="Arial"/>
                <w:b/>
                <w:bCs/>
              </w:rPr>
            </w:pPr>
            <w:r>
              <w:rPr>
                <w:rFonts w:cs="Arial"/>
                <w:b/>
                <w:bCs/>
              </w:rPr>
              <w:t>65</w:t>
            </w:r>
          </w:p>
        </w:tc>
        <w:tc>
          <w:tcPr>
            <w:tcW w:w="993" w:type="dxa"/>
            <w:tcBorders>
              <w:top w:val="nil"/>
              <w:left w:val="nil"/>
              <w:bottom w:val="single" w:sz="4" w:space="0" w:color="auto"/>
              <w:right w:val="single" w:sz="4" w:space="0" w:color="auto"/>
            </w:tcBorders>
          </w:tcPr>
          <w:p w14:paraId="11801FBC" w14:textId="6B824E6B" w:rsidR="00B37FA2" w:rsidRDefault="00B37FA2" w:rsidP="00B37FA2">
            <w:pPr>
              <w:jc w:val="right"/>
              <w:rPr>
                <w:rFonts w:cs="Arial"/>
                <w:b/>
                <w:bCs/>
              </w:rPr>
            </w:pPr>
            <w:r>
              <w:rPr>
                <w:rFonts w:cs="Arial"/>
                <w:b/>
                <w:bCs/>
              </w:rPr>
              <w:t>105</w:t>
            </w:r>
          </w:p>
        </w:tc>
      </w:tr>
      <w:bookmarkEnd w:id="19"/>
    </w:tbl>
    <w:p w14:paraId="7F737947" w14:textId="77777777" w:rsidR="00B361A6" w:rsidRDefault="00B361A6" w:rsidP="00B361A6">
      <w:pPr>
        <w:ind w:left="-142" w:right="-425"/>
        <w:jc w:val="both"/>
        <w:rPr>
          <w:rFonts w:cs="Arial"/>
        </w:rPr>
      </w:pPr>
    </w:p>
    <w:p w14:paraId="3DA4D471" w14:textId="3D83B91D" w:rsidR="005A5B78" w:rsidRDefault="005A5B78" w:rsidP="00C41210">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4E698A21" w14:textId="77777777" w:rsidR="000109D5" w:rsidRPr="000109D5" w:rsidRDefault="000109D5" w:rsidP="00D826AB">
      <w:pPr>
        <w:tabs>
          <w:tab w:val="left" w:pos="0"/>
        </w:tabs>
        <w:ind w:left="426" w:right="-425" w:hanging="568"/>
        <w:jc w:val="both"/>
        <w:rPr>
          <w:rFonts w:cs="Arial"/>
          <w:bCs/>
          <w:sz w:val="16"/>
          <w:szCs w:val="16"/>
        </w:rPr>
      </w:pPr>
    </w:p>
    <w:p w14:paraId="1A2DB700" w14:textId="38090DF7" w:rsidR="00D826AB" w:rsidRDefault="00D826AB" w:rsidP="00D826AB">
      <w:pPr>
        <w:tabs>
          <w:tab w:val="left" w:pos="0"/>
        </w:tabs>
        <w:ind w:left="426" w:right="-425" w:hanging="568"/>
        <w:jc w:val="both"/>
        <w:rPr>
          <w:rFonts w:cs="Arial"/>
          <w:sz w:val="16"/>
          <w:szCs w:val="16"/>
        </w:rPr>
      </w:pPr>
      <w:r>
        <w:rPr>
          <w:rFonts w:cs="Arial"/>
          <w:b/>
          <w:sz w:val="16"/>
          <w:szCs w:val="16"/>
        </w:rPr>
        <w:t>Table 14</w:t>
      </w:r>
      <w:r w:rsidRPr="005A620F">
        <w:rPr>
          <w:rFonts w:cs="Arial"/>
          <w:b/>
          <w:sz w:val="16"/>
          <w:szCs w:val="16"/>
        </w:rPr>
        <w:t xml:space="preserve">: </w:t>
      </w:r>
      <w:r>
        <w:rPr>
          <w:rFonts w:cs="Arial"/>
          <w:sz w:val="16"/>
          <w:szCs w:val="16"/>
        </w:rPr>
        <w:t>Conditional income m</w:t>
      </w:r>
      <w:r w:rsidRPr="005A620F">
        <w:rPr>
          <w:rFonts w:cs="Arial"/>
          <w:sz w:val="16"/>
          <w:szCs w:val="16"/>
        </w:rPr>
        <w:t xml:space="preserve">anagement </w:t>
      </w:r>
      <w:r>
        <w:rPr>
          <w:rFonts w:cs="Arial"/>
          <w:sz w:val="16"/>
          <w:szCs w:val="16"/>
        </w:rPr>
        <w:t xml:space="preserve">by community and quarter 1 </w:t>
      </w:r>
      <w:r>
        <w:rPr>
          <w:rFonts w:cs="Arial"/>
          <w:sz w:val="16"/>
          <w:szCs w:val="16"/>
        </w:rPr>
        <w:t>April</w:t>
      </w:r>
      <w:r>
        <w:rPr>
          <w:rFonts w:cs="Arial"/>
          <w:sz w:val="16"/>
          <w:szCs w:val="16"/>
        </w:rPr>
        <w:t xml:space="preserve"> 2024 to 3</w:t>
      </w:r>
      <w:r>
        <w:rPr>
          <w:rFonts w:cs="Arial"/>
          <w:sz w:val="16"/>
          <w:szCs w:val="16"/>
        </w:rPr>
        <w:t xml:space="preserve">0 June </w:t>
      </w:r>
      <w:r>
        <w:rPr>
          <w:rFonts w:cs="Arial"/>
          <w:sz w:val="16"/>
          <w:szCs w:val="16"/>
        </w:rPr>
        <w:t>2025</w:t>
      </w:r>
    </w:p>
    <w:p w14:paraId="66D24D6B" w14:textId="77777777" w:rsidR="00D826AB" w:rsidRDefault="00D826AB" w:rsidP="00D826AB">
      <w:pPr>
        <w:tabs>
          <w:tab w:val="left" w:pos="0"/>
        </w:tabs>
        <w:ind w:left="426" w:right="-425" w:hanging="568"/>
        <w:jc w:val="both"/>
        <w:rPr>
          <w:rFonts w:cs="Arial"/>
          <w:lang w:val="en-GB"/>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D826AB" w:rsidRPr="00C5395B" w14:paraId="04CF9CA9" w14:textId="77777777" w:rsidTr="006E46C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2CF0FA95" w14:textId="77777777" w:rsidR="00D826AB" w:rsidRPr="00C5395B" w:rsidRDefault="00D826AB" w:rsidP="00D826AB">
            <w:pPr>
              <w:pStyle w:val="TableText"/>
              <w:ind w:left="49"/>
              <w:rPr>
                <w:b/>
                <w:lang w:eastAsia="en-AU"/>
              </w:rPr>
            </w:pPr>
            <w:bookmarkStart w:id="20"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33C9F182" w14:textId="45FE7102" w:rsidR="00D826AB" w:rsidRDefault="00D826AB" w:rsidP="00D826AB">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6542D7B9" w14:textId="7D0692C5" w:rsidR="00D826AB" w:rsidRDefault="00D826AB" w:rsidP="00D826AB">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505AC9B2" w14:textId="3BD4644F" w:rsidR="00D826AB" w:rsidRDefault="00D826AB" w:rsidP="00D826AB">
            <w:pPr>
              <w:pStyle w:val="TableText"/>
              <w:jc w:val="right"/>
              <w:rPr>
                <w:b/>
                <w:lang w:eastAsia="en-AU"/>
              </w:rPr>
            </w:pPr>
            <w:r w:rsidRPr="00BA518C">
              <w:rPr>
                <w:b/>
                <w:lang w:eastAsia="en-AU"/>
              </w:rPr>
              <w:t>Qtr 6</w:t>
            </w:r>
            <w:r>
              <w:rPr>
                <w:b/>
                <w:lang w:eastAsia="en-AU"/>
              </w:rPr>
              <w:t>6</w:t>
            </w:r>
          </w:p>
        </w:tc>
        <w:tc>
          <w:tcPr>
            <w:tcW w:w="960" w:type="dxa"/>
            <w:tcBorders>
              <w:top w:val="single" w:sz="4" w:space="0" w:color="auto"/>
              <w:left w:val="nil"/>
              <w:bottom w:val="single" w:sz="4" w:space="0" w:color="auto"/>
              <w:right w:val="single" w:sz="4" w:space="0" w:color="auto"/>
            </w:tcBorders>
          </w:tcPr>
          <w:p w14:paraId="45F8844F" w14:textId="028D8E26" w:rsidR="00D826AB" w:rsidRDefault="00D826AB" w:rsidP="00D826AB">
            <w:pPr>
              <w:pStyle w:val="TableText"/>
              <w:jc w:val="right"/>
              <w:rPr>
                <w:b/>
                <w:lang w:eastAsia="en-AU"/>
              </w:rPr>
            </w:pPr>
            <w:r w:rsidRPr="00BA518C">
              <w:rPr>
                <w:b/>
                <w:lang w:eastAsia="en-AU"/>
              </w:rPr>
              <w:t>Qtr 6</w:t>
            </w:r>
            <w:r>
              <w:rPr>
                <w:b/>
                <w:lang w:eastAsia="en-AU"/>
              </w:rPr>
              <w:t>7</w:t>
            </w:r>
          </w:p>
        </w:tc>
        <w:tc>
          <w:tcPr>
            <w:tcW w:w="960" w:type="dxa"/>
            <w:tcBorders>
              <w:top w:val="single" w:sz="4" w:space="0" w:color="auto"/>
              <w:left w:val="nil"/>
              <w:bottom w:val="single" w:sz="4" w:space="0" w:color="auto"/>
              <w:right w:val="single" w:sz="4" w:space="0" w:color="auto"/>
            </w:tcBorders>
          </w:tcPr>
          <w:p w14:paraId="69F8B1F3" w14:textId="335F996F" w:rsidR="00D826AB" w:rsidRPr="00BA518C" w:rsidRDefault="00D826AB" w:rsidP="00D826AB">
            <w:pPr>
              <w:pStyle w:val="TableText"/>
              <w:jc w:val="right"/>
              <w:rPr>
                <w:b/>
                <w:lang w:eastAsia="en-AU"/>
              </w:rPr>
            </w:pPr>
            <w:r w:rsidRPr="00BA518C">
              <w:rPr>
                <w:b/>
                <w:lang w:eastAsia="en-AU"/>
              </w:rPr>
              <w:t>Qtr 6</w:t>
            </w:r>
            <w:r>
              <w:rPr>
                <w:b/>
                <w:lang w:eastAsia="en-AU"/>
              </w:rPr>
              <w:t>8</w:t>
            </w:r>
          </w:p>
        </w:tc>
      </w:tr>
      <w:tr w:rsidR="00B37FA2" w:rsidRPr="00C5395B" w14:paraId="512D5D06"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2BB9A9A8" w14:textId="77777777" w:rsidR="00B37FA2" w:rsidRPr="00C5395B" w:rsidRDefault="00B37FA2" w:rsidP="00B37FA2">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CAE5698" w14:textId="21F81CBC"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73CC06A" w14:textId="4BA4A66E" w:rsidR="00B37FA2" w:rsidRDefault="00B37FA2" w:rsidP="00B37FA2">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10AE6905" w14:textId="1D56D4DC" w:rsidR="00B37FA2" w:rsidRDefault="00B37FA2" w:rsidP="00B37FA2">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0DFF9560" w14:textId="164659DF" w:rsidR="00B37FA2" w:rsidRDefault="00B37FA2" w:rsidP="00B37FA2">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21122BF7" w14:textId="17C7E30B" w:rsidR="00B37FA2" w:rsidRDefault="00B37FA2" w:rsidP="00B37FA2">
            <w:pPr>
              <w:jc w:val="right"/>
              <w:rPr>
                <w:rFonts w:cs="Arial"/>
              </w:rPr>
            </w:pPr>
            <w:r>
              <w:rPr>
                <w:rFonts w:cs="Arial"/>
              </w:rPr>
              <w:t>4</w:t>
            </w:r>
          </w:p>
        </w:tc>
      </w:tr>
      <w:tr w:rsidR="00B37FA2" w:rsidRPr="00C5395B" w14:paraId="465512C1"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54569528" w14:textId="77777777" w:rsidR="00B37FA2" w:rsidRPr="00C5395B" w:rsidRDefault="00B37FA2" w:rsidP="00B37FA2">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18A5018A" w14:textId="26C3F9E7"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D38D517" w14:textId="6BC00BEA"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853918B" w14:textId="339CE917"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903788F" w14:textId="0CC2A7E8"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534D17A" w14:textId="2FDF17EB" w:rsidR="00B37FA2" w:rsidRDefault="00B37FA2" w:rsidP="00B37FA2">
            <w:pPr>
              <w:jc w:val="right"/>
              <w:rPr>
                <w:rFonts w:cs="Arial"/>
              </w:rPr>
            </w:pPr>
            <w:r>
              <w:rPr>
                <w:rFonts w:cs="Arial"/>
              </w:rPr>
              <w:t>0</w:t>
            </w:r>
          </w:p>
        </w:tc>
      </w:tr>
      <w:tr w:rsidR="00B37FA2" w:rsidRPr="00C5395B" w14:paraId="17087F15" w14:textId="77777777" w:rsidTr="006E46CB">
        <w:trPr>
          <w:trHeight w:val="255"/>
        </w:trPr>
        <w:tc>
          <w:tcPr>
            <w:tcW w:w="2040" w:type="dxa"/>
            <w:tcBorders>
              <w:top w:val="nil"/>
              <w:left w:val="single" w:sz="4" w:space="0" w:color="auto"/>
              <w:bottom w:val="single" w:sz="4" w:space="0" w:color="auto"/>
              <w:right w:val="single" w:sz="4" w:space="0" w:color="auto"/>
            </w:tcBorders>
            <w:noWrap/>
          </w:tcPr>
          <w:p w14:paraId="48BD635C" w14:textId="77777777" w:rsidR="00B37FA2" w:rsidRPr="00C5395B" w:rsidRDefault="00B37FA2" w:rsidP="00B37FA2">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249993D2" w14:textId="58D0AE0E"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2C89923" w14:textId="4700F073" w:rsidR="00B37FA2" w:rsidRDefault="00B37FA2" w:rsidP="00B37FA2">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54A78FE2" w14:textId="6CAC751D" w:rsidR="00B37FA2" w:rsidRDefault="00B37FA2" w:rsidP="00B37FA2">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3B47A579" w14:textId="6F94CFED"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6A3DAAA" w14:textId="0F5DBA80" w:rsidR="00B37FA2" w:rsidRDefault="00B37FA2" w:rsidP="00B37FA2">
            <w:pPr>
              <w:jc w:val="right"/>
              <w:rPr>
                <w:rFonts w:cs="Arial"/>
              </w:rPr>
            </w:pPr>
            <w:r>
              <w:rPr>
                <w:rFonts w:cs="Arial"/>
              </w:rPr>
              <w:t>1</w:t>
            </w:r>
          </w:p>
        </w:tc>
      </w:tr>
      <w:tr w:rsidR="00B37FA2" w:rsidRPr="00C5395B" w14:paraId="2A0C7598"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3BFFFB81" w14:textId="77777777" w:rsidR="00B37FA2" w:rsidRPr="00C5395B" w:rsidRDefault="00B37FA2" w:rsidP="00B37FA2">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6606A83" w14:textId="168A12DC" w:rsidR="00B37FA2" w:rsidRDefault="00B37FA2" w:rsidP="00B37FA2">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BE31DF3" w14:textId="5595CFE2"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300BE81" w14:textId="2B102B55" w:rsidR="00B37FA2" w:rsidRDefault="00B37FA2" w:rsidP="00B37FA2">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E9942C9" w14:textId="115FC597" w:rsidR="00B37FA2" w:rsidRDefault="00B37FA2" w:rsidP="00B37FA2">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58A416D3" w14:textId="19C88B35" w:rsidR="00B37FA2" w:rsidRDefault="00B37FA2" w:rsidP="00B37FA2">
            <w:pPr>
              <w:jc w:val="right"/>
              <w:rPr>
                <w:rFonts w:cs="Arial"/>
              </w:rPr>
            </w:pPr>
            <w:r>
              <w:rPr>
                <w:rFonts w:cs="Arial"/>
              </w:rPr>
              <w:t>1</w:t>
            </w:r>
          </w:p>
        </w:tc>
      </w:tr>
      <w:tr w:rsidR="00B37FA2" w:rsidRPr="00C5395B" w14:paraId="0DCAACAB"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3B0812FF" w14:textId="77777777" w:rsidR="00B37FA2" w:rsidRPr="00C5395B" w:rsidRDefault="00B37FA2" w:rsidP="00B37FA2">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3FCDA51E" w14:textId="0CA755E9"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F4439A1" w14:textId="733EFF8C"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763A524" w14:textId="41CFD8A5"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4C30CC7" w14:textId="52CD2382"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9CDF8B3" w14:textId="04A16846" w:rsidR="00B37FA2" w:rsidRDefault="00B37FA2" w:rsidP="00B37FA2">
            <w:pPr>
              <w:jc w:val="right"/>
              <w:rPr>
                <w:rFonts w:cs="Arial"/>
              </w:rPr>
            </w:pPr>
            <w:r>
              <w:rPr>
                <w:rFonts w:cs="Arial"/>
              </w:rPr>
              <w:t>0</w:t>
            </w:r>
          </w:p>
        </w:tc>
      </w:tr>
      <w:tr w:rsidR="00B37FA2" w:rsidRPr="00C5395B" w14:paraId="59D7F7A8"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334ED418" w14:textId="77777777" w:rsidR="00B37FA2" w:rsidRPr="00C5395B" w:rsidRDefault="00B37FA2" w:rsidP="00B37FA2">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722B6A7E" w14:textId="5636CFA1" w:rsidR="00B37FA2" w:rsidRDefault="00B37FA2" w:rsidP="00B37FA2">
            <w:pPr>
              <w:jc w:val="right"/>
              <w:rPr>
                <w:rFonts w:cs="Arial"/>
                <w:b/>
                <w:bCs/>
              </w:rPr>
            </w:pPr>
            <w:r>
              <w:rPr>
                <w:rFonts w:cs="Arial"/>
                <w:b/>
                <w:bCs/>
              </w:rPr>
              <w:t>4</w:t>
            </w:r>
          </w:p>
        </w:tc>
        <w:tc>
          <w:tcPr>
            <w:tcW w:w="960" w:type="dxa"/>
            <w:tcBorders>
              <w:top w:val="nil"/>
              <w:left w:val="nil"/>
              <w:bottom w:val="single" w:sz="4" w:space="0" w:color="auto"/>
              <w:right w:val="single" w:sz="4" w:space="0" w:color="auto"/>
            </w:tcBorders>
          </w:tcPr>
          <w:p w14:paraId="06A15272" w14:textId="10627FF4" w:rsidR="00B37FA2" w:rsidRDefault="00B37FA2" w:rsidP="00B37FA2">
            <w:pPr>
              <w:jc w:val="right"/>
              <w:rPr>
                <w:rFonts w:cs="Arial"/>
                <w:b/>
                <w:bCs/>
              </w:rPr>
            </w:pPr>
            <w:r>
              <w:rPr>
                <w:rFonts w:cs="Arial"/>
                <w:b/>
                <w:bCs/>
              </w:rPr>
              <w:t>12</w:t>
            </w:r>
          </w:p>
        </w:tc>
        <w:tc>
          <w:tcPr>
            <w:tcW w:w="960" w:type="dxa"/>
            <w:tcBorders>
              <w:top w:val="nil"/>
              <w:left w:val="nil"/>
              <w:bottom w:val="single" w:sz="4" w:space="0" w:color="auto"/>
              <w:right w:val="single" w:sz="4" w:space="0" w:color="auto"/>
            </w:tcBorders>
          </w:tcPr>
          <w:p w14:paraId="75E49DD4" w14:textId="2458425B" w:rsidR="00B37FA2" w:rsidRDefault="00B37FA2" w:rsidP="00B37FA2">
            <w:pPr>
              <w:jc w:val="right"/>
              <w:rPr>
                <w:rFonts w:cs="Arial"/>
                <w:b/>
                <w:bCs/>
              </w:rPr>
            </w:pPr>
            <w:r>
              <w:rPr>
                <w:rFonts w:cs="Arial"/>
                <w:b/>
                <w:bCs/>
              </w:rPr>
              <w:t>11</w:t>
            </w:r>
          </w:p>
        </w:tc>
        <w:tc>
          <w:tcPr>
            <w:tcW w:w="960" w:type="dxa"/>
            <w:tcBorders>
              <w:top w:val="nil"/>
              <w:left w:val="nil"/>
              <w:bottom w:val="single" w:sz="4" w:space="0" w:color="auto"/>
              <w:right w:val="single" w:sz="4" w:space="0" w:color="auto"/>
            </w:tcBorders>
          </w:tcPr>
          <w:p w14:paraId="5E87B39E" w14:textId="4CB8C6BA" w:rsidR="00B37FA2" w:rsidRDefault="00B37FA2" w:rsidP="00B37FA2">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170299EE" w14:textId="3F29EE57" w:rsidR="00B37FA2" w:rsidRDefault="00B37FA2" w:rsidP="00B37FA2">
            <w:pPr>
              <w:jc w:val="right"/>
              <w:rPr>
                <w:rFonts w:cs="Arial"/>
                <w:b/>
                <w:bCs/>
              </w:rPr>
            </w:pPr>
            <w:r>
              <w:rPr>
                <w:rFonts w:cs="Arial"/>
                <w:b/>
                <w:bCs/>
              </w:rPr>
              <w:t>6</w:t>
            </w:r>
          </w:p>
        </w:tc>
      </w:tr>
      <w:bookmarkEnd w:id="20"/>
    </w:tbl>
    <w:p w14:paraId="4D44CAB6" w14:textId="77777777" w:rsidR="00D826AB" w:rsidRDefault="00D826AB" w:rsidP="00D826AB">
      <w:pPr>
        <w:ind w:left="-142" w:right="-425"/>
        <w:jc w:val="both"/>
        <w:rPr>
          <w:rFonts w:cs="Arial"/>
          <w:lang w:val="en-GB"/>
        </w:rPr>
      </w:pPr>
    </w:p>
    <w:p w14:paraId="7776CF22" w14:textId="2AC70624" w:rsidR="005A5B78"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sidRPr="0052081A">
        <w:rPr>
          <w:rFonts w:cs="Arial"/>
          <w:lang w:val="en-GB"/>
        </w:rPr>
        <w:t xml:space="preserve">A total of </w:t>
      </w:r>
      <w:r w:rsidR="00FB3E7A">
        <w:rPr>
          <w:rFonts w:cs="Arial"/>
          <w:lang w:val="en-GB"/>
        </w:rPr>
        <w:t>6</w:t>
      </w:r>
      <w:r w:rsidR="00751FC3" w:rsidRPr="0052081A">
        <w:rPr>
          <w:rFonts w:cs="Arial"/>
          <w:lang w:val="en-GB"/>
        </w:rPr>
        <w:t xml:space="preserve"> </w:t>
      </w:r>
      <w:r w:rsidR="007F0C96" w:rsidRPr="0052081A">
        <w:rPr>
          <w:rFonts w:cs="Arial"/>
          <w:lang w:val="en-GB"/>
        </w:rPr>
        <w:t>new</w:t>
      </w:r>
      <w:r w:rsidR="00C4793F" w:rsidRPr="0052081A">
        <w:rPr>
          <w:rFonts w:cs="Arial"/>
          <w:lang w:val="en-GB"/>
        </w:rPr>
        <w:t xml:space="preserve"> </w:t>
      </w:r>
      <w:r w:rsidR="005A5B78" w:rsidRPr="0052081A">
        <w:rPr>
          <w:rFonts w:cs="Arial"/>
          <w:lang w:val="en-GB"/>
        </w:rPr>
        <w:t>CIMs</w:t>
      </w:r>
      <w:r w:rsidR="008875CF" w:rsidRPr="0052081A">
        <w:rPr>
          <w:rFonts w:cs="Arial"/>
          <w:lang w:val="en-GB"/>
        </w:rPr>
        <w:t xml:space="preserve"> </w:t>
      </w:r>
      <w:r w:rsidR="00EA0435" w:rsidRPr="0052081A">
        <w:rPr>
          <w:rFonts w:cs="Arial"/>
          <w:lang w:val="en-GB"/>
        </w:rPr>
        <w:t xml:space="preserve">(orders) </w:t>
      </w:r>
      <w:r w:rsidR="001E59F8" w:rsidRPr="0052081A">
        <w:rPr>
          <w:rFonts w:cs="Arial"/>
          <w:lang w:val="en-GB"/>
        </w:rPr>
        <w:t>relating to</w:t>
      </w:r>
      <w:r w:rsidR="00CD2E78" w:rsidRPr="0052081A">
        <w:rPr>
          <w:rFonts w:cs="Arial"/>
          <w:lang w:val="en-GB"/>
        </w:rPr>
        <w:t xml:space="preserve"> </w:t>
      </w:r>
      <w:r w:rsidR="00FB3E7A">
        <w:rPr>
          <w:rFonts w:cs="Arial"/>
          <w:lang w:val="en-GB"/>
        </w:rPr>
        <w:t>6</w:t>
      </w:r>
      <w:r w:rsidR="00751FC3" w:rsidRPr="0052081A">
        <w:rPr>
          <w:rFonts w:cs="Arial"/>
          <w:lang w:val="en-GB"/>
        </w:rPr>
        <w:t xml:space="preserve"> </w:t>
      </w:r>
      <w:r w:rsidR="00645C02" w:rsidRPr="0052081A">
        <w:rPr>
          <w:rFonts w:cs="Arial"/>
          <w:lang w:val="en-GB"/>
        </w:rPr>
        <w:t>clients</w:t>
      </w:r>
      <w:r w:rsidR="00B76924" w:rsidRPr="0052081A">
        <w:rPr>
          <w:rFonts w:cs="Arial"/>
          <w:lang w:val="en-GB"/>
        </w:rPr>
        <w:t xml:space="preserve"> </w:t>
      </w:r>
      <w:r w:rsidR="005A5B78" w:rsidRPr="0052081A">
        <w:rPr>
          <w:rFonts w:cs="Arial"/>
          <w:lang w:val="en-GB"/>
        </w:rPr>
        <w:t xml:space="preserve">were made in </w:t>
      </w:r>
      <w:r w:rsidR="00856C85" w:rsidRPr="0052081A">
        <w:rPr>
          <w:rFonts w:cs="Arial"/>
          <w:lang w:val="en-GB"/>
        </w:rPr>
        <w:t xml:space="preserve">quarter </w:t>
      </w:r>
      <w:r w:rsidR="00EF7EFC">
        <w:rPr>
          <w:rFonts w:cs="Arial"/>
          <w:lang w:val="en-GB"/>
        </w:rPr>
        <w:t>68</w:t>
      </w:r>
      <w:r w:rsidR="00D74542" w:rsidRPr="0052081A">
        <w:rPr>
          <w:rFonts w:cs="Arial"/>
          <w:lang w:val="en-GB"/>
        </w:rPr>
        <w:t xml:space="preserve"> </w:t>
      </w:r>
      <w:r w:rsidR="00953CCD" w:rsidRPr="0052081A">
        <w:rPr>
          <w:rFonts w:cs="Arial"/>
          <w:lang w:val="en-GB"/>
        </w:rPr>
        <w:t xml:space="preserve">with </w:t>
      </w:r>
      <w:r w:rsidR="00FB3E7A">
        <w:rPr>
          <w:rFonts w:cs="Arial"/>
          <w:lang w:val="en-GB"/>
        </w:rPr>
        <w:t>5</w:t>
      </w:r>
      <w:r w:rsidR="001741B0">
        <w:rPr>
          <w:rFonts w:cs="Arial"/>
          <w:lang w:val="en-GB"/>
        </w:rPr>
        <w:t>0</w:t>
      </w:r>
      <w:r w:rsidR="00C71432" w:rsidRPr="0052081A">
        <w:rPr>
          <w:rFonts w:cs="Arial"/>
          <w:lang w:val="en-GB"/>
        </w:rPr>
        <w:t xml:space="preserve">% </w:t>
      </w:r>
      <w:r w:rsidR="00953CCD" w:rsidRPr="0052081A">
        <w:rPr>
          <w:rFonts w:cs="Arial"/>
          <w:lang w:val="en-GB"/>
        </w:rPr>
        <w:t xml:space="preserve">set at </w:t>
      </w:r>
      <w:r w:rsidR="007973FB">
        <w:rPr>
          <w:rFonts w:cs="Arial"/>
          <w:lang w:val="en-GB"/>
        </w:rPr>
        <w:t>60</w:t>
      </w:r>
      <w:r w:rsidR="00AF0A25" w:rsidRPr="0052081A">
        <w:rPr>
          <w:rFonts w:cs="Arial"/>
          <w:lang w:val="en-GB"/>
        </w:rPr>
        <w:t xml:space="preserve">% </w:t>
      </w:r>
      <w:r w:rsidR="00953CCD" w:rsidRPr="0052081A">
        <w:rPr>
          <w:rFonts w:cs="Arial"/>
          <w:lang w:val="en-GB"/>
        </w:rPr>
        <w:t xml:space="preserve">quarantining of welfare payments (see graph 8) and </w:t>
      </w:r>
      <w:r w:rsidR="00FB3E7A">
        <w:rPr>
          <w:rFonts w:cs="Arial"/>
          <w:lang w:val="en-GB"/>
        </w:rPr>
        <w:t>6</w:t>
      </w:r>
      <w:r w:rsidR="001741B0">
        <w:rPr>
          <w:rFonts w:cs="Arial"/>
          <w:lang w:val="en-GB"/>
        </w:rPr>
        <w:t>7</w:t>
      </w:r>
      <w:r w:rsidR="00DD36DF" w:rsidRPr="0052081A">
        <w:rPr>
          <w:rFonts w:cs="Arial"/>
          <w:lang w:val="en-GB"/>
        </w:rPr>
        <w:t>%</w:t>
      </w:r>
      <w:r w:rsidR="00953CCD" w:rsidRPr="0052081A">
        <w:rPr>
          <w:rFonts w:cs="Arial"/>
          <w:lang w:val="en-GB"/>
        </w:rPr>
        <w:t xml:space="preserve"> set for a </w:t>
      </w:r>
      <w:r w:rsidR="001741B0">
        <w:rPr>
          <w:rFonts w:cs="Arial"/>
          <w:lang w:val="en-GB"/>
        </w:rPr>
        <w:t>3</w:t>
      </w:r>
      <w:r w:rsidR="00953CCD" w:rsidRPr="0052081A">
        <w:rPr>
          <w:rFonts w:cs="Arial"/>
          <w:lang w:val="en-GB"/>
        </w:rPr>
        <w:t>-month duration (see graph 6).</w:t>
      </w:r>
    </w:p>
    <w:p w14:paraId="3CC62747" w14:textId="77777777" w:rsidR="00FB3E7A" w:rsidRDefault="00FB3E7A" w:rsidP="0059763E">
      <w:pPr>
        <w:ind w:left="-142" w:right="-425"/>
        <w:jc w:val="both"/>
        <w:rPr>
          <w:rFonts w:cs="Arial"/>
          <w:lang w:val="en-GB"/>
        </w:rPr>
      </w:pPr>
    </w:p>
    <w:p w14:paraId="15BC289D" w14:textId="432C1AFE" w:rsidR="005A5B78" w:rsidRDefault="00B02A3C" w:rsidP="00B02A3C">
      <w:pPr>
        <w:ind w:left="-142" w:right="-425"/>
        <w:jc w:val="both"/>
        <w:rPr>
          <w:rFonts w:cs="Arial"/>
        </w:rPr>
      </w:pPr>
      <w:r w:rsidRPr="00DA60E4">
        <w:rPr>
          <w:rFonts w:cs="Arial"/>
        </w:rPr>
        <w:t>A</w:t>
      </w:r>
      <w:r w:rsidR="005A5B78" w:rsidRPr="00DA60E4">
        <w:rPr>
          <w:rFonts w:cs="Arial"/>
        </w:rPr>
        <w:t xml:space="preserve">s at </w:t>
      </w:r>
      <w:r w:rsidR="008E6F77">
        <w:rPr>
          <w:rFonts w:cs="Arial"/>
        </w:rPr>
        <w:t>30 June</w:t>
      </w:r>
      <w:r w:rsidR="00377F84" w:rsidRPr="00DA60E4">
        <w:rPr>
          <w:rFonts w:cs="Arial"/>
        </w:rPr>
        <w:t xml:space="preserve"> </w:t>
      </w:r>
      <w:r w:rsidR="004D0C91" w:rsidRPr="00DA60E4">
        <w:rPr>
          <w:rFonts w:cs="Arial"/>
        </w:rPr>
        <w:t>202</w:t>
      </w:r>
      <w:r w:rsidR="00377F84" w:rsidRPr="00DA60E4">
        <w:rPr>
          <w:rFonts w:cs="Arial"/>
        </w:rPr>
        <w:t>5</w:t>
      </w:r>
      <w:r w:rsidR="005A5B78" w:rsidRPr="00DA60E4">
        <w:rPr>
          <w:rFonts w:cs="Arial"/>
        </w:rPr>
        <w:t xml:space="preserve"> there were </w:t>
      </w:r>
      <w:r w:rsidR="001741B0">
        <w:rPr>
          <w:rFonts w:cs="Arial"/>
        </w:rPr>
        <w:t>9</w:t>
      </w:r>
      <w:r w:rsidR="001741B0" w:rsidRPr="00DA60E4">
        <w:rPr>
          <w:rFonts w:cs="Arial"/>
        </w:rPr>
        <w:t xml:space="preserve"> </w:t>
      </w:r>
      <w:r w:rsidR="005A5B78" w:rsidRPr="00DA60E4">
        <w:rPr>
          <w:rFonts w:cs="Arial"/>
        </w:rPr>
        <w:t xml:space="preserve">clients subject to a </w:t>
      </w:r>
      <w:r w:rsidR="00A20D65" w:rsidRPr="00376E4E">
        <w:rPr>
          <w:rFonts w:cs="Arial"/>
        </w:rPr>
        <w:t xml:space="preserve">current </w:t>
      </w:r>
      <w:r w:rsidR="005A5B78" w:rsidRPr="00376E4E">
        <w:rPr>
          <w:rFonts w:cs="Arial"/>
        </w:rPr>
        <w:t>CIM</w:t>
      </w:r>
      <w:r w:rsidR="004034AE" w:rsidRPr="00376E4E">
        <w:rPr>
          <w:rFonts w:cs="Arial"/>
        </w:rPr>
        <w:t xml:space="preserve"> who were responsible for </w:t>
      </w:r>
      <w:r w:rsidR="00DA60E4" w:rsidRPr="00376E4E">
        <w:rPr>
          <w:rFonts w:cs="Arial"/>
        </w:rPr>
        <w:t>2</w:t>
      </w:r>
      <w:r w:rsidR="00376E4E" w:rsidRPr="00376E4E">
        <w:rPr>
          <w:rFonts w:cs="Arial"/>
        </w:rPr>
        <w:t>0</w:t>
      </w:r>
      <w:r w:rsidR="00DA60E4" w:rsidRPr="00376E4E">
        <w:rPr>
          <w:rFonts w:cs="Arial"/>
        </w:rPr>
        <w:t xml:space="preserve"> </w:t>
      </w:r>
      <w:r w:rsidR="004034AE" w:rsidRPr="00376E4E">
        <w:rPr>
          <w:rFonts w:cs="Arial"/>
        </w:rPr>
        <w:t>children in their care (</w:t>
      </w:r>
      <w:r w:rsidR="00376E4E" w:rsidRPr="00376E4E">
        <w:rPr>
          <w:rFonts w:cs="Arial"/>
        </w:rPr>
        <w:t>12</w:t>
      </w:r>
      <w:r w:rsidR="0072649F" w:rsidRPr="00376E4E">
        <w:rPr>
          <w:rFonts w:cs="Arial"/>
        </w:rPr>
        <w:t xml:space="preserve"> </w:t>
      </w:r>
      <w:r w:rsidR="004034AE" w:rsidRPr="00376E4E">
        <w:rPr>
          <w:rFonts w:cs="Arial"/>
        </w:rPr>
        <w:t>of whom were school aged children</w:t>
      </w:r>
      <w:r w:rsidR="004573F7" w:rsidRPr="00376E4E">
        <w:rPr>
          <w:rFonts w:cs="Arial"/>
        </w:rPr>
        <w:t>)</w:t>
      </w:r>
      <w:r w:rsidR="004034AE" w:rsidRPr="00376E4E">
        <w:rPr>
          <w:rFonts w:cs="Arial"/>
        </w:rPr>
        <w:t xml:space="preserve">. </w:t>
      </w:r>
      <w:r w:rsidR="007E017B" w:rsidRPr="00376E4E">
        <w:rPr>
          <w:rFonts w:cs="Arial"/>
        </w:rPr>
        <w:t>Of</w:t>
      </w:r>
      <w:r w:rsidR="004034AE" w:rsidRPr="00376E4E">
        <w:rPr>
          <w:rFonts w:cs="Arial"/>
        </w:rPr>
        <w:t xml:space="preserve"> the </w:t>
      </w:r>
      <w:r w:rsidR="00376E4E" w:rsidRPr="00376E4E">
        <w:rPr>
          <w:rFonts w:cs="Arial"/>
        </w:rPr>
        <w:t xml:space="preserve">9 </w:t>
      </w:r>
      <w:r w:rsidR="004034AE" w:rsidRPr="00376E4E">
        <w:rPr>
          <w:rFonts w:cs="Arial"/>
        </w:rPr>
        <w:t xml:space="preserve">clients </w:t>
      </w:r>
      <w:r w:rsidR="00376E4E" w:rsidRPr="00376E4E">
        <w:rPr>
          <w:rFonts w:cs="Arial"/>
        </w:rPr>
        <w:t>44</w:t>
      </w:r>
      <w:r w:rsidR="007E017B" w:rsidRPr="00376E4E">
        <w:rPr>
          <w:rFonts w:cs="Arial"/>
        </w:rPr>
        <w:t xml:space="preserve">% </w:t>
      </w:r>
      <w:r w:rsidR="004034AE" w:rsidRPr="00376E4E">
        <w:rPr>
          <w:rFonts w:cs="Arial"/>
        </w:rPr>
        <w:t xml:space="preserve">were income managed </w:t>
      </w:r>
      <w:bookmarkStart w:id="21" w:name="_Hlk80798728"/>
      <w:r w:rsidR="004573F7" w:rsidRPr="00376E4E">
        <w:rPr>
          <w:rFonts w:cs="Arial"/>
        </w:rPr>
        <w:t xml:space="preserve">at </w:t>
      </w:r>
      <w:r w:rsidR="00984127" w:rsidRPr="00376E4E">
        <w:rPr>
          <w:rFonts w:cs="Arial"/>
        </w:rPr>
        <w:t>60</w:t>
      </w:r>
      <w:r w:rsidR="000A2349" w:rsidRPr="00376E4E">
        <w:rPr>
          <w:rFonts w:cs="Arial"/>
        </w:rPr>
        <w:t xml:space="preserve">%, </w:t>
      </w:r>
      <w:r w:rsidR="00376E4E" w:rsidRPr="00376E4E">
        <w:rPr>
          <w:rFonts w:cs="Arial"/>
        </w:rPr>
        <w:t>44</w:t>
      </w:r>
      <w:r w:rsidR="00DD36DF" w:rsidRPr="00376E4E">
        <w:rPr>
          <w:rFonts w:cs="Arial"/>
        </w:rPr>
        <w:t>%</w:t>
      </w:r>
      <w:r w:rsidR="000A2349" w:rsidRPr="00376E4E">
        <w:rPr>
          <w:rFonts w:cs="Arial"/>
        </w:rPr>
        <w:t xml:space="preserve"> </w:t>
      </w:r>
      <w:r w:rsidR="007E017B" w:rsidRPr="00376E4E">
        <w:rPr>
          <w:rFonts w:cs="Arial"/>
        </w:rPr>
        <w:t xml:space="preserve">were income managed </w:t>
      </w:r>
      <w:r w:rsidR="000A2349" w:rsidRPr="00376E4E">
        <w:rPr>
          <w:rFonts w:cs="Arial"/>
        </w:rPr>
        <w:t xml:space="preserve">at 75% and </w:t>
      </w:r>
      <w:r w:rsidR="00376E4E" w:rsidRPr="00376E4E">
        <w:rPr>
          <w:rFonts w:cs="Arial"/>
        </w:rPr>
        <w:t>12</w:t>
      </w:r>
      <w:r w:rsidR="00DD36DF" w:rsidRPr="00376E4E">
        <w:rPr>
          <w:rFonts w:cs="Arial"/>
        </w:rPr>
        <w:t>%</w:t>
      </w:r>
      <w:r w:rsidR="000A2349" w:rsidRPr="00376E4E">
        <w:rPr>
          <w:rFonts w:cs="Arial"/>
        </w:rPr>
        <w:t xml:space="preserve"> </w:t>
      </w:r>
      <w:r w:rsidR="007E017B" w:rsidRPr="00376E4E">
        <w:rPr>
          <w:rFonts w:cs="Arial"/>
        </w:rPr>
        <w:t xml:space="preserve">were income managed </w:t>
      </w:r>
      <w:r w:rsidR="000A2349" w:rsidRPr="00376E4E">
        <w:rPr>
          <w:rFonts w:cs="Arial"/>
        </w:rPr>
        <w:t xml:space="preserve">at 90% </w:t>
      </w:r>
      <w:r w:rsidR="004034AE" w:rsidRPr="00376E4E">
        <w:rPr>
          <w:rFonts w:cs="Arial"/>
        </w:rPr>
        <w:t>whilst duration ranged from</w:t>
      </w:r>
      <w:r w:rsidR="00D7787C" w:rsidRPr="00376E4E">
        <w:rPr>
          <w:rFonts w:cs="Arial"/>
        </w:rPr>
        <w:t xml:space="preserve"> </w:t>
      </w:r>
      <w:r w:rsidR="00376E4E" w:rsidRPr="00376E4E">
        <w:rPr>
          <w:rFonts w:cs="Arial"/>
        </w:rPr>
        <w:t>3</w:t>
      </w:r>
      <w:r w:rsidR="00D04624">
        <w:rPr>
          <w:rFonts w:cs="Arial"/>
        </w:rPr>
        <w:t>4</w:t>
      </w:r>
      <w:r w:rsidR="0009450B" w:rsidRPr="00376E4E">
        <w:rPr>
          <w:rFonts w:cs="Arial"/>
        </w:rPr>
        <w:t>% for a 3-month duration</w:t>
      </w:r>
      <w:r w:rsidR="007D5E4A" w:rsidRPr="00376E4E">
        <w:rPr>
          <w:rFonts w:cs="Arial"/>
        </w:rPr>
        <w:t xml:space="preserve">, </w:t>
      </w:r>
      <w:r w:rsidR="00376E4E" w:rsidRPr="00376E4E">
        <w:rPr>
          <w:rFonts w:cs="Arial"/>
        </w:rPr>
        <w:t>44</w:t>
      </w:r>
      <w:r w:rsidR="00DD36DF" w:rsidRPr="00376E4E">
        <w:rPr>
          <w:rFonts w:cs="Arial"/>
        </w:rPr>
        <w:t>%</w:t>
      </w:r>
      <w:r w:rsidR="005177D6" w:rsidRPr="00376E4E">
        <w:rPr>
          <w:rFonts w:cs="Arial"/>
        </w:rPr>
        <w:t xml:space="preserve"> for a 6-month duration</w:t>
      </w:r>
      <w:r w:rsidR="00267692" w:rsidRPr="00376E4E">
        <w:rPr>
          <w:rFonts w:cs="Arial"/>
        </w:rPr>
        <w:t xml:space="preserve">, </w:t>
      </w:r>
      <w:r w:rsidR="00376E4E" w:rsidRPr="00376E4E">
        <w:rPr>
          <w:rFonts w:cs="Arial"/>
        </w:rPr>
        <w:t>11</w:t>
      </w:r>
      <w:r w:rsidR="00267692" w:rsidRPr="00376E4E">
        <w:rPr>
          <w:rFonts w:cs="Arial"/>
        </w:rPr>
        <w:t>% for a duration of 9 months</w:t>
      </w:r>
      <w:r w:rsidR="001E792B" w:rsidRPr="00376E4E">
        <w:rPr>
          <w:rFonts w:cs="Arial"/>
        </w:rPr>
        <w:t xml:space="preserve"> </w:t>
      </w:r>
      <w:r w:rsidR="00AF3A15" w:rsidRPr="00376E4E">
        <w:rPr>
          <w:rFonts w:cs="Arial"/>
        </w:rPr>
        <w:t>and</w:t>
      </w:r>
      <w:r w:rsidR="007D5E4A" w:rsidRPr="00376E4E">
        <w:rPr>
          <w:rFonts w:cs="Arial"/>
        </w:rPr>
        <w:t xml:space="preserve"> </w:t>
      </w:r>
      <w:r w:rsidR="00376E4E">
        <w:rPr>
          <w:rFonts w:cs="Arial"/>
        </w:rPr>
        <w:t>11</w:t>
      </w:r>
      <w:r w:rsidR="007D5E4A" w:rsidRPr="00376E4E">
        <w:rPr>
          <w:rFonts w:cs="Arial"/>
        </w:rPr>
        <w:t>% for a duration of 12 months</w:t>
      </w:r>
      <w:r w:rsidR="00CE5828" w:rsidRPr="00376E4E">
        <w:rPr>
          <w:rFonts w:cs="Arial"/>
        </w:rPr>
        <w:t>.</w:t>
      </w:r>
      <w:r w:rsidR="0061573D" w:rsidRPr="00DA60E4">
        <w:rPr>
          <w:rFonts w:cs="Arial"/>
        </w:rPr>
        <w:t xml:space="preserve"> </w:t>
      </w:r>
      <w:bookmarkEnd w:id="21"/>
      <w:r w:rsidR="005A5B78" w:rsidRPr="00DA60E4">
        <w:rPr>
          <w:rFonts w:cs="Arial"/>
        </w:rPr>
        <w:t>Commissioners continue to negotiate with clients to achieve desirable outcomes</w:t>
      </w:r>
      <w:r w:rsidR="00AB7A2F" w:rsidRPr="00DA60E4">
        <w:rPr>
          <w:rFonts w:cs="Arial"/>
        </w:rPr>
        <w:t>,</w:t>
      </w:r>
      <w:r w:rsidR="005A5B78" w:rsidRPr="00DA60E4">
        <w:rPr>
          <w:rFonts w:cs="Arial"/>
        </w:rPr>
        <w:t xml:space="preserve"> or to demonstrate motivation and commitment to make appropriate life c</w:t>
      </w:r>
      <w:r w:rsidR="0061573D" w:rsidRPr="00DA60E4">
        <w:rPr>
          <w:rFonts w:cs="Arial"/>
        </w:rPr>
        <w:t>hoices.</w:t>
      </w:r>
      <w:r w:rsidR="005A5B78" w:rsidRPr="00DA60E4">
        <w:rPr>
          <w:rFonts w:cs="Arial"/>
        </w:rPr>
        <w:t xml:space="preserve"> Demonstrated positive steps toward taking responsibility provide the Commissioners with sufficient reason to consider </w:t>
      </w:r>
      <w:r w:rsidR="00BE4505" w:rsidRPr="00DA60E4">
        <w:rPr>
          <w:rFonts w:cs="Arial"/>
        </w:rPr>
        <w:t xml:space="preserve">amending or ending </w:t>
      </w:r>
      <w:r w:rsidR="00001E8D" w:rsidRPr="00DA60E4">
        <w:rPr>
          <w:rFonts w:cs="Arial"/>
        </w:rPr>
        <w:t xml:space="preserve">a </w:t>
      </w:r>
      <w:r w:rsidR="005A5B78" w:rsidRPr="00DA60E4">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C41210">
      <w:pPr>
        <w:pStyle w:val="Heading2"/>
      </w:pPr>
      <w:r>
        <w:t>Voluntary self-r</w:t>
      </w:r>
      <w:r w:rsidRPr="002D4651">
        <w:t>eferrals</w:t>
      </w:r>
      <w:r>
        <w:t xml:space="preserve"> from clients to the Commission</w:t>
      </w:r>
    </w:p>
    <w:p w14:paraId="77A10D70" w14:textId="0CA10C8F"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w:t>
      </w:r>
      <w:r>
        <w:rPr>
          <w:rFonts w:cs="Arial"/>
        </w:rPr>
        <w:lastRenderedPageBreak/>
        <w:t>subject to voluntary income management</w:t>
      </w:r>
      <w:r w:rsidR="00CE115E">
        <w:rPr>
          <w:rFonts w:cs="Arial"/>
        </w:rPr>
        <w:t xml:space="preserve"> (VIM)</w:t>
      </w:r>
      <w:r>
        <w:rPr>
          <w:rFonts w:cs="Arial"/>
        </w:rPr>
        <w:t xml:space="preserve">. During quarter </w:t>
      </w:r>
      <w:r w:rsidR="00EF7EFC">
        <w:rPr>
          <w:rFonts w:cs="Arial"/>
        </w:rPr>
        <w:t>68</w:t>
      </w:r>
      <w:r w:rsidR="00F45BD7">
        <w:rPr>
          <w:rFonts w:cs="Arial"/>
        </w:rPr>
        <w:t>,</w:t>
      </w:r>
      <w:r>
        <w:rPr>
          <w:rFonts w:cs="Arial"/>
        </w:rPr>
        <w:t xml:space="preserve"> </w:t>
      </w:r>
      <w:r w:rsidR="001741B0">
        <w:rPr>
          <w:rFonts w:cs="Arial"/>
        </w:rPr>
        <w:t>5</w:t>
      </w:r>
      <w:r w:rsidR="00751FC3">
        <w:rPr>
          <w:rFonts w:cs="Arial"/>
        </w:rPr>
        <w:t xml:space="preserve">4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1741B0">
        <w:rPr>
          <w:rFonts w:cs="Arial"/>
        </w:rPr>
        <w:t>55</w:t>
      </w:r>
      <w:r w:rsidR="00751FC3">
        <w:rPr>
          <w:rFonts w:cs="Arial"/>
        </w:rPr>
        <w:t xml:space="preserve"> </w:t>
      </w:r>
      <w:r>
        <w:rPr>
          <w:rFonts w:cs="Arial"/>
        </w:rPr>
        <w:t>community support services under a case p</w:t>
      </w:r>
      <w:r w:rsidRPr="007F32E2">
        <w:rPr>
          <w:rFonts w:cs="Arial"/>
        </w:rPr>
        <w:t>lan</w:t>
      </w:r>
      <w:r w:rsidR="00B83421">
        <w:rPr>
          <w:rFonts w:cs="Arial"/>
        </w:rPr>
        <w:t xml:space="preserve"> relating to </w:t>
      </w:r>
      <w:r w:rsidR="001741B0">
        <w:rPr>
          <w:rFonts w:cs="Arial"/>
        </w:rPr>
        <w:t>51</w:t>
      </w:r>
      <w:r w:rsidR="00751FC3">
        <w:rPr>
          <w:rFonts w:cs="Arial"/>
        </w:rPr>
        <w:t xml:space="preserve"> </w:t>
      </w:r>
      <w:r w:rsidR="00B83421">
        <w:rPr>
          <w:rFonts w:cs="Arial"/>
        </w:rPr>
        <w:t>clients</w:t>
      </w:r>
      <w:r w:rsidRPr="007F32E2">
        <w:rPr>
          <w:rFonts w:cs="Arial"/>
        </w:rPr>
        <w:t>.</w:t>
      </w:r>
    </w:p>
    <w:p w14:paraId="0F83010B" w14:textId="77777777" w:rsidR="000109D5" w:rsidRDefault="000109D5" w:rsidP="001D4A2E">
      <w:pPr>
        <w:ind w:left="-142" w:right="-425"/>
        <w:jc w:val="both"/>
        <w:rPr>
          <w:rFonts w:cs="Arial"/>
        </w:rPr>
      </w:pPr>
    </w:p>
    <w:p w14:paraId="21435433" w14:textId="67F0DB95" w:rsidR="00EC3C3E" w:rsidRPr="006524B7" w:rsidRDefault="00D802EF" w:rsidP="00D826AB">
      <w:pPr>
        <w:pStyle w:val="Heading2"/>
      </w:pPr>
      <w:r w:rsidRPr="00113244">
        <w:t>Voluntary</w:t>
      </w:r>
      <w:r w:rsidR="00EC3C3E" w:rsidRPr="00113244">
        <w:t xml:space="preserve"> </w:t>
      </w:r>
      <w:r w:rsidR="00334F4D">
        <w:t>Income Management</w:t>
      </w:r>
    </w:p>
    <w:p w14:paraId="2F01F04F" w14:textId="057729FF"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751FC3">
        <w:rPr>
          <w:rFonts w:cs="Arial"/>
        </w:rPr>
        <w:t>3</w:t>
      </w:r>
      <w:r w:rsidR="001741B0">
        <w:rPr>
          <w:rFonts w:cs="Arial"/>
        </w:rPr>
        <w:t>3</w:t>
      </w:r>
      <w:r w:rsidR="00751FC3">
        <w:rPr>
          <w:rFonts w:cs="Arial"/>
        </w:rPr>
        <w:t xml:space="preserve">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1741B0">
        <w:rPr>
          <w:rFonts w:cs="Arial"/>
        </w:rPr>
        <w:t>91</w:t>
      </w:r>
      <w:r w:rsidR="00B266FC">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E44A0">
        <w:rPr>
          <w:rFonts w:cs="Arial"/>
        </w:rPr>
        <w:t>quarantining</w:t>
      </w:r>
      <w:r w:rsidR="000F0D55" w:rsidRPr="009C5078">
        <w:rPr>
          <w:rFonts w:cs="Arial"/>
        </w:rPr>
        <w:t xml:space="preserve"> 60</w:t>
      </w:r>
      <w:r w:rsidR="00AF0A25">
        <w:rPr>
          <w:rFonts w:cs="Arial"/>
        </w:rPr>
        <w:t xml:space="preserve">% </w:t>
      </w:r>
      <w:r w:rsidR="004E765A" w:rsidRPr="009C5078">
        <w:rPr>
          <w:rFonts w:cs="Arial"/>
        </w:rPr>
        <w:t>of welfare payments</w:t>
      </w:r>
      <w:r w:rsidR="000F0D55" w:rsidRPr="009C5078">
        <w:rPr>
          <w:rFonts w:cs="Arial"/>
        </w:rPr>
        <w:t xml:space="preserve"> </w:t>
      </w:r>
      <w:r w:rsidR="00AE4A0C" w:rsidRPr="009C5078">
        <w:rPr>
          <w:rFonts w:cs="Arial"/>
        </w:rPr>
        <w:t xml:space="preserve">(see graph </w:t>
      </w:r>
      <w:r w:rsidR="00F61DB6">
        <w:rPr>
          <w:rFonts w:cs="Arial"/>
        </w:rPr>
        <w:t>9</w:t>
      </w:r>
      <w:r w:rsidR="00AE4A0C" w:rsidRPr="009C5078">
        <w:rPr>
          <w:rFonts w:cs="Arial"/>
        </w:rPr>
        <w:t>)</w:t>
      </w:r>
      <w:r w:rsidR="003C0B61">
        <w:rPr>
          <w:rFonts w:cs="Arial"/>
        </w:rPr>
        <w:t xml:space="preserve"> and </w:t>
      </w:r>
      <w:r w:rsidR="001741B0">
        <w:rPr>
          <w:rFonts w:cs="Arial"/>
        </w:rPr>
        <w:t>39</w:t>
      </w:r>
      <w:r w:rsidR="00B266FC">
        <w:rPr>
          <w:rFonts w:cs="Arial"/>
        </w:rPr>
        <w:t xml:space="preserve">% set for </w:t>
      </w:r>
      <w:r w:rsidR="00933AC7">
        <w:rPr>
          <w:rFonts w:cs="Arial"/>
        </w:rPr>
        <w:t xml:space="preserve">both </w:t>
      </w:r>
      <w:r w:rsidR="003C0B61">
        <w:rPr>
          <w:rFonts w:cs="Arial"/>
        </w:rPr>
        <w:t xml:space="preserve">a duration of </w:t>
      </w:r>
      <w:r w:rsidR="001741B0">
        <w:rPr>
          <w:rFonts w:cs="Arial"/>
        </w:rPr>
        <w:t>3</w:t>
      </w:r>
      <w:r w:rsidR="005C48A1">
        <w:rPr>
          <w:rFonts w:cs="Arial"/>
        </w:rPr>
        <w:t xml:space="preserve"> </w:t>
      </w:r>
      <w:r w:rsidR="00BB129A">
        <w:rPr>
          <w:rFonts w:cs="Arial"/>
        </w:rPr>
        <w:t>months</w:t>
      </w:r>
      <w:r w:rsidR="00933AC7">
        <w:rPr>
          <w:rFonts w:cs="Arial"/>
        </w:rPr>
        <w:t xml:space="preserve"> and </w:t>
      </w:r>
      <w:r w:rsidR="001741B0">
        <w:rPr>
          <w:rFonts w:cs="Arial"/>
        </w:rPr>
        <w:t>6</w:t>
      </w:r>
      <w:r w:rsidR="00933AC7">
        <w:rPr>
          <w:rFonts w:cs="Arial"/>
        </w:rPr>
        <w:t xml:space="preserve"> months</w:t>
      </w:r>
      <w:r w:rsidR="00BB129A">
        <w:rPr>
          <w:rFonts w:cs="Arial"/>
        </w:rPr>
        <w:t xml:space="preserve"> </w:t>
      </w:r>
      <w:r w:rsidR="00AE4A0C" w:rsidRPr="009C5078">
        <w:rPr>
          <w:rFonts w:cs="Arial"/>
        </w:rPr>
        <w:t xml:space="preserve">(see graph </w:t>
      </w:r>
      <w:r w:rsidR="00F61DB6">
        <w:rPr>
          <w:rFonts w:cs="Arial"/>
        </w:rPr>
        <w:t>7</w:t>
      </w:r>
      <w:r w:rsidR="00AE4A0C" w:rsidRPr="009C5078">
        <w:rPr>
          <w:rFonts w:cs="Arial"/>
        </w:rPr>
        <w:t>).</w:t>
      </w:r>
      <w:r w:rsidR="005A6206" w:rsidRPr="00246B5A">
        <w:rPr>
          <w:rFonts w:cs="Arial"/>
        </w:rPr>
        <w:t xml:space="preserve"> </w:t>
      </w:r>
      <w:r w:rsidR="00D30730" w:rsidRPr="00246B5A">
        <w:rPr>
          <w:rFonts w:cs="Arial"/>
        </w:rPr>
        <w:t xml:space="preserve">As at </w:t>
      </w:r>
      <w:r w:rsidR="008E6F77">
        <w:rPr>
          <w:rFonts w:cs="Arial"/>
        </w:rPr>
        <w:t>30 June</w:t>
      </w:r>
      <w:r w:rsidR="00377F84">
        <w:rPr>
          <w:rFonts w:cs="Arial"/>
        </w:rPr>
        <w:t xml:space="preserve"> 2025</w:t>
      </w:r>
      <w:r w:rsidR="00D30730" w:rsidRPr="00246B5A">
        <w:rPr>
          <w:rFonts w:cs="Arial"/>
        </w:rPr>
        <w:t xml:space="preserve"> there were </w:t>
      </w:r>
      <w:r w:rsidR="001741B0">
        <w:rPr>
          <w:rFonts w:cs="Arial"/>
        </w:rPr>
        <w:t>67</w:t>
      </w:r>
      <w:r w:rsidR="001741B0"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7B6A35">
        <w:t xml:space="preserve">who had </w:t>
      </w:r>
      <w:r w:rsidR="007B6A35" w:rsidRPr="007B6A35">
        <w:t>51</w:t>
      </w:r>
      <w:r w:rsidR="004B3656" w:rsidRPr="007B6A35">
        <w:t xml:space="preserve"> </w:t>
      </w:r>
      <w:r w:rsidR="00BB129A" w:rsidRPr="007B6A35">
        <w:t>children in their care (</w:t>
      </w:r>
      <w:r w:rsidR="007B6A35" w:rsidRPr="007B6A35">
        <w:t>32</w:t>
      </w:r>
      <w:r w:rsidR="004B3656" w:rsidRPr="007B6A35">
        <w:t xml:space="preserve"> </w:t>
      </w:r>
      <w:r w:rsidR="00BB129A" w:rsidRPr="007B6A35">
        <w:t>of whom were school aged children)</w:t>
      </w:r>
      <w:r w:rsidR="007847CF" w:rsidRPr="007B6A35">
        <w:rPr>
          <w:rFonts w:cs="Arial"/>
        </w:rPr>
        <w:t>.</w:t>
      </w:r>
    </w:p>
    <w:p w14:paraId="45432E30" w14:textId="1B99792C" w:rsidR="006B6030" w:rsidRDefault="006B6030" w:rsidP="005A02C1">
      <w:pPr>
        <w:ind w:left="-142" w:right="-425"/>
        <w:jc w:val="both"/>
        <w:rPr>
          <w:rFonts w:cs="Arial"/>
        </w:rPr>
      </w:pPr>
    </w:p>
    <w:p w14:paraId="1087AFFD" w14:textId="2673E453" w:rsidR="003833F9" w:rsidRPr="005212BC" w:rsidRDefault="003833F9" w:rsidP="003833F9">
      <w:pPr>
        <w:ind w:left="-142" w:right="-425"/>
        <w:jc w:val="both"/>
        <w:rPr>
          <w:rFonts w:cs="Arial"/>
          <w:b/>
          <w:bCs/>
        </w:rPr>
      </w:pPr>
      <w:r w:rsidRPr="005212BC">
        <w:rPr>
          <w:rFonts w:cs="Arial"/>
          <w:b/>
          <w:bCs/>
        </w:rPr>
        <w:t xml:space="preserve">Status of </w:t>
      </w:r>
      <w:r w:rsidR="003C0B61">
        <w:rPr>
          <w:rFonts w:cs="Arial"/>
          <w:b/>
          <w:bCs/>
        </w:rPr>
        <w:t>the SmartCard</w:t>
      </w:r>
      <w:r w:rsidR="003C0B61" w:rsidRPr="005212BC">
        <w:rPr>
          <w:rFonts w:cs="Arial"/>
          <w:b/>
          <w:bCs/>
        </w:rPr>
        <w:t xml:space="preserve"> </w:t>
      </w:r>
      <w:r w:rsidRPr="005212BC">
        <w:rPr>
          <w:rFonts w:cs="Arial"/>
          <w:b/>
          <w:bCs/>
        </w:rPr>
        <w:t xml:space="preserve">in FRC Communities for quarter </w:t>
      </w:r>
      <w:r w:rsidR="00EF7EFC">
        <w:rPr>
          <w:rFonts w:cs="Arial"/>
          <w:b/>
          <w:bCs/>
        </w:rPr>
        <w:t>68</w:t>
      </w:r>
    </w:p>
    <w:p w14:paraId="40773987" w14:textId="2A611764" w:rsidR="003833F9" w:rsidRDefault="005B7A50" w:rsidP="003833F9">
      <w:pPr>
        <w:ind w:left="-142" w:right="-425"/>
        <w:jc w:val="both"/>
        <w:rPr>
          <w:rFonts w:cs="Arial"/>
        </w:rPr>
      </w:pPr>
      <w:r>
        <w:rPr>
          <w:rFonts w:cs="Arial"/>
        </w:rPr>
        <w:t>Thirty-nine</w:t>
      </w:r>
      <w:r w:rsidR="006B367F">
        <w:rPr>
          <w:rFonts w:cs="Arial"/>
        </w:rPr>
        <w:t xml:space="preserve"> </w:t>
      </w:r>
      <w:proofErr w:type="spellStart"/>
      <w:r w:rsidR="003C0B61">
        <w:rPr>
          <w:rFonts w:cs="Arial"/>
        </w:rPr>
        <w:t>SmartCards</w:t>
      </w:r>
      <w:proofErr w:type="spellEnd"/>
      <w:r w:rsidR="003833F9">
        <w:rPr>
          <w:rFonts w:cs="Arial"/>
        </w:rPr>
        <w:t xml:space="preserve"> </w:t>
      </w:r>
      <w:r w:rsidR="00386ABC">
        <w:rPr>
          <w:rFonts w:cs="Arial"/>
        </w:rPr>
        <w:t>(</w:t>
      </w:r>
      <w:r>
        <w:rPr>
          <w:rFonts w:cs="Arial"/>
        </w:rPr>
        <w:t>6</w:t>
      </w:r>
      <w:r w:rsidR="00FB27B4">
        <w:rPr>
          <w:rFonts w:cs="Arial"/>
        </w:rPr>
        <w:t xml:space="preserve"> </w:t>
      </w:r>
      <w:r w:rsidR="00386ABC">
        <w:rPr>
          <w:rFonts w:cs="Arial"/>
        </w:rPr>
        <w:t xml:space="preserve">for CIM and </w:t>
      </w:r>
      <w:r w:rsidR="007A4DAD">
        <w:rPr>
          <w:rFonts w:cs="Arial"/>
        </w:rPr>
        <w:t>3</w:t>
      </w:r>
      <w:r>
        <w:rPr>
          <w:rFonts w:cs="Arial"/>
        </w:rPr>
        <w:t>3</w:t>
      </w:r>
      <w:r w:rsidR="00E97532">
        <w:rPr>
          <w:rFonts w:cs="Arial"/>
        </w:rPr>
        <w:t xml:space="preserve"> </w:t>
      </w:r>
      <w:r w:rsidR="00386ABC">
        <w:rPr>
          <w:rFonts w:cs="Arial"/>
        </w:rPr>
        <w:t xml:space="preserve">for VIM) </w:t>
      </w:r>
      <w:r w:rsidR="003833F9">
        <w:rPr>
          <w:rFonts w:cs="Arial"/>
        </w:rPr>
        <w:t xml:space="preserve">were processed for the period </w:t>
      </w:r>
      <w:r w:rsidR="008E6F77">
        <w:rPr>
          <w:rFonts w:cs="Arial"/>
        </w:rPr>
        <w:t>1 April</w:t>
      </w:r>
      <w:r w:rsidR="0069185E">
        <w:rPr>
          <w:rFonts w:cs="Arial"/>
        </w:rPr>
        <w:t xml:space="preserve"> </w:t>
      </w:r>
      <w:r w:rsidR="00BC09BB">
        <w:rPr>
          <w:rFonts w:cs="Arial"/>
        </w:rPr>
        <w:t>202</w:t>
      </w:r>
      <w:r w:rsidR="0069185E">
        <w:rPr>
          <w:rFonts w:cs="Arial"/>
        </w:rPr>
        <w:t>5</w:t>
      </w:r>
      <w:r w:rsidR="00BC09BB">
        <w:rPr>
          <w:rFonts w:cs="Arial"/>
        </w:rPr>
        <w:t xml:space="preserve"> to </w:t>
      </w:r>
      <w:r w:rsidR="008E6F77">
        <w:rPr>
          <w:rFonts w:cs="Arial"/>
        </w:rPr>
        <w:t>30 June</w:t>
      </w:r>
      <w:r w:rsidR="0069185E">
        <w:rPr>
          <w:rFonts w:cs="Arial"/>
        </w:rPr>
        <w:t xml:space="preserve"> </w:t>
      </w:r>
      <w:r w:rsidR="00BC09BB">
        <w:rPr>
          <w:rFonts w:cs="Arial"/>
        </w:rPr>
        <w:t>202</w:t>
      </w:r>
      <w:r w:rsidR="0069185E">
        <w:rPr>
          <w:rFonts w:cs="Arial"/>
        </w:rPr>
        <w:t>5</w:t>
      </w:r>
      <w:r w:rsidR="003833F9">
        <w:rPr>
          <w:rFonts w:cs="Arial"/>
        </w:rPr>
        <w:t xml:space="preserve">, including orders and agreements that were still awaiting Centrelink action as at </w:t>
      </w:r>
      <w:r w:rsidR="008E6F77">
        <w:rPr>
          <w:rFonts w:cs="Arial"/>
        </w:rPr>
        <w:t>30 June</w:t>
      </w:r>
      <w:r w:rsidR="003833F9">
        <w:rPr>
          <w:rFonts w:cs="Arial"/>
        </w:rPr>
        <w:t>.</w:t>
      </w:r>
    </w:p>
    <w:p w14:paraId="6670B120" w14:textId="77777777" w:rsidR="00D826AB" w:rsidRDefault="00D826AB" w:rsidP="00D826AB">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D826AB" w14:paraId="42BD2FFB" w14:textId="77777777" w:rsidTr="006E46CB">
        <w:trPr>
          <w:trHeight w:val="278"/>
        </w:trPr>
        <w:tc>
          <w:tcPr>
            <w:tcW w:w="4106" w:type="dxa"/>
            <w:gridSpan w:val="2"/>
          </w:tcPr>
          <w:p w14:paraId="0C48043A" w14:textId="47470224" w:rsidR="00D826AB" w:rsidRPr="002C0A49" w:rsidRDefault="00D826AB" w:rsidP="006E46CB">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 xml:space="preserve">1 </w:t>
            </w:r>
            <w:r>
              <w:rPr>
                <w:rFonts w:cs="Arial"/>
                <w:noProof/>
                <w:sz w:val="16"/>
                <w:szCs w:val="16"/>
              </w:rPr>
              <w:t>April</w:t>
            </w:r>
            <w:r>
              <w:rPr>
                <w:rFonts w:cs="Arial"/>
                <w:noProof/>
                <w:sz w:val="16"/>
                <w:szCs w:val="16"/>
              </w:rPr>
              <w:t xml:space="preserve"> 2025</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2025</w:t>
            </w:r>
          </w:p>
        </w:tc>
        <w:tc>
          <w:tcPr>
            <w:tcW w:w="709" w:type="dxa"/>
            <w:tcBorders>
              <w:top w:val="nil"/>
              <w:bottom w:val="nil"/>
            </w:tcBorders>
          </w:tcPr>
          <w:p w14:paraId="41D6D241" w14:textId="77777777" w:rsidR="00D826AB" w:rsidRDefault="00D826AB" w:rsidP="006E46CB">
            <w:pPr>
              <w:rPr>
                <w:rFonts w:cs="Arial"/>
                <w:b/>
                <w:bCs/>
                <w:noProof/>
                <w:sz w:val="16"/>
                <w:szCs w:val="16"/>
              </w:rPr>
            </w:pPr>
          </w:p>
        </w:tc>
        <w:tc>
          <w:tcPr>
            <w:tcW w:w="4098" w:type="dxa"/>
            <w:gridSpan w:val="2"/>
          </w:tcPr>
          <w:p w14:paraId="694CCF64" w14:textId="2C3B91EE" w:rsidR="00D826AB" w:rsidRPr="00E33A8C" w:rsidRDefault="00D826AB" w:rsidP="006E46CB">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 xml:space="preserve">1 </w:t>
            </w:r>
            <w:r>
              <w:rPr>
                <w:rFonts w:cs="Arial"/>
                <w:noProof/>
                <w:sz w:val="16"/>
                <w:szCs w:val="16"/>
              </w:rPr>
              <w:t>April</w:t>
            </w:r>
            <w:r>
              <w:rPr>
                <w:rFonts w:cs="Arial"/>
                <w:noProof/>
                <w:sz w:val="16"/>
                <w:szCs w:val="16"/>
              </w:rPr>
              <w:t xml:space="preserve"> 2025</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2025</w:t>
            </w:r>
          </w:p>
        </w:tc>
      </w:tr>
      <w:tr w:rsidR="00D826AB" w14:paraId="5E5BFDA8" w14:textId="77777777" w:rsidTr="006E46CB">
        <w:trPr>
          <w:trHeight w:val="278"/>
        </w:trPr>
        <w:tc>
          <w:tcPr>
            <w:tcW w:w="2972" w:type="dxa"/>
            <w:vAlign w:val="center"/>
          </w:tcPr>
          <w:p w14:paraId="6EE6854D" w14:textId="77777777" w:rsidR="00D826AB" w:rsidRPr="00CB1588" w:rsidRDefault="00D826AB" w:rsidP="006E46CB">
            <w:pPr>
              <w:rPr>
                <w:rFonts w:cs="Arial"/>
                <w:b/>
                <w:bCs/>
                <w:noProof/>
              </w:rPr>
            </w:pPr>
            <w:r w:rsidRPr="00CB1588">
              <w:rPr>
                <w:rFonts w:cs="Arial"/>
                <w:b/>
                <w:bCs/>
                <w:noProof/>
              </w:rPr>
              <w:t>CIM Duration</w:t>
            </w:r>
          </w:p>
        </w:tc>
        <w:tc>
          <w:tcPr>
            <w:tcW w:w="1134" w:type="dxa"/>
            <w:vAlign w:val="center"/>
          </w:tcPr>
          <w:p w14:paraId="1C94C200" w14:textId="77777777" w:rsidR="00D826AB" w:rsidRPr="00CB1588" w:rsidRDefault="00D826AB" w:rsidP="006E46CB">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11E34A8D" w14:textId="77777777" w:rsidR="00D826AB" w:rsidRDefault="00D826AB" w:rsidP="006E46CB">
            <w:pPr>
              <w:rPr>
                <w:rFonts w:cs="Arial"/>
                <w:noProof/>
              </w:rPr>
            </w:pPr>
          </w:p>
        </w:tc>
        <w:tc>
          <w:tcPr>
            <w:tcW w:w="2977" w:type="dxa"/>
            <w:vAlign w:val="center"/>
          </w:tcPr>
          <w:p w14:paraId="57AFC0D0" w14:textId="77777777" w:rsidR="00D826AB" w:rsidRPr="00CB1588" w:rsidRDefault="00D826AB" w:rsidP="006E46CB">
            <w:pPr>
              <w:rPr>
                <w:rFonts w:cs="Arial"/>
                <w:b/>
                <w:bCs/>
                <w:noProof/>
              </w:rPr>
            </w:pPr>
            <w:r w:rsidRPr="00CB1588">
              <w:rPr>
                <w:rFonts w:cs="Arial"/>
                <w:b/>
                <w:bCs/>
                <w:noProof/>
              </w:rPr>
              <w:t>VIM Duration</w:t>
            </w:r>
          </w:p>
        </w:tc>
        <w:tc>
          <w:tcPr>
            <w:tcW w:w="1121" w:type="dxa"/>
            <w:vAlign w:val="center"/>
          </w:tcPr>
          <w:p w14:paraId="0C84D13E" w14:textId="77777777" w:rsidR="00D826AB" w:rsidRPr="001D1C01" w:rsidRDefault="00D826AB" w:rsidP="006E46CB">
            <w:pPr>
              <w:jc w:val="right"/>
              <w:rPr>
                <w:rFonts w:cs="Arial"/>
                <w:noProof/>
              </w:rPr>
            </w:pPr>
            <w:r>
              <w:rPr>
                <w:rFonts w:cs="Arial"/>
                <w:b/>
                <w:bCs/>
                <w:noProof/>
              </w:rPr>
              <w:t xml:space="preserve">% </w:t>
            </w:r>
            <w:r w:rsidRPr="00CB1588">
              <w:rPr>
                <w:rFonts w:cs="Arial"/>
                <w:b/>
                <w:bCs/>
                <w:noProof/>
              </w:rPr>
              <w:t>Split</w:t>
            </w:r>
          </w:p>
        </w:tc>
      </w:tr>
      <w:tr w:rsidR="00D826AB" w14:paraId="5FEBE1C7" w14:textId="77777777" w:rsidTr="006E46CB">
        <w:trPr>
          <w:trHeight w:val="278"/>
        </w:trPr>
        <w:tc>
          <w:tcPr>
            <w:tcW w:w="2972" w:type="dxa"/>
            <w:vAlign w:val="center"/>
          </w:tcPr>
          <w:p w14:paraId="0A1EF079" w14:textId="77777777" w:rsidR="00D826AB" w:rsidRPr="002819D6" w:rsidRDefault="00D826AB" w:rsidP="006E46CB">
            <w:pPr>
              <w:rPr>
                <w:rFonts w:cs="Arial"/>
                <w:noProof/>
              </w:rPr>
            </w:pPr>
            <w:r w:rsidRPr="002819D6">
              <w:rPr>
                <w:rFonts w:cs="Arial"/>
                <w:noProof/>
              </w:rPr>
              <w:t>3 months</w:t>
            </w:r>
          </w:p>
        </w:tc>
        <w:tc>
          <w:tcPr>
            <w:tcW w:w="1134" w:type="dxa"/>
            <w:vAlign w:val="center"/>
          </w:tcPr>
          <w:p w14:paraId="5FFC0EA6" w14:textId="5A25842E" w:rsidR="00D826AB" w:rsidRPr="001D1C01" w:rsidRDefault="00D11B0F" w:rsidP="006E46CB">
            <w:pPr>
              <w:jc w:val="right"/>
              <w:rPr>
                <w:rFonts w:cs="Arial"/>
                <w:noProof/>
              </w:rPr>
            </w:pPr>
            <w:r>
              <w:rPr>
                <w:rFonts w:cs="Arial"/>
                <w:noProof/>
              </w:rPr>
              <w:t>6</w:t>
            </w:r>
            <w:r w:rsidR="00D826AB">
              <w:rPr>
                <w:rFonts w:cs="Arial"/>
                <w:noProof/>
              </w:rPr>
              <w:t>7%</w:t>
            </w:r>
          </w:p>
        </w:tc>
        <w:tc>
          <w:tcPr>
            <w:tcW w:w="709" w:type="dxa"/>
            <w:tcBorders>
              <w:top w:val="nil"/>
              <w:bottom w:val="nil"/>
            </w:tcBorders>
          </w:tcPr>
          <w:p w14:paraId="63CAD516" w14:textId="77777777" w:rsidR="00D826AB" w:rsidRDefault="00D826AB" w:rsidP="006E46CB">
            <w:pPr>
              <w:rPr>
                <w:rFonts w:cs="Arial"/>
                <w:noProof/>
              </w:rPr>
            </w:pPr>
          </w:p>
        </w:tc>
        <w:tc>
          <w:tcPr>
            <w:tcW w:w="2977" w:type="dxa"/>
            <w:vAlign w:val="center"/>
          </w:tcPr>
          <w:p w14:paraId="775DA493" w14:textId="77777777" w:rsidR="00D826AB" w:rsidRPr="001D1C01" w:rsidRDefault="00D826AB" w:rsidP="006E46CB">
            <w:pPr>
              <w:rPr>
                <w:rFonts w:cs="Arial"/>
                <w:noProof/>
              </w:rPr>
            </w:pPr>
            <w:r w:rsidRPr="001D1C01">
              <w:rPr>
                <w:rFonts w:cs="Arial"/>
                <w:noProof/>
              </w:rPr>
              <w:t>3 months</w:t>
            </w:r>
          </w:p>
        </w:tc>
        <w:tc>
          <w:tcPr>
            <w:tcW w:w="1121" w:type="dxa"/>
            <w:vAlign w:val="center"/>
          </w:tcPr>
          <w:p w14:paraId="5E7F97B5" w14:textId="1DE5420E" w:rsidR="00D826AB" w:rsidRPr="001D1C01" w:rsidRDefault="00D11B0F" w:rsidP="006E46CB">
            <w:pPr>
              <w:jc w:val="right"/>
              <w:rPr>
                <w:rFonts w:cs="Arial"/>
                <w:noProof/>
              </w:rPr>
            </w:pPr>
            <w:r>
              <w:rPr>
                <w:rFonts w:cs="Arial"/>
                <w:noProof/>
              </w:rPr>
              <w:t>39</w:t>
            </w:r>
            <w:r w:rsidR="00D826AB">
              <w:rPr>
                <w:rFonts w:cs="Arial"/>
                <w:noProof/>
              </w:rPr>
              <w:t>%</w:t>
            </w:r>
          </w:p>
        </w:tc>
      </w:tr>
      <w:tr w:rsidR="00D826AB" w14:paraId="5B1EB68D" w14:textId="77777777" w:rsidTr="006E46CB">
        <w:trPr>
          <w:trHeight w:val="278"/>
        </w:trPr>
        <w:tc>
          <w:tcPr>
            <w:tcW w:w="2972" w:type="dxa"/>
            <w:vAlign w:val="center"/>
          </w:tcPr>
          <w:p w14:paraId="77418620" w14:textId="77777777" w:rsidR="00D826AB" w:rsidRPr="002819D6" w:rsidRDefault="00D826AB" w:rsidP="006E46CB">
            <w:pPr>
              <w:rPr>
                <w:rFonts w:cs="Arial"/>
                <w:noProof/>
              </w:rPr>
            </w:pPr>
            <w:r w:rsidRPr="002819D6">
              <w:rPr>
                <w:rFonts w:cs="Arial"/>
                <w:noProof/>
              </w:rPr>
              <w:t>6 months</w:t>
            </w:r>
          </w:p>
        </w:tc>
        <w:tc>
          <w:tcPr>
            <w:tcW w:w="1134" w:type="dxa"/>
            <w:vAlign w:val="center"/>
          </w:tcPr>
          <w:p w14:paraId="27C37CFA" w14:textId="56D1ECBA" w:rsidR="00D826AB" w:rsidRPr="001D1C01" w:rsidRDefault="00D11B0F" w:rsidP="006E46CB">
            <w:pPr>
              <w:jc w:val="right"/>
              <w:rPr>
                <w:rFonts w:cs="Arial"/>
                <w:noProof/>
              </w:rPr>
            </w:pPr>
            <w:r>
              <w:rPr>
                <w:rFonts w:cs="Arial"/>
                <w:noProof/>
              </w:rPr>
              <w:t>3</w:t>
            </w:r>
            <w:r w:rsidR="00D826AB">
              <w:rPr>
                <w:rFonts w:cs="Arial"/>
                <w:noProof/>
              </w:rPr>
              <w:t>3%</w:t>
            </w:r>
          </w:p>
        </w:tc>
        <w:tc>
          <w:tcPr>
            <w:tcW w:w="709" w:type="dxa"/>
            <w:tcBorders>
              <w:top w:val="nil"/>
              <w:bottom w:val="nil"/>
            </w:tcBorders>
          </w:tcPr>
          <w:p w14:paraId="119E4655" w14:textId="77777777" w:rsidR="00D826AB" w:rsidRDefault="00D826AB" w:rsidP="006E46CB">
            <w:pPr>
              <w:rPr>
                <w:rFonts w:cs="Arial"/>
                <w:noProof/>
              </w:rPr>
            </w:pPr>
          </w:p>
        </w:tc>
        <w:tc>
          <w:tcPr>
            <w:tcW w:w="2977" w:type="dxa"/>
            <w:vAlign w:val="center"/>
          </w:tcPr>
          <w:p w14:paraId="7FFCF79A" w14:textId="77777777" w:rsidR="00D826AB" w:rsidRPr="001D1C01" w:rsidRDefault="00D826AB" w:rsidP="006E46CB">
            <w:pPr>
              <w:rPr>
                <w:rFonts w:cs="Arial"/>
                <w:noProof/>
              </w:rPr>
            </w:pPr>
            <w:r w:rsidRPr="001D1C01">
              <w:rPr>
                <w:rFonts w:cs="Arial"/>
                <w:noProof/>
              </w:rPr>
              <w:t>6 months</w:t>
            </w:r>
          </w:p>
        </w:tc>
        <w:tc>
          <w:tcPr>
            <w:tcW w:w="1121" w:type="dxa"/>
            <w:vAlign w:val="center"/>
          </w:tcPr>
          <w:p w14:paraId="26B3CF26" w14:textId="768C2753" w:rsidR="00D826AB" w:rsidRPr="001D1C01" w:rsidRDefault="00D11B0F" w:rsidP="006E46CB">
            <w:pPr>
              <w:jc w:val="right"/>
              <w:rPr>
                <w:rFonts w:cs="Arial"/>
                <w:noProof/>
              </w:rPr>
            </w:pPr>
            <w:r>
              <w:rPr>
                <w:rFonts w:cs="Arial"/>
                <w:noProof/>
              </w:rPr>
              <w:t>39</w:t>
            </w:r>
            <w:r w:rsidR="00D826AB">
              <w:rPr>
                <w:rFonts w:cs="Arial"/>
                <w:noProof/>
              </w:rPr>
              <w:t>%</w:t>
            </w:r>
          </w:p>
        </w:tc>
      </w:tr>
      <w:tr w:rsidR="00D826AB" w14:paraId="27B1A5AE" w14:textId="77777777" w:rsidTr="006E46CB">
        <w:trPr>
          <w:trHeight w:val="278"/>
        </w:trPr>
        <w:tc>
          <w:tcPr>
            <w:tcW w:w="2972" w:type="dxa"/>
            <w:vAlign w:val="center"/>
          </w:tcPr>
          <w:p w14:paraId="444E1F95" w14:textId="77777777" w:rsidR="00D826AB" w:rsidRPr="002819D6" w:rsidRDefault="00D826AB" w:rsidP="006E46CB">
            <w:pPr>
              <w:rPr>
                <w:rFonts w:cs="Arial"/>
                <w:noProof/>
              </w:rPr>
            </w:pPr>
            <w:r w:rsidRPr="002819D6">
              <w:rPr>
                <w:rFonts w:cs="Arial"/>
                <w:noProof/>
              </w:rPr>
              <w:t>9 months</w:t>
            </w:r>
          </w:p>
        </w:tc>
        <w:tc>
          <w:tcPr>
            <w:tcW w:w="1134" w:type="dxa"/>
            <w:vAlign w:val="center"/>
          </w:tcPr>
          <w:p w14:paraId="041E613D" w14:textId="77777777" w:rsidR="00D826AB" w:rsidRPr="001D1C01" w:rsidRDefault="00D826AB" w:rsidP="006E46CB">
            <w:pPr>
              <w:jc w:val="right"/>
              <w:rPr>
                <w:rFonts w:cs="Arial"/>
                <w:noProof/>
              </w:rPr>
            </w:pPr>
            <w:r>
              <w:rPr>
                <w:rFonts w:cs="Arial"/>
                <w:noProof/>
              </w:rPr>
              <w:t>0%</w:t>
            </w:r>
          </w:p>
        </w:tc>
        <w:tc>
          <w:tcPr>
            <w:tcW w:w="709" w:type="dxa"/>
            <w:tcBorders>
              <w:top w:val="nil"/>
              <w:bottom w:val="nil"/>
            </w:tcBorders>
          </w:tcPr>
          <w:p w14:paraId="1C8506ED" w14:textId="77777777" w:rsidR="00D826AB" w:rsidRDefault="00D826AB" w:rsidP="006E46CB">
            <w:pPr>
              <w:rPr>
                <w:rFonts w:cs="Arial"/>
                <w:noProof/>
              </w:rPr>
            </w:pPr>
          </w:p>
        </w:tc>
        <w:tc>
          <w:tcPr>
            <w:tcW w:w="2977" w:type="dxa"/>
            <w:vAlign w:val="center"/>
          </w:tcPr>
          <w:p w14:paraId="36677A8E" w14:textId="77777777" w:rsidR="00D826AB" w:rsidRPr="001D1C01" w:rsidRDefault="00D826AB" w:rsidP="006E46CB">
            <w:pPr>
              <w:rPr>
                <w:rFonts w:cs="Arial"/>
                <w:noProof/>
              </w:rPr>
            </w:pPr>
            <w:r w:rsidRPr="001D1C01">
              <w:rPr>
                <w:rFonts w:cs="Arial"/>
                <w:noProof/>
              </w:rPr>
              <w:t>9 months</w:t>
            </w:r>
          </w:p>
        </w:tc>
        <w:tc>
          <w:tcPr>
            <w:tcW w:w="1121" w:type="dxa"/>
            <w:vAlign w:val="center"/>
          </w:tcPr>
          <w:p w14:paraId="3AD565DD" w14:textId="530BFCC1" w:rsidR="00D826AB" w:rsidRPr="001D1C01" w:rsidRDefault="00D11B0F" w:rsidP="006E46CB">
            <w:pPr>
              <w:jc w:val="right"/>
              <w:rPr>
                <w:rFonts w:cs="Arial"/>
                <w:noProof/>
              </w:rPr>
            </w:pPr>
            <w:r>
              <w:rPr>
                <w:rFonts w:cs="Arial"/>
                <w:noProof/>
              </w:rPr>
              <w:t>0</w:t>
            </w:r>
            <w:r w:rsidR="00D826AB">
              <w:rPr>
                <w:rFonts w:cs="Arial"/>
                <w:noProof/>
              </w:rPr>
              <w:t>%</w:t>
            </w:r>
          </w:p>
        </w:tc>
      </w:tr>
      <w:tr w:rsidR="00D826AB" w14:paraId="257C0544" w14:textId="77777777" w:rsidTr="006E46CB">
        <w:trPr>
          <w:trHeight w:val="278"/>
        </w:trPr>
        <w:tc>
          <w:tcPr>
            <w:tcW w:w="2972" w:type="dxa"/>
            <w:vAlign w:val="center"/>
          </w:tcPr>
          <w:p w14:paraId="652DC83E" w14:textId="77777777" w:rsidR="00D826AB" w:rsidRDefault="00D826AB" w:rsidP="006E46CB">
            <w:pPr>
              <w:rPr>
                <w:rFonts w:cs="Arial"/>
                <w:noProof/>
              </w:rPr>
            </w:pPr>
            <w:r w:rsidRPr="002819D6">
              <w:rPr>
                <w:rFonts w:cs="Arial"/>
                <w:noProof/>
              </w:rPr>
              <w:t>12 months</w:t>
            </w:r>
          </w:p>
        </w:tc>
        <w:tc>
          <w:tcPr>
            <w:tcW w:w="1134" w:type="dxa"/>
            <w:vAlign w:val="center"/>
          </w:tcPr>
          <w:p w14:paraId="2867F008" w14:textId="77777777" w:rsidR="00D826AB" w:rsidRPr="001D1C01" w:rsidRDefault="00D826AB" w:rsidP="006E46CB">
            <w:pPr>
              <w:jc w:val="right"/>
              <w:rPr>
                <w:rFonts w:cs="Arial"/>
                <w:noProof/>
              </w:rPr>
            </w:pPr>
            <w:r>
              <w:rPr>
                <w:rFonts w:cs="Arial"/>
                <w:noProof/>
              </w:rPr>
              <w:t>0%</w:t>
            </w:r>
          </w:p>
        </w:tc>
        <w:tc>
          <w:tcPr>
            <w:tcW w:w="709" w:type="dxa"/>
            <w:tcBorders>
              <w:top w:val="nil"/>
              <w:bottom w:val="nil"/>
            </w:tcBorders>
          </w:tcPr>
          <w:p w14:paraId="36701FE6" w14:textId="77777777" w:rsidR="00D826AB" w:rsidRDefault="00D826AB" w:rsidP="006E46CB">
            <w:pPr>
              <w:rPr>
                <w:rFonts w:cs="Arial"/>
                <w:noProof/>
              </w:rPr>
            </w:pPr>
          </w:p>
        </w:tc>
        <w:tc>
          <w:tcPr>
            <w:tcW w:w="2977" w:type="dxa"/>
            <w:vAlign w:val="center"/>
          </w:tcPr>
          <w:p w14:paraId="06848EDA" w14:textId="77777777" w:rsidR="00D826AB" w:rsidRDefault="00D826AB" w:rsidP="006E46CB">
            <w:pPr>
              <w:rPr>
                <w:rFonts w:cs="Arial"/>
                <w:noProof/>
              </w:rPr>
            </w:pPr>
            <w:r w:rsidRPr="001D1C01">
              <w:rPr>
                <w:rFonts w:cs="Arial"/>
                <w:noProof/>
              </w:rPr>
              <w:t>12 months</w:t>
            </w:r>
          </w:p>
        </w:tc>
        <w:tc>
          <w:tcPr>
            <w:tcW w:w="1121" w:type="dxa"/>
            <w:vAlign w:val="center"/>
          </w:tcPr>
          <w:p w14:paraId="266901EF" w14:textId="4EF6C4C1" w:rsidR="00D826AB" w:rsidRDefault="00D11B0F" w:rsidP="006E46CB">
            <w:pPr>
              <w:jc w:val="right"/>
              <w:rPr>
                <w:rFonts w:cs="Arial"/>
                <w:noProof/>
              </w:rPr>
            </w:pPr>
            <w:r>
              <w:rPr>
                <w:rFonts w:cs="Arial"/>
                <w:noProof/>
              </w:rPr>
              <w:t>22</w:t>
            </w:r>
            <w:r w:rsidR="00D826AB">
              <w:rPr>
                <w:rFonts w:cs="Arial"/>
                <w:noProof/>
              </w:rPr>
              <w:t>%</w:t>
            </w:r>
          </w:p>
        </w:tc>
      </w:tr>
      <w:tr w:rsidR="00D826AB" w14:paraId="2BE3E2E8" w14:textId="77777777" w:rsidTr="006E46CB">
        <w:trPr>
          <w:trHeight w:val="278"/>
        </w:trPr>
        <w:tc>
          <w:tcPr>
            <w:tcW w:w="2972" w:type="dxa"/>
            <w:vAlign w:val="center"/>
          </w:tcPr>
          <w:p w14:paraId="21E2DA92" w14:textId="77777777" w:rsidR="00D826AB" w:rsidRPr="00065259" w:rsidRDefault="00D826AB" w:rsidP="006E46CB">
            <w:pPr>
              <w:rPr>
                <w:rFonts w:cs="Arial"/>
                <w:b/>
                <w:bCs/>
                <w:noProof/>
              </w:rPr>
            </w:pPr>
            <w:r w:rsidRPr="00065259">
              <w:rPr>
                <w:rFonts w:cs="Arial"/>
                <w:b/>
                <w:bCs/>
                <w:noProof/>
              </w:rPr>
              <w:t>Total</w:t>
            </w:r>
          </w:p>
        </w:tc>
        <w:tc>
          <w:tcPr>
            <w:tcW w:w="1134" w:type="dxa"/>
            <w:vAlign w:val="center"/>
          </w:tcPr>
          <w:p w14:paraId="16E7D6DA" w14:textId="77777777" w:rsidR="00D826AB" w:rsidRPr="00065259" w:rsidRDefault="00D826AB" w:rsidP="006E46CB">
            <w:pPr>
              <w:jc w:val="right"/>
              <w:rPr>
                <w:rFonts w:cs="Arial"/>
                <w:b/>
                <w:bCs/>
                <w:noProof/>
              </w:rPr>
            </w:pPr>
            <w:r w:rsidRPr="00065259">
              <w:rPr>
                <w:rFonts w:cs="Arial"/>
                <w:b/>
                <w:bCs/>
                <w:noProof/>
              </w:rPr>
              <w:t>100%</w:t>
            </w:r>
          </w:p>
        </w:tc>
        <w:tc>
          <w:tcPr>
            <w:tcW w:w="709" w:type="dxa"/>
            <w:tcBorders>
              <w:top w:val="nil"/>
              <w:bottom w:val="nil"/>
            </w:tcBorders>
          </w:tcPr>
          <w:p w14:paraId="572A2B6E" w14:textId="77777777" w:rsidR="00D826AB" w:rsidRDefault="00D826AB" w:rsidP="006E46CB">
            <w:pPr>
              <w:rPr>
                <w:rFonts w:cs="Arial"/>
                <w:noProof/>
              </w:rPr>
            </w:pPr>
          </w:p>
        </w:tc>
        <w:tc>
          <w:tcPr>
            <w:tcW w:w="2977" w:type="dxa"/>
            <w:vAlign w:val="center"/>
          </w:tcPr>
          <w:p w14:paraId="07D10AAF" w14:textId="77777777" w:rsidR="00D826AB" w:rsidRPr="00065259" w:rsidRDefault="00D826AB" w:rsidP="006E46CB">
            <w:pPr>
              <w:rPr>
                <w:rFonts w:cs="Arial"/>
                <w:b/>
                <w:bCs/>
                <w:noProof/>
              </w:rPr>
            </w:pPr>
            <w:r w:rsidRPr="00065259">
              <w:rPr>
                <w:rFonts w:cs="Arial"/>
                <w:b/>
                <w:bCs/>
                <w:noProof/>
              </w:rPr>
              <w:t>Total</w:t>
            </w:r>
          </w:p>
        </w:tc>
        <w:tc>
          <w:tcPr>
            <w:tcW w:w="1121" w:type="dxa"/>
            <w:vAlign w:val="center"/>
          </w:tcPr>
          <w:p w14:paraId="79938861" w14:textId="77777777" w:rsidR="00D826AB" w:rsidRPr="00065259" w:rsidRDefault="00D826AB" w:rsidP="006E46CB">
            <w:pPr>
              <w:jc w:val="right"/>
              <w:rPr>
                <w:rFonts w:cs="Arial"/>
                <w:b/>
                <w:bCs/>
                <w:noProof/>
              </w:rPr>
            </w:pPr>
            <w:r w:rsidRPr="00065259">
              <w:rPr>
                <w:rFonts w:cs="Arial"/>
                <w:b/>
                <w:bCs/>
                <w:noProof/>
              </w:rPr>
              <w:t>100%</w:t>
            </w:r>
          </w:p>
        </w:tc>
      </w:tr>
    </w:tbl>
    <w:p w14:paraId="6084A6E3" w14:textId="77777777" w:rsidR="00D826AB" w:rsidRDefault="00D826AB" w:rsidP="00D826AB">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D826AB" w14:paraId="00D5DD5E" w14:textId="77777777" w:rsidTr="006E46CB">
        <w:trPr>
          <w:trHeight w:val="596"/>
        </w:trPr>
        <w:tc>
          <w:tcPr>
            <w:tcW w:w="10060" w:type="dxa"/>
            <w:shd w:val="clear" w:color="auto" w:fill="D9D9D9" w:themeFill="background1" w:themeFillShade="D9"/>
          </w:tcPr>
          <w:p w14:paraId="5C032CAD" w14:textId="4626F785" w:rsidR="00D826AB" w:rsidRPr="00F22E2D" w:rsidRDefault="00D826AB" w:rsidP="006E46CB">
            <w:pPr>
              <w:spacing w:line="240" w:lineRule="auto"/>
              <w:jc w:val="both"/>
              <w:rPr>
                <w:rFonts w:cs="Arial"/>
                <w:noProof/>
              </w:rPr>
            </w:pPr>
            <w:r w:rsidRPr="00AC0CBD">
              <w:rPr>
                <w:rFonts w:cs="Arial"/>
                <w:noProof/>
              </w:rPr>
              <w:t xml:space="preserve">Although initially (March 2021) 66% of VIM applications entered into were for a 3-month duration, the VIM chart above </w:t>
            </w:r>
            <w:r>
              <w:rPr>
                <w:rFonts w:cs="Arial"/>
                <w:noProof/>
              </w:rPr>
              <w:t>for quarter 6</w:t>
            </w:r>
            <w:r w:rsidR="00287306">
              <w:rPr>
                <w:rFonts w:cs="Arial"/>
                <w:noProof/>
              </w:rPr>
              <w:t>8</w:t>
            </w:r>
            <w:r>
              <w:rPr>
                <w:rFonts w:cs="Arial"/>
                <w:noProof/>
              </w:rPr>
              <w:t xml:space="preserve"> </w:t>
            </w:r>
            <w:r w:rsidRPr="00AC0CBD">
              <w:rPr>
                <w:rFonts w:cs="Arial"/>
                <w:noProof/>
              </w:rPr>
              <w:t xml:space="preserve">shows that </w:t>
            </w:r>
            <w:r w:rsidR="00287306">
              <w:rPr>
                <w:rFonts w:cs="Arial"/>
                <w:noProof/>
              </w:rPr>
              <w:t>39</w:t>
            </w:r>
            <w:r>
              <w:rPr>
                <w:rFonts w:cs="Arial"/>
                <w:noProof/>
              </w:rPr>
              <w:t xml:space="preserve">% were entered into for a 3-month duration, </w:t>
            </w:r>
            <w:r w:rsidR="00BB4221">
              <w:rPr>
                <w:rFonts w:cs="Arial"/>
                <w:noProof/>
              </w:rPr>
              <w:t>39% were entered for</w:t>
            </w:r>
            <w:r>
              <w:rPr>
                <w:rFonts w:cs="Arial"/>
                <w:noProof/>
              </w:rPr>
              <w:t xml:space="preserve"> a</w:t>
            </w:r>
            <w:r w:rsidRPr="00AC0CBD">
              <w:rPr>
                <w:rFonts w:cs="Arial"/>
                <w:noProof/>
              </w:rPr>
              <w:t xml:space="preserve"> 6-month duration</w:t>
            </w:r>
            <w:r>
              <w:rPr>
                <w:rFonts w:cs="Arial"/>
                <w:noProof/>
              </w:rPr>
              <w:t xml:space="preserve"> and </w:t>
            </w:r>
            <w:r w:rsidR="00287306">
              <w:rPr>
                <w:rFonts w:cs="Arial"/>
                <w:noProof/>
              </w:rPr>
              <w:t>22</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2799FD92" w14:textId="77777777" w:rsidR="00D826AB" w:rsidRDefault="00D826AB" w:rsidP="00D826AB">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D826AB" w:rsidRPr="00E33A8C" w14:paraId="6F468AEA" w14:textId="77777777" w:rsidTr="006E46CB">
        <w:trPr>
          <w:trHeight w:val="278"/>
        </w:trPr>
        <w:tc>
          <w:tcPr>
            <w:tcW w:w="4106" w:type="dxa"/>
            <w:gridSpan w:val="2"/>
          </w:tcPr>
          <w:p w14:paraId="59A19A23" w14:textId="6A9D6E3F" w:rsidR="00D826AB" w:rsidRPr="00523A30" w:rsidRDefault="00D826AB" w:rsidP="006E46CB">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 xml:space="preserve">1 </w:t>
            </w:r>
            <w:r>
              <w:rPr>
                <w:rFonts w:cs="Arial"/>
                <w:noProof/>
                <w:sz w:val="16"/>
                <w:szCs w:val="16"/>
              </w:rPr>
              <w:t>April</w:t>
            </w:r>
            <w:r>
              <w:rPr>
                <w:rFonts w:cs="Arial"/>
                <w:noProof/>
                <w:sz w:val="16"/>
                <w:szCs w:val="16"/>
              </w:rPr>
              <w:t xml:space="preserve"> 2025</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2025</w:t>
            </w:r>
          </w:p>
        </w:tc>
        <w:tc>
          <w:tcPr>
            <w:tcW w:w="709" w:type="dxa"/>
            <w:tcBorders>
              <w:top w:val="nil"/>
              <w:bottom w:val="nil"/>
            </w:tcBorders>
          </w:tcPr>
          <w:p w14:paraId="27A31CBA" w14:textId="77777777" w:rsidR="00D826AB" w:rsidRDefault="00D826AB" w:rsidP="006E46CB">
            <w:pPr>
              <w:rPr>
                <w:rFonts w:cs="Arial"/>
                <w:b/>
                <w:bCs/>
                <w:noProof/>
                <w:sz w:val="16"/>
                <w:szCs w:val="16"/>
              </w:rPr>
            </w:pPr>
          </w:p>
        </w:tc>
        <w:tc>
          <w:tcPr>
            <w:tcW w:w="4098" w:type="dxa"/>
            <w:gridSpan w:val="2"/>
          </w:tcPr>
          <w:p w14:paraId="3791CBDC" w14:textId="5A7CF8CA" w:rsidR="00D826AB" w:rsidRPr="00E33A8C" w:rsidRDefault="00D826AB" w:rsidP="006E46CB">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 xml:space="preserve">1 </w:t>
            </w:r>
            <w:r>
              <w:rPr>
                <w:rFonts w:cs="Arial"/>
                <w:noProof/>
                <w:sz w:val="16"/>
                <w:szCs w:val="16"/>
              </w:rPr>
              <w:t>April</w:t>
            </w:r>
            <w:r>
              <w:rPr>
                <w:rFonts w:cs="Arial"/>
                <w:noProof/>
                <w:sz w:val="16"/>
                <w:szCs w:val="16"/>
              </w:rPr>
              <w:t xml:space="preserve"> 2025</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2025</w:t>
            </w:r>
          </w:p>
        </w:tc>
      </w:tr>
      <w:tr w:rsidR="00D826AB" w:rsidRPr="001D1C01" w14:paraId="18741868" w14:textId="77777777" w:rsidTr="006E46CB">
        <w:trPr>
          <w:trHeight w:val="278"/>
        </w:trPr>
        <w:tc>
          <w:tcPr>
            <w:tcW w:w="2972" w:type="dxa"/>
            <w:vAlign w:val="center"/>
          </w:tcPr>
          <w:p w14:paraId="004C249A" w14:textId="77777777" w:rsidR="00D826AB" w:rsidRPr="00CB1588" w:rsidRDefault="00D826AB" w:rsidP="006E46CB">
            <w:pPr>
              <w:rPr>
                <w:rFonts w:cs="Arial"/>
                <w:b/>
                <w:bCs/>
                <w:noProof/>
              </w:rPr>
            </w:pPr>
            <w:r w:rsidRPr="00CB1588">
              <w:rPr>
                <w:rFonts w:cs="Arial"/>
                <w:b/>
                <w:bCs/>
                <w:noProof/>
              </w:rPr>
              <w:t>CIM Percentage</w:t>
            </w:r>
          </w:p>
        </w:tc>
        <w:tc>
          <w:tcPr>
            <w:tcW w:w="1134" w:type="dxa"/>
            <w:vAlign w:val="center"/>
          </w:tcPr>
          <w:p w14:paraId="0424E983" w14:textId="77777777" w:rsidR="00D826AB" w:rsidRPr="001D1C01" w:rsidRDefault="00D826AB" w:rsidP="006E46CB">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171EF799" w14:textId="77777777" w:rsidR="00D826AB" w:rsidRDefault="00D826AB" w:rsidP="006E46CB">
            <w:pPr>
              <w:rPr>
                <w:rFonts w:cs="Arial"/>
                <w:noProof/>
              </w:rPr>
            </w:pPr>
          </w:p>
        </w:tc>
        <w:tc>
          <w:tcPr>
            <w:tcW w:w="2977" w:type="dxa"/>
            <w:vAlign w:val="center"/>
          </w:tcPr>
          <w:p w14:paraId="1A0D627D" w14:textId="77777777" w:rsidR="00D826AB" w:rsidRPr="00CB1588" w:rsidRDefault="00D826AB" w:rsidP="006E46CB">
            <w:pPr>
              <w:rPr>
                <w:rFonts w:cs="Arial"/>
                <w:b/>
                <w:bCs/>
                <w:noProof/>
              </w:rPr>
            </w:pPr>
            <w:r w:rsidRPr="00CB1588">
              <w:rPr>
                <w:rFonts w:cs="Arial"/>
                <w:b/>
                <w:bCs/>
                <w:noProof/>
              </w:rPr>
              <w:t>VIM Percentage</w:t>
            </w:r>
          </w:p>
        </w:tc>
        <w:tc>
          <w:tcPr>
            <w:tcW w:w="1121" w:type="dxa"/>
            <w:vAlign w:val="center"/>
          </w:tcPr>
          <w:p w14:paraId="0E882806" w14:textId="77777777" w:rsidR="00D826AB" w:rsidRPr="001D1C01" w:rsidRDefault="00D826AB" w:rsidP="006E46CB">
            <w:pPr>
              <w:jc w:val="right"/>
              <w:rPr>
                <w:rFonts w:cs="Arial"/>
                <w:noProof/>
              </w:rPr>
            </w:pPr>
            <w:r>
              <w:rPr>
                <w:rFonts w:cs="Arial"/>
                <w:b/>
                <w:bCs/>
                <w:noProof/>
              </w:rPr>
              <w:t xml:space="preserve">% </w:t>
            </w:r>
            <w:r w:rsidRPr="00CB1588">
              <w:rPr>
                <w:rFonts w:cs="Arial"/>
                <w:b/>
                <w:bCs/>
                <w:noProof/>
              </w:rPr>
              <w:t>Split</w:t>
            </w:r>
          </w:p>
        </w:tc>
      </w:tr>
      <w:tr w:rsidR="00D826AB" w14:paraId="012ECA43" w14:textId="77777777" w:rsidTr="006E46CB">
        <w:trPr>
          <w:trHeight w:val="278"/>
        </w:trPr>
        <w:tc>
          <w:tcPr>
            <w:tcW w:w="2972" w:type="dxa"/>
            <w:vAlign w:val="center"/>
          </w:tcPr>
          <w:p w14:paraId="38D8FBAD" w14:textId="77777777" w:rsidR="00D826AB" w:rsidRDefault="00D826AB" w:rsidP="006E46CB">
            <w:pPr>
              <w:rPr>
                <w:rFonts w:cs="Arial"/>
                <w:noProof/>
              </w:rPr>
            </w:pPr>
            <w:r>
              <w:rPr>
                <w:rFonts w:cs="Arial"/>
                <w:noProof/>
              </w:rPr>
              <w:t>60 percent</w:t>
            </w:r>
          </w:p>
        </w:tc>
        <w:tc>
          <w:tcPr>
            <w:tcW w:w="1134" w:type="dxa"/>
            <w:vAlign w:val="center"/>
          </w:tcPr>
          <w:p w14:paraId="773BEC48" w14:textId="798DC90B" w:rsidR="00D826AB" w:rsidRDefault="00D11B0F" w:rsidP="006E46CB">
            <w:pPr>
              <w:jc w:val="right"/>
              <w:rPr>
                <w:rFonts w:cs="Arial"/>
                <w:noProof/>
              </w:rPr>
            </w:pPr>
            <w:r>
              <w:rPr>
                <w:rFonts w:cs="Arial"/>
                <w:noProof/>
              </w:rPr>
              <w:t>50</w:t>
            </w:r>
            <w:r w:rsidR="00D826AB">
              <w:rPr>
                <w:rFonts w:cs="Arial"/>
                <w:noProof/>
              </w:rPr>
              <w:t>%</w:t>
            </w:r>
          </w:p>
        </w:tc>
        <w:tc>
          <w:tcPr>
            <w:tcW w:w="709" w:type="dxa"/>
            <w:tcBorders>
              <w:top w:val="nil"/>
              <w:bottom w:val="nil"/>
            </w:tcBorders>
          </w:tcPr>
          <w:p w14:paraId="50E472CD" w14:textId="77777777" w:rsidR="00D826AB" w:rsidRDefault="00D826AB" w:rsidP="006E46CB">
            <w:pPr>
              <w:rPr>
                <w:rFonts w:cs="Arial"/>
                <w:noProof/>
              </w:rPr>
            </w:pPr>
          </w:p>
        </w:tc>
        <w:tc>
          <w:tcPr>
            <w:tcW w:w="2977" w:type="dxa"/>
            <w:vAlign w:val="center"/>
          </w:tcPr>
          <w:p w14:paraId="67150AFF" w14:textId="77777777" w:rsidR="00D826AB" w:rsidRDefault="00D826AB" w:rsidP="006E46CB">
            <w:pPr>
              <w:rPr>
                <w:rFonts w:cs="Arial"/>
                <w:noProof/>
              </w:rPr>
            </w:pPr>
            <w:r>
              <w:rPr>
                <w:rFonts w:cs="Arial"/>
                <w:noProof/>
              </w:rPr>
              <w:t>60 percent</w:t>
            </w:r>
          </w:p>
        </w:tc>
        <w:tc>
          <w:tcPr>
            <w:tcW w:w="1121" w:type="dxa"/>
            <w:vAlign w:val="center"/>
          </w:tcPr>
          <w:p w14:paraId="2D53C163" w14:textId="4523633A" w:rsidR="00D826AB" w:rsidRDefault="00D11B0F" w:rsidP="006E46CB">
            <w:pPr>
              <w:jc w:val="right"/>
              <w:rPr>
                <w:rFonts w:cs="Arial"/>
                <w:noProof/>
              </w:rPr>
            </w:pPr>
            <w:r>
              <w:rPr>
                <w:rFonts w:cs="Arial"/>
                <w:noProof/>
              </w:rPr>
              <w:t>91</w:t>
            </w:r>
            <w:r w:rsidR="00D826AB">
              <w:rPr>
                <w:rFonts w:cs="Arial"/>
                <w:noProof/>
              </w:rPr>
              <w:t>%</w:t>
            </w:r>
          </w:p>
        </w:tc>
      </w:tr>
      <w:tr w:rsidR="00D826AB" w:rsidRPr="001D1C01" w14:paraId="738EBC4C" w14:textId="77777777" w:rsidTr="006E46CB">
        <w:trPr>
          <w:trHeight w:val="278"/>
        </w:trPr>
        <w:tc>
          <w:tcPr>
            <w:tcW w:w="2972" w:type="dxa"/>
            <w:vAlign w:val="center"/>
          </w:tcPr>
          <w:p w14:paraId="7B1210E7" w14:textId="77777777" w:rsidR="00D826AB" w:rsidRPr="002819D6" w:rsidRDefault="00D826AB" w:rsidP="006E46CB">
            <w:pPr>
              <w:rPr>
                <w:rFonts w:cs="Arial"/>
                <w:noProof/>
              </w:rPr>
            </w:pPr>
            <w:r>
              <w:rPr>
                <w:rFonts w:cs="Arial"/>
                <w:noProof/>
              </w:rPr>
              <w:t>75 percent</w:t>
            </w:r>
          </w:p>
        </w:tc>
        <w:tc>
          <w:tcPr>
            <w:tcW w:w="1134" w:type="dxa"/>
            <w:vAlign w:val="center"/>
          </w:tcPr>
          <w:p w14:paraId="7F1F6055" w14:textId="500D29C3" w:rsidR="00D826AB" w:rsidRPr="001D1C01" w:rsidRDefault="00D11B0F" w:rsidP="006E46CB">
            <w:pPr>
              <w:jc w:val="right"/>
              <w:rPr>
                <w:rFonts w:cs="Arial"/>
                <w:noProof/>
              </w:rPr>
            </w:pPr>
            <w:r>
              <w:rPr>
                <w:rFonts w:cs="Arial"/>
                <w:noProof/>
              </w:rPr>
              <w:t>50</w:t>
            </w:r>
            <w:r w:rsidR="00D826AB">
              <w:rPr>
                <w:rFonts w:cs="Arial"/>
                <w:noProof/>
              </w:rPr>
              <w:t>%</w:t>
            </w:r>
          </w:p>
        </w:tc>
        <w:tc>
          <w:tcPr>
            <w:tcW w:w="709" w:type="dxa"/>
            <w:tcBorders>
              <w:top w:val="nil"/>
              <w:bottom w:val="nil"/>
            </w:tcBorders>
          </w:tcPr>
          <w:p w14:paraId="71BF9057" w14:textId="77777777" w:rsidR="00D826AB" w:rsidRDefault="00D826AB" w:rsidP="006E46CB">
            <w:pPr>
              <w:rPr>
                <w:rFonts w:cs="Arial"/>
                <w:noProof/>
              </w:rPr>
            </w:pPr>
          </w:p>
        </w:tc>
        <w:tc>
          <w:tcPr>
            <w:tcW w:w="2977" w:type="dxa"/>
            <w:vAlign w:val="center"/>
          </w:tcPr>
          <w:p w14:paraId="5D11565C" w14:textId="77777777" w:rsidR="00D826AB" w:rsidRPr="001D1C01" w:rsidRDefault="00D826AB" w:rsidP="006E46CB">
            <w:pPr>
              <w:rPr>
                <w:rFonts w:cs="Arial"/>
                <w:noProof/>
              </w:rPr>
            </w:pPr>
            <w:r>
              <w:rPr>
                <w:rFonts w:cs="Arial"/>
                <w:noProof/>
              </w:rPr>
              <w:t>75 percent</w:t>
            </w:r>
          </w:p>
        </w:tc>
        <w:tc>
          <w:tcPr>
            <w:tcW w:w="1121" w:type="dxa"/>
            <w:vAlign w:val="center"/>
          </w:tcPr>
          <w:p w14:paraId="7D2AF1E4" w14:textId="6B4A4EB6" w:rsidR="00D826AB" w:rsidRPr="001D1C01" w:rsidRDefault="00D11B0F" w:rsidP="006E46CB">
            <w:pPr>
              <w:jc w:val="right"/>
              <w:rPr>
                <w:rFonts w:cs="Arial"/>
                <w:noProof/>
              </w:rPr>
            </w:pPr>
            <w:r>
              <w:rPr>
                <w:rFonts w:cs="Arial"/>
                <w:noProof/>
              </w:rPr>
              <w:t>6</w:t>
            </w:r>
            <w:r w:rsidR="00D826AB">
              <w:rPr>
                <w:rFonts w:cs="Arial"/>
                <w:noProof/>
              </w:rPr>
              <w:t>%</w:t>
            </w:r>
          </w:p>
        </w:tc>
      </w:tr>
      <w:tr w:rsidR="00D826AB" w:rsidRPr="001D1C01" w14:paraId="313DF4FB" w14:textId="77777777" w:rsidTr="006E46CB">
        <w:trPr>
          <w:trHeight w:val="278"/>
        </w:trPr>
        <w:tc>
          <w:tcPr>
            <w:tcW w:w="2972" w:type="dxa"/>
            <w:vAlign w:val="center"/>
          </w:tcPr>
          <w:p w14:paraId="45DAB535" w14:textId="77777777" w:rsidR="00D826AB" w:rsidRPr="002819D6" w:rsidRDefault="00D826AB" w:rsidP="006E46CB">
            <w:pPr>
              <w:rPr>
                <w:rFonts w:cs="Arial"/>
                <w:noProof/>
              </w:rPr>
            </w:pPr>
            <w:r>
              <w:rPr>
                <w:rFonts w:cs="Arial"/>
                <w:noProof/>
              </w:rPr>
              <w:t>90 percent</w:t>
            </w:r>
          </w:p>
        </w:tc>
        <w:tc>
          <w:tcPr>
            <w:tcW w:w="1134" w:type="dxa"/>
            <w:vAlign w:val="center"/>
          </w:tcPr>
          <w:p w14:paraId="726686FF" w14:textId="77777777" w:rsidR="00D826AB" w:rsidRPr="001D1C01" w:rsidRDefault="00D826AB" w:rsidP="006E46CB">
            <w:pPr>
              <w:jc w:val="right"/>
              <w:rPr>
                <w:rFonts w:cs="Arial"/>
                <w:noProof/>
              </w:rPr>
            </w:pPr>
            <w:r>
              <w:rPr>
                <w:rFonts w:cs="Arial"/>
                <w:noProof/>
              </w:rPr>
              <w:t>0%</w:t>
            </w:r>
          </w:p>
        </w:tc>
        <w:tc>
          <w:tcPr>
            <w:tcW w:w="709" w:type="dxa"/>
            <w:tcBorders>
              <w:top w:val="nil"/>
              <w:bottom w:val="nil"/>
            </w:tcBorders>
          </w:tcPr>
          <w:p w14:paraId="6255CF2F" w14:textId="77777777" w:rsidR="00D826AB" w:rsidRDefault="00D826AB" w:rsidP="006E46CB">
            <w:pPr>
              <w:rPr>
                <w:rFonts w:cs="Arial"/>
                <w:noProof/>
              </w:rPr>
            </w:pPr>
          </w:p>
        </w:tc>
        <w:tc>
          <w:tcPr>
            <w:tcW w:w="2977" w:type="dxa"/>
            <w:vAlign w:val="center"/>
          </w:tcPr>
          <w:p w14:paraId="10FA234E" w14:textId="77777777" w:rsidR="00D826AB" w:rsidRPr="001D1C01" w:rsidRDefault="00D826AB" w:rsidP="006E46CB">
            <w:pPr>
              <w:rPr>
                <w:rFonts w:cs="Arial"/>
                <w:noProof/>
              </w:rPr>
            </w:pPr>
            <w:r>
              <w:rPr>
                <w:rFonts w:cs="Arial"/>
                <w:noProof/>
              </w:rPr>
              <w:t>90 percent</w:t>
            </w:r>
          </w:p>
        </w:tc>
        <w:tc>
          <w:tcPr>
            <w:tcW w:w="1121" w:type="dxa"/>
            <w:vAlign w:val="center"/>
          </w:tcPr>
          <w:p w14:paraId="67292A05" w14:textId="796CF90C" w:rsidR="00D826AB" w:rsidRPr="001D1C01" w:rsidRDefault="00D11B0F" w:rsidP="006E46CB">
            <w:pPr>
              <w:jc w:val="right"/>
              <w:rPr>
                <w:rFonts w:cs="Arial"/>
                <w:noProof/>
              </w:rPr>
            </w:pPr>
            <w:r>
              <w:rPr>
                <w:rFonts w:cs="Arial"/>
                <w:noProof/>
              </w:rPr>
              <w:t>3</w:t>
            </w:r>
            <w:r w:rsidR="00D826AB">
              <w:rPr>
                <w:rFonts w:cs="Arial"/>
                <w:noProof/>
              </w:rPr>
              <w:t>%</w:t>
            </w:r>
          </w:p>
        </w:tc>
      </w:tr>
      <w:tr w:rsidR="00D826AB" w:rsidRPr="00065259" w14:paraId="199083A5" w14:textId="77777777" w:rsidTr="006E46CB">
        <w:trPr>
          <w:trHeight w:val="278"/>
        </w:trPr>
        <w:tc>
          <w:tcPr>
            <w:tcW w:w="2972" w:type="dxa"/>
            <w:vAlign w:val="center"/>
          </w:tcPr>
          <w:p w14:paraId="30EC21FE" w14:textId="77777777" w:rsidR="00D826AB" w:rsidRPr="00065259" w:rsidRDefault="00D826AB" w:rsidP="006E46CB">
            <w:pPr>
              <w:rPr>
                <w:rFonts w:cs="Arial"/>
                <w:b/>
                <w:bCs/>
                <w:noProof/>
              </w:rPr>
            </w:pPr>
            <w:r w:rsidRPr="00065259">
              <w:rPr>
                <w:rFonts w:cs="Arial"/>
                <w:b/>
                <w:bCs/>
                <w:noProof/>
              </w:rPr>
              <w:t>Total</w:t>
            </w:r>
          </w:p>
        </w:tc>
        <w:tc>
          <w:tcPr>
            <w:tcW w:w="1134" w:type="dxa"/>
            <w:vAlign w:val="center"/>
          </w:tcPr>
          <w:p w14:paraId="6DE0DAD2" w14:textId="77777777" w:rsidR="00D826AB" w:rsidRPr="00065259" w:rsidRDefault="00D826AB" w:rsidP="006E46CB">
            <w:pPr>
              <w:jc w:val="right"/>
              <w:rPr>
                <w:rFonts w:cs="Arial"/>
                <w:b/>
                <w:bCs/>
                <w:noProof/>
              </w:rPr>
            </w:pPr>
            <w:r w:rsidRPr="00065259">
              <w:rPr>
                <w:rFonts w:cs="Arial"/>
                <w:b/>
                <w:bCs/>
                <w:noProof/>
              </w:rPr>
              <w:t>100%</w:t>
            </w:r>
          </w:p>
        </w:tc>
        <w:tc>
          <w:tcPr>
            <w:tcW w:w="709" w:type="dxa"/>
            <w:tcBorders>
              <w:top w:val="nil"/>
              <w:bottom w:val="nil"/>
            </w:tcBorders>
          </w:tcPr>
          <w:p w14:paraId="6637AA6A" w14:textId="77777777" w:rsidR="00D826AB" w:rsidRDefault="00D826AB" w:rsidP="006E46CB">
            <w:pPr>
              <w:rPr>
                <w:rFonts w:cs="Arial"/>
                <w:noProof/>
              </w:rPr>
            </w:pPr>
          </w:p>
        </w:tc>
        <w:tc>
          <w:tcPr>
            <w:tcW w:w="2977" w:type="dxa"/>
            <w:vAlign w:val="center"/>
          </w:tcPr>
          <w:p w14:paraId="009195BB" w14:textId="77777777" w:rsidR="00D826AB" w:rsidRPr="00065259" w:rsidRDefault="00D826AB" w:rsidP="006E46CB">
            <w:pPr>
              <w:rPr>
                <w:rFonts w:cs="Arial"/>
                <w:b/>
                <w:bCs/>
                <w:noProof/>
              </w:rPr>
            </w:pPr>
            <w:r w:rsidRPr="00065259">
              <w:rPr>
                <w:rFonts w:cs="Arial"/>
                <w:b/>
                <w:bCs/>
                <w:noProof/>
              </w:rPr>
              <w:t>Total</w:t>
            </w:r>
          </w:p>
        </w:tc>
        <w:tc>
          <w:tcPr>
            <w:tcW w:w="1121" w:type="dxa"/>
            <w:vAlign w:val="center"/>
          </w:tcPr>
          <w:p w14:paraId="6C29C5A7" w14:textId="77777777" w:rsidR="00D826AB" w:rsidRPr="00065259" w:rsidRDefault="00D826AB" w:rsidP="006E46CB">
            <w:pPr>
              <w:jc w:val="right"/>
              <w:rPr>
                <w:rFonts w:cs="Arial"/>
                <w:b/>
                <w:bCs/>
                <w:noProof/>
              </w:rPr>
            </w:pPr>
            <w:r w:rsidRPr="00065259">
              <w:rPr>
                <w:rFonts w:cs="Arial"/>
                <w:b/>
                <w:bCs/>
                <w:noProof/>
              </w:rPr>
              <w:t>100%</w:t>
            </w:r>
          </w:p>
        </w:tc>
      </w:tr>
    </w:tbl>
    <w:p w14:paraId="58170637" w14:textId="77777777" w:rsidR="00D826AB" w:rsidRDefault="00D826AB" w:rsidP="00D826AB">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D826AB" w14:paraId="3798F143" w14:textId="77777777" w:rsidTr="006E46CB">
        <w:trPr>
          <w:trHeight w:val="562"/>
        </w:trPr>
        <w:tc>
          <w:tcPr>
            <w:tcW w:w="10060" w:type="dxa"/>
            <w:shd w:val="clear" w:color="auto" w:fill="D9D9D9" w:themeFill="background1" w:themeFillShade="D9"/>
          </w:tcPr>
          <w:p w14:paraId="06564B71" w14:textId="1B0FE31D" w:rsidR="00D826AB" w:rsidRPr="00F22E2D" w:rsidRDefault="00D826AB" w:rsidP="006E46CB">
            <w:pPr>
              <w:spacing w:line="240" w:lineRule="auto"/>
              <w:jc w:val="both"/>
              <w:rPr>
                <w:rFonts w:cs="Arial"/>
                <w:noProof/>
              </w:rPr>
            </w:pPr>
            <w:r w:rsidRPr="007A5A38">
              <w:rPr>
                <w:rFonts w:cs="Arial"/>
                <w:noProof/>
              </w:rPr>
              <w:t xml:space="preserve">This quarter saw </w:t>
            </w:r>
            <w:r w:rsidR="00BB4221">
              <w:rPr>
                <w:rFonts w:cs="Arial"/>
                <w:noProof/>
              </w:rPr>
              <w:t>91</w:t>
            </w:r>
            <w:r w:rsidRPr="007A5A38">
              <w:rPr>
                <w:rFonts w:cs="Arial"/>
                <w:noProof/>
              </w:rPr>
              <w:t xml:space="preserve">% of </w:t>
            </w:r>
            <w:r w:rsidR="00BB4221">
              <w:rPr>
                <w:rFonts w:cs="Arial"/>
                <w:noProof/>
              </w:rPr>
              <w:t>V</w:t>
            </w:r>
            <w:r w:rsidRPr="007A5A38">
              <w:rPr>
                <w:rFonts w:cs="Arial"/>
                <w:noProof/>
              </w:rPr>
              <w:t xml:space="preserve">IM orders issued quarantining 60% of </w:t>
            </w:r>
            <w:r>
              <w:rPr>
                <w:rFonts w:cs="Arial"/>
                <w:noProof/>
              </w:rPr>
              <w:t>a client’s</w:t>
            </w:r>
            <w:r w:rsidRPr="007A5A38">
              <w:rPr>
                <w:rFonts w:cs="Arial"/>
                <w:noProof/>
              </w:rPr>
              <w:t xml:space="preserve"> welfare payment</w:t>
            </w:r>
            <w:r>
              <w:rPr>
                <w:rFonts w:cs="Arial"/>
                <w:noProof/>
              </w:rPr>
              <w:t xml:space="preserve"> </w:t>
            </w:r>
            <w:r w:rsidR="00BB4221">
              <w:rPr>
                <w:rFonts w:cs="Arial"/>
                <w:noProof/>
              </w:rPr>
              <w:t xml:space="preserve">with </w:t>
            </w:r>
            <w:r>
              <w:rPr>
                <w:rFonts w:cs="Arial"/>
                <w:noProof/>
              </w:rPr>
              <w:t xml:space="preserve"> </w:t>
            </w:r>
            <w:r w:rsidR="00BB4221">
              <w:rPr>
                <w:rFonts w:cs="Arial"/>
                <w:noProof/>
              </w:rPr>
              <w:t>6</w:t>
            </w:r>
            <w:r w:rsidRPr="007A5A38">
              <w:rPr>
                <w:rFonts w:cs="Arial"/>
                <w:noProof/>
              </w:rPr>
              <w:t xml:space="preserve">% quarantining 75% of </w:t>
            </w:r>
            <w:r>
              <w:rPr>
                <w:rFonts w:cs="Arial"/>
                <w:noProof/>
              </w:rPr>
              <w:t>a client’s</w:t>
            </w:r>
            <w:r w:rsidRPr="007A5A38">
              <w:rPr>
                <w:rFonts w:cs="Arial"/>
                <w:noProof/>
              </w:rPr>
              <w:t xml:space="preserve"> welfare payment</w:t>
            </w:r>
            <w:r w:rsidR="00BB4221">
              <w:rPr>
                <w:rFonts w:cs="Arial"/>
                <w:noProof/>
              </w:rPr>
              <w:t xml:space="preserve"> and 3% quaranting 90% of a client’s welfare payment</w:t>
            </w:r>
            <w:r w:rsidR="00287306">
              <w:rPr>
                <w:rFonts w:cs="Arial"/>
                <w:noProof/>
              </w:rPr>
              <w:t>.</w:t>
            </w:r>
          </w:p>
        </w:tc>
      </w:tr>
    </w:tbl>
    <w:p w14:paraId="264762F5" w14:textId="3D48F4FC" w:rsidR="007B6069" w:rsidRDefault="007B6069" w:rsidP="003833F9">
      <w:pPr>
        <w:ind w:left="-142" w:right="-425"/>
        <w:jc w:val="both"/>
        <w:rPr>
          <w:rFonts w:cs="Arial"/>
        </w:rPr>
      </w:pPr>
    </w:p>
    <w:p w14:paraId="09FA0CC0" w14:textId="0BC4003F" w:rsidR="00700320" w:rsidRPr="00026686" w:rsidRDefault="00586B89" w:rsidP="00357BEA">
      <w:pPr>
        <w:ind w:left="-142" w:right="-425"/>
        <w:jc w:val="both"/>
        <w:rPr>
          <w:rFonts w:cs="Arial"/>
        </w:rPr>
      </w:pPr>
      <w:r w:rsidRPr="00026686">
        <w:rPr>
          <w:rFonts w:cs="Arial"/>
        </w:rPr>
        <w:t xml:space="preserve">This quarter female community members </w:t>
      </w:r>
      <w:r w:rsidR="008E6B52" w:rsidRPr="00026686">
        <w:rPr>
          <w:rFonts w:cs="Arial"/>
        </w:rPr>
        <w:t xml:space="preserve">accounted for </w:t>
      </w:r>
      <w:r w:rsidR="009E43A5">
        <w:rPr>
          <w:rFonts w:cs="Arial"/>
        </w:rPr>
        <w:t>the majority</w:t>
      </w:r>
      <w:r w:rsidR="008E6B52" w:rsidRPr="00026686">
        <w:rPr>
          <w:rFonts w:cs="Arial"/>
        </w:rPr>
        <w:t xml:space="preserve"> of </w:t>
      </w:r>
      <w:r w:rsidR="00533B44">
        <w:rPr>
          <w:rFonts w:cs="Arial"/>
        </w:rPr>
        <w:t xml:space="preserve">the </w:t>
      </w:r>
      <w:r w:rsidR="008E6B52" w:rsidRPr="00026686">
        <w:rPr>
          <w:rFonts w:cs="Arial"/>
        </w:rPr>
        <w:t>CIMs</w:t>
      </w:r>
      <w:r w:rsidR="009E43A5">
        <w:rPr>
          <w:rFonts w:cs="Arial"/>
        </w:rPr>
        <w:t xml:space="preserve"> with </w:t>
      </w:r>
      <w:r w:rsidR="00E94F53">
        <w:rPr>
          <w:rFonts w:cs="Arial"/>
        </w:rPr>
        <w:t>83</w:t>
      </w:r>
      <w:r w:rsidR="009E43A5">
        <w:rPr>
          <w:rFonts w:cs="Arial"/>
        </w:rPr>
        <w:t xml:space="preserve">% relating to female clients </w:t>
      </w:r>
      <w:r w:rsidR="00533B44">
        <w:rPr>
          <w:rFonts w:cs="Arial"/>
        </w:rPr>
        <w:t xml:space="preserve">. </w:t>
      </w:r>
      <w:r w:rsidR="00BF61F1" w:rsidRPr="00026686">
        <w:rPr>
          <w:rFonts w:cs="Arial"/>
        </w:rPr>
        <w:t>No</w:t>
      </w:r>
      <w:r w:rsidR="005A3730" w:rsidRPr="00026686">
        <w:rPr>
          <w:rFonts w:cs="Arial"/>
        </w:rPr>
        <w:t xml:space="preserve"> community member older than </w:t>
      </w:r>
      <w:r w:rsidR="00F51D90">
        <w:rPr>
          <w:rFonts w:cs="Arial"/>
        </w:rPr>
        <w:t>5</w:t>
      </w:r>
      <w:r w:rsidR="005A3730" w:rsidRPr="00026686">
        <w:rPr>
          <w:rFonts w:cs="Arial"/>
        </w:rPr>
        <w:t>5 years was conditionally income managed by the FRC during the quarter.</w:t>
      </w:r>
    </w:p>
    <w:p w14:paraId="047CED0F" w14:textId="77777777" w:rsidR="00700320" w:rsidRPr="00AB2555" w:rsidRDefault="00700320" w:rsidP="00700320">
      <w:pPr>
        <w:ind w:left="-142" w:right="-425"/>
        <w:jc w:val="both"/>
        <w:rPr>
          <w:rFonts w:cs="Arial"/>
          <w:highlight w:val="yellow"/>
        </w:rPr>
      </w:pPr>
    </w:p>
    <w:p w14:paraId="5026F836" w14:textId="0CA8E4B4" w:rsidR="00700320" w:rsidRPr="00026686" w:rsidRDefault="00586B89" w:rsidP="00700320">
      <w:pPr>
        <w:ind w:left="-142" w:right="-425"/>
        <w:jc w:val="both"/>
        <w:rPr>
          <w:rFonts w:cs="Arial"/>
        </w:rPr>
      </w:pPr>
      <w:proofErr w:type="gramStart"/>
      <w:r w:rsidRPr="00026686">
        <w:rPr>
          <w:rFonts w:cs="Arial"/>
        </w:rPr>
        <w:t>T</w:t>
      </w:r>
      <w:r w:rsidR="009D31EC" w:rsidRPr="00026686">
        <w:rPr>
          <w:rFonts w:cs="Arial"/>
        </w:rPr>
        <w:t>he majority of</w:t>
      </w:r>
      <w:proofErr w:type="gramEnd"/>
      <w:r w:rsidR="009D31EC" w:rsidRPr="00026686">
        <w:rPr>
          <w:rFonts w:cs="Arial"/>
        </w:rPr>
        <w:t xml:space="preserve"> community members voluntarily participating in voluntary income management</w:t>
      </w:r>
      <w:r w:rsidR="00DE66D7" w:rsidRPr="00026686">
        <w:rPr>
          <w:rFonts w:cs="Arial"/>
        </w:rPr>
        <w:t xml:space="preserve"> </w:t>
      </w:r>
      <w:r w:rsidR="00164DEC" w:rsidRPr="00026686">
        <w:rPr>
          <w:rFonts w:cs="Arial"/>
        </w:rPr>
        <w:t xml:space="preserve">this quarter </w:t>
      </w:r>
      <w:r w:rsidR="00A526A0" w:rsidRPr="00026686">
        <w:rPr>
          <w:rFonts w:cs="Arial"/>
        </w:rPr>
        <w:t>were f</w:t>
      </w:r>
      <w:r w:rsidR="000B1E56" w:rsidRPr="00026686">
        <w:rPr>
          <w:rFonts w:cs="Arial"/>
        </w:rPr>
        <w:t xml:space="preserve">rom </w:t>
      </w:r>
      <w:r w:rsidR="00B60CB5" w:rsidRPr="00026686">
        <w:rPr>
          <w:rFonts w:cs="Arial"/>
        </w:rPr>
        <w:t xml:space="preserve">the </w:t>
      </w:r>
      <w:r w:rsidR="00533B44">
        <w:rPr>
          <w:rFonts w:cs="Arial"/>
        </w:rPr>
        <w:t>26 to 35 year age group</w:t>
      </w:r>
      <w:r w:rsidR="005A3730" w:rsidRPr="00026686">
        <w:rPr>
          <w:rFonts w:cs="Arial"/>
        </w:rPr>
        <w:t>.</w:t>
      </w:r>
      <w:r w:rsidR="00FF351C" w:rsidRPr="00026686">
        <w:rPr>
          <w:rFonts w:cs="Arial"/>
        </w:rPr>
        <w:t xml:space="preserve"> </w:t>
      </w:r>
      <w:r w:rsidR="005A3730" w:rsidRPr="00026686">
        <w:rPr>
          <w:rFonts w:cs="Arial"/>
        </w:rPr>
        <w:t>F</w:t>
      </w:r>
      <w:r w:rsidR="00FF351C" w:rsidRPr="00026686">
        <w:rPr>
          <w:rFonts w:cs="Arial"/>
        </w:rPr>
        <w:t>emales account</w:t>
      </w:r>
      <w:r w:rsidR="00A526A0" w:rsidRPr="00026686">
        <w:rPr>
          <w:rFonts w:cs="Arial"/>
        </w:rPr>
        <w:t>ed</w:t>
      </w:r>
      <w:r w:rsidR="00FF351C" w:rsidRPr="00026686">
        <w:rPr>
          <w:rFonts w:cs="Arial"/>
        </w:rPr>
        <w:t xml:space="preserve"> for </w:t>
      </w:r>
      <w:r w:rsidR="00494BCC">
        <w:rPr>
          <w:rFonts w:cs="Arial"/>
        </w:rPr>
        <w:t>73</w:t>
      </w:r>
      <w:r w:rsidR="00DD36DF" w:rsidRPr="00026686">
        <w:rPr>
          <w:rFonts w:cs="Arial"/>
        </w:rPr>
        <w:t>%</w:t>
      </w:r>
      <w:r w:rsidR="00FF351C" w:rsidRPr="00026686">
        <w:rPr>
          <w:rFonts w:cs="Arial"/>
        </w:rPr>
        <w:t xml:space="preserve"> of </w:t>
      </w:r>
      <w:r w:rsidR="00166D38" w:rsidRPr="00026686">
        <w:rPr>
          <w:rFonts w:cs="Arial"/>
        </w:rPr>
        <w:t xml:space="preserve">the </w:t>
      </w:r>
      <w:r w:rsidR="0042231A" w:rsidRPr="00026686">
        <w:rPr>
          <w:rFonts w:cs="Arial"/>
        </w:rPr>
        <w:t>VIMs. Over</w:t>
      </w:r>
      <w:r w:rsidR="00FF351C" w:rsidRPr="00026686">
        <w:rPr>
          <w:rFonts w:cs="Arial"/>
        </w:rPr>
        <w:t xml:space="preserve">all </w:t>
      </w:r>
      <w:r w:rsidR="0042231A" w:rsidRPr="00026686">
        <w:rPr>
          <w:rFonts w:cs="Arial"/>
        </w:rPr>
        <w:t xml:space="preserve">females accounted for </w:t>
      </w:r>
      <w:r w:rsidR="00E7145E">
        <w:rPr>
          <w:rFonts w:cs="Arial"/>
        </w:rPr>
        <w:t>74</w:t>
      </w:r>
      <w:r w:rsidR="00DD36DF" w:rsidRPr="00026686">
        <w:rPr>
          <w:rFonts w:cs="Arial"/>
        </w:rPr>
        <w:t>%</w:t>
      </w:r>
      <w:r w:rsidR="0042231A" w:rsidRPr="00026686">
        <w:rPr>
          <w:rFonts w:cs="Arial"/>
        </w:rPr>
        <w:t xml:space="preserve"> of all </w:t>
      </w:r>
      <w:proofErr w:type="spellStart"/>
      <w:r w:rsidR="0011747F" w:rsidRPr="00026686">
        <w:rPr>
          <w:rFonts w:cs="Arial"/>
        </w:rPr>
        <w:t>SmartCards</w:t>
      </w:r>
      <w:proofErr w:type="spellEnd"/>
      <w:r w:rsidR="0011747F" w:rsidRPr="00026686">
        <w:rPr>
          <w:rFonts w:cs="Arial"/>
        </w:rPr>
        <w:t xml:space="preserve"> </w:t>
      </w:r>
      <w:r w:rsidR="005A3730" w:rsidRPr="00026686">
        <w:rPr>
          <w:rFonts w:cs="Arial"/>
        </w:rPr>
        <w:t>(voluntary and conditional)</w:t>
      </w:r>
      <w:r w:rsidR="0042231A" w:rsidRPr="00026686">
        <w:rPr>
          <w:rFonts w:cs="Arial"/>
        </w:rPr>
        <w:t xml:space="preserve"> </w:t>
      </w:r>
      <w:r w:rsidR="009122F0" w:rsidRPr="00026686">
        <w:rPr>
          <w:rFonts w:cs="Arial"/>
        </w:rPr>
        <w:t>in</w:t>
      </w:r>
      <w:r w:rsidR="0042231A" w:rsidRPr="00026686">
        <w:rPr>
          <w:rFonts w:cs="Arial"/>
        </w:rPr>
        <w:t xml:space="preserve"> quarter </w:t>
      </w:r>
      <w:r w:rsidR="00EF7EFC">
        <w:rPr>
          <w:rFonts w:cs="Arial"/>
        </w:rPr>
        <w:t>68</w:t>
      </w:r>
      <w:r w:rsidR="009D31EC" w:rsidRPr="00026686">
        <w:rPr>
          <w:rFonts w:cs="Arial"/>
        </w:rPr>
        <w:t>.</w:t>
      </w:r>
    </w:p>
    <w:p w14:paraId="51EBBFC5" w14:textId="77777777" w:rsidR="009D31EC" w:rsidRPr="00AB2555" w:rsidRDefault="009D31EC" w:rsidP="003833F9">
      <w:pPr>
        <w:ind w:left="-142" w:right="-425"/>
        <w:jc w:val="both"/>
        <w:rPr>
          <w:rFonts w:cs="Arial"/>
          <w:highlight w:val="yellow"/>
        </w:rPr>
      </w:pPr>
    </w:p>
    <w:p w14:paraId="36680E90" w14:textId="77777777" w:rsidR="00B5084A" w:rsidRDefault="00B5084A" w:rsidP="00B5084A">
      <w:pPr>
        <w:ind w:left="-142" w:right="-425"/>
        <w:jc w:val="both"/>
        <w:rPr>
          <w:rFonts w:cs="Arial"/>
        </w:rPr>
      </w:pPr>
    </w:p>
    <w:p w14:paraId="1BE58865" w14:textId="17957C2D" w:rsidR="0093486B" w:rsidRPr="00026686" w:rsidRDefault="0093486B" w:rsidP="0093486B">
      <w:pPr>
        <w:ind w:left="-142" w:right="-425"/>
        <w:jc w:val="both"/>
        <w:rPr>
          <w:rFonts w:cs="Arial"/>
        </w:rPr>
      </w:pPr>
      <w:r w:rsidRPr="00026686">
        <w:rPr>
          <w:rFonts w:cs="Arial"/>
        </w:rPr>
        <w:t xml:space="preserve">Reasons for applying for the SmartCard were primarily to </w:t>
      </w:r>
      <w:r w:rsidR="009E43A5">
        <w:rPr>
          <w:rFonts w:cs="Arial"/>
        </w:rPr>
        <w:t>buy food (</w:t>
      </w:r>
      <w:r w:rsidR="001C63DE">
        <w:rPr>
          <w:rFonts w:cs="Arial"/>
        </w:rPr>
        <w:t>64</w:t>
      </w:r>
      <w:r w:rsidR="009E43A5">
        <w:rPr>
          <w:rFonts w:cs="Arial"/>
        </w:rPr>
        <w:t>%), to budget (</w:t>
      </w:r>
      <w:r w:rsidR="0054721B">
        <w:rPr>
          <w:rFonts w:cs="Arial"/>
        </w:rPr>
        <w:t>5</w:t>
      </w:r>
      <w:r w:rsidR="001C63DE">
        <w:rPr>
          <w:rFonts w:cs="Arial"/>
        </w:rPr>
        <w:t>8</w:t>
      </w:r>
      <w:r w:rsidR="009E43A5">
        <w:rPr>
          <w:rFonts w:cs="Arial"/>
        </w:rPr>
        <w:t xml:space="preserve">%), </w:t>
      </w:r>
      <w:r w:rsidR="001C63DE">
        <w:rPr>
          <w:rFonts w:cs="Arial"/>
        </w:rPr>
        <w:t xml:space="preserve">to </w:t>
      </w:r>
      <w:r w:rsidR="001C63DE" w:rsidRPr="00026686">
        <w:rPr>
          <w:rFonts w:cs="Arial"/>
        </w:rPr>
        <w:t>save for something they needed (</w:t>
      </w:r>
      <w:r w:rsidR="001C63DE">
        <w:rPr>
          <w:rFonts w:cs="Arial"/>
        </w:rPr>
        <w:t>45</w:t>
      </w:r>
      <w:r w:rsidR="001C63DE" w:rsidRPr="00026686">
        <w:rPr>
          <w:rFonts w:cs="Arial"/>
        </w:rPr>
        <w:t>%)</w:t>
      </w:r>
      <w:r w:rsidR="001C63DE">
        <w:rPr>
          <w:rFonts w:cs="Arial"/>
        </w:rPr>
        <w:t xml:space="preserve">, </w:t>
      </w:r>
      <w:r w:rsidR="0054721B">
        <w:rPr>
          <w:rFonts w:cs="Arial"/>
        </w:rPr>
        <w:t>to pay for bills (</w:t>
      </w:r>
      <w:r w:rsidR="001C63DE">
        <w:rPr>
          <w:rFonts w:cs="Arial"/>
        </w:rPr>
        <w:t>42</w:t>
      </w:r>
      <w:r w:rsidR="0054721B">
        <w:rPr>
          <w:rFonts w:cs="Arial"/>
        </w:rPr>
        <w:t xml:space="preserve">%) </w:t>
      </w:r>
      <w:r>
        <w:rPr>
          <w:rFonts w:cs="Arial"/>
        </w:rPr>
        <w:t xml:space="preserve">and to protect </w:t>
      </w:r>
      <w:r w:rsidR="00F101C0">
        <w:rPr>
          <w:rFonts w:cs="Arial"/>
        </w:rPr>
        <w:t xml:space="preserve">their </w:t>
      </w:r>
      <w:r>
        <w:rPr>
          <w:rFonts w:cs="Arial"/>
        </w:rPr>
        <w:t>payments (</w:t>
      </w:r>
      <w:r w:rsidR="001C63DE">
        <w:rPr>
          <w:rFonts w:cs="Arial"/>
        </w:rPr>
        <w:t>15</w:t>
      </w:r>
      <w:r>
        <w:rPr>
          <w:rFonts w:cs="Arial"/>
        </w:rPr>
        <w:t>%)</w:t>
      </w:r>
      <w:r w:rsidRPr="00026686">
        <w:rPr>
          <w:rFonts w:cs="Arial"/>
        </w:rPr>
        <w:t>. Circumstances given by voluntary income management participants when applying for the SmartCard were to support themselves (</w:t>
      </w:r>
      <w:r w:rsidR="001C63DE">
        <w:rPr>
          <w:rFonts w:cs="Arial"/>
        </w:rPr>
        <w:t>88</w:t>
      </w:r>
      <w:r w:rsidRPr="00026686">
        <w:rPr>
          <w:rFonts w:cs="Arial"/>
        </w:rPr>
        <w:t xml:space="preserve">%), they needed to support their </w:t>
      </w:r>
      <w:r w:rsidR="003A1DAC">
        <w:rPr>
          <w:rFonts w:cs="Arial"/>
        </w:rPr>
        <w:t>children</w:t>
      </w:r>
      <w:r w:rsidR="003A1DAC" w:rsidRPr="00026686">
        <w:rPr>
          <w:rFonts w:cs="Arial"/>
        </w:rPr>
        <w:t xml:space="preserve"> </w:t>
      </w:r>
      <w:r w:rsidRPr="00026686">
        <w:rPr>
          <w:rFonts w:cs="Arial"/>
        </w:rPr>
        <w:t>(</w:t>
      </w:r>
      <w:r w:rsidR="001C63DE">
        <w:rPr>
          <w:rFonts w:cs="Arial"/>
        </w:rPr>
        <w:t>39</w:t>
      </w:r>
      <w:r w:rsidRPr="00026686">
        <w:rPr>
          <w:rFonts w:cs="Arial"/>
        </w:rPr>
        <w:t>%)</w:t>
      </w:r>
      <w:r>
        <w:rPr>
          <w:rFonts w:cs="Arial"/>
        </w:rPr>
        <w:t xml:space="preserve">, </w:t>
      </w:r>
      <w:r w:rsidR="001C63DE">
        <w:rPr>
          <w:rFonts w:cs="Arial"/>
        </w:rPr>
        <w:t xml:space="preserve">they need to support their family (36%) and </w:t>
      </w:r>
      <w:r>
        <w:rPr>
          <w:rFonts w:cs="Arial"/>
        </w:rPr>
        <w:t>they liked the SmartCard (</w:t>
      </w:r>
      <w:r w:rsidR="003A1DAC">
        <w:rPr>
          <w:rFonts w:cs="Arial"/>
        </w:rPr>
        <w:t>2</w:t>
      </w:r>
      <w:r w:rsidR="001C63DE">
        <w:rPr>
          <w:rFonts w:cs="Arial"/>
        </w:rPr>
        <w:t>4</w:t>
      </w:r>
      <w:r>
        <w:rPr>
          <w:rFonts w:cs="Arial"/>
        </w:rPr>
        <w:t>%)</w:t>
      </w:r>
      <w:r w:rsidR="001C63DE">
        <w:rPr>
          <w:rFonts w:cs="Arial"/>
        </w:rPr>
        <w:t xml:space="preserve">. </w:t>
      </w:r>
      <w:r w:rsidRPr="00026686">
        <w:rPr>
          <w:rFonts w:cs="Arial"/>
        </w:rPr>
        <w:t xml:space="preserve">Please note, a client may choose one or more </w:t>
      </w:r>
      <w:r w:rsidRPr="00026686">
        <w:rPr>
          <w:rFonts w:cs="Arial"/>
        </w:rPr>
        <w:lastRenderedPageBreak/>
        <w:t>options to reflect their individual reasons and circumstances for participating in voluntary income management.</w:t>
      </w:r>
    </w:p>
    <w:p w14:paraId="2E669FAB" w14:textId="77777777" w:rsidR="0093486B" w:rsidRDefault="0093486B" w:rsidP="00B5084A">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D826AB" w14:paraId="71E14D7E" w14:textId="77777777" w:rsidTr="006E46CB">
        <w:trPr>
          <w:trHeight w:val="278"/>
        </w:trPr>
        <w:tc>
          <w:tcPr>
            <w:tcW w:w="4390" w:type="dxa"/>
            <w:gridSpan w:val="4"/>
          </w:tcPr>
          <w:p w14:paraId="1837238B" w14:textId="0DC6D2F9" w:rsidR="00D826AB" w:rsidRDefault="00D826AB" w:rsidP="006E46CB">
            <w:pPr>
              <w:rPr>
                <w:rFonts w:cs="Arial"/>
                <w:b/>
                <w:bCs/>
                <w:noProof/>
                <w:sz w:val="16"/>
                <w:szCs w:val="16"/>
              </w:rPr>
            </w:pPr>
            <w:bookmarkStart w:id="22" w:name="_Hlk158968117"/>
            <w:r>
              <w:rPr>
                <w:rFonts w:cs="Arial"/>
                <w:b/>
                <w:bCs/>
                <w:noProof/>
                <w:sz w:val="16"/>
                <w:szCs w:val="16"/>
              </w:rPr>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 xml:space="preserve">and gender 1 </w:t>
            </w:r>
            <w:r w:rsidR="00287306">
              <w:rPr>
                <w:rFonts w:cs="Arial"/>
                <w:noProof/>
                <w:sz w:val="16"/>
                <w:szCs w:val="16"/>
              </w:rPr>
              <w:t>April</w:t>
            </w:r>
            <w:r>
              <w:rPr>
                <w:rFonts w:cs="Arial"/>
                <w:noProof/>
                <w:sz w:val="16"/>
                <w:szCs w:val="16"/>
              </w:rPr>
              <w:t xml:space="preserve"> 2025</w:t>
            </w:r>
            <w:r w:rsidRPr="00523A30">
              <w:rPr>
                <w:rFonts w:cs="Arial"/>
                <w:noProof/>
                <w:sz w:val="16"/>
                <w:szCs w:val="16"/>
              </w:rPr>
              <w:t xml:space="preserve"> – </w:t>
            </w:r>
            <w:r>
              <w:rPr>
                <w:rFonts w:cs="Arial"/>
                <w:noProof/>
                <w:sz w:val="16"/>
                <w:szCs w:val="16"/>
              </w:rPr>
              <w:t>3</w:t>
            </w:r>
            <w:r w:rsidR="00287306">
              <w:rPr>
                <w:rFonts w:cs="Arial"/>
                <w:noProof/>
                <w:sz w:val="16"/>
                <w:szCs w:val="16"/>
              </w:rPr>
              <w:t xml:space="preserve">0 June </w:t>
            </w:r>
            <w:r>
              <w:rPr>
                <w:rFonts w:cs="Arial"/>
                <w:noProof/>
                <w:sz w:val="16"/>
                <w:szCs w:val="16"/>
              </w:rPr>
              <w:t>2025</w:t>
            </w:r>
          </w:p>
        </w:tc>
        <w:tc>
          <w:tcPr>
            <w:tcW w:w="567" w:type="dxa"/>
            <w:tcBorders>
              <w:top w:val="nil"/>
              <w:bottom w:val="nil"/>
            </w:tcBorders>
          </w:tcPr>
          <w:p w14:paraId="165B5215" w14:textId="77777777" w:rsidR="00D826AB" w:rsidRDefault="00D826AB" w:rsidP="006E46CB">
            <w:pPr>
              <w:rPr>
                <w:rFonts w:cs="Arial"/>
                <w:b/>
                <w:bCs/>
                <w:noProof/>
                <w:sz w:val="16"/>
                <w:szCs w:val="16"/>
              </w:rPr>
            </w:pPr>
          </w:p>
        </w:tc>
        <w:tc>
          <w:tcPr>
            <w:tcW w:w="4394" w:type="dxa"/>
            <w:gridSpan w:val="4"/>
          </w:tcPr>
          <w:p w14:paraId="4868A727" w14:textId="64CED00C" w:rsidR="00D826AB" w:rsidRDefault="00D826AB" w:rsidP="006E46CB">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 xml:space="preserve">and gender 1 </w:t>
            </w:r>
            <w:r w:rsidR="00287306">
              <w:rPr>
                <w:rFonts w:cs="Arial"/>
                <w:noProof/>
                <w:sz w:val="16"/>
                <w:szCs w:val="16"/>
              </w:rPr>
              <w:t>April</w:t>
            </w:r>
            <w:r>
              <w:rPr>
                <w:rFonts w:cs="Arial"/>
                <w:noProof/>
                <w:sz w:val="16"/>
                <w:szCs w:val="16"/>
              </w:rPr>
              <w:t xml:space="preserve"> 2025</w:t>
            </w:r>
            <w:r w:rsidRPr="00523A30">
              <w:rPr>
                <w:rFonts w:cs="Arial"/>
                <w:noProof/>
                <w:sz w:val="16"/>
                <w:szCs w:val="16"/>
              </w:rPr>
              <w:t xml:space="preserve"> – </w:t>
            </w:r>
            <w:r>
              <w:rPr>
                <w:rFonts w:cs="Arial"/>
                <w:noProof/>
                <w:sz w:val="16"/>
                <w:szCs w:val="16"/>
              </w:rPr>
              <w:t>3</w:t>
            </w:r>
            <w:r w:rsidR="00287306">
              <w:rPr>
                <w:rFonts w:cs="Arial"/>
                <w:noProof/>
                <w:sz w:val="16"/>
                <w:szCs w:val="16"/>
              </w:rPr>
              <w:t xml:space="preserve">0 June </w:t>
            </w:r>
            <w:r>
              <w:rPr>
                <w:rFonts w:cs="Arial"/>
                <w:noProof/>
                <w:sz w:val="16"/>
                <w:szCs w:val="16"/>
              </w:rPr>
              <w:t>2025</w:t>
            </w:r>
          </w:p>
        </w:tc>
      </w:tr>
      <w:tr w:rsidR="00D826AB" w14:paraId="5572F11B" w14:textId="77777777" w:rsidTr="006E46CB">
        <w:trPr>
          <w:trHeight w:val="278"/>
        </w:trPr>
        <w:tc>
          <w:tcPr>
            <w:tcW w:w="1418" w:type="dxa"/>
            <w:vAlign w:val="center"/>
          </w:tcPr>
          <w:p w14:paraId="6B66E22B" w14:textId="77777777" w:rsidR="00D826AB" w:rsidRPr="002F3F87" w:rsidRDefault="00D826AB" w:rsidP="006E46CB">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64FF6E26" w14:textId="77777777" w:rsidR="00D826AB" w:rsidRPr="002F3F87" w:rsidRDefault="00D826AB" w:rsidP="006E46CB">
            <w:pPr>
              <w:jc w:val="center"/>
              <w:rPr>
                <w:rFonts w:cs="Arial"/>
                <w:b/>
                <w:bCs/>
                <w:noProof/>
              </w:rPr>
            </w:pPr>
            <w:r w:rsidRPr="002F3F87">
              <w:rPr>
                <w:rFonts w:cs="Arial"/>
                <w:b/>
                <w:bCs/>
                <w:noProof/>
              </w:rPr>
              <w:t>Male</w:t>
            </w:r>
          </w:p>
        </w:tc>
        <w:tc>
          <w:tcPr>
            <w:tcW w:w="1134" w:type="dxa"/>
            <w:vAlign w:val="center"/>
          </w:tcPr>
          <w:p w14:paraId="3631A29D" w14:textId="77777777" w:rsidR="00D826AB" w:rsidRPr="002F3F87" w:rsidRDefault="00D826AB" w:rsidP="006E46CB">
            <w:pPr>
              <w:jc w:val="center"/>
              <w:rPr>
                <w:rFonts w:cs="Arial"/>
                <w:b/>
                <w:bCs/>
                <w:noProof/>
              </w:rPr>
            </w:pPr>
            <w:r w:rsidRPr="002F3F87">
              <w:rPr>
                <w:rFonts w:cs="Arial"/>
                <w:b/>
                <w:bCs/>
                <w:noProof/>
              </w:rPr>
              <w:t>Female</w:t>
            </w:r>
          </w:p>
        </w:tc>
        <w:tc>
          <w:tcPr>
            <w:tcW w:w="851" w:type="dxa"/>
          </w:tcPr>
          <w:p w14:paraId="29382FB6" w14:textId="77777777" w:rsidR="00D826AB" w:rsidRPr="002F3F87" w:rsidRDefault="00D826AB" w:rsidP="006E46CB">
            <w:pPr>
              <w:jc w:val="center"/>
              <w:rPr>
                <w:rFonts w:cs="Arial"/>
                <w:b/>
                <w:bCs/>
                <w:noProof/>
              </w:rPr>
            </w:pPr>
            <w:r>
              <w:rPr>
                <w:rFonts w:cs="Arial"/>
                <w:b/>
                <w:bCs/>
                <w:noProof/>
              </w:rPr>
              <w:t>Total</w:t>
            </w:r>
          </w:p>
        </w:tc>
        <w:tc>
          <w:tcPr>
            <w:tcW w:w="567" w:type="dxa"/>
            <w:tcBorders>
              <w:top w:val="nil"/>
              <w:bottom w:val="nil"/>
            </w:tcBorders>
          </w:tcPr>
          <w:p w14:paraId="6B8B2850" w14:textId="77777777" w:rsidR="00D826AB" w:rsidRPr="002F3F87" w:rsidRDefault="00D826AB" w:rsidP="006E46CB">
            <w:pPr>
              <w:rPr>
                <w:rFonts w:cs="Arial"/>
                <w:b/>
                <w:bCs/>
                <w:noProof/>
              </w:rPr>
            </w:pPr>
          </w:p>
        </w:tc>
        <w:tc>
          <w:tcPr>
            <w:tcW w:w="1417" w:type="dxa"/>
            <w:vAlign w:val="center"/>
          </w:tcPr>
          <w:p w14:paraId="5496850A" w14:textId="77777777" w:rsidR="00D826AB" w:rsidRPr="002F3F87" w:rsidRDefault="00D826AB" w:rsidP="006E46CB">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2D7AB3C4" w14:textId="77777777" w:rsidR="00D826AB" w:rsidRPr="002F3F87" w:rsidRDefault="00D826AB" w:rsidP="006E46CB">
            <w:pPr>
              <w:jc w:val="center"/>
              <w:rPr>
                <w:rFonts w:cs="Arial"/>
                <w:b/>
                <w:bCs/>
                <w:noProof/>
              </w:rPr>
            </w:pPr>
            <w:r w:rsidRPr="002F3F87">
              <w:rPr>
                <w:rFonts w:cs="Arial"/>
                <w:b/>
                <w:bCs/>
                <w:noProof/>
              </w:rPr>
              <w:t>Male</w:t>
            </w:r>
          </w:p>
        </w:tc>
        <w:tc>
          <w:tcPr>
            <w:tcW w:w="1134" w:type="dxa"/>
            <w:vAlign w:val="center"/>
          </w:tcPr>
          <w:p w14:paraId="574F2597" w14:textId="77777777" w:rsidR="00D826AB" w:rsidRPr="002F3F87" w:rsidRDefault="00D826AB" w:rsidP="006E46CB">
            <w:pPr>
              <w:jc w:val="center"/>
              <w:rPr>
                <w:rFonts w:cs="Arial"/>
                <w:b/>
                <w:bCs/>
                <w:noProof/>
              </w:rPr>
            </w:pPr>
            <w:r w:rsidRPr="002F3F87">
              <w:rPr>
                <w:rFonts w:cs="Arial"/>
                <w:b/>
                <w:bCs/>
                <w:noProof/>
              </w:rPr>
              <w:t>Female</w:t>
            </w:r>
          </w:p>
        </w:tc>
        <w:tc>
          <w:tcPr>
            <w:tcW w:w="851" w:type="dxa"/>
          </w:tcPr>
          <w:p w14:paraId="12620553" w14:textId="77777777" w:rsidR="00D826AB" w:rsidRPr="002F3F87" w:rsidRDefault="00D826AB" w:rsidP="006E46CB">
            <w:pPr>
              <w:jc w:val="center"/>
              <w:rPr>
                <w:rFonts w:cs="Arial"/>
                <w:b/>
                <w:bCs/>
                <w:noProof/>
              </w:rPr>
            </w:pPr>
            <w:r>
              <w:rPr>
                <w:rFonts w:cs="Arial"/>
                <w:b/>
                <w:bCs/>
                <w:noProof/>
              </w:rPr>
              <w:t>Total</w:t>
            </w:r>
          </w:p>
        </w:tc>
      </w:tr>
      <w:tr w:rsidR="00D826AB" w14:paraId="2B291C96" w14:textId="77777777" w:rsidTr="006E46CB">
        <w:trPr>
          <w:trHeight w:val="278"/>
        </w:trPr>
        <w:tc>
          <w:tcPr>
            <w:tcW w:w="1418" w:type="dxa"/>
            <w:vAlign w:val="center"/>
          </w:tcPr>
          <w:p w14:paraId="35987C3D" w14:textId="77777777" w:rsidR="00D826AB" w:rsidRPr="002819D6" w:rsidRDefault="00D826AB" w:rsidP="006E46CB">
            <w:pPr>
              <w:rPr>
                <w:rFonts w:cs="Arial"/>
                <w:noProof/>
              </w:rPr>
            </w:pPr>
            <w:r>
              <w:rPr>
                <w:rFonts w:cs="Arial"/>
                <w:noProof/>
              </w:rPr>
              <w:t>18-25</w:t>
            </w:r>
          </w:p>
        </w:tc>
        <w:tc>
          <w:tcPr>
            <w:tcW w:w="987" w:type="dxa"/>
            <w:vAlign w:val="center"/>
          </w:tcPr>
          <w:p w14:paraId="35E30B6C" w14:textId="77777777" w:rsidR="00D826AB" w:rsidRPr="001D1C01" w:rsidRDefault="00D826AB" w:rsidP="006E46CB">
            <w:pPr>
              <w:jc w:val="right"/>
              <w:rPr>
                <w:rFonts w:cs="Arial"/>
                <w:noProof/>
              </w:rPr>
            </w:pPr>
            <w:r>
              <w:rPr>
                <w:rFonts w:cs="Arial"/>
                <w:noProof/>
              </w:rPr>
              <w:t>1</w:t>
            </w:r>
          </w:p>
        </w:tc>
        <w:tc>
          <w:tcPr>
            <w:tcW w:w="1134" w:type="dxa"/>
            <w:vAlign w:val="center"/>
          </w:tcPr>
          <w:p w14:paraId="623A1136" w14:textId="77777777" w:rsidR="00D826AB" w:rsidRPr="001D1C01" w:rsidRDefault="00D826AB" w:rsidP="006E46CB">
            <w:pPr>
              <w:jc w:val="right"/>
              <w:rPr>
                <w:rFonts w:cs="Arial"/>
                <w:noProof/>
              </w:rPr>
            </w:pPr>
            <w:r>
              <w:rPr>
                <w:rFonts w:cs="Arial"/>
                <w:noProof/>
              </w:rPr>
              <w:t>2</w:t>
            </w:r>
          </w:p>
        </w:tc>
        <w:tc>
          <w:tcPr>
            <w:tcW w:w="851" w:type="dxa"/>
            <w:vAlign w:val="center"/>
          </w:tcPr>
          <w:p w14:paraId="68B342CB" w14:textId="77777777" w:rsidR="00D826AB" w:rsidRPr="00B9611C" w:rsidRDefault="00D826AB" w:rsidP="006E46CB">
            <w:pPr>
              <w:jc w:val="right"/>
              <w:rPr>
                <w:rFonts w:cs="Arial"/>
                <w:b/>
                <w:bCs/>
                <w:noProof/>
              </w:rPr>
            </w:pPr>
            <w:r>
              <w:rPr>
                <w:rFonts w:cs="Arial"/>
                <w:b/>
                <w:bCs/>
                <w:noProof/>
              </w:rPr>
              <w:t>3</w:t>
            </w:r>
          </w:p>
        </w:tc>
        <w:tc>
          <w:tcPr>
            <w:tcW w:w="567" w:type="dxa"/>
            <w:tcBorders>
              <w:top w:val="nil"/>
              <w:bottom w:val="nil"/>
            </w:tcBorders>
          </w:tcPr>
          <w:p w14:paraId="40166174" w14:textId="77777777" w:rsidR="00D826AB" w:rsidRDefault="00D826AB" w:rsidP="006E46CB">
            <w:pPr>
              <w:rPr>
                <w:rFonts w:cs="Arial"/>
                <w:noProof/>
              </w:rPr>
            </w:pPr>
          </w:p>
        </w:tc>
        <w:tc>
          <w:tcPr>
            <w:tcW w:w="1417" w:type="dxa"/>
            <w:vAlign w:val="center"/>
          </w:tcPr>
          <w:p w14:paraId="35A574B6" w14:textId="77777777" w:rsidR="00D826AB" w:rsidRPr="001D1C01" w:rsidRDefault="00D826AB" w:rsidP="006E46CB">
            <w:pPr>
              <w:rPr>
                <w:rFonts w:cs="Arial"/>
                <w:noProof/>
              </w:rPr>
            </w:pPr>
            <w:r>
              <w:rPr>
                <w:rFonts w:cs="Arial"/>
                <w:noProof/>
              </w:rPr>
              <w:t>18-25</w:t>
            </w:r>
          </w:p>
        </w:tc>
        <w:tc>
          <w:tcPr>
            <w:tcW w:w="992" w:type="dxa"/>
            <w:vAlign w:val="center"/>
          </w:tcPr>
          <w:p w14:paraId="277B2E3B" w14:textId="71753980" w:rsidR="00D826AB" w:rsidRPr="001D1C01" w:rsidRDefault="00287306" w:rsidP="006E46CB">
            <w:pPr>
              <w:jc w:val="right"/>
              <w:rPr>
                <w:rFonts w:cs="Arial"/>
                <w:noProof/>
              </w:rPr>
            </w:pPr>
            <w:r>
              <w:rPr>
                <w:rFonts w:cs="Arial"/>
                <w:noProof/>
              </w:rPr>
              <w:t>0</w:t>
            </w:r>
          </w:p>
        </w:tc>
        <w:tc>
          <w:tcPr>
            <w:tcW w:w="1134" w:type="dxa"/>
            <w:vAlign w:val="center"/>
          </w:tcPr>
          <w:p w14:paraId="3BA9452E" w14:textId="25EAFB79" w:rsidR="00D826AB" w:rsidRPr="001D1C01" w:rsidRDefault="00287306" w:rsidP="006E46CB">
            <w:pPr>
              <w:jc w:val="right"/>
              <w:rPr>
                <w:rFonts w:cs="Arial"/>
                <w:noProof/>
              </w:rPr>
            </w:pPr>
            <w:r>
              <w:rPr>
                <w:rFonts w:cs="Arial"/>
                <w:noProof/>
              </w:rPr>
              <w:t>3</w:t>
            </w:r>
          </w:p>
        </w:tc>
        <w:tc>
          <w:tcPr>
            <w:tcW w:w="851" w:type="dxa"/>
            <w:vAlign w:val="center"/>
          </w:tcPr>
          <w:p w14:paraId="67CFD4F1" w14:textId="4F21D508" w:rsidR="00D826AB" w:rsidRPr="00B9611C" w:rsidRDefault="00287306" w:rsidP="006E46CB">
            <w:pPr>
              <w:jc w:val="right"/>
              <w:rPr>
                <w:rFonts w:cs="Arial"/>
                <w:b/>
                <w:bCs/>
                <w:noProof/>
              </w:rPr>
            </w:pPr>
            <w:r>
              <w:rPr>
                <w:rFonts w:cs="Arial"/>
                <w:b/>
                <w:bCs/>
                <w:noProof/>
              </w:rPr>
              <w:t>3</w:t>
            </w:r>
          </w:p>
        </w:tc>
      </w:tr>
      <w:tr w:rsidR="00D826AB" w14:paraId="7A93C276" w14:textId="77777777" w:rsidTr="006E46CB">
        <w:trPr>
          <w:trHeight w:val="278"/>
        </w:trPr>
        <w:tc>
          <w:tcPr>
            <w:tcW w:w="1418" w:type="dxa"/>
            <w:vAlign w:val="center"/>
          </w:tcPr>
          <w:p w14:paraId="633A63B5" w14:textId="77777777" w:rsidR="00D826AB" w:rsidRPr="002819D6" w:rsidRDefault="00D826AB" w:rsidP="006E46CB">
            <w:pPr>
              <w:rPr>
                <w:rFonts w:cs="Arial"/>
                <w:noProof/>
              </w:rPr>
            </w:pPr>
            <w:r>
              <w:rPr>
                <w:rFonts w:cs="Arial"/>
                <w:noProof/>
              </w:rPr>
              <w:t>26-35</w:t>
            </w:r>
          </w:p>
        </w:tc>
        <w:tc>
          <w:tcPr>
            <w:tcW w:w="987" w:type="dxa"/>
            <w:vAlign w:val="center"/>
          </w:tcPr>
          <w:p w14:paraId="520FFFF4" w14:textId="23ED5DD4" w:rsidR="00D826AB" w:rsidRPr="001D1C01" w:rsidRDefault="00287306" w:rsidP="006E46CB">
            <w:pPr>
              <w:jc w:val="right"/>
              <w:rPr>
                <w:rFonts w:cs="Arial"/>
                <w:noProof/>
              </w:rPr>
            </w:pPr>
            <w:r>
              <w:rPr>
                <w:rFonts w:cs="Arial"/>
                <w:noProof/>
              </w:rPr>
              <w:t>0</w:t>
            </w:r>
          </w:p>
        </w:tc>
        <w:tc>
          <w:tcPr>
            <w:tcW w:w="1134" w:type="dxa"/>
            <w:vAlign w:val="center"/>
          </w:tcPr>
          <w:p w14:paraId="4ADB0E61" w14:textId="6C74358B" w:rsidR="00D826AB" w:rsidRPr="001D1C01" w:rsidRDefault="00287306" w:rsidP="006E46CB">
            <w:pPr>
              <w:jc w:val="right"/>
              <w:rPr>
                <w:rFonts w:cs="Arial"/>
                <w:noProof/>
              </w:rPr>
            </w:pPr>
            <w:r>
              <w:rPr>
                <w:rFonts w:cs="Arial"/>
                <w:noProof/>
              </w:rPr>
              <w:t>1</w:t>
            </w:r>
          </w:p>
        </w:tc>
        <w:tc>
          <w:tcPr>
            <w:tcW w:w="851" w:type="dxa"/>
            <w:vAlign w:val="center"/>
          </w:tcPr>
          <w:p w14:paraId="50C377CE" w14:textId="773D1D4F" w:rsidR="00D826AB" w:rsidRPr="00B9611C" w:rsidRDefault="00287306" w:rsidP="006E46CB">
            <w:pPr>
              <w:jc w:val="right"/>
              <w:rPr>
                <w:rFonts w:cs="Arial"/>
                <w:b/>
                <w:bCs/>
                <w:noProof/>
              </w:rPr>
            </w:pPr>
            <w:r>
              <w:rPr>
                <w:rFonts w:cs="Arial"/>
                <w:b/>
                <w:bCs/>
                <w:noProof/>
              </w:rPr>
              <w:t>1</w:t>
            </w:r>
          </w:p>
        </w:tc>
        <w:tc>
          <w:tcPr>
            <w:tcW w:w="567" w:type="dxa"/>
            <w:tcBorders>
              <w:top w:val="nil"/>
              <w:bottom w:val="nil"/>
            </w:tcBorders>
          </w:tcPr>
          <w:p w14:paraId="75D7E822" w14:textId="77777777" w:rsidR="00D826AB" w:rsidRDefault="00D826AB" w:rsidP="006E46CB">
            <w:pPr>
              <w:rPr>
                <w:rFonts w:cs="Arial"/>
                <w:noProof/>
              </w:rPr>
            </w:pPr>
          </w:p>
        </w:tc>
        <w:tc>
          <w:tcPr>
            <w:tcW w:w="1417" w:type="dxa"/>
            <w:vAlign w:val="center"/>
          </w:tcPr>
          <w:p w14:paraId="76F1596F" w14:textId="77777777" w:rsidR="00D826AB" w:rsidRPr="001D1C01" w:rsidRDefault="00D826AB" w:rsidP="006E46CB">
            <w:pPr>
              <w:rPr>
                <w:rFonts w:cs="Arial"/>
                <w:noProof/>
              </w:rPr>
            </w:pPr>
            <w:r>
              <w:rPr>
                <w:rFonts w:cs="Arial"/>
                <w:noProof/>
              </w:rPr>
              <w:t>26-35</w:t>
            </w:r>
          </w:p>
        </w:tc>
        <w:tc>
          <w:tcPr>
            <w:tcW w:w="992" w:type="dxa"/>
            <w:vAlign w:val="center"/>
          </w:tcPr>
          <w:p w14:paraId="2400E58C" w14:textId="5C767840" w:rsidR="00D826AB" w:rsidRPr="001D1C01" w:rsidRDefault="00287306" w:rsidP="006E46CB">
            <w:pPr>
              <w:jc w:val="right"/>
              <w:rPr>
                <w:rFonts w:cs="Arial"/>
                <w:noProof/>
              </w:rPr>
            </w:pPr>
            <w:r>
              <w:rPr>
                <w:rFonts w:cs="Arial"/>
                <w:noProof/>
              </w:rPr>
              <w:t>4</w:t>
            </w:r>
          </w:p>
        </w:tc>
        <w:tc>
          <w:tcPr>
            <w:tcW w:w="1134" w:type="dxa"/>
            <w:vAlign w:val="center"/>
          </w:tcPr>
          <w:p w14:paraId="5172E6D4" w14:textId="109CF267" w:rsidR="00D826AB" w:rsidRPr="001D1C01" w:rsidRDefault="00287306" w:rsidP="006E46CB">
            <w:pPr>
              <w:jc w:val="right"/>
              <w:rPr>
                <w:rFonts w:cs="Arial"/>
                <w:noProof/>
              </w:rPr>
            </w:pPr>
            <w:r>
              <w:rPr>
                <w:rFonts w:cs="Arial"/>
                <w:noProof/>
              </w:rPr>
              <w:t>7</w:t>
            </w:r>
          </w:p>
        </w:tc>
        <w:tc>
          <w:tcPr>
            <w:tcW w:w="851" w:type="dxa"/>
            <w:vAlign w:val="center"/>
          </w:tcPr>
          <w:p w14:paraId="400E2AFB" w14:textId="4D783503" w:rsidR="00D826AB" w:rsidRPr="00B9611C" w:rsidRDefault="00287306" w:rsidP="006E46CB">
            <w:pPr>
              <w:jc w:val="right"/>
              <w:rPr>
                <w:rFonts w:cs="Arial"/>
                <w:b/>
                <w:bCs/>
                <w:noProof/>
              </w:rPr>
            </w:pPr>
            <w:r>
              <w:rPr>
                <w:rFonts w:cs="Arial"/>
                <w:b/>
                <w:bCs/>
                <w:noProof/>
              </w:rPr>
              <w:t>11</w:t>
            </w:r>
          </w:p>
        </w:tc>
      </w:tr>
      <w:tr w:rsidR="00D826AB" w14:paraId="4CB0AF12" w14:textId="77777777" w:rsidTr="006E46CB">
        <w:trPr>
          <w:trHeight w:val="278"/>
        </w:trPr>
        <w:tc>
          <w:tcPr>
            <w:tcW w:w="1418" w:type="dxa"/>
            <w:vAlign w:val="center"/>
          </w:tcPr>
          <w:p w14:paraId="11981C8F" w14:textId="77777777" w:rsidR="00D826AB" w:rsidRPr="002819D6" w:rsidRDefault="00D826AB" w:rsidP="006E46CB">
            <w:pPr>
              <w:rPr>
                <w:rFonts w:cs="Arial"/>
                <w:noProof/>
              </w:rPr>
            </w:pPr>
            <w:r>
              <w:rPr>
                <w:rFonts w:cs="Arial"/>
                <w:noProof/>
              </w:rPr>
              <w:t>36-45</w:t>
            </w:r>
          </w:p>
        </w:tc>
        <w:tc>
          <w:tcPr>
            <w:tcW w:w="987" w:type="dxa"/>
            <w:vAlign w:val="center"/>
          </w:tcPr>
          <w:p w14:paraId="138C5ED0" w14:textId="77777777" w:rsidR="00D826AB" w:rsidRPr="001D1C01" w:rsidRDefault="00D826AB" w:rsidP="006E46CB">
            <w:pPr>
              <w:jc w:val="right"/>
              <w:rPr>
                <w:rFonts w:cs="Arial"/>
                <w:noProof/>
              </w:rPr>
            </w:pPr>
            <w:r>
              <w:rPr>
                <w:rFonts w:cs="Arial"/>
                <w:noProof/>
              </w:rPr>
              <w:t>0</w:t>
            </w:r>
          </w:p>
        </w:tc>
        <w:tc>
          <w:tcPr>
            <w:tcW w:w="1134" w:type="dxa"/>
            <w:vAlign w:val="center"/>
          </w:tcPr>
          <w:p w14:paraId="0B1E0245" w14:textId="71E4A5FD" w:rsidR="00D826AB" w:rsidRPr="001D1C01" w:rsidRDefault="00287306" w:rsidP="006E46CB">
            <w:pPr>
              <w:jc w:val="right"/>
              <w:rPr>
                <w:rFonts w:cs="Arial"/>
                <w:noProof/>
              </w:rPr>
            </w:pPr>
            <w:r>
              <w:rPr>
                <w:rFonts w:cs="Arial"/>
                <w:noProof/>
              </w:rPr>
              <w:t>2</w:t>
            </w:r>
          </w:p>
        </w:tc>
        <w:tc>
          <w:tcPr>
            <w:tcW w:w="851" w:type="dxa"/>
            <w:vAlign w:val="center"/>
          </w:tcPr>
          <w:p w14:paraId="1949C718" w14:textId="5C55CABD" w:rsidR="00D826AB" w:rsidRPr="00B9611C" w:rsidRDefault="00287306" w:rsidP="006E46CB">
            <w:pPr>
              <w:jc w:val="right"/>
              <w:rPr>
                <w:rFonts w:cs="Arial"/>
                <w:b/>
                <w:bCs/>
                <w:noProof/>
              </w:rPr>
            </w:pPr>
            <w:r>
              <w:rPr>
                <w:rFonts w:cs="Arial"/>
                <w:b/>
                <w:bCs/>
                <w:noProof/>
              </w:rPr>
              <w:t>2</w:t>
            </w:r>
          </w:p>
        </w:tc>
        <w:tc>
          <w:tcPr>
            <w:tcW w:w="567" w:type="dxa"/>
            <w:tcBorders>
              <w:top w:val="nil"/>
              <w:bottom w:val="nil"/>
            </w:tcBorders>
          </w:tcPr>
          <w:p w14:paraId="3E6795C5" w14:textId="77777777" w:rsidR="00D826AB" w:rsidRDefault="00D826AB" w:rsidP="006E46CB">
            <w:pPr>
              <w:rPr>
                <w:rFonts w:cs="Arial"/>
                <w:noProof/>
              </w:rPr>
            </w:pPr>
          </w:p>
        </w:tc>
        <w:tc>
          <w:tcPr>
            <w:tcW w:w="1417" w:type="dxa"/>
            <w:vAlign w:val="center"/>
          </w:tcPr>
          <w:p w14:paraId="26E98D4C" w14:textId="77777777" w:rsidR="00D826AB" w:rsidRPr="001D1C01" w:rsidRDefault="00D826AB" w:rsidP="006E46CB">
            <w:pPr>
              <w:rPr>
                <w:rFonts w:cs="Arial"/>
                <w:noProof/>
              </w:rPr>
            </w:pPr>
            <w:r>
              <w:rPr>
                <w:rFonts w:cs="Arial"/>
                <w:noProof/>
              </w:rPr>
              <w:t>36-45</w:t>
            </w:r>
          </w:p>
        </w:tc>
        <w:tc>
          <w:tcPr>
            <w:tcW w:w="992" w:type="dxa"/>
            <w:vAlign w:val="center"/>
          </w:tcPr>
          <w:p w14:paraId="68DE5135" w14:textId="5E7CCA52" w:rsidR="00D826AB" w:rsidRPr="001D1C01" w:rsidRDefault="00287306" w:rsidP="006E46CB">
            <w:pPr>
              <w:jc w:val="right"/>
              <w:rPr>
                <w:rFonts w:cs="Arial"/>
                <w:noProof/>
              </w:rPr>
            </w:pPr>
            <w:r>
              <w:rPr>
                <w:rFonts w:cs="Arial"/>
                <w:noProof/>
              </w:rPr>
              <w:t>1</w:t>
            </w:r>
          </w:p>
        </w:tc>
        <w:tc>
          <w:tcPr>
            <w:tcW w:w="1134" w:type="dxa"/>
            <w:vAlign w:val="center"/>
          </w:tcPr>
          <w:p w14:paraId="33DE4BBA" w14:textId="199F5BA2" w:rsidR="00D826AB" w:rsidRPr="001D1C01" w:rsidRDefault="00287306" w:rsidP="006E46CB">
            <w:pPr>
              <w:jc w:val="right"/>
              <w:rPr>
                <w:rFonts w:cs="Arial"/>
                <w:noProof/>
              </w:rPr>
            </w:pPr>
            <w:r>
              <w:rPr>
                <w:rFonts w:cs="Arial"/>
                <w:noProof/>
              </w:rPr>
              <w:t>6</w:t>
            </w:r>
          </w:p>
        </w:tc>
        <w:tc>
          <w:tcPr>
            <w:tcW w:w="851" w:type="dxa"/>
            <w:vAlign w:val="center"/>
          </w:tcPr>
          <w:p w14:paraId="720BE081" w14:textId="0609328D" w:rsidR="00D826AB" w:rsidRPr="00B9611C" w:rsidRDefault="00287306" w:rsidP="006E46CB">
            <w:pPr>
              <w:jc w:val="right"/>
              <w:rPr>
                <w:rFonts w:cs="Arial"/>
                <w:b/>
                <w:bCs/>
                <w:noProof/>
              </w:rPr>
            </w:pPr>
            <w:r>
              <w:rPr>
                <w:rFonts w:cs="Arial"/>
                <w:b/>
                <w:bCs/>
                <w:noProof/>
              </w:rPr>
              <w:t>7</w:t>
            </w:r>
          </w:p>
        </w:tc>
      </w:tr>
      <w:tr w:rsidR="00D826AB" w14:paraId="184B7DF8" w14:textId="77777777" w:rsidTr="006E46CB">
        <w:trPr>
          <w:trHeight w:val="278"/>
        </w:trPr>
        <w:tc>
          <w:tcPr>
            <w:tcW w:w="1418" w:type="dxa"/>
            <w:vAlign w:val="center"/>
          </w:tcPr>
          <w:p w14:paraId="31392945" w14:textId="77777777" w:rsidR="00D826AB" w:rsidRDefault="00D826AB" w:rsidP="006E46CB">
            <w:pPr>
              <w:rPr>
                <w:rFonts w:cs="Arial"/>
                <w:noProof/>
              </w:rPr>
            </w:pPr>
            <w:r>
              <w:rPr>
                <w:rFonts w:cs="Arial"/>
                <w:noProof/>
              </w:rPr>
              <w:t>46-55</w:t>
            </w:r>
          </w:p>
        </w:tc>
        <w:tc>
          <w:tcPr>
            <w:tcW w:w="987" w:type="dxa"/>
            <w:vAlign w:val="center"/>
          </w:tcPr>
          <w:p w14:paraId="78F10CD6" w14:textId="77777777" w:rsidR="00D826AB" w:rsidRPr="001D1C01" w:rsidRDefault="00D826AB" w:rsidP="006E46CB">
            <w:pPr>
              <w:jc w:val="right"/>
              <w:rPr>
                <w:rFonts w:cs="Arial"/>
                <w:noProof/>
              </w:rPr>
            </w:pPr>
            <w:r>
              <w:rPr>
                <w:rFonts w:cs="Arial"/>
                <w:noProof/>
              </w:rPr>
              <w:t>0</w:t>
            </w:r>
          </w:p>
        </w:tc>
        <w:tc>
          <w:tcPr>
            <w:tcW w:w="1134" w:type="dxa"/>
            <w:vAlign w:val="center"/>
          </w:tcPr>
          <w:p w14:paraId="5286669A" w14:textId="21DE0D61" w:rsidR="00D826AB" w:rsidRPr="001D1C01" w:rsidRDefault="00287306" w:rsidP="006E46CB">
            <w:pPr>
              <w:jc w:val="right"/>
              <w:rPr>
                <w:rFonts w:cs="Arial"/>
                <w:noProof/>
              </w:rPr>
            </w:pPr>
            <w:r>
              <w:rPr>
                <w:rFonts w:cs="Arial"/>
                <w:noProof/>
              </w:rPr>
              <w:t>0</w:t>
            </w:r>
          </w:p>
        </w:tc>
        <w:tc>
          <w:tcPr>
            <w:tcW w:w="851" w:type="dxa"/>
            <w:vAlign w:val="center"/>
          </w:tcPr>
          <w:p w14:paraId="091AFB57" w14:textId="3CD451E4" w:rsidR="00D826AB" w:rsidRPr="00B9611C" w:rsidRDefault="00287306" w:rsidP="006E46CB">
            <w:pPr>
              <w:jc w:val="right"/>
              <w:rPr>
                <w:rFonts w:cs="Arial"/>
                <w:b/>
                <w:bCs/>
                <w:noProof/>
              </w:rPr>
            </w:pPr>
            <w:r>
              <w:rPr>
                <w:rFonts w:cs="Arial"/>
                <w:b/>
                <w:bCs/>
                <w:noProof/>
              </w:rPr>
              <w:t>0</w:t>
            </w:r>
          </w:p>
        </w:tc>
        <w:tc>
          <w:tcPr>
            <w:tcW w:w="567" w:type="dxa"/>
            <w:tcBorders>
              <w:top w:val="nil"/>
              <w:bottom w:val="nil"/>
            </w:tcBorders>
          </w:tcPr>
          <w:p w14:paraId="6B28E077" w14:textId="77777777" w:rsidR="00D826AB" w:rsidRDefault="00D826AB" w:rsidP="006E46CB">
            <w:pPr>
              <w:rPr>
                <w:rFonts w:cs="Arial"/>
                <w:noProof/>
              </w:rPr>
            </w:pPr>
          </w:p>
        </w:tc>
        <w:tc>
          <w:tcPr>
            <w:tcW w:w="1417" w:type="dxa"/>
            <w:vAlign w:val="center"/>
          </w:tcPr>
          <w:p w14:paraId="1A382759" w14:textId="77777777" w:rsidR="00D826AB" w:rsidRPr="001D1C01" w:rsidRDefault="00D826AB" w:rsidP="006E46CB">
            <w:pPr>
              <w:rPr>
                <w:rFonts w:cs="Arial"/>
                <w:noProof/>
              </w:rPr>
            </w:pPr>
            <w:r>
              <w:rPr>
                <w:rFonts w:cs="Arial"/>
                <w:noProof/>
              </w:rPr>
              <w:t>46-55</w:t>
            </w:r>
          </w:p>
        </w:tc>
        <w:tc>
          <w:tcPr>
            <w:tcW w:w="992" w:type="dxa"/>
            <w:vAlign w:val="center"/>
          </w:tcPr>
          <w:p w14:paraId="774A4D62" w14:textId="35F13F06" w:rsidR="00D826AB" w:rsidRDefault="00287306" w:rsidP="006E46CB">
            <w:pPr>
              <w:jc w:val="right"/>
              <w:rPr>
                <w:rFonts w:cs="Arial"/>
                <w:noProof/>
              </w:rPr>
            </w:pPr>
            <w:r>
              <w:rPr>
                <w:rFonts w:cs="Arial"/>
                <w:noProof/>
              </w:rPr>
              <w:t>4</w:t>
            </w:r>
          </w:p>
        </w:tc>
        <w:tc>
          <w:tcPr>
            <w:tcW w:w="1134" w:type="dxa"/>
            <w:vAlign w:val="center"/>
          </w:tcPr>
          <w:p w14:paraId="78879073" w14:textId="1FB21904" w:rsidR="00D826AB" w:rsidRDefault="00287306" w:rsidP="006E46CB">
            <w:pPr>
              <w:jc w:val="right"/>
              <w:rPr>
                <w:rFonts w:cs="Arial"/>
                <w:noProof/>
              </w:rPr>
            </w:pPr>
            <w:r>
              <w:rPr>
                <w:rFonts w:cs="Arial"/>
                <w:noProof/>
              </w:rPr>
              <w:t>3</w:t>
            </w:r>
          </w:p>
        </w:tc>
        <w:tc>
          <w:tcPr>
            <w:tcW w:w="851" w:type="dxa"/>
            <w:vAlign w:val="center"/>
          </w:tcPr>
          <w:p w14:paraId="03BD82B1" w14:textId="5020354E" w:rsidR="00D826AB" w:rsidRPr="00B9611C" w:rsidRDefault="00287306" w:rsidP="006E46CB">
            <w:pPr>
              <w:jc w:val="right"/>
              <w:rPr>
                <w:rFonts w:cs="Arial"/>
                <w:b/>
                <w:bCs/>
                <w:noProof/>
              </w:rPr>
            </w:pPr>
            <w:r>
              <w:rPr>
                <w:rFonts w:cs="Arial"/>
                <w:b/>
                <w:bCs/>
                <w:noProof/>
              </w:rPr>
              <w:t>7</w:t>
            </w:r>
          </w:p>
        </w:tc>
      </w:tr>
      <w:tr w:rsidR="00D826AB" w14:paraId="367DAF63" w14:textId="77777777" w:rsidTr="006E46CB">
        <w:trPr>
          <w:trHeight w:val="278"/>
        </w:trPr>
        <w:tc>
          <w:tcPr>
            <w:tcW w:w="1418" w:type="dxa"/>
            <w:vAlign w:val="center"/>
          </w:tcPr>
          <w:p w14:paraId="232C5961" w14:textId="77777777" w:rsidR="00D826AB" w:rsidRDefault="00D826AB" w:rsidP="006E46CB">
            <w:pPr>
              <w:rPr>
                <w:rFonts w:cs="Arial"/>
                <w:noProof/>
              </w:rPr>
            </w:pPr>
            <w:r>
              <w:rPr>
                <w:rFonts w:cs="Arial"/>
                <w:noProof/>
              </w:rPr>
              <w:t>56-65</w:t>
            </w:r>
          </w:p>
        </w:tc>
        <w:tc>
          <w:tcPr>
            <w:tcW w:w="987" w:type="dxa"/>
            <w:vAlign w:val="center"/>
          </w:tcPr>
          <w:p w14:paraId="776DA03F" w14:textId="77777777" w:rsidR="00D826AB" w:rsidRPr="001D1C01" w:rsidRDefault="00D826AB" w:rsidP="006E46CB">
            <w:pPr>
              <w:jc w:val="right"/>
              <w:rPr>
                <w:rFonts w:cs="Arial"/>
                <w:noProof/>
              </w:rPr>
            </w:pPr>
            <w:r>
              <w:rPr>
                <w:rFonts w:cs="Arial"/>
                <w:noProof/>
              </w:rPr>
              <w:t>0</w:t>
            </w:r>
          </w:p>
        </w:tc>
        <w:tc>
          <w:tcPr>
            <w:tcW w:w="1134" w:type="dxa"/>
            <w:vAlign w:val="center"/>
          </w:tcPr>
          <w:p w14:paraId="43A99210" w14:textId="77777777" w:rsidR="00D826AB" w:rsidRPr="001D1C01" w:rsidRDefault="00D826AB" w:rsidP="006E46CB">
            <w:pPr>
              <w:jc w:val="right"/>
              <w:rPr>
                <w:rFonts w:cs="Arial"/>
                <w:noProof/>
              </w:rPr>
            </w:pPr>
            <w:r>
              <w:rPr>
                <w:rFonts w:cs="Arial"/>
                <w:noProof/>
              </w:rPr>
              <w:t>0</w:t>
            </w:r>
          </w:p>
        </w:tc>
        <w:tc>
          <w:tcPr>
            <w:tcW w:w="851" w:type="dxa"/>
            <w:vAlign w:val="center"/>
          </w:tcPr>
          <w:p w14:paraId="5B554F58" w14:textId="77777777" w:rsidR="00D826AB" w:rsidRPr="00B9611C" w:rsidRDefault="00D826AB" w:rsidP="006E46CB">
            <w:pPr>
              <w:jc w:val="right"/>
              <w:rPr>
                <w:rFonts w:cs="Arial"/>
                <w:b/>
                <w:bCs/>
                <w:noProof/>
              </w:rPr>
            </w:pPr>
            <w:r>
              <w:rPr>
                <w:rFonts w:cs="Arial"/>
                <w:b/>
                <w:bCs/>
                <w:noProof/>
              </w:rPr>
              <w:t>0</w:t>
            </w:r>
          </w:p>
        </w:tc>
        <w:tc>
          <w:tcPr>
            <w:tcW w:w="567" w:type="dxa"/>
            <w:tcBorders>
              <w:top w:val="nil"/>
              <w:bottom w:val="nil"/>
            </w:tcBorders>
          </w:tcPr>
          <w:p w14:paraId="72D1D382" w14:textId="77777777" w:rsidR="00D826AB" w:rsidRDefault="00D826AB" w:rsidP="006E46CB">
            <w:pPr>
              <w:rPr>
                <w:rFonts w:cs="Arial"/>
                <w:noProof/>
              </w:rPr>
            </w:pPr>
          </w:p>
        </w:tc>
        <w:tc>
          <w:tcPr>
            <w:tcW w:w="1417" w:type="dxa"/>
            <w:vAlign w:val="center"/>
          </w:tcPr>
          <w:p w14:paraId="76AC1BAF" w14:textId="77777777" w:rsidR="00D826AB" w:rsidRPr="001D1C01" w:rsidRDefault="00D826AB" w:rsidP="006E46CB">
            <w:pPr>
              <w:rPr>
                <w:rFonts w:cs="Arial"/>
                <w:noProof/>
              </w:rPr>
            </w:pPr>
            <w:r>
              <w:rPr>
                <w:rFonts w:cs="Arial"/>
                <w:noProof/>
              </w:rPr>
              <w:t>56-65</w:t>
            </w:r>
          </w:p>
        </w:tc>
        <w:tc>
          <w:tcPr>
            <w:tcW w:w="992" w:type="dxa"/>
            <w:vAlign w:val="center"/>
          </w:tcPr>
          <w:p w14:paraId="43AEF359" w14:textId="7BDB4AF9" w:rsidR="00D826AB" w:rsidRDefault="00287306" w:rsidP="006E46CB">
            <w:pPr>
              <w:jc w:val="right"/>
              <w:rPr>
                <w:rFonts w:cs="Arial"/>
                <w:noProof/>
              </w:rPr>
            </w:pPr>
            <w:r>
              <w:rPr>
                <w:rFonts w:cs="Arial"/>
                <w:noProof/>
              </w:rPr>
              <w:t>0</w:t>
            </w:r>
          </w:p>
        </w:tc>
        <w:tc>
          <w:tcPr>
            <w:tcW w:w="1134" w:type="dxa"/>
            <w:vAlign w:val="center"/>
          </w:tcPr>
          <w:p w14:paraId="29BA7107" w14:textId="6FEAE9DF" w:rsidR="00D826AB" w:rsidRDefault="00287306" w:rsidP="006E46CB">
            <w:pPr>
              <w:jc w:val="right"/>
              <w:rPr>
                <w:rFonts w:cs="Arial"/>
                <w:noProof/>
              </w:rPr>
            </w:pPr>
            <w:r>
              <w:rPr>
                <w:rFonts w:cs="Arial"/>
                <w:noProof/>
              </w:rPr>
              <w:t>2</w:t>
            </w:r>
          </w:p>
        </w:tc>
        <w:tc>
          <w:tcPr>
            <w:tcW w:w="851" w:type="dxa"/>
            <w:vAlign w:val="center"/>
          </w:tcPr>
          <w:p w14:paraId="708EEF42" w14:textId="51B95C78" w:rsidR="00D826AB" w:rsidRPr="00B9611C" w:rsidRDefault="00287306" w:rsidP="006E46CB">
            <w:pPr>
              <w:jc w:val="right"/>
              <w:rPr>
                <w:rFonts w:cs="Arial"/>
                <w:b/>
                <w:bCs/>
                <w:noProof/>
              </w:rPr>
            </w:pPr>
            <w:r>
              <w:rPr>
                <w:rFonts w:cs="Arial"/>
                <w:b/>
                <w:bCs/>
                <w:noProof/>
              </w:rPr>
              <w:t>2</w:t>
            </w:r>
          </w:p>
        </w:tc>
      </w:tr>
      <w:tr w:rsidR="00D826AB" w14:paraId="6DFC5B05" w14:textId="77777777" w:rsidTr="006E46CB">
        <w:trPr>
          <w:trHeight w:val="278"/>
        </w:trPr>
        <w:tc>
          <w:tcPr>
            <w:tcW w:w="1418" w:type="dxa"/>
            <w:vAlign w:val="center"/>
          </w:tcPr>
          <w:p w14:paraId="0EBE3EE9" w14:textId="77777777" w:rsidR="00D826AB" w:rsidRDefault="00D826AB" w:rsidP="006E46CB">
            <w:pPr>
              <w:rPr>
                <w:rFonts w:cs="Arial"/>
                <w:noProof/>
              </w:rPr>
            </w:pPr>
            <w:r>
              <w:rPr>
                <w:rFonts w:cs="Arial"/>
                <w:noProof/>
              </w:rPr>
              <w:t>66-75</w:t>
            </w:r>
          </w:p>
        </w:tc>
        <w:tc>
          <w:tcPr>
            <w:tcW w:w="987" w:type="dxa"/>
            <w:vAlign w:val="center"/>
          </w:tcPr>
          <w:p w14:paraId="3380313C" w14:textId="77777777" w:rsidR="00D826AB" w:rsidRPr="001D1C01" w:rsidRDefault="00D826AB" w:rsidP="006E46CB">
            <w:pPr>
              <w:jc w:val="right"/>
              <w:rPr>
                <w:rFonts w:cs="Arial"/>
                <w:noProof/>
              </w:rPr>
            </w:pPr>
            <w:r>
              <w:rPr>
                <w:rFonts w:cs="Arial"/>
                <w:noProof/>
              </w:rPr>
              <w:t>0</w:t>
            </w:r>
          </w:p>
        </w:tc>
        <w:tc>
          <w:tcPr>
            <w:tcW w:w="1134" w:type="dxa"/>
            <w:vAlign w:val="center"/>
          </w:tcPr>
          <w:p w14:paraId="57ED944D" w14:textId="77777777" w:rsidR="00D826AB" w:rsidRPr="001D1C01" w:rsidRDefault="00D826AB" w:rsidP="006E46CB">
            <w:pPr>
              <w:jc w:val="right"/>
              <w:rPr>
                <w:rFonts w:cs="Arial"/>
                <w:noProof/>
              </w:rPr>
            </w:pPr>
            <w:r>
              <w:rPr>
                <w:rFonts w:cs="Arial"/>
                <w:noProof/>
              </w:rPr>
              <w:t>0</w:t>
            </w:r>
          </w:p>
        </w:tc>
        <w:tc>
          <w:tcPr>
            <w:tcW w:w="851" w:type="dxa"/>
            <w:vAlign w:val="center"/>
          </w:tcPr>
          <w:p w14:paraId="505F2F14" w14:textId="77777777" w:rsidR="00D826AB" w:rsidRPr="00B9611C" w:rsidRDefault="00D826AB" w:rsidP="006E46CB">
            <w:pPr>
              <w:jc w:val="right"/>
              <w:rPr>
                <w:rFonts w:cs="Arial"/>
                <w:b/>
                <w:bCs/>
                <w:noProof/>
              </w:rPr>
            </w:pPr>
            <w:r>
              <w:rPr>
                <w:rFonts w:cs="Arial"/>
                <w:b/>
                <w:bCs/>
                <w:noProof/>
              </w:rPr>
              <w:t>0</w:t>
            </w:r>
          </w:p>
        </w:tc>
        <w:tc>
          <w:tcPr>
            <w:tcW w:w="567" w:type="dxa"/>
            <w:tcBorders>
              <w:top w:val="nil"/>
              <w:bottom w:val="nil"/>
            </w:tcBorders>
          </w:tcPr>
          <w:p w14:paraId="6E9DFBB0" w14:textId="77777777" w:rsidR="00D826AB" w:rsidRDefault="00D826AB" w:rsidP="006E46CB">
            <w:pPr>
              <w:rPr>
                <w:rFonts w:cs="Arial"/>
                <w:noProof/>
              </w:rPr>
            </w:pPr>
          </w:p>
        </w:tc>
        <w:tc>
          <w:tcPr>
            <w:tcW w:w="1417" w:type="dxa"/>
            <w:vAlign w:val="center"/>
          </w:tcPr>
          <w:p w14:paraId="3DCD7E95" w14:textId="77777777" w:rsidR="00D826AB" w:rsidRPr="001D1C01" w:rsidRDefault="00D826AB" w:rsidP="006E46CB">
            <w:pPr>
              <w:rPr>
                <w:rFonts w:cs="Arial"/>
                <w:noProof/>
              </w:rPr>
            </w:pPr>
            <w:r>
              <w:rPr>
                <w:rFonts w:cs="Arial"/>
                <w:noProof/>
              </w:rPr>
              <w:t>66-75</w:t>
            </w:r>
          </w:p>
        </w:tc>
        <w:tc>
          <w:tcPr>
            <w:tcW w:w="992" w:type="dxa"/>
            <w:vAlign w:val="center"/>
          </w:tcPr>
          <w:p w14:paraId="0F7DE67C" w14:textId="501943C3" w:rsidR="00D826AB" w:rsidRDefault="00287306" w:rsidP="006E46CB">
            <w:pPr>
              <w:jc w:val="right"/>
              <w:rPr>
                <w:rFonts w:cs="Arial"/>
                <w:noProof/>
              </w:rPr>
            </w:pPr>
            <w:r>
              <w:rPr>
                <w:rFonts w:cs="Arial"/>
                <w:noProof/>
              </w:rPr>
              <w:t>0</w:t>
            </w:r>
          </w:p>
        </w:tc>
        <w:tc>
          <w:tcPr>
            <w:tcW w:w="1134" w:type="dxa"/>
            <w:vAlign w:val="center"/>
          </w:tcPr>
          <w:p w14:paraId="6BFFDA0B" w14:textId="7F560D3F" w:rsidR="00D826AB" w:rsidRDefault="00287306" w:rsidP="006E46CB">
            <w:pPr>
              <w:jc w:val="right"/>
              <w:rPr>
                <w:rFonts w:cs="Arial"/>
                <w:noProof/>
              </w:rPr>
            </w:pPr>
            <w:r>
              <w:rPr>
                <w:rFonts w:cs="Arial"/>
                <w:noProof/>
              </w:rPr>
              <w:t>3</w:t>
            </w:r>
          </w:p>
        </w:tc>
        <w:tc>
          <w:tcPr>
            <w:tcW w:w="851" w:type="dxa"/>
            <w:vAlign w:val="center"/>
          </w:tcPr>
          <w:p w14:paraId="515CBE46" w14:textId="31558622" w:rsidR="00D826AB" w:rsidRPr="00B9611C" w:rsidRDefault="00287306" w:rsidP="006E46CB">
            <w:pPr>
              <w:jc w:val="right"/>
              <w:rPr>
                <w:rFonts w:cs="Arial"/>
                <w:b/>
                <w:bCs/>
                <w:noProof/>
              </w:rPr>
            </w:pPr>
            <w:r>
              <w:rPr>
                <w:rFonts w:cs="Arial"/>
                <w:b/>
                <w:bCs/>
                <w:noProof/>
              </w:rPr>
              <w:t>3</w:t>
            </w:r>
          </w:p>
        </w:tc>
      </w:tr>
      <w:tr w:rsidR="00D826AB" w14:paraId="13345733" w14:textId="77777777" w:rsidTr="006E46CB">
        <w:trPr>
          <w:trHeight w:val="278"/>
        </w:trPr>
        <w:tc>
          <w:tcPr>
            <w:tcW w:w="1418" w:type="dxa"/>
            <w:vAlign w:val="center"/>
          </w:tcPr>
          <w:p w14:paraId="053CB59F" w14:textId="77777777" w:rsidR="00D826AB" w:rsidRDefault="00D826AB" w:rsidP="006E46CB">
            <w:pPr>
              <w:rPr>
                <w:rFonts w:cs="Arial"/>
                <w:noProof/>
              </w:rPr>
            </w:pPr>
            <w:r>
              <w:rPr>
                <w:rFonts w:cs="Arial"/>
                <w:noProof/>
              </w:rPr>
              <w:t>76-85</w:t>
            </w:r>
          </w:p>
        </w:tc>
        <w:tc>
          <w:tcPr>
            <w:tcW w:w="987" w:type="dxa"/>
            <w:vAlign w:val="center"/>
          </w:tcPr>
          <w:p w14:paraId="05105055" w14:textId="77777777" w:rsidR="00D826AB" w:rsidRPr="001D1C01" w:rsidRDefault="00D826AB" w:rsidP="006E46CB">
            <w:pPr>
              <w:jc w:val="right"/>
              <w:rPr>
                <w:rFonts w:cs="Arial"/>
                <w:noProof/>
              </w:rPr>
            </w:pPr>
            <w:r>
              <w:rPr>
                <w:rFonts w:cs="Arial"/>
                <w:noProof/>
              </w:rPr>
              <w:t>0</w:t>
            </w:r>
          </w:p>
        </w:tc>
        <w:tc>
          <w:tcPr>
            <w:tcW w:w="1134" w:type="dxa"/>
            <w:vAlign w:val="center"/>
          </w:tcPr>
          <w:p w14:paraId="5DE68FDD" w14:textId="77777777" w:rsidR="00D826AB" w:rsidRPr="001D1C01" w:rsidRDefault="00D826AB" w:rsidP="006E46CB">
            <w:pPr>
              <w:jc w:val="right"/>
              <w:rPr>
                <w:rFonts w:cs="Arial"/>
                <w:noProof/>
              </w:rPr>
            </w:pPr>
            <w:r>
              <w:rPr>
                <w:rFonts w:cs="Arial"/>
                <w:noProof/>
              </w:rPr>
              <w:t>0</w:t>
            </w:r>
          </w:p>
        </w:tc>
        <w:tc>
          <w:tcPr>
            <w:tcW w:w="851" w:type="dxa"/>
            <w:vAlign w:val="center"/>
          </w:tcPr>
          <w:p w14:paraId="7129F9F5" w14:textId="77777777" w:rsidR="00D826AB" w:rsidRPr="00B9611C" w:rsidRDefault="00D826AB" w:rsidP="006E46CB">
            <w:pPr>
              <w:jc w:val="right"/>
              <w:rPr>
                <w:rFonts w:cs="Arial"/>
                <w:b/>
                <w:bCs/>
                <w:noProof/>
              </w:rPr>
            </w:pPr>
            <w:r>
              <w:rPr>
                <w:rFonts w:cs="Arial"/>
                <w:b/>
                <w:bCs/>
                <w:noProof/>
              </w:rPr>
              <w:t>0</w:t>
            </w:r>
          </w:p>
        </w:tc>
        <w:tc>
          <w:tcPr>
            <w:tcW w:w="567" w:type="dxa"/>
            <w:tcBorders>
              <w:top w:val="nil"/>
              <w:bottom w:val="nil"/>
            </w:tcBorders>
          </w:tcPr>
          <w:p w14:paraId="726722B0" w14:textId="77777777" w:rsidR="00D826AB" w:rsidRDefault="00D826AB" w:rsidP="006E46CB">
            <w:pPr>
              <w:rPr>
                <w:rFonts w:cs="Arial"/>
                <w:noProof/>
              </w:rPr>
            </w:pPr>
          </w:p>
        </w:tc>
        <w:tc>
          <w:tcPr>
            <w:tcW w:w="1417" w:type="dxa"/>
            <w:vAlign w:val="center"/>
          </w:tcPr>
          <w:p w14:paraId="79AAAF59" w14:textId="77777777" w:rsidR="00D826AB" w:rsidRPr="001D1C01" w:rsidRDefault="00D826AB" w:rsidP="006E46CB">
            <w:pPr>
              <w:rPr>
                <w:rFonts w:cs="Arial"/>
                <w:noProof/>
              </w:rPr>
            </w:pPr>
            <w:r>
              <w:rPr>
                <w:rFonts w:cs="Arial"/>
                <w:noProof/>
              </w:rPr>
              <w:t>76-85</w:t>
            </w:r>
          </w:p>
        </w:tc>
        <w:tc>
          <w:tcPr>
            <w:tcW w:w="992" w:type="dxa"/>
            <w:vAlign w:val="center"/>
          </w:tcPr>
          <w:p w14:paraId="2415DB73" w14:textId="77777777" w:rsidR="00D826AB" w:rsidRDefault="00D826AB" w:rsidP="006E46CB">
            <w:pPr>
              <w:jc w:val="right"/>
              <w:rPr>
                <w:rFonts w:cs="Arial"/>
                <w:noProof/>
              </w:rPr>
            </w:pPr>
            <w:r>
              <w:rPr>
                <w:rFonts w:cs="Arial"/>
                <w:noProof/>
              </w:rPr>
              <w:t>0</w:t>
            </w:r>
          </w:p>
        </w:tc>
        <w:tc>
          <w:tcPr>
            <w:tcW w:w="1134" w:type="dxa"/>
            <w:vAlign w:val="center"/>
          </w:tcPr>
          <w:p w14:paraId="759096D4" w14:textId="55A13078" w:rsidR="00D826AB" w:rsidRDefault="00287306" w:rsidP="006E46CB">
            <w:pPr>
              <w:jc w:val="right"/>
              <w:rPr>
                <w:rFonts w:cs="Arial"/>
                <w:noProof/>
              </w:rPr>
            </w:pPr>
            <w:r>
              <w:rPr>
                <w:rFonts w:cs="Arial"/>
                <w:noProof/>
              </w:rPr>
              <w:t>0</w:t>
            </w:r>
          </w:p>
        </w:tc>
        <w:tc>
          <w:tcPr>
            <w:tcW w:w="851" w:type="dxa"/>
            <w:vAlign w:val="center"/>
          </w:tcPr>
          <w:p w14:paraId="46F72ADE" w14:textId="36D9D13E" w:rsidR="00D826AB" w:rsidRPr="00B9611C" w:rsidRDefault="00287306" w:rsidP="006E46CB">
            <w:pPr>
              <w:jc w:val="right"/>
              <w:rPr>
                <w:rFonts w:cs="Arial"/>
                <w:b/>
                <w:bCs/>
                <w:noProof/>
              </w:rPr>
            </w:pPr>
            <w:r>
              <w:rPr>
                <w:rFonts w:cs="Arial"/>
                <w:b/>
                <w:bCs/>
                <w:noProof/>
              </w:rPr>
              <w:t>0</w:t>
            </w:r>
          </w:p>
        </w:tc>
      </w:tr>
      <w:tr w:rsidR="00D826AB" w14:paraId="6574AB40" w14:textId="77777777" w:rsidTr="006E46CB">
        <w:trPr>
          <w:trHeight w:val="278"/>
        </w:trPr>
        <w:tc>
          <w:tcPr>
            <w:tcW w:w="1418" w:type="dxa"/>
            <w:vAlign w:val="center"/>
          </w:tcPr>
          <w:p w14:paraId="5A01FD1E" w14:textId="77777777" w:rsidR="00D826AB" w:rsidRPr="0093391D" w:rsidRDefault="00D826AB" w:rsidP="006E46CB">
            <w:pPr>
              <w:rPr>
                <w:rFonts w:cs="Arial"/>
                <w:b/>
                <w:bCs/>
                <w:noProof/>
              </w:rPr>
            </w:pPr>
            <w:r w:rsidRPr="000D3072">
              <w:rPr>
                <w:rFonts w:cs="Arial"/>
                <w:noProof/>
              </w:rPr>
              <w:t>86+</w:t>
            </w:r>
          </w:p>
        </w:tc>
        <w:tc>
          <w:tcPr>
            <w:tcW w:w="987" w:type="dxa"/>
            <w:vAlign w:val="center"/>
          </w:tcPr>
          <w:p w14:paraId="19584D94" w14:textId="77777777" w:rsidR="00D826AB" w:rsidRPr="00E02C5F" w:rsidRDefault="00D826AB" w:rsidP="006E46CB">
            <w:pPr>
              <w:jc w:val="right"/>
              <w:rPr>
                <w:rFonts w:cs="Arial"/>
                <w:noProof/>
              </w:rPr>
            </w:pPr>
            <w:r>
              <w:rPr>
                <w:rFonts w:cs="Arial"/>
                <w:noProof/>
              </w:rPr>
              <w:t>0</w:t>
            </w:r>
          </w:p>
        </w:tc>
        <w:tc>
          <w:tcPr>
            <w:tcW w:w="1134" w:type="dxa"/>
            <w:vAlign w:val="center"/>
          </w:tcPr>
          <w:p w14:paraId="6BA4ECE5" w14:textId="77777777" w:rsidR="00D826AB" w:rsidRPr="00E02C5F" w:rsidRDefault="00D826AB" w:rsidP="006E46CB">
            <w:pPr>
              <w:jc w:val="right"/>
              <w:rPr>
                <w:rFonts w:cs="Arial"/>
                <w:noProof/>
              </w:rPr>
            </w:pPr>
            <w:r>
              <w:rPr>
                <w:rFonts w:cs="Arial"/>
                <w:noProof/>
              </w:rPr>
              <w:t>0</w:t>
            </w:r>
          </w:p>
        </w:tc>
        <w:tc>
          <w:tcPr>
            <w:tcW w:w="851" w:type="dxa"/>
          </w:tcPr>
          <w:p w14:paraId="31210DFF" w14:textId="77777777" w:rsidR="00D826AB" w:rsidRPr="006B597B" w:rsidRDefault="00D826AB" w:rsidP="006E46CB">
            <w:pPr>
              <w:jc w:val="right"/>
              <w:rPr>
                <w:rFonts w:cs="Arial"/>
                <w:b/>
                <w:bCs/>
                <w:noProof/>
              </w:rPr>
            </w:pPr>
            <w:r>
              <w:rPr>
                <w:rFonts w:cs="Arial"/>
                <w:b/>
                <w:bCs/>
                <w:noProof/>
              </w:rPr>
              <w:t>0</w:t>
            </w:r>
          </w:p>
        </w:tc>
        <w:tc>
          <w:tcPr>
            <w:tcW w:w="567" w:type="dxa"/>
            <w:tcBorders>
              <w:top w:val="nil"/>
              <w:bottom w:val="nil"/>
            </w:tcBorders>
          </w:tcPr>
          <w:p w14:paraId="5C22AC67" w14:textId="77777777" w:rsidR="00D826AB" w:rsidRDefault="00D826AB" w:rsidP="006E46CB">
            <w:pPr>
              <w:rPr>
                <w:rFonts w:cs="Arial"/>
                <w:noProof/>
              </w:rPr>
            </w:pPr>
          </w:p>
        </w:tc>
        <w:tc>
          <w:tcPr>
            <w:tcW w:w="1417" w:type="dxa"/>
            <w:vAlign w:val="center"/>
          </w:tcPr>
          <w:p w14:paraId="393CD12C" w14:textId="77777777" w:rsidR="00D826AB" w:rsidRPr="00E02C5F" w:rsidRDefault="00D826AB" w:rsidP="006E46CB">
            <w:pPr>
              <w:rPr>
                <w:rFonts w:cs="Arial"/>
                <w:noProof/>
              </w:rPr>
            </w:pPr>
            <w:r w:rsidRPr="00E02C5F">
              <w:rPr>
                <w:rFonts w:cs="Arial"/>
                <w:noProof/>
              </w:rPr>
              <w:t>86+</w:t>
            </w:r>
          </w:p>
        </w:tc>
        <w:tc>
          <w:tcPr>
            <w:tcW w:w="992" w:type="dxa"/>
            <w:vAlign w:val="center"/>
          </w:tcPr>
          <w:p w14:paraId="6D315215" w14:textId="77777777" w:rsidR="00D826AB" w:rsidRPr="00E02C5F" w:rsidRDefault="00D826AB" w:rsidP="006E46CB">
            <w:pPr>
              <w:jc w:val="right"/>
              <w:rPr>
                <w:rFonts w:cs="Arial"/>
                <w:noProof/>
              </w:rPr>
            </w:pPr>
            <w:r w:rsidRPr="00E02C5F">
              <w:rPr>
                <w:rFonts w:cs="Arial"/>
                <w:noProof/>
              </w:rPr>
              <w:t>0</w:t>
            </w:r>
          </w:p>
        </w:tc>
        <w:tc>
          <w:tcPr>
            <w:tcW w:w="1134" w:type="dxa"/>
            <w:vAlign w:val="center"/>
          </w:tcPr>
          <w:p w14:paraId="1826EC50" w14:textId="17B3850E" w:rsidR="00D826AB" w:rsidRPr="00E02C5F" w:rsidRDefault="00287306" w:rsidP="006E46CB">
            <w:pPr>
              <w:jc w:val="right"/>
              <w:rPr>
                <w:rFonts w:cs="Arial"/>
                <w:noProof/>
              </w:rPr>
            </w:pPr>
            <w:r>
              <w:rPr>
                <w:rFonts w:cs="Arial"/>
                <w:noProof/>
              </w:rPr>
              <w:t>0</w:t>
            </w:r>
          </w:p>
        </w:tc>
        <w:tc>
          <w:tcPr>
            <w:tcW w:w="851" w:type="dxa"/>
          </w:tcPr>
          <w:p w14:paraId="28447621" w14:textId="0726D89F" w:rsidR="00D826AB" w:rsidRPr="0093391D" w:rsidRDefault="00287306" w:rsidP="006E46CB">
            <w:pPr>
              <w:jc w:val="right"/>
              <w:rPr>
                <w:rFonts w:cs="Arial"/>
                <w:b/>
                <w:bCs/>
                <w:noProof/>
              </w:rPr>
            </w:pPr>
            <w:r>
              <w:rPr>
                <w:rFonts w:cs="Arial"/>
                <w:b/>
                <w:bCs/>
                <w:noProof/>
              </w:rPr>
              <w:t>0</w:t>
            </w:r>
          </w:p>
        </w:tc>
      </w:tr>
      <w:tr w:rsidR="00D826AB" w14:paraId="0160C9E9" w14:textId="77777777" w:rsidTr="006E46CB">
        <w:trPr>
          <w:trHeight w:val="278"/>
        </w:trPr>
        <w:tc>
          <w:tcPr>
            <w:tcW w:w="1418" w:type="dxa"/>
            <w:vAlign w:val="center"/>
          </w:tcPr>
          <w:p w14:paraId="47DA993B" w14:textId="77777777" w:rsidR="00D826AB" w:rsidRPr="0093391D" w:rsidRDefault="00D826AB" w:rsidP="006E46CB">
            <w:pPr>
              <w:rPr>
                <w:rFonts w:cs="Arial"/>
                <w:b/>
                <w:bCs/>
                <w:noProof/>
              </w:rPr>
            </w:pPr>
            <w:r w:rsidRPr="0093391D">
              <w:rPr>
                <w:rFonts w:cs="Arial"/>
                <w:b/>
                <w:bCs/>
                <w:noProof/>
              </w:rPr>
              <w:t>Total</w:t>
            </w:r>
          </w:p>
        </w:tc>
        <w:tc>
          <w:tcPr>
            <w:tcW w:w="987" w:type="dxa"/>
            <w:vAlign w:val="center"/>
          </w:tcPr>
          <w:p w14:paraId="28354440" w14:textId="63D2A724" w:rsidR="00D826AB" w:rsidRDefault="00287306" w:rsidP="006E46CB">
            <w:pPr>
              <w:jc w:val="right"/>
              <w:rPr>
                <w:rFonts w:cs="Arial"/>
                <w:b/>
                <w:bCs/>
                <w:noProof/>
              </w:rPr>
            </w:pPr>
            <w:r>
              <w:rPr>
                <w:rFonts w:cs="Arial"/>
                <w:b/>
                <w:bCs/>
                <w:noProof/>
              </w:rPr>
              <w:t>1</w:t>
            </w:r>
          </w:p>
        </w:tc>
        <w:tc>
          <w:tcPr>
            <w:tcW w:w="1134" w:type="dxa"/>
            <w:vAlign w:val="center"/>
          </w:tcPr>
          <w:p w14:paraId="1E882098" w14:textId="77777777" w:rsidR="00D826AB" w:rsidRDefault="00D826AB" w:rsidP="006E46CB">
            <w:pPr>
              <w:jc w:val="right"/>
              <w:rPr>
                <w:rFonts w:cs="Arial"/>
                <w:b/>
                <w:bCs/>
                <w:noProof/>
              </w:rPr>
            </w:pPr>
            <w:r>
              <w:rPr>
                <w:rFonts w:cs="Arial"/>
                <w:b/>
                <w:bCs/>
                <w:noProof/>
              </w:rPr>
              <w:t>5</w:t>
            </w:r>
          </w:p>
        </w:tc>
        <w:tc>
          <w:tcPr>
            <w:tcW w:w="851" w:type="dxa"/>
          </w:tcPr>
          <w:p w14:paraId="67573CC9" w14:textId="279A4CAE" w:rsidR="00D826AB" w:rsidRDefault="00287306" w:rsidP="006E46CB">
            <w:pPr>
              <w:jc w:val="right"/>
              <w:rPr>
                <w:rFonts w:cs="Arial"/>
                <w:b/>
                <w:bCs/>
                <w:noProof/>
              </w:rPr>
            </w:pPr>
            <w:r>
              <w:rPr>
                <w:rFonts w:cs="Arial"/>
                <w:b/>
                <w:bCs/>
                <w:noProof/>
              </w:rPr>
              <w:t>6</w:t>
            </w:r>
          </w:p>
        </w:tc>
        <w:tc>
          <w:tcPr>
            <w:tcW w:w="567" w:type="dxa"/>
            <w:tcBorders>
              <w:top w:val="nil"/>
              <w:bottom w:val="nil"/>
            </w:tcBorders>
          </w:tcPr>
          <w:p w14:paraId="18C3D57F" w14:textId="77777777" w:rsidR="00D826AB" w:rsidRDefault="00D826AB" w:rsidP="006E46CB">
            <w:pPr>
              <w:rPr>
                <w:rFonts w:cs="Arial"/>
                <w:noProof/>
              </w:rPr>
            </w:pPr>
          </w:p>
        </w:tc>
        <w:tc>
          <w:tcPr>
            <w:tcW w:w="1417" w:type="dxa"/>
            <w:vAlign w:val="center"/>
          </w:tcPr>
          <w:p w14:paraId="2BE220E3" w14:textId="77777777" w:rsidR="00D826AB" w:rsidRPr="0093391D" w:rsidRDefault="00D826AB" w:rsidP="006E46CB">
            <w:pPr>
              <w:rPr>
                <w:rFonts w:cs="Arial"/>
                <w:b/>
                <w:bCs/>
                <w:noProof/>
              </w:rPr>
            </w:pPr>
            <w:r>
              <w:rPr>
                <w:rFonts w:cs="Arial"/>
                <w:b/>
                <w:bCs/>
                <w:noProof/>
              </w:rPr>
              <w:t>Total</w:t>
            </w:r>
          </w:p>
        </w:tc>
        <w:tc>
          <w:tcPr>
            <w:tcW w:w="992" w:type="dxa"/>
            <w:vAlign w:val="center"/>
          </w:tcPr>
          <w:p w14:paraId="1D145D56" w14:textId="6DEA65F9" w:rsidR="00D826AB" w:rsidRPr="0093391D" w:rsidRDefault="00287306" w:rsidP="006E46CB">
            <w:pPr>
              <w:jc w:val="right"/>
              <w:rPr>
                <w:rFonts w:cs="Arial"/>
                <w:b/>
                <w:bCs/>
                <w:noProof/>
              </w:rPr>
            </w:pPr>
            <w:r>
              <w:rPr>
                <w:rFonts w:cs="Arial"/>
                <w:b/>
                <w:bCs/>
                <w:noProof/>
              </w:rPr>
              <w:t>9</w:t>
            </w:r>
          </w:p>
        </w:tc>
        <w:tc>
          <w:tcPr>
            <w:tcW w:w="1134" w:type="dxa"/>
            <w:vAlign w:val="center"/>
          </w:tcPr>
          <w:p w14:paraId="314D80EA" w14:textId="0C7C9AA9" w:rsidR="00D826AB" w:rsidRPr="0093391D" w:rsidRDefault="00287306" w:rsidP="006E46CB">
            <w:pPr>
              <w:jc w:val="right"/>
              <w:rPr>
                <w:rFonts w:cs="Arial"/>
                <w:b/>
                <w:bCs/>
                <w:noProof/>
              </w:rPr>
            </w:pPr>
            <w:r>
              <w:rPr>
                <w:rFonts w:cs="Arial"/>
                <w:b/>
                <w:bCs/>
                <w:noProof/>
              </w:rPr>
              <w:t>24</w:t>
            </w:r>
          </w:p>
        </w:tc>
        <w:tc>
          <w:tcPr>
            <w:tcW w:w="851" w:type="dxa"/>
          </w:tcPr>
          <w:p w14:paraId="05574E3A" w14:textId="19FEF8A9" w:rsidR="00D826AB" w:rsidRPr="0093391D" w:rsidRDefault="00287306" w:rsidP="006E46CB">
            <w:pPr>
              <w:jc w:val="right"/>
              <w:rPr>
                <w:rFonts w:cs="Arial"/>
                <w:b/>
                <w:bCs/>
                <w:noProof/>
              </w:rPr>
            </w:pPr>
            <w:r>
              <w:rPr>
                <w:rFonts w:cs="Arial"/>
                <w:b/>
                <w:bCs/>
                <w:noProof/>
              </w:rPr>
              <w:t>33</w:t>
            </w:r>
          </w:p>
        </w:tc>
      </w:tr>
      <w:bookmarkEnd w:id="22"/>
    </w:tbl>
    <w:p w14:paraId="1A0DA31C" w14:textId="77777777" w:rsidR="00D826AB" w:rsidRPr="00B5084A" w:rsidRDefault="00D826AB" w:rsidP="00B5084A">
      <w:pPr>
        <w:ind w:left="-142" w:right="-425"/>
        <w:jc w:val="both"/>
        <w:rPr>
          <w:rFonts w:cs="Arial"/>
        </w:rPr>
      </w:pPr>
    </w:p>
    <w:p w14:paraId="1159CB03" w14:textId="74598896" w:rsidR="009466F4" w:rsidRPr="00076ED0" w:rsidRDefault="009466F4" w:rsidP="00C41210">
      <w:pPr>
        <w:pStyle w:val="Heading2"/>
      </w:pPr>
      <w:r w:rsidRPr="00076ED0">
        <w:t>Case Management</w:t>
      </w:r>
    </w:p>
    <w:p w14:paraId="7A8A0342" w14:textId="7DC10F60" w:rsidR="00A009FE" w:rsidRDefault="00D32026" w:rsidP="001060CD">
      <w:pPr>
        <w:ind w:left="-142" w:right="-425"/>
        <w:jc w:val="both"/>
        <w:rPr>
          <w:rFonts w:cs="Arial"/>
        </w:rPr>
      </w:pPr>
      <w:r w:rsidRPr="00D32026">
        <w:rPr>
          <w:rFonts w:cs="Arial"/>
        </w:rPr>
        <w:t xml:space="preserve">Commissioners are guided by the FRC Act, sections 4 and 5, to encourage community members to engage in socially responsible </w:t>
      </w:r>
      <w:r w:rsidR="009117C3">
        <w:rPr>
          <w:rFonts w:cs="Arial"/>
        </w:rPr>
        <w:t>standards of behaviour</w:t>
      </w:r>
      <w:r w:rsidRPr="00D32026">
        <w:rPr>
          <w:rFonts w:cs="Arial"/>
        </w:rPr>
        <w:t>,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8E6F77">
        <w:rPr>
          <w:rFonts w:cs="Arial"/>
        </w:rPr>
        <w:t>30 June</w:t>
      </w:r>
      <w:r w:rsidR="004306F3">
        <w:rPr>
          <w:rFonts w:cs="Arial"/>
        </w:rPr>
        <w:t xml:space="preserve"> 2025</w:t>
      </w:r>
      <w:r w:rsidR="009466F4" w:rsidRPr="00303C40">
        <w:rPr>
          <w:rFonts w:cs="Arial"/>
        </w:rPr>
        <w:t xml:space="preserve">, </w:t>
      </w:r>
      <w:r w:rsidR="0094510A">
        <w:rPr>
          <w:rFonts w:cs="Arial"/>
        </w:rPr>
        <w:t>1</w:t>
      </w:r>
      <w:r w:rsidR="005C50A8">
        <w:rPr>
          <w:rFonts w:cs="Arial"/>
        </w:rPr>
        <w:t>35</w:t>
      </w:r>
      <w:r w:rsidR="0094510A">
        <w:rPr>
          <w:rFonts w:cs="Arial"/>
        </w:rPr>
        <w:t xml:space="preserve"> </w:t>
      </w:r>
      <w:r w:rsidR="009466F4" w:rsidRPr="00303C40">
        <w:rPr>
          <w:rFonts w:cs="Arial"/>
        </w:rPr>
        <w:t xml:space="preserve">clients were being </w:t>
      </w:r>
      <w:proofErr w:type="gramStart"/>
      <w:r w:rsidR="009466F4" w:rsidRPr="00490975">
        <w:rPr>
          <w:rFonts w:cs="Arial"/>
        </w:rPr>
        <w:t>case-managed</w:t>
      </w:r>
      <w:proofErr w:type="gramEnd"/>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C41210">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156E0D2C" w:rsidR="00FF351C" w:rsidRDefault="005C50A8" w:rsidP="00FF351C">
      <w:pPr>
        <w:ind w:left="-142" w:right="-425"/>
        <w:jc w:val="both"/>
        <w:rPr>
          <w:rFonts w:cs="Arial"/>
        </w:rPr>
      </w:pPr>
      <w:r>
        <w:rPr>
          <w:rFonts w:cs="Arial"/>
        </w:rPr>
        <w:t xml:space="preserve">Ten </w:t>
      </w:r>
      <w:r w:rsidR="00FF351C">
        <w:rPr>
          <w:rFonts w:cs="Arial"/>
        </w:rPr>
        <w:t>a</w:t>
      </w:r>
      <w:r w:rsidR="00FF351C" w:rsidRPr="009E1D38">
        <w:rPr>
          <w:rFonts w:cs="Arial"/>
        </w:rPr>
        <w:t xml:space="preserve">pplications </w:t>
      </w:r>
      <w:r w:rsidR="00FF351C">
        <w:rPr>
          <w:rFonts w:cs="Arial"/>
        </w:rPr>
        <w:t xml:space="preserve">relating to </w:t>
      </w:r>
      <w:r>
        <w:rPr>
          <w:rFonts w:cs="Arial"/>
        </w:rPr>
        <w:t>10</w:t>
      </w:r>
      <w:r w:rsidR="008F350C">
        <w:rPr>
          <w:rFonts w:cs="Arial"/>
        </w:rPr>
        <w:t xml:space="preserve"> </w:t>
      </w:r>
      <w:r w:rsidR="00FF351C">
        <w:rPr>
          <w:rFonts w:cs="Arial"/>
        </w:rPr>
        <w:t>clients (</w:t>
      </w:r>
      <w:r>
        <w:rPr>
          <w:rFonts w:cs="Arial"/>
        </w:rPr>
        <w:t>6</w:t>
      </w:r>
      <w:r w:rsidR="004C7C83">
        <w:rPr>
          <w:rFonts w:cs="Arial"/>
        </w:rPr>
        <w:t xml:space="preserve"> </w:t>
      </w:r>
      <w:r w:rsidR="00FF351C">
        <w:rPr>
          <w:rFonts w:cs="Arial"/>
        </w:rPr>
        <w:t xml:space="preserve">female and </w:t>
      </w:r>
      <w:r>
        <w:rPr>
          <w:rFonts w:cs="Arial"/>
        </w:rPr>
        <w:t>4</w:t>
      </w:r>
      <w:r w:rsidR="008F350C">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EF7EFC">
        <w:rPr>
          <w:rFonts w:cs="Arial"/>
        </w:rPr>
        <w:t>68</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408974FB" w14:textId="77777777" w:rsidR="007519D5" w:rsidRDefault="007519D5" w:rsidP="00FF351C">
      <w:pPr>
        <w:ind w:left="-142" w:right="-425"/>
        <w:jc w:val="both"/>
        <w:rPr>
          <w:rFonts w:cs="Arial"/>
        </w:rPr>
      </w:pPr>
    </w:p>
    <w:p w14:paraId="64BF5EFF" w14:textId="7D34A83B" w:rsidR="00D826AB" w:rsidRDefault="00D826AB" w:rsidP="00D826AB">
      <w:pPr>
        <w:ind w:left="-142" w:right="-425"/>
        <w:jc w:val="both"/>
        <w:rPr>
          <w:rFonts w:cs="Arial"/>
          <w:sz w:val="16"/>
          <w:szCs w:val="16"/>
        </w:rPr>
      </w:pPr>
      <w:r>
        <w:rPr>
          <w:rFonts w:cs="Arial"/>
          <w:b/>
          <w:sz w:val="16"/>
          <w:szCs w:val="16"/>
        </w:rPr>
        <w:t>Table 21</w:t>
      </w:r>
      <w:r w:rsidRPr="00E34093">
        <w:rPr>
          <w:rFonts w:cs="Arial"/>
          <w:b/>
          <w:sz w:val="16"/>
          <w:szCs w:val="16"/>
        </w:rPr>
        <w:t>:</w:t>
      </w:r>
      <w:r>
        <w:rPr>
          <w:rFonts w:cs="Arial"/>
          <w:sz w:val="16"/>
          <w:szCs w:val="16"/>
        </w:rPr>
        <w:t xml:space="preserve"> Applications to amend or e</w:t>
      </w:r>
      <w:r w:rsidRPr="00E34093">
        <w:rPr>
          <w:rFonts w:cs="Arial"/>
          <w:sz w:val="16"/>
          <w:szCs w:val="16"/>
        </w:rPr>
        <w:t xml:space="preserve">nd </w:t>
      </w:r>
      <w:r>
        <w:rPr>
          <w:rFonts w:cs="Arial"/>
          <w:sz w:val="16"/>
          <w:szCs w:val="16"/>
        </w:rPr>
        <w:t>agreements or o</w:t>
      </w:r>
      <w:r w:rsidRPr="00E34093">
        <w:rPr>
          <w:rFonts w:cs="Arial"/>
          <w:sz w:val="16"/>
          <w:szCs w:val="16"/>
        </w:rPr>
        <w:t>rder</w:t>
      </w:r>
      <w:r>
        <w:rPr>
          <w:rFonts w:cs="Arial"/>
          <w:sz w:val="16"/>
          <w:szCs w:val="16"/>
        </w:rPr>
        <w:t>s</w:t>
      </w:r>
      <w:r w:rsidRPr="00E34093">
        <w:rPr>
          <w:rFonts w:cs="Arial"/>
          <w:sz w:val="16"/>
          <w:szCs w:val="16"/>
        </w:rPr>
        <w:t xml:space="preserve"> by community and quarter </w:t>
      </w:r>
      <w:r>
        <w:rPr>
          <w:rFonts w:cs="Arial"/>
          <w:sz w:val="16"/>
          <w:szCs w:val="16"/>
        </w:rPr>
        <w:t xml:space="preserve">1 </w:t>
      </w:r>
      <w:r>
        <w:rPr>
          <w:rFonts w:cs="Arial"/>
          <w:sz w:val="16"/>
          <w:szCs w:val="16"/>
        </w:rPr>
        <w:t>April</w:t>
      </w:r>
      <w:r>
        <w:rPr>
          <w:rFonts w:cs="Arial"/>
          <w:sz w:val="16"/>
          <w:szCs w:val="16"/>
        </w:rPr>
        <w:t xml:space="preserve"> 2024 to 3</w:t>
      </w:r>
      <w:r>
        <w:rPr>
          <w:rFonts w:cs="Arial"/>
          <w:sz w:val="16"/>
          <w:szCs w:val="16"/>
        </w:rPr>
        <w:t xml:space="preserve">0 June </w:t>
      </w:r>
      <w:r>
        <w:rPr>
          <w:rFonts w:cs="Arial"/>
          <w:sz w:val="16"/>
          <w:szCs w:val="16"/>
        </w:rPr>
        <w:t>2025</w:t>
      </w:r>
    </w:p>
    <w:p w14:paraId="1CAC4ED4" w14:textId="77777777" w:rsidR="00D826AB" w:rsidRPr="0070366B" w:rsidRDefault="00D826AB" w:rsidP="00D826AB">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D826AB" w:rsidRPr="00C5395B" w14:paraId="6AC6D36C" w14:textId="77777777" w:rsidTr="006E46C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1958EDF7" w14:textId="77777777" w:rsidR="00D826AB" w:rsidRPr="00C5395B" w:rsidRDefault="00D826AB" w:rsidP="00D826AB">
            <w:pPr>
              <w:pStyle w:val="TableText"/>
              <w:ind w:left="49"/>
              <w:rPr>
                <w:b/>
                <w:lang w:eastAsia="en-AU"/>
              </w:rPr>
            </w:pPr>
            <w:bookmarkStart w:id="23"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03ADD322" w14:textId="79A04DC4" w:rsidR="00D826AB" w:rsidRDefault="00D826AB" w:rsidP="00D826AB">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3E896DE2" w14:textId="0DE32472" w:rsidR="00D826AB" w:rsidRDefault="00D826AB" w:rsidP="00D826AB">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39494939" w14:textId="570EB7D1" w:rsidR="00D826AB" w:rsidRDefault="00D826AB" w:rsidP="00D826AB">
            <w:pPr>
              <w:pStyle w:val="TableText"/>
              <w:jc w:val="right"/>
              <w:rPr>
                <w:b/>
                <w:lang w:eastAsia="en-AU"/>
              </w:rPr>
            </w:pPr>
            <w:r w:rsidRPr="00BA518C">
              <w:rPr>
                <w:b/>
                <w:lang w:eastAsia="en-AU"/>
              </w:rPr>
              <w:t>Qtr 6</w:t>
            </w:r>
            <w:r>
              <w:rPr>
                <w:b/>
                <w:lang w:eastAsia="en-AU"/>
              </w:rPr>
              <w:t>6</w:t>
            </w:r>
          </w:p>
        </w:tc>
        <w:tc>
          <w:tcPr>
            <w:tcW w:w="960" w:type="dxa"/>
            <w:tcBorders>
              <w:top w:val="single" w:sz="4" w:space="0" w:color="auto"/>
              <w:left w:val="nil"/>
              <w:bottom w:val="single" w:sz="4" w:space="0" w:color="auto"/>
              <w:right w:val="single" w:sz="4" w:space="0" w:color="auto"/>
            </w:tcBorders>
          </w:tcPr>
          <w:p w14:paraId="4B8AEC8B" w14:textId="4A011636" w:rsidR="00D826AB" w:rsidRDefault="00D826AB" w:rsidP="00D826AB">
            <w:pPr>
              <w:pStyle w:val="TableText"/>
              <w:jc w:val="right"/>
              <w:rPr>
                <w:b/>
                <w:lang w:eastAsia="en-AU"/>
              </w:rPr>
            </w:pPr>
            <w:r w:rsidRPr="00BA518C">
              <w:rPr>
                <w:b/>
                <w:lang w:eastAsia="en-AU"/>
              </w:rPr>
              <w:t>Qtr 6</w:t>
            </w:r>
            <w:r>
              <w:rPr>
                <w:b/>
                <w:lang w:eastAsia="en-AU"/>
              </w:rPr>
              <w:t>7</w:t>
            </w:r>
          </w:p>
        </w:tc>
        <w:tc>
          <w:tcPr>
            <w:tcW w:w="960" w:type="dxa"/>
            <w:tcBorders>
              <w:top w:val="single" w:sz="4" w:space="0" w:color="auto"/>
              <w:left w:val="nil"/>
              <w:bottom w:val="single" w:sz="4" w:space="0" w:color="auto"/>
              <w:right w:val="single" w:sz="4" w:space="0" w:color="auto"/>
            </w:tcBorders>
          </w:tcPr>
          <w:p w14:paraId="2BA16C5C" w14:textId="61540448" w:rsidR="00D826AB" w:rsidRPr="00BA518C" w:rsidRDefault="00D826AB" w:rsidP="00D826AB">
            <w:pPr>
              <w:pStyle w:val="TableText"/>
              <w:jc w:val="right"/>
              <w:rPr>
                <w:b/>
                <w:lang w:eastAsia="en-AU"/>
              </w:rPr>
            </w:pPr>
            <w:r w:rsidRPr="00BA518C">
              <w:rPr>
                <w:b/>
                <w:lang w:eastAsia="en-AU"/>
              </w:rPr>
              <w:t>Qtr 6</w:t>
            </w:r>
            <w:r>
              <w:rPr>
                <w:b/>
                <w:lang w:eastAsia="en-AU"/>
              </w:rPr>
              <w:t>8</w:t>
            </w:r>
          </w:p>
        </w:tc>
      </w:tr>
      <w:tr w:rsidR="00B37FA2" w:rsidRPr="00C5395B" w14:paraId="03F9710E"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68A9B371" w14:textId="77777777" w:rsidR="00B37FA2" w:rsidRPr="00C5395B" w:rsidRDefault="00B37FA2" w:rsidP="00B37FA2">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155F4C1" w14:textId="5E649B03" w:rsidR="00B37FA2" w:rsidRDefault="00B37FA2" w:rsidP="00B37FA2">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699B6FDF" w14:textId="737FCB30" w:rsidR="00B37FA2" w:rsidRDefault="00B37FA2" w:rsidP="00B37FA2">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0B1F9D19" w14:textId="6AD49954" w:rsidR="00B37FA2" w:rsidRDefault="00B37FA2" w:rsidP="00B37FA2">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6DA8ED0" w14:textId="3C5CA662"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9A5AD63" w14:textId="748975B1" w:rsidR="00B37FA2" w:rsidRDefault="00B37FA2" w:rsidP="00B37FA2">
            <w:pPr>
              <w:jc w:val="right"/>
              <w:rPr>
                <w:rFonts w:cs="Arial"/>
              </w:rPr>
            </w:pPr>
            <w:r>
              <w:rPr>
                <w:rFonts w:cs="Arial"/>
              </w:rPr>
              <w:t>7</w:t>
            </w:r>
          </w:p>
        </w:tc>
      </w:tr>
      <w:tr w:rsidR="00B37FA2" w:rsidRPr="00C5395B" w14:paraId="2136D7AF"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1372E182" w14:textId="77777777" w:rsidR="00B37FA2" w:rsidRPr="00C5395B" w:rsidRDefault="00B37FA2" w:rsidP="00B37FA2">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3941ED47" w14:textId="2D81F597"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1388759" w14:textId="30091041"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0AD30E7" w14:textId="249F1F55"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F3A0A5F" w14:textId="1831A00F" w:rsidR="00B37FA2" w:rsidRDefault="00B37FA2" w:rsidP="00B37FA2">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0ACD367" w14:textId="58750375" w:rsidR="00B37FA2" w:rsidRDefault="00B37FA2" w:rsidP="00B37FA2">
            <w:pPr>
              <w:jc w:val="right"/>
              <w:rPr>
                <w:rFonts w:cs="Arial"/>
              </w:rPr>
            </w:pPr>
            <w:r>
              <w:rPr>
                <w:rFonts w:cs="Arial"/>
              </w:rPr>
              <w:t>1</w:t>
            </w:r>
          </w:p>
        </w:tc>
      </w:tr>
      <w:tr w:rsidR="00B37FA2" w:rsidRPr="00C5395B" w14:paraId="0E80B20C" w14:textId="77777777" w:rsidTr="006E46CB">
        <w:trPr>
          <w:trHeight w:val="255"/>
        </w:trPr>
        <w:tc>
          <w:tcPr>
            <w:tcW w:w="2040" w:type="dxa"/>
            <w:tcBorders>
              <w:top w:val="nil"/>
              <w:left w:val="single" w:sz="4" w:space="0" w:color="auto"/>
              <w:bottom w:val="single" w:sz="4" w:space="0" w:color="auto"/>
              <w:right w:val="single" w:sz="4" w:space="0" w:color="auto"/>
            </w:tcBorders>
            <w:noWrap/>
          </w:tcPr>
          <w:p w14:paraId="4FFD1011" w14:textId="77777777" w:rsidR="00B37FA2" w:rsidRPr="00C5395B" w:rsidRDefault="00B37FA2" w:rsidP="00B37FA2">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3A5E3E8F" w14:textId="29A0DFC5"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C92BA62" w14:textId="187BC23B" w:rsidR="00B37FA2" w:rsidRDefault="00B37FA2" w:rsidP="00B37FA2">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405118D" w14:textId="7D878669"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17F20CB" w14:textId="50D6DDEC"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519EC07" w14:textId="0BA937F0" w:rsidR="00B37FA2" w:rsidRDefault="00B37FA2" w:rsidP="00B37FA2">
            <w:pPr>
              <w:jc w:val="right"/>
              <w:rPr>
                <w:rFonts w:cs="Arial"/>
              </w:rPr>
            </w:pPr>
            <w:r>
              <w:rPr>
                <w:rFonts w:cs="Arial"/>
              </w:rPr>
              <w:t>1</w:t>
            </w:r>
          </w:p>
        </w:tc>
      </w:tr>
      <w:tr w:rsidR="00B37FA2" w:rsidRPr="00C5395B" w14:paraId="74A7991C"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7A3B203E" w14:textId="77777777" w:rsidR="00B37FA2" w:rsidRPr="00C5395B" w:rsidRDefault="00B37FA2" w:rsidP="00B37FA2">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4950D8F8" w14:textId="2117B44B"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DA0720B" w14:textId="480F2DF9" w:rsidR="00B37FA2" w:rsidRDefault="00B37FA2" w:rsidP="00B37FA2">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4F43E291" w14:textId="4B0C9CA2" w:rsidR="00B37FA2" w:rsidRDefault="00B37FA2" w:rsidP="00B37FA2">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7A57B4F5" w14:textId="1A68149F"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1C60482" w14:textId="75D3A80F" w:rsidR="00B37FA2" w:rsidRDefault="00B37FA2" w:rsidP="00B37FA2">
            <w:pPr>
              <w:jc w:val="right"/>
              <w:rPr>
                <w:rFonts w:cs="Arial"/>
              </w:rPr>
            </w:pPr>
            <w:r>
              <w:rPr>
                <w:rFonts w:cs="Arial"/>
              </w:rPr>
              <w:t>1</w:t>
            </w:r>
          </w:p>
        </w:tc>
      </w:tr>
      <w:tr w:rsidR="00B37FA2" w:rsidRPr="00C5395B" w14:paraId="52BE0BFE"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5CA9B59D" w14:textId="77777777" w:rsidR="00B37FA2" w:rsidRPr="00C5395B" w:rsidRDefault="00B37FA2" w:rsidP="00B37FA2">
            <w:pPr>
              <w:pStyle w:val="TableText"/>
              <w:ind w:left="49"/>
              <w:rPr>
                <w:lang w:eastAsia="en-AU"/>
              </w:rPr>
            </w:pPr>
            <w:r w:rsidRPr="00C5395B">
              <w:rPr>
                <w:lang w:eastAsia="en-AU"/>
              </w:rPr>
              <w:lastRenderedPageBreak/>
              <w:t>Mossman Gorge</w:t>
            </w:r>
          </w:p>
        </w:tc>
        <w:tc>
          <w:tcPr>
            <w:tcW w:w="960" w:type="dxa"/>
            <w:tcBorders>
              <w:top w:val="nil"/>
              <w:left w:val="nil"/>
              <w:bottom w:val="single" w:sz="4" w:space="0" w:color="auto"/>
              <w:right w:val="single" w:sz="4" w:space="0" w:color="auto"/>
            </w:tcBorders>
          </w:tcPr>
          <w:p w14:paraId="75A93E58" w14:textId="64E5F20B"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8C9AEE6" w14:textId="21072257"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C47B459" w14:textId="55D2364F" w:rsidR="00B37FA2" w:rsidRDefault="00B37FA2" w:rsidP="00B37F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5DEB1D8" w14:textId="7CF860B9" w:rsidR="00B37FA2" w:rsidRDefault="00B37FA2" w:rsidP="00B37F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B597A85" w14:textId="4EF35E00" w:rsidR="00B37FA2" w:rsidRDefault="00B37FA2" w:rsidP="00B37FA2">
            <w:pPr>
              <w:jc w:val="right"/>
              <w:rPr>
                <w:rFonts w:cs="Arial"/>
              </w:rPr>
            </w:pPr>
            <w:r>
              <w:rPr>
                <w:rFonts w:cs="Arial"/>
              </w:rPr>
              <w:t>0</w:t>
            </w:r>
          </w:p>
        </w:tc>
      </w:tr>
      <w:tr w:rsidR="00B37FA2" w:rsidRPr="00C5395B" w14:paraId="3B94D401" w14:textId="77777777" w:rsidTr="006E46CB">
        <w:trPr>
          <w:trHeight w:val="255"/>
        </w:trPr>
        <w:tc>
          <w:tcPr>
            <w:tcW w:w="2040" w:type="dxa"/>
            <w:tcBorders>
              <w:top w:val="nil"/>
              <w:left w:val="single" w:sz="4" w:space="0" w:color="auto"/>
              <w:bottom w:val="single" w:sz="4" w:space="0" w:color="auto"/>
              <w:right w:val="single" w:sz="4" w:space="0" w:color="auto"/>
            </w:tcBorders>
            <w:noWrap/>
            <w:hideMark/>
          </w:tcPr>
          <w:p w14:paraId="5FDEFAA5" w14:textId="77777777" w:rsidR="00B37FA2" w:rsidRPr="00C5395B" w:rsidRDefault="00B37FA2" w:rsidP="00B37FA2">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84270F3" w14:textId="1F44854B" w:rsidR="00B37FA2" w:rsidRDefault="00B37FA2" w:rsidP="00B37FA2">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77F3C80E" w14:textId="62BF569B" w:rsidR="00B37FA2" w:rsidRDefault="00B37FA2" w:rsidP="00B37FA2">
            <w:pPr>
              <w:jc w:val="right"/>
              <w:rPr>
                <w:rFonts w:cs="Arial"/>
                <w:b/>
                <w:bCs/>
              </w:rPr>
            </w:pPr>
            <w:r>
              <w:rPr>
                <w:rFonts w:cs="Arial"/>
                <w:b/>
                <w:bCs/>
              </w:rPr>
              <w:t>9</w:t>
            </w:r>
          </w:p>
        </w:tc>
        <w:tc>
          <w:tcPr>
            <w:tcW w:w="960" w:type="dxa"/>
            <w:tcBorders>
              <w:top w:val="nil"/>
              <w:left w:val="nil"/>
              <w:bottom w:val="single" w:sz="4" w:space="0" w:color="auto"/>
              <w:right w:val="single" w:sz="4" w:space="0" w:color="auto"/>
            </w:tcBorders>
          </w:tcPr>
          <w:p w14:paraId="5E4EC09D" w14:textId="47376978" w:rsidR="00B37FA2" w:rsidRDefault="00B37FA2" w:rsidP="00B37FA2">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0E4026DF" w14:textId="30FE3CA1" w:rsidR="00B37FA2" w:rsidRDefault="00B37FA2" w:rsidP="00B37FA2">
            <w:pPr>
              <w:jc w:val="right"/>
              <w:rPr>
                <w:rFonts w:cs="Arial"/>
                <w:b/>
                <w:bCs/>
              </w:rPr>
            </w:pPr>
            <w:r>
              <w:rPr>
                <w:rFonts w:cs="Arial"/>
                <w:b/>
                <w:bCs/>
              </w:rPr>
              <w:t>3</w:t>
            </w:r>
          </w:p>
        </w:tc>
        <w:tc>
          <w:tcPr>
            <w:tcW w:w="960" w:type="dxa"/>
            <w:tcBorders>
              <w:top w:val="nil"/>
              <w:left w:val="nil"/>
              <w:bottom w:val="single" w:sz="4" w:space="0" w:color="auto"/>
              <w:right w:val="single" w:sz="4" w:space="0" w:color="auto"/>
            </w:tcBorders>
          </w:tcPr>
          <w:p w14:paraId="4E1FF8B3" w14:textId="696A0E26" w:rsidR="00B37FA2" w:rsidRDefault="00B37FA2" w:rsidP="00B37FA2">
            <w:pPr>
              <w:jc w:val="right"/>
              <w:rPr>
                <w:rFonts w:cs="Arial"/>
                <w:b/>
                <w:bCs/>
              </w:rPr>
            </w:pPr>
            <w:r>
              <w:rPr>
                <w:rFonts w:cs="Arial"/>
                <w:b/>
                <w:bCs/>
              </w:rPr>
              <w:t>10</w:t>
            </w:r>
          </w:p>
        </w:tc>
      </w:tr>
      <w:bookmarkEnd w:id="23"/>
    </w:tbl>
    <w:p w14:paraId="30F49191" w14:textId="77777777" w:rsidR="00D826AB" w:rsidRDefault="00D826AB" w:rsidP="0030416A">
      <w:pPr>
        <w:ind w:left="-142" w:right="-425"/>
        <w:jc w:val="both"/>
        <w:rPr>
          <w:rFonts w:cs="Arial"/>
        </w:rPr>
      </w:pPr>
    </w:p>
    <w:p w14:paraId="0C44E9B8" w14:textId="0F2491B1" w:rsidR="004E7166" w:rsidRPr="00076ED0" w:rsidRDefault="004E7166" w:rsidP="00C41210">
      <w:pPr>
        <w:pStyle w:val="Heading2"/>
      </w:pPr>
      <w:r w:rsidRPr="00076ED0">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w:t>
      </w:r>
      <w:proofErr w:type="gramStart"/>
      <w:r w:rsidRPr="00E92E29">
        <w:rPr>
          <w:rFonts w:cs="Arial"/>
        </w:rPr>
        <w:t>make a decision</w:t>
      </w:r>
      <w:proofErr w:type="gramEnd"/>
      <w:r w:rsidRPr="00E92E29">
        <w:rPr>
          <w:rFonts w:cs="Arial"/>
        </w:rPr>
        <w:t xml:space="preserve">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3B1588BA" w14:textId="77777777" w:rsidR="00111178" w:rsidRDefault="0030416A" w:rsidP="00111178">
      <w:pPr>
        <w:ind w:left="-142" w:right="-425"/>
        <w:jc w:val="both"/>
        <w:rPr>
          <w:rFonts w:cs="Arial"/>
        </w:rPr>
      </w:pPr>
      <w:r>
        <w:rPr>
          <w:rFonts w:cs="Arial"/>
        </w:rPr>
        <w:t xml:space="preserve">A total of </w:t>
      </w:r>
      <w:r w:rsidR="00D837CC">
        <w:rPr>
          <w:rFonts w:cs="Arial"/>
        </w:rPr>
        <w:t>3</w:t>
      </w:r>
      <w:r>
        <w:rPr>
          <w:rFonts w:cs="Arial"/>
        </w:rPr>
        <w:t xml:space="preserve"> amend/end applications for a </w:t>
      </w:r>
      <w:r w:rsidR="001D2307">
        <w:rPr>
          <w:rFonts w:cs="Arial"/>
        </w:rPr>
        <w:t xml:space="preserve">Family Responsibilities Agreement or </w:t>
      </w:r>
      <w:r>
        <w:rPr>
          <w:rFonts w:cs="Arial"/>
        </w:rPr>
        <w:t xml:space="preserve">Family Responsibilities Order were decided in quarter </w:t>
      </w:r>
      <w:r w:rsidR="00EF7EFC">
        <w:rPr>
          <w:rFonts w:cs="Arial"/>
        </w:rPr>
        <w:t>68</w:t>
      </w:r>
      <w:r w:rsidR="00111178">
        <w:rPr>
          <w:rFonts w:cs="Arial"/>
        </w:rPr>
        <w:t xml:space="preserve"> with 2 out of the 3 applications made by the clients accepted by the FRC</w:t>
      </w:r>
      <w:r>
        <w:rPr>
          <w:rFonts w:cs="Arial"/>
        </w:rPr>
        <w:t>.</w:t>
      </w:r>
      <w:r w:rsidR="00111178">
        <w:rPr>
          <w:rFonts w:cs="Arial"/>
        </w:rPr>
        <w:t xml:space="preserve"> A breakdown of the accepted decisions of the applications is as follows:</w:t>
      </w:r>
    </w:p>
    <w:p w14:paraId="2A818E35" w14:textId="77777777" w:rsidR="00111178" w:rsidRDefault="00111178" w:rsidP="00111178">
      <w:pPr>
        <w:ind w:left="-142" w:right="-425"/>
        <w:jc w:val="both"/>
        <w:rPr>
          <w:rFonts w:cs="Arial"/>
        </w:rPr>
      </w:pPr>
    </w:p>
    <w:p w14:paraId="2CB4ABF7" w14:textId="5F0756E2" w:rsidR="00111178" w:rsidRDefault="00111178" w:rsidP="00111178">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Pr="00FB5E8C">
        <w:rPr>
          <w:rFonts w:ascii="Verdana" w:hAnsi="Verdana" w:cs="Arial"/>
          <w:sz w:val="20"/>
          <w:szCs w:val="20"/>
        </w:rPr>
        <w:t xml:space="preserve"> Applications were accepted and </w:t>
      </w:r>
      <w:r>
        <w:rPr>
          <w:rFonts w:ascii="Verdana" w:hAnsi="Verdana" w:cs="Arial"/>
          <w:sz w:val="20"/>
          <w:szCs w:val="20"/>
        </w:rPr>
        <w:t>conditional</w:t>
      </w:r>
      <w:r w:rsidRPr="00FB5E8C">
        <w:rPr>
          <w:rFonts w:ascii="Verdana" w:hAnsi="Verdana" w:cs="Arial"/>
          <w:sz w:val="20"/>
          <w:szCs w:val="20"/>
        </w:rPr>
        <w:t xml:space="preserve"> income management </w:t>
      </w:r>
      <w:r>
        <w:rPr>
          <w:rFonts w:ascii="Verdana" w:hAnsi="Verdana" w:cs="Arial"/>
          <w:sz w:val="20"/>
          <w:szCs w:val="20"/>
        </w:rPr>
        <w:t>orders</w:t>
      </w:r>
      <w:r w:rsidRPr="00FB5E8C">
        <w:rPr>
          <w:rFonts w:ascii="Verdana" w:hAnsi="Verdana" w:cs="Arial"/>
          <w:sz w:val="20"/>
          <w:szCs w:val="20"/>
        </w:rPr>
        <w:t xml:space="preserve"> ended</w:t>
      </w:r>
      <w:r>
        <w:rPr>
          <w:rFonts w:ascii="Verdana" w:hAnsi="Verdana" w:cs="Arial"/>
          <w:sz w:val="20"/>
          <w:szCs w:val="20"/>
        </w:rPr>
        <w:t>.</w:t>
      </w:r>
    </w:p>
    <w:p w14:paraId="18149D6D" w14:textId="442B2322" w:rsidR="0030416A" w:rsidRDefault="0030416A" w:rsidP="0030416A">
      <w:pPr>
        <w:ind w:left="-142" w:right="-425"/>
        <w:jc w:val="both"/>
        <w:rPr>
          <w:rFonts w:cs="Arial"/>
        </w:rPr>
      </w:pPr>
    </w:p>
    <w:p w14:paraId="44D0AC43" w14:textId="008E12F8" w:rsidR="00B9549C" w:rsidRDefault="00D837CC" w:rsidP="00B408D8">
      <w:pPr>
        <w:ind w:left="-142" w:right="-425"/>
        <w:jc w:val="both"/>
        <w:rPr>
          <w:rFonts w:cs="Arial"/>
        </w:rPr>
      </w:pPr>
      <w:r>
        <w:rPr>
          <w:rFonts w:cs="Arial"/>
        </w:rPr>
        <w:t>Four</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 xml:space="preserve">3 out of the 4 </w:t>
      </w:r>
      <w:r w:rsidR="00211380">
        <w:rPr>
          <w:rFonts w:cs="Arial"/>
        </w:rPr>
        <w:t>applications made by clients accepted by the FRC</w:t>
      </w:r>
      <w:r w:rsidR="00C37FA9">
        <w:rPr>
          <w:rFonts w:cs="Arial"/>
        </w:rPr>
        <w:t>.</w:t>
      </w:r>
      <w:r w:rsidR="00211380">
        <w:rPr>
          <w:rFonts w:cs="Arial"/>
        </w:rPr>
        <w:t xml:space="preserve"> A breakdown of the </w:t>
      </w:r>
      <w:r w:rsidR="0030416A">
        <w:rPr>
          <w:rFonts w:cs="Arial"/>
        </w:rPr>
        <w:t xml:space="preserve">accepted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6FDC5A96" w14:textId="7620B38A" w:rsidR="00111178" w:rsidRDefault="00111178" w:rsidP="00111178">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Pr="00FB5E8C">
        <w:rPr>
          <w:rFonts w:ascii="Verdana" w:hAnsi="Verdana" w:cs="Arial"/>
          <w:sz w:val="20"/>
          <w:szCs w:val="20"/>
        </w:rPr>
        <w:t xml:space="preserve"> Applications were accepted and voluntary income management agreements ended</w:t>
      </w:r>
    </w:p>
    <w:p w14:paraId="738C1145" w14:textId="31733B9F" w:rsidR="00111178" w:rsidRDefault="00111178" w:rsidP="00111178">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1 Application was accepted and voluntary income management agreement amended from 60% to 75% for the remaining period of the existing agreement.</w:t>
      </w:r>
    </w:p>
    <w:p w14:paraId="50DBFCDE" w14:textId="77777777" w:rsidR="00643E4F" w:rsidRDefault="00643E4F" w:rsidP="00FF351C">
      <w:pPr>
        <w:ind w:left="-142" w:right="-425"/>
        <w:jc w:val="both"/>
      </w:pPr>
    </w:p>
    <w:p w14:paraId="487734F6" w14:textId="063A3F04" w:rsidR="00964C44" w:rsidRPr="00FC688D" w:rsidRDefault="00353EB2" w:rsidP="00FF351C">
      <w:pPr>
        <w:ind w:left="-142" w:right="-425"/>
        <w:jc w:val="both"/>
        <w:rPr>
          <w:rFonts w:cs="Arial"/>
        </w:rPr>
      </w:pPr>
      <w:r w:rsidRPr="00FC688D">
        <w:rPr>
          <w:rFonts w:cs="Arial"/>
        </w:rPr>
        <w:t>Th</w:t>
      </w:r>
      <w:r w:rsidR="005A5B78" w:rsidRPr="00FC688D">
        <w:rPr>
          <w:rFonts w:cs="Arial"/>
        </w:rPr>
        <w:t>e Commission continues to encourage clients to participa</w:t>
      </w:r>
      <w:r w:rsidR="0061573D" w:rsidRPr="00FC688D">
        <w:rPr>
          <w:rFonts w:cs="Arial"/>
        </w:rPr>
        <w:t xml:space="preserve">te in the </w:t>
      </w:r>
      <w:r w:rsidR="007A7B2F" w:rsidRPr="00FC688D">
        <w:rPr>
          <w:rFonts w:cs="Arial"/>
        </w:rPr>
        <w:t>a</w:t>
      </w:r>
      <w:r w:rsidR="0061573D" w:rsidRPr="00FC688D">
        <w:rPr>
          <w:rFonts w:cs="Arial"/>
        </w:rPr>
        <w:t xml:space="preserve">mend or </w:t>
      </w:r>
      <w:r w:rsidR="007A7B2F" w:rsidRPr="00FC688D">
        <w:rPr>
          <w:rFonts w:cs="Arial"/>
        </w:rPr>
        <w:t>e</w:t>
      </w:r>
      <w:r w:rsidR="0061573D" w:rsidRPr="00FC688D">
        <w:rPr>
          <w:rFonts w:cs="Arial"/>
        </w:rPr>
        <w:t>nd process.</w:t>
      </w:r>
      <w:r w:rsidR="005A5B78" w:rsidRPr="00FC688D">
        <w:rPr>
          <w:rFonts w:cs="Arial"/>
        </w:rPr>
        <w:t xml:space="preserve"> Commissioners </w:t>
      </w:r>
      <w:r w:rsidR="00FB4B1F" w:rsidRPr="00FC688D">
        <w:rPr>
          <w:rFonts w:cs="Arial"/>
        </w:rPr>
        <w:t>consider that the participation of clients in the amend/end process is indicative of c</w:t>
      </w:r>
      <w:r w:rsidR="005A5B78" w:rsidRPr="00FC688D">
        <w:rPr>
          <w:rFonts w:cs="Arial"/>
        </w:rPr>
        <w:t>lient confidence to question decisions and the reasons behind decisions, both for decisions delivered by the Commission and decisions delivered by external agencies and bodies.</w:t>
      </w:r>
      <w:bookmarkStart w:id="24" w:name="_Toc222226583"/>
      <w:bookmarkStart w:id="25" w:name="_Toc304386232"/>
      <w:bookmarkStart w:id="26" w:name="_Toc304386309"/>
      <w:bookmarkStart w:id="27"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C41210">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018D5EAA" w:rsidR="0013112F" w:rsidRDefault="0013112F" w:rsidP="0013112F">
      <w:pPr>
        <w:ind w:left="-142"/>
        <w:jc w:val="both"/>
      </w:pPr>
      <w:r w:rsidRPr="006C6A65">
        <w:rPr>
          <w:b/>
          <w:sz w:val="16"/>
          <w:szCs w:val="16"/>
        </w:rPr>
        <w:t xml:space="preserve">Table </w:t>
      </w:r>
      <w:r w:rsidR="00D826AB">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8E6F77">
        <w:rPr>
          <w:sz w:val="16"/>
          <w:szCs w:val="16"/>
        </w:rPr>
        <w:t>1 April</w:t>
      </w:r>
      <w:r w:rsidR="0014564D">
        <w:rPr>
          <w:sz w:val="16"/>
          <w:szCs w:val="16"/>
        </w:rPr>
        <w:t xml:space="preserve"> </w:t>
      </w:r>
      <w:r w:rsidR="00BC09BB">
        <w:rPr>
          <w:sz w:val="16"/>
          <w:szCs w:val="16"/>
        </w:rPr>
        <w:t>202</w:t>
      </w:r>
      <w:r w:rsidR="0014564D">
        <w:rPr>
          <w:sz w:val="16"/>
          <w:szCs w:val="16"/>
        </w:rPr>
        <w:t>5</w:t>
      </w:r>
      <w:r w:rsidR="00BC09BB">
        <w:rPr>
          <w:sz w:val="16"/>
          <w:szCs w:val="16"/>
        </w:rPr>
        <w:t xml:space="preserve"> to </w:t>
      </w:r>
      <w:r w:rsidR="008E6F77">
        <w:rPr>
          <w:sz w:val="16"/>
          <w:szCs w:val="16"/>
        </w:rPr>
        <w:t>30 June</w:t>
      </w:r>
      <w:r w:rsidR="0014564D">
        <w:rPr>
          <w:sz w:val="16"/>
          <w:szCs w:val="16"/>
        </w:rPr>
        <w:t xml:space="preserve"> </w:t>
      </w:r>
      <w:r w:rsidR="00BC09BB">
        <w:rPr>
          <w:sz w:val="16"/>
          <w:szCs w:val="16"/>
        </w:rPr>
        <w:t>202</w:t>
      </w:r>
      <w:r w:rsidR="0014564D">
        <w:rPr>
          <w:sz w:val="16"/>
          <w:szCs w:val="16"/>
        </w:rPr>
        <w:t>5</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B93B7B" w14:paraId="0C5B3812" w14:textId="77777777" w:rsidTr="00925DD5">
        <w:tc>
          <w:tcPr>
            <w:tcW w:w="5127" w:type="dxa"/>
          </w:tcPr>
          <w:p w14:paraId="465196A7" w14:textId="19D592F9" w:rsidR="00B93B7B" w:rsidRDefault="00B93B7B" w:rsidP="00B93B7B">
            <w:pPr>
              <w:spacing w:line="240" w:lineRule="auto"/>
            </w:pPr>
            <w:r>
              <w:t>Clients for whom a notice was assessed as within jurisdiction</w:t>
            </w:r>
            <w:r>
              <w:rPr>
                <w:rStyle w:val="FootnoteReference"/>
              </w:rPr>
              <w:footnoteReference w:id="10"/>
            </w:r>
          </w:p>
        </w:tc>
        <w:tc>
          <w:tcPr>
            <w:tcW w:w="1026" w:type="dxa"/>
            <w:vAlign w:val="center"/>
          </w:tcPr>
          <w:p w14:paraId="430D610E" w14:textId="6A1F237A" w:rsidR="00B93B7B" w:rsidRPr="006A51C1" w:rsidRDefault="00B93B7B" w:rsidP="00B93B7B">
            <w:pPr>
              <w:spacing w:line="240" w:lineRule="auto"/>
              <w:jc w:val="right"/>
            </w:pPr>
            <w:r>
              <w:rPr>
                <w:rFonts w:cs="Arial"/>
              </w:rPr>
              <w:t>418</w:t>
            </w:r>
          </w:p>
        </w:tc>
        <w:tc>
          <w:tcPr>
            <w:tcW w:w="875" w:type="dxa"/>
            <w:vAlign w:val="center"/>
          </w:tcPr>
          <w:p w14:paraId="73512E80" w14:textId="47A0FB07" w:rsidR="00B93B7B" w:rsidRPr="006A51C1" w:rsidRDefault="00B93B7B" w:rsidP="00B93B7B">
            <w:pPr>
              <w:spacing w:line="240" w:lineRule="auto"/>
              <w:jc w:val="right"/>
            </w:pPr>
            <w:r>
              <w:rPr>
                <w:rFonts w:cs="Arial"/>
              </w:rPr>
              <w:t>223</w:t>
            </w:r>
          </w:p>
        </w:tc>
        <w:tc>
          <w:tcPr>
            <w:tcW w:w="463" w:type="dxa"/>
            <w:vAlign w:val="center"/>
          </w:tcPr>
          <w:p w14:paraId="0C71CB3B" w14:textId="0EFCD64A" w:rsidR="00B93B7B" w:rsidRPr="006A51C1" w:rsidRDefault="00B93B7B" w:rsidP="00B93B7B">
            <w:pPr>
              <w:spacing w:line="240" w:lineRule="auto"/>
              <w:jc w:val="right"/>
            </w:pPr>
          </w:p>
        </w:tc>
        <w:tc>
          <w:tcPr>
            <w:tcW w:w="1140" w:type="dxa"/>
            <w:vAlign w:val="center"/>
          </w:tcPr>
          <w:p w14:paraId="048E4B1D" w14:textId="07889CA9" w:rsidR="00B93B7B" w:rsidRPr="006A51C1" w:rsidRDefault="00B93B7B" w:rsidP="00B93B7B">
            <w:pPr>
              <w:spacing w:line="240" w:lineRule="auto"/>
              <w:jc w:val="right"/>
            </w:pPr>
            <w:r>
              <w:rPr>
                <w:rFonts w:cs="Arial"/>
              </w:rPr>
              <w:t>38</w:t>
            </w:r>
          </w:p>
        </w:tc>
        <w:tc>
          <w:tcPr>
            <w:tcW w:w="1140" w:type="dxa"/>
            <w:vAlign w:val="center"/>
          </w:tcPr>
          <w:p w14:paraId="61E43F3F" w14:textId="1EEEB319" w:rsidR="00B93B7B" w:rsidRPr="006A51C1" w:rsidRDefault="00B93B7B" w:rsidP="00B93B7B">
            <w:pPr>
              <w:spacing w:line="240" w:lineRule="auto"/>
              <w:jc w:val="right"/>
            </w:pPr>
            <w:r>
              <w:rPr>
                <w:rFonts w:cs="Arial"/>
              </w:rPr>
              <w:t>39</w:t>
            </w:r>
          </w:p>
        </w:tc>
      </w:tr>
      <w:tr w:rsidR="00B93B7B" w14:paraId="0C43D4D1" w14:textId="77777777" w:rsidTr="00925DD5">
        <w:tc>
          <w:tcPr>
            <w:tcW w:w="5127" w:type="dxa"/>
          </w:tcPr>
          <w:p w14:paraId="2282B866" w14:textId="484D223C" w:rsidR="00B93B7B" w:rsidRDefault="00B93B7B" w:rsidP="00B93B7B">
            <w:pPr>
              <w:spacing w:line="240" w:lineRule="auto"/>
            </w:pPr>
            <w:r>
              <w:t>Clients conferenced</w:t>
            </w:r>
            <w:r>
              <w:rPr>
                <w:rStyle w:val="FootnoteReference"/>
              </w:rPr>
              <w:footnoteReference w:id="11"/>
            </w:r>
          </w:p>
        </w:tc>
        <w:tc>
          <w:tcPr>
            <w:tcW w:w="1026" w:type="dxa"/>
            <w:vAlign w:val="center"/>
          </w:tcPr>
          <w:p w14:paraId="0BE8DAD4" w14:textId="05CB111D" w:rsidR="00B93B7B" w:rsidRPr="00143912" w:rsidRDefault="00B93B7B" w:rsidP="00B93B7B">
            <w:pPr>
              <w:spacing w:line="240" w:lineRule="auto"/>
              <w:jc w:val="right"/>
            </w:pPr>
            <w:r>
              <w:rPr>
                <w:rFonts w:cs="Arial"/>
              </w:rPr>
              <w:t>129</w:t>
            </w:r>
          </w:p>
        </w:tc>
        <w:tc>
          <w:tcPr>
            <w:tcW w:w="875" w:type="dxa"/>
            <w:vAlign w:val="center"/>
          </w:tcPr>
          <w:p w14:paraId="7F1FAC36" w14:textId="5A5C49A5" w:rsidR="00B93B7B" w:rsidRPr="00143912" w:rsidRDefault="00B93B7B" w:rsidP="00B93B7B">
            <w:pPr>
              <w:spacing w:line="240" w:lineRule="auto"/>
              <w:jc w:val="right"/>
            </w:pPr>
            <w:r>
              <w:rPr>
                <w:rFonts w:cs="Arial"/>
              </w:rPr>
              <w:t>64</w:t>
            </w:r>
          </w:p>
        </w:tc>
        <w:tc>
          <w:tcPr>
            <w:tcW w:w="463" w:type="dxa"/>
            <w:vAlign w:val="center"/>
          </w:tcPr>
          <w:p w14:paraId="7D1E9278" w14:textId="5F3CAA37" w:rsidR="00B93B7B" w:rsidRPr="00EF2D65" w:rsidRDefault="00B93B7B" w:rsidP="00B93B7B">
            <w:pPr>
              <w:spacing w:line="240" w:lineRule="auto"/>
              <w:jc w:val="right"/>
            </w:pPr>
          </w:p>
        </w:tc>
        <w:tc>
          <w:tcPr>
            <w:tcW w:w="1140" w:type="dxa"/>
            <w:vAlign w:val="center"/>
          </w:tcPr>
          <w:p w14:paraId="18E5F35E" w14:textId="4659864C" w:rsidR="00B93B7B" w:rsidRPr="00143912" w:rsidRDefault="00B93B7B" w:rsidP="00B93B7B">
            <w:pPr>
              <w:spacing w:line="240" w:lineRule="auto"/>
              <w:jc w:val="right"/>
            </w:pPr>
            <w:r>
              <w:rPr>
                <w:rFonts w:cs="Arial"/>
              </w:rPr>
              <w:t>36</w:t>
            </w:r>
          </w:p>
        </w:tc>
        <w:tc>
          <w:tcPr>
            <w:tcW w:w="1140" w:type="dxa"/>
            <w:vAlign w:val="center"/>
          </w:tcPr>
          <w:p w14:paraId="48B614AC" w14:textId="7381DEA2" w:rsidR="00B93B7B" w:rsidRPr="00143912" w:rsidRDefault="00B93B7B" w:rsidP="00B93B7B">
            <w:pPr>
              <w:spacing w:line="240" w:lineRule="auto"/>
              <w:jc w:val="right"/>
            </w:pPr>
            <w:r>
              <w:rPr>
                <w:rFonts w:cs="Arial"/>
              </w:rPr>
              <w:t>39</w:t>
            </w:r>
          </w:p>
        </w:tc>
      </w:tr>
      <w:tr w:rsidR="00B93B7B" w14:paraId="4205C91F" w14:textId="77777777" w:rsidTr="00925DD5">
        <w:tc>
          <w:tcPr>
            <w:tcW w:w="5127" w:type="dxa"/>
          </w:tcPr>
          <w:p w14:paraId="2820947A" w14:textId="0B2D1E31" w:rsidR="00B93B7B" w:rsidRDefault="00B93B7B" w:rsidP="00B93B7B">
            <w:pPr>
              <w:spacing w:line="240" w:lineRule="auto"/>
            </w:pPr>
            <w:r w:rsidRPr="00423006">
              <w:t>Clients referred through Family Responsibilities Agreements and Family Responsibilities Orders</w:t>
            </w:r>
            <w:r>
              <w:rPr>
                <w:rStyle w:val="FootnoteReference"/>
              </w:rPr>
              <w:footnoteReference w:id="12"/>
            </w:r>
          </w:p>
        </w:tc>
        <w:tc>
          <w:tcPr>
            <w:tcW w:w="1026" w:type="dxa"/>
            <w:vAlign w:val="center"/>
          </w:tcPr>
          <w:p w14:paraId="04ECC2CC" w14:textId="21821D0E" w:rsidR="00B93B7B" w:rsidRPr="00143912" w:rsidRDefault="00B93B7B" w:rsidP="00B93B7B">
            <w:pPr>
              <w:spacing w:line="240" w:lineRule="auto"/>
              <w:jc w:val="right"/>
            </w:pPr>
            <w:r>
              <w:rPr>
                <w:rFonts w:cs="Arial"/>
              </w:rPr>
              <w:t>61</w:t>
            </w:r>
          </w:p>
        </w:tc>
        <w:tc>
          <w:tcPr>
            <w:tcW w:w="875" w:type="dxa"/>
            <w:vAlign w:val="center"/>
          </w:tcPr>
          <w:p w14:paraId="09F9C19D" w14:textId="17A15AF6" w:rsidR="00B93B7B" w:rsidRPr="00143912" w:rsidRDefault="00B93B7B" w:rsidP="00B93B7B">
            <w:pPr>
              <w:spacing w:line="240" w:lineRule="auto"/>
              <w:jc w:val="right"/>
            </w:pPr>
            <w:r>
              <w:rPr>
                <w:rFonts w:cs="Arial"/>
              </w:rPr>
              <w:t>30</w:t>
            </w:r>
          </w:p>
        </w:tc>
        <w:tc>
          <w:tcPr>
            <w:tcW w:w="463" w:type="dxa"/>
            <w:vAlign w:val="center"/>
          </w:tcPr>
          <w:p w14:paraId="4D854BAC" w14:textId="6EF575C9" w:rsidR="00B93B7B" w:rsidRPr="00EF2D65" w:rsidRDefault="00B93B7B" w:rsidP="00B93B7B">
            <w:pPr>
              <w:spacing w:line="240" w:lineRule="auto"/>
              <w:jc w:val="right"/>
            </w:pPr>
          </w:p>
        </w:tc>
        <w:tc>
          <w:tcPr>
            <w:tcW w:w="1140" w:type="dxa"/>
            <w:vAlign w:val="center"/>
          </w:tcPr>
          <w:p w14:paraId="0DB4E2B3" w14:textId="5846E290" w:rsidR="00B93B7B" w:rsidRPr="00143912" w:rsidRDefault="00B93B7B" w:rsidP="00B93B7B">
            <w:pPr>
              <w:spacing w:line="240" w:lineRule="auto"/>
              <w:jc w:val="right"/>
            </w:pPr>
            <w:r>
              <w:rPr>
                <w:rFonts w:cs="Arial"/>
              </w:rPr>
              <w:t>36</w:t>
            </w:r>
          </w:p>
        </w:tc>
        <w:tc>
          <w:tcPr>
            <w:tcW w:w="1140" w:type="dxa"/>
            <w:vAlign w:val="center"/>
          </w:tcPr>
          <w:p w14:paraId="6F699F00" w14:textId="326E95F1" w:rsidR="00B93B7B" w:rsidRPr="00143912" w:rsidRDefault="00B93B7B" w:rsidP="00B93B7B">
            <w:pPr>
              <w:spacing w:line="240" w:lineRule="auto"/>
              <w:jc w:val="right"/>
            </w:pPr>
            <w:r>
              <w:rPr>
                <w:rFonts w:cs="Arial"/>
              </w:rPr>
              <w:t>40</w:t>
            </w:r>
          </w:p>
        </w:tc>
      </w:tr>
      <w:tr w:rsidR="00B93B7B" w14:paraId="70BB454E" w14:textId="77777777" w:rsidTr="00A242DD">
        <w:tc>
          <w:tcPr>
            <w:tcW w:w="5127" w:type="dxa"/>
          </w:tcPr>
          <w:p w14:paraId="5B5E85C7" w14:textId="7C85BD17" w:rsidR="00B93B7B" w:rsidRPr="00C6538C" w:rsidRDefault="00B93B7B" w:rsidP="00B93B7B">
            <w:pPr>
              <w:spacing w:line="240" w:lineRule="auto"/>
            </w:pPr>
            <w:r w:rsidRPr="00423006">
              <w:t>Clients placed on CIM</w:t>
            </w:r>
            <w:r w:rsidRPr="00C6538C">
              <w:rPr>
                <w:rStyle w:val="FootnoteReference"/>
              </w:rPr>
              <w:footnoteReference w:id="13"/>
            </w:r>
          </w:p>
        </w:tc>
        <w:tc>
          <w:tcPr>
            <w:tcW w:w="1026" w:type="dxa"/>
            <w:vAlign w:val="center"/>
          </w:tcPr>
          <w:p w14:paraId="543F073F" w14:textId="242B3DAD" w:rsidR="00B93B7B" w:rsidRPr="00143912" w:rsidRDefault="00B93B7B" w:rsidP="00B93B7B">
            <w:pPr>
              <w:spacing w:line="240" w:lineRule="auto"/>
              <w:jc w:val="right"/>
              <w:rPr>
                <w:rFonts w:cs="Arial"/>
              </w:rPr>
            </w:pPr>
            <w:r>
              <w:rPr>
                <w:rFonts w:cs="Arial"/>
              </w:rPr>
              <w:t>5</w:t>
            </w:r>
          </w:p>
        </w:tc>
        <w:tc>
          <w:tcPr>
            <w:tcW w:w="875" w:type="dxa"/>
            <w:vAlign w:val="center"/>
          </w:tcPr>
          <w:p w14:paraId="1105ED08" w14:textId="29E9D311" w:rsidR="00B93B7B" w:rsidRPr="00143912" w:rsidRDefault="00B93B7B" w:rsidP="00B93B7B">
            <w:pPr>
              <w:spacing w:line="240" w:lineRule="auto"/>
              <w:jc w:val="right"/>
              <w:rPr>
                <w:rFonts w:cs="Arial"/>
              </w:rPr>
            </w:pPr>
            <w:r>
              <w:rPr>
                <w:rFonts w:cs="Arial"/>
              </w:rPr>
              <w:t>1</w:t>
            </w:r>
          </w:p>
        </w:tc>
        <w:tc>
          <w:tcPr>
            <w:tcW w:w="463" w:type="dxa"/>
            <w:vAlign w:val="center"/>
          </w:tcPr>
          <w:p w14:paraId="2B630A06" w14:textId="1BECED9A" w:rsidR="00B93B7B" w:rsidRPr="00EF2D65" w:rsidRDefault="00B93B7B" w:rsidP="00B93B7B">
            <w:pPr>
              <w:spacing w:line="240" w:lineRule="auto"/>
              <w:jc w:val="right"/>
              <w:rPr>
                <w:rFonts w:cs="Arial"/>
              </w:rPr>
            </w:pPr>
          </w:p>
        </w:tc>
        <w:tc>
          <w:tcPr>
            <w:tcW w:w="1140" w:type="dxa"/>
            <w:vAlign w:val="center"/>
          </w:tcPr>
          <w:p w14:paraId="118451EA" w14:textId="577AFA0B" w:rsidR="00B93B7B" w:rsidRPr="00143912" w:rsidRDefault="00B93B7B" w:rsidP="00B93B7B">
            <w:pPr>
              <w:spacing w:line="240" w:lineRule="auto"/>
              <w:jc w:val="right"/>
              <w:rPr>
                <w:rFonts w:cs="Arial"/>
              </w:rPr>
            </w:pPr>
            <w:r>
              <w:rPr>
                <w:rFonts w:cs="Arial"/>
              </w:rPr>
              <w:t>31</w:t>
            </w:r>
          </w:p>
        </w:tc>
        <w:tc>
          <w:tcPr>
            <w:tcW w:w="1140" w:type="dxa"/>
            <w:vAlign w:val="center"/>
          </w:tcPr>
          <w:p w14:paraId="1C47274C" w14:textId="23D75A61" w:rsidR="00B93B7B" w:rsidRPr="00143912" w:rsidRDefault="00B93B7B" w:rsidP="00B93B7B">
            <w:pPr>
              <w:spacing w:line="240" w:lineRule="auto"/>
              <w:jc w:val="right"/>
              <w:rPr>
                <w:rFonts w:cs="Arial"/>
              </w:rPr>
            </w:pPr>
            <w:r>
              <w:rPr>
                <w:rFonts w:cs="Arial"/>
              </w:rPr>
              <w:t>25</w:t>
            </w:r>
          </w:p>
        </w:tc>
      </w:tr>
      <w:tr w:rsidR="00B93B7B" w14:paraId="5BC6E4C0" w14:textId="77777777" w:rsidTr="00DB33CA">
        <w:tc>
          <w:tcPr>
            <w:tcW w:w="5127" w:type="dxa"/>
          </w:tcPr>
          <w:p w14:paraId="1F3A9B4D" w14:textId="68F637B4" w:rsidR="00B93B7B" w:rsidRDefault="00B93B7B" w:rsidP="00B93B7B">
            <w:pPr>
              <w:spacing w:line="240" w:lineRule="auto"/>
            </w:pPr>
            <w:r w:rsidRPr="00423006">
              <w:t>Clients referred through a Voluntary Agreement</w:t>
            </w:r>
            <w:r>
              <w:t xml:space="preserve"> for a case plan</w:t>
            </w:r>
            <w:r>
              <w:rPr>
                <w:rStyle w:val="FootnoteReference"/>
              </w:rPr>
              <w:footnoteReference w:id="14"/>
            </w:r>
          </w:p>
        </w:tc>
        <w:tc>
          <w:tcPr>
            <w:tcW w:w="1026" w:type="dxa"/>
            <w:vAlign w:val="center"/>
          </w:tcPr>
          <w:p w14:paraId="26649358" w14:textId="0A52F604" w:rsidR="00B93B7B" w:rsidRPr="00143912" w:rsidRDefault="00B93B7B" w:rsidP="00B93B7B">
            <w:pPr>
              <w:spacing w:line="240" w:lineRule="auto"/>
              <w:jc w:val="right"/>
            </w:pPr>
            <w:r>
              <w:rPr>
                <w:rFonts w:cs="Arial"/>
              </w:rPr>
              <w:t>34</w:t>
            </w:r>
          </w:p>
        </w:tc>
        <w:tc>
          <w:tcPr>
            <w:tcW w:w="875" w:type="dxa"/>
            <w:vAlign w:val="center"/>
          </w:tcPr>
          <w:p w14:paraId="7B755D8C" w14:textId="2BB4ABD4" w:rsidR="00B93B7B" w:rsidRPr="00143912" w:rsidRDefault="00B93B7B" w:rsidP="00B93B7B">
            <w:pPr>
              <w:spacing w:line="240" w:lineRule="auto"/>
              <w:jc w:val="right"/>
            </w:pPr>
            <w:r>
              <w:rPr>
                <w:rFonts w:cs="Arial"/>
              </w:rPr>
              <w:t>17</w:t>
            </w:r>
          </w:p>
        </w:tc>
        <w:tc>
          <w:tcPr>
            <w:tcW w:w="463" w:type="dxa"/>
            <w:vAlign w:val="center"/>
          </w:tcPr>
          <w:p w14:paraId="6092C81B" w14:textId="5FDEB2C2" w:rsidR="00B93B7B" w:rsidRPr="00EF2D65" w:rsidRDefault="00B93B7B" w:rsidP="00B93B7B">
            <w:pPr>
              <w:spacing w:line="240" w:lineRule="auto"/>
              <w:jc w:val="right"/>
            </w:pPr>
          </w:p>
        </w:tc>
        <w:tc>
          <w:tcPr>
            <w:tcW w:w="1140" w:type="dxa"/>
            <w:vAlign w:val="center"/>
          </w:tcPr>
          <w:p w14:paraId="7A13A493" w14:textId="17B301AC" w:rsidR="00B93B7B" w:rsidRPr="00143912" w:rsidRDefault="00B93B7B" w:rsidP="00B93B7B">
            <w:pPr>
              <w:spacing w:line="240" w:lineRule="auto"/>
              <w:jc w:val="right"/>
            </w:pPr>
            <w:r>
              <w:rPr>
                <w:rFonts w:cs="Arial"/>
              </w:rPr>
              <w:t>39</w:t>
            </w:r>
          </w:p>
        </w:tc>
        <w:tc>
          <w:tcPr>
            <w:tcW w:w="1140" w:type="dxa"/>
            <w:vAlign w:val="center"/>
          </w:tcPr>
          <w:p w14:paraId="5E9D8367" w14:textId="4953F36F" w:rsidR="00B93B7B" w:rsidRPr="00143912" w:rsidRDefault="00B93B7B" w:rsidP="00B93B7B">
            <w:pPr>
              <w:spacing w:line="240" w:lineRule="auto"/>
              <w:jc w:val="right"/>
            </w:pPr>
            <w:r>
              <w:rPr>
                <w:rFonts w:cs="Arial"/>
              </w:rPr>
              <w:t>34</w:t>
            </w:r>
          </w:p>
        </w:tc>
      </w:tr>
      <w:tr w:rsidR="00B93B7B" w14:paraId="323DBB29" w14:textId="77777777" w:rsidTr="00DB33CA">
        <w:tc>
          <w:tcPr>
            <w:tcW w:w="5127" w:type="dxa"/>
          </w:tcPr>
          <w:p w14:paraId="2B63FDBC" w14:textId="0B2D08D4" w:rsidR="00B93B7B" w:rsidRDefault="00B93B7B" w:rsidP="00B93B7B">
            <w:pPr>
              <w:spacing w:line="240" w:lineRule="auto"/>
            </w:pPr>
            <w:r w:rsidRPr="00EB1F9E">
              <w:t>Clients who chose to participate in VIM</w:t>
            </w:r>
            <w:r>
              <w:rPr>
                <w:rStyle w:val="FootnoteReference"/>
              </w:rPr>
              <w:footnoteReference w:id="15"/>
            </w:r>
          </w:p>
        </w:tc>
        <w:tc>
          <w:tcPr>
            <w:tcW w:w="1026" w:type="dxa"/>
            <w:vAlign w:val="center"/>
          </w:tcPr>
          <w:p w14:paraId="3609E59F" w14:textId="4D30BC95" w:rsidR="00B93B7B" w:rsidRPr="00143912" w:rsidRDefault="00B93B7B" w:rsidP="00B93B7B">
            <w:pPr>
              <w:spacing w:line="240" w:lineRule="auto"/>
              <w:jc w:val="right"/>
              <w:rPr>
                <w:rFonts w:cs="Arial"/>
              </w:rPr>
            </w:pPr>
            <w:r>
              <w:rPr>
                <w:rFonts w:cs="Arial"/>
              </w:rPr>
              <w:t>24</w:t>
            </w:r>
          </w:p>
        </w:tc>
        <w:tc>
          <w:tcPr>
            <w:tcW w:w="875" w:type="dxa"/>
            <w:vAlign w:val="center"/>
          </w:tcPr>
          <w:p w14:paraId="34BAD3D0" w14:textId="61BF6E6D" w:rsidR="00B93B7B" w:rsidRPr="00143912" w:rsidRDefault="00B93B7B" w:rsidP="00B93B7B">
            <w:pPr>
              <w:spacing w:line="240" w:lineRule="auto"/>
              <w:jc w:val="right"/>
              <w:rPr>
                <w:rFonts w:cs="Arial"/>
              </w:rPr>
            </w:pPr>
            <w:r>
              <w:rPr>
                <w:rFonts w:cs="Arial"/>
              </w:rPr>
              <w:t>9</w:t>
            </w:r>
          </w:p>
        </w:tc>
        <w:tc>
          <w:tcPr>
            <w:tcW w:w="463" w:type="dxa"/>
            <w:vAlign w:val="center"/>
          </w:tcPr>
          <w:p w14:paraId="7E5C9E3D" w14:textId="27C2487B" w:rsidR="00B93B7B" w:rsidRPr="00EF2D65" w:rsidRDefault="00B93B7B" w:rsidP="00B93B7B">
            <w:pPr>
              <w:spacing w:line="240" w:lineRule="auto"/>
              <w:jc w:val="right"/>
            </w:pPr>
          </w:p>
        </w:tc>
        <w:tc>
          <w:tcPr>
            <w:tcW w:w="1140" w:type="dxa"/>
            <w:vAlign w:val="center"/>
          </w:tcPr>
          <w:p w14:paraId="422F7588" w14:textId="34AEBBE5" w:rsidR="00B93B7B" w:rsidRPr="00143912" w:rsidRDefault="00B93B7B" w:rsidP="00B93B7B">
            <w:pPr>
              <w:spacing w:line="240" w:lineRule="auto"/>
              <w:jc w:val="right"/>
              <w:rPr>
                <w:rFonts w:cs="Arial"/>
              </w:rPr>
            </w:pPr>
            <w:r>
              <w:rPr>
                <w:rFonts w:cs="Arial"/>
              </w:rPr>
              <w:t>42</w:t>
            </w:r>
          </w:p>
        </w:tc>
        <w:tc>
          <w:tcPr>
            <w:tcW w:w="1140" w:type="dxa"/>
            <w:vAlign w:val="center"/>
          </w:tcPr>
          <w:p w14:paraId="31BCC77C" w14:textId="2E6B207A" w:rsidR="00B93B7B" w:rsidRPr="00143912" w:rsidRDefault="00B93B7B" w:rsidP="00B93B7B">
            <w:pPr>
              <w:spacing w:line="240" w:lineRule="auto"/>
              <w:jc w:val="right"/>
              <w:rPr>
                <w:rFonts w:cs="Arial"/>
              </w:rPr>
            </w:pPr>
            <w:r>
              <w:rPr>
                <w:rFonts w:cs="Arial"/>
              </w:rPr>
              <w:t>39</w:t>
            </w:r>
          </w:p>
        </w:tc>
      </w:tr>
      <w:tr w:rsidR="00B93B7B" w14:paraId="444AB815" w14:textId="77777777" w:rsidTr="00DB33CA">
        <w:tc>
          <w:tcPr>
            <w:tcW w:w="5127" w:type="dxa"/>
          </w:tcPr>
          <w:p w14:paraId="018D049C" w14:textId="2D915E58" w:rsidR="00B93B7B" w:rsidRPr="00423006" w:rsidRDefault="00B93B7B" w:rsidP="00B93B7B">
            <w:pPr>
              <w:spacing w:line="240" w:lineRule="auto"/>
            </w:pPr>
            <w:r w:rsidRPr="00423006">
              <w:t>Clients who submitted an amend/end application</w:t>
            </w:r>
            <w:r>
              <w:rPr>
                <w:rStyle w:val="FootnoteReference"/>
              </w:rPr>
              <w:footnoteReference w:id="16"/>
            </w:r>
          </w:p>
        </w:tc>
        <w:tc>
          <w:tcPr>
            <w:tcW w:w="1026" w:type="dxa"/>
            <w:vAlign w:val="center"/>
          </w:tcPr>
          <w:p w14:paraId="19F68514" w14:textId="07FC44AF" w:rsidR="00B93B7B" w:rsidRPr="00143912" w:rsidRDefault="00B93B7B" w:rsidP="00B93B7B">
            <w:pPr>
              <w:spacing w:line="240" w:lineRule="auto"/>
              <w:jc w:val="right"/>
              <w:rPr>
                <w:rFonts w:cs="Arial"/>
              </w:rPr>
            </w:pPr>
            <w:r>
              <w:rPr>
                <w:rFonts w:cs="Arial"/>
              </w:rPr>
              <w:t>6</w:t>
            </w:r>
          </w:p>
        </w:tc>
        <w:tc>
          <w:tcPr>
            <w:tcW w:w="875" w:type="dxa"/>
            <w:vAlign w:val="center"/>
          </w:tcPr>
          <w:p w14:paraId="215C10C8" w14:textId="73E3B56D" w:rsidR="00B93B7B" w:rsidRPr="00143912" w:rsidRDefault="00B93B7B" w:rsidP="00B93B7B">
            <w:pPr>
              <w:spacing w:line="240" w:lineRule="auto"/>
              <w:jc w:val="right"/>
              <w:rPr>
                <w:rFonts w:cs="Arial"/>
              </w:rPr>
            </w:pPr>
            <w:r>
              <w:rPr>
                <w:rFonts w:cs="Arial"/>
              </w:rPr>
              <w:t>4</w:t>
            </w:r>
          </w:p>
        </w:tc>
        <w:tc>
          <w:tcPr>
            <w:tcW w:w="463" w:type="dxa"/>
            <w:vAlign w:val="center"/>
          </w:tcPr>
          <w:p w14:paraId="63FC96B1" w14:textId="572BCC25" w:rsidR="00B93B7B" w:rsidRPr="00EF2D65" w:rsidRDefault="00B93B7B" w:rsidP="00B93B7B">
            <w:pPr>
              <w:spacing w:line="240" w:lineRule="auto"/>
              <w:jc w:val="right"/>
            </w:pPr>
          </w:p>
        </w:tc>
        <w:tc>
          <w:tcPr>
            <w:tcW w:w="1140" w:type="dxa"/>
            <w:vAlign w:val="center"/>
          </w:tcPr>
          <w:p w14:paraId="6C2DF82D" w14:textId="5EC9AB74" w:rsidR="00B93B7B" w:rsidRPr="00143912" w:rsidRDefault="00B93B7B" w:rsidP="00B93B7B">
            <w:pPr>
              <w:spacing w:line="240" w:lineRule="auto"/>
              <w:jc w:val="right"/>
              <w:rPr>
                <w:rFonts w:cs="Arial"/>
              </w:rPr>
            </w:pPr>
            <w:r>
              <w:rPr>
                <w:rFonts w:cs="Arial"/>
              </w:rPr>
              <w:t>39</w:t>
            </w:r>
          </w:p>
        </w:tc>
        <w:tc>
          <w:tcPr>
            <w:tcW w:w="1140" w:type="dxa"/>
            <w:vAlign w:val="center"/>
          </w:tcPr>
          <w:p w14:paraId="3A96BFD9" w14:textId="79C377C0" w:rsidR="00B93B7B" w:rsidRPr="00143912" w:rsidRDefault="00B93B7B" w:rsidP="00B93B7B">
            <w:pPr>
              <w:spacing w:line="240" w:lineRule="auto"/>
              <w:jc w:val="right"/>
              <w:rPr>
                <w:rFonts w:cs="Arial"/>
              </w:rPr>
            </w:pPr>
            <w:r>
              <w:rPr>
                <w:rFonts w:cs="Arial"/>
              </w:rPr>
              <w:t>47</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C41210">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6A26054C"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B81347">
        <w:t>8</w:t>
      </w:r>
      <w:r w:rsidR="00646445">
        <w:t>13</w:t>
      </w:r>
      <w:r w:rsidR="00B81347" w:rsidRPr="008E7494">
        <w:t xml:space="preserve"> </w:t>
      </w:r>
      <w:r w:rsidR="00F500CF" w:rsidRPr="008E7494">
        <w:t xml:space="preserve">people as at 30 June </w:t>
      </w:r>
      <w:bookmarkStart w:id="28" w:name="_Ref362343764"/>
      <w:bookmarkStart w:id="29" w:name="_Ref459716764"/>
      <w:r w:rsidR="00F500CF" w:rsidRPr="008E7494">
        <w:t>20</w:t>
      </w:r>
      <w:r w:rsidR="00C673E7">
        <w:t>2</w:t>
      </w:r>
      <w:r w:rsidR="00646445">
        <w:t>4</w:t>
      </w:r>
      <w:bookmarkStart w:id="30" w:name="_Ref64367928"/>
      <w:r w:rsidR="00F500CF" w:rsidRPr="00F500CF">
        <w:rPr>
          <w:vertAlign w:val="superscript"/>
        </w:rPr>
        <w:footnoteReference w:id="17"/>
      </w:r>
      <w:bookmarkEnd w:id="28"/>
      <w:bookmarkEnd w:id="29"/>
      <w:bookmarkEnd w:id="30"/>
      <w:r w:rsidR="00F500CF" w:rsidRPr="00F500CF">
        <w:rPr>
          <w:vertAlign w:val="superscript"/>
        </w:rPr>
        <w:t>,</w:t>
      </w:r>
      <w:bookmarkStart w:id="31" w:name="_Ref459716829"/>
      <w:r w:rsidR="00F500CF" w:rsidRPr="00F500CF">
        <w:rPr>
          <w:vertAlign w:val="superscript"/>
        </w:rPr>
        <w:footnoteReference w:id="18"/>
      </w:r>
      <w:bookmarkEnd w:id="31"/>
      <w:r w:rsidR="00F500CF" w:rsidRPr="008E7494">
        <w:t>.</w:t>
      </w:r>
    </w:p>
    <w:p w14:paraId="5C34875A" w14:textId="1A283537"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2" w:name="_Ref459717187"/>
      <w:r w:rsidR="006F1AA0">
        <w:t>20</w:t>
      </w:r>
      <w:r w:rsidR="00646445">
        <w:t>8</w:t>
      </w:r>
      <w:r w:rsidR="006F1AA0" w:rsidRPr="008E7494">
        <w:t xml:space="preserve"> </w:t>
      </w:r>
      <w:r w:rsidR="00F500CF" w:rsidRPr="008E7494">
        <w:t>people as at 30 June 20</w:t>
      </w:r>
      <w:r w:rsidR="00C673E7">
        <w:t>2</w:t>
      </w:r>
      <w:r w:rsidR="00646445">
        <w:t>4</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9B656A">
        <w:rPr>
          <w:vertAlign w:val="superscript"/>
        </w:rPr>
        <w:t>16</w:t>
      </w:r>
      <w:r w:rsidR="003D357C">
        <w:rPr>
          <w:vertAlign w:val="superscript"/>
        </w:rPr>
        <w:fldChar w:fldCharType="end"/>
      </w:r>
      <w:r w:rsidR="00F500CF" w:rsidRPr="00F500CF">
        <w:rPr>
          <w:vertAlign w:val="superscript"/>
        </w:rPr>
        <w:t>,</w:t>
      </w:r>
      <w:bookmarkStart w:id="33" w:name="_Ref74754871"/>
      <w:r w:rsidR="00F500CF" w:rsidRPr="00F500CF">
        <w:rPr>
          <w:vertAlign w:val="superscript"/>
        </w:rPr>
        <w:footnoteReference w:id="19"/>
      </w:r>
      <w:bookmarkEnd w:id="32"/>
      <w:bookmarkEnd w:id="33"/>
      <w:r w:rsidR="00F500CF" w:rsidRPr="008E7494">
        <w:t>.</w:t>
      </w:r>
    </w:p>
    <w:p w14:paraId="439048BC" w14:textId="5B35FF7A"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B81347">
        <w:t>9</w:t>
      </w:r>
      <w:r w:rsidR="00646445">
        <w:t>29</w:t>
      </w:r>
      <w:r w:rsidR="00B81347" w:rsidRPr="008E7494">
        <w:t xml:space="preserve"> </w:t>
      </w:r>
      <w:r w:rsidR="00F500CF" w:rsidRPr="008E7494">
        <w:t>people as at 30 June 20</w:t>
      </w:r>
      <w:r w:rsidR="00C673E7">
        <w:t>2</w:t>
      </w:r>
      <w:r w:rsidR="00646445">
        <w:t>4</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9B656A">
        <w:rPr>
          <w:vertAlign w:val="superscript"/>
        </w:rPr>
        <w:t>16</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9B656A">
        <w:rPr>
          <w:vertAlign w:val="superscript"/>
        </w:rPr>
        <w:t>17</w:t>
      </w:r>
      <w:r w:rsidR="00C673E7">
        <w:rPr>
          <w:vertAlign w:val="superscript"/>
        </w:rPr>
        <w:fldChar w:fldCharType="end"/>
      </w:r>
      <w:r w:rsidR="008D618D">
        <w:t>.</w:t>
      </w:r>
    </w:p>
    <w:p w14:paraId="570360C5" w14:textId="378D1228"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B81347">
        <w:t>6</w:t>
      </w:r>
      <w:r w:rsidR="00646445">
        <w:t>7</w:t>
      </w:r>
      <w:r w:rsidR="00B81347">
        <w:t>7</w:t>
      </w:r>
      <w:r w:rsidR="00B81347" w:rsidRPr="008E7494">
        <w:t xml:space="preserve"> </w:t>
      </w:r>
      <w:r w:rsidR="00F500CF" w:rsidRPr="008E7494">
        <w:t>people as at 30 June 20</w:t>
      </w:r>
      <w:r w:rsidR="00C673E7">
        <w:t>2</w:t>
      </w:r>
      <w:r w:rsidR="00646445">
        <w:t>4</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9B656A">
        <w:rPr>
          <w:vertAlign w:val="superscript"/>
        </w:rPr>
        <w:t>16</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9B656A">
        <w:rPr>
          <w:vertAlign w:val="superscript"/>
        </w:rPr>
        <w:t>17</w:t>
      </w:r>
      <w:r w:rsidR="00C673E7">
        <w:rPr>
          <w:vertAlign w:val="superscript"/>
        </w:rPr>
        <w:fldChar w:fldCharType="end"/>
      </w:r>
      <w:r w:rsidR="00F500CF" w:rsidRPr="008E7494">
        <w:t>.</w:t>
      </w:r>
    </w:p>
    <w:p w14:paraId="284FB3E9" w14:textId="7091D6DA"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B81347">
        <w:t>2</w:t>
      </w:r>
      <w:r w:rsidR="00587B7C" w:rsidRPr="008E7494">
        <w:t xml:space="preserve"> </w:t>
      </w:r>
      <w:r w:rsidR="00F500CF" w:rsidRPr="008E7494">
        <w:t>people as at 30 June 20</w:t>
      </w:r>
      <w:r w:rsidR="00C673E7">
        <w:t>2</w:t>
      </w:r>
      <w:r w:rsidR="00646445">
        <w:t>4</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9B656A">
        <w:rPr>
          <w:vertAlign w:val="superscript"/>
        </w:rPr>
        <w:t>16</w:t>
      </w:r>
      <w:r w:rsidR="00C673E7" w:rsidRPr="00C673E7">
        <w:rPr>
          <w:vertAlign w:val="superscript"/>
        </w:rPr>
        <w:fldChar w:fldCharType="end"/>
      </w:r>
      <w:r w:rsidR="00C673E7">
        <w:rPr>
          <w:vertAlign w:val="superscript"/>
        </w:rPr>
        <w:t>,</w:t>
      </w:r>
      <w:r w:rsidR="00F500CF" w:rsidRPr="00F500CF">
        <w:rPr>
          <w:vertAlign w:val="superscript"/>
        </w:rPr>
        <w:footnoteReference w:id="20"/>
      </w:r>
      <w:r w:rsidR="00F500CF" w:rsidRPr="008E7494">
        <w:t>.</w:t>
      </w:r>
      <w:r w:rsidR="00663321">
        <w:br w:type="page"/>
      </w:r>
    </w:p>
    <w:p w14:paraId="2C7D86BB" w14:textId="589EEA41" w:rsidR="005A5B78" w:rsidRPr="00E34093" w:rsidRDefault="005A5B78" w:rsidP="005A5B78">
      <w:pPr>
        <w:pStyle w:val="Heading1"/>
        <w:ind w:left="-142" w:right="-426"/>
      </w:pPr>
      <w:bookmarkStart w:id="34" w:name="_Toc39657992"/>
      <w:r w:rsidRPr="00E34093">
        <w:lastRenderedPageBreak/>
        <w:t>2.  Future Direction</w:t>
      </w:r>
      <w:bookmarkEnd w:id="24"/>
      <w:bookmarkEnd w:id="25"/>
      <w:bookmarkEnd w:id="26"/>
      <w:bookmarkEnd w:id="27"/>
      <w:r w:rsidRPr="00E34093">
        <w:t xml:space="preserve"> and Challenges</w:t>
      </w:r>
      <w:bookmarkEnd w:id="34"/>
    </w:p>
    <w:p w14:paraId="66A68EAB" w14:textId="5BC344B1" w:rsidR="005A5B78" w:rsidRDefault="005A5B78" w:rsidP="005A5B78">
      <w:pPr>
        <w:ind w:left="-142" w:right="-425"/>
        <w:jc w:val="both"/>
        <w:rPr>
          <w:rFonts w:cs="Arial"/>
          <w:bCs/>
        </w:rPr>
      </w:pPr>
    </w:p>
    <w:p w14:paraId="76AFAD10" w14:textId="77777777" w:rsidR="001121B3" w:rsidRPr="008E7AF1" w:rsidRDefault="001121B3" w:rsidP="00A3118F">
      <w:pPr>
        <w:pStyle w:val="Heading2"/>
      </w:pPr>
      <w:r w:rsidRPr="008E7AF1">
        <w:t>Inquiry into Elder Abuse</w:t>
      </w:r>
    </w:p>
    <w:p w14:paraId="4C70124D" w14:textId="77777777" w:rsidR="008B2407" w:rsidRDefault="008B2407" w:rsidP="00F377E0">
      <w:pPr>
        <w:ind w:left="-142" w:right="-425"/>
        <w:jc w:val="both"/>
        <w:rPr>
          <w:rFonts w:cs="Arial"/>
        </w:rPr>
      </w:pPr>
      <w:r w:rsidRPr="00F377E0">
        <w:rPr>
          <w:rFonts w:cs="Arial"/>
        </w:rPr>
        <w:t>On 10 April 2025, the FRC made a comprehensive submission to the Education, Arts and Communities Committee's Inquiry into Elder Abuse in Queensland. The submission highlights the FRC's unique perspective and role in addressing elder abuse within remote First Nations communities and provides recommendations to improve responses for this vulnerable cohort, including making voluntary income management available to people in other locations across the State.</w:t>
      </w:r>
    </w:p>
    <w:p w14:paraId="18330BEA" w14:textId="77777777" w:rsidR="00F377E0" w:rsidRPr="00F377E0" w:rsidRDefault="00F377E0" w:rsidP="00F377E0">
      <w:pPr>
        <w:ind w:left="-142" w:right="-425"/>
        <w:jc w:val="both"/>
        <w:rPr>
          <w:rFonts w:cs="Arial"/>
        </w:rPr>
      </w:pPr>
    </w:p>
    <w:p w14:paraId="027AF9F4" w14:textId="77777777" w:rsidR="008B2407" w:rsidRDefault="008B2407" w:rsidP="00F377E0">
      <w:pPr>
        <w:ind w:left="-142" w:right="-425"/>
        <w:jc w:val="both"/>
        <w:rPr>
          <w:rFonts w:cs="Arial"/>
        </w:rPr>
      </w:pPr>
      <w:r w:rsidRPr="00F377E0">
        <w:rPr>
          <w:rFonts w:cs="Arial"/>
        </w:rPr>
        <w:t>The submission underscores the importance of a cohesive, culturally sensitive, and community-driven approach to addressing elder abuse, with the FRC positioned as a critical partner in these efforts.</w:t>
      </w:r>
    </w:p>
    <w:p w14:paraId="36DDADBE" w14:textId="77777777" w:rsidR="00F377E0" w:rsidRPr="00F377E0" w:rsidRDefault="00F377E0" w:rsidP="00F377E0">
      <w:pPr>
        <w:ind w:left="-142" w:right="-425"/>
        <w:jc w:val="both"/>
        <w:rPr>
          <w:rFonts w:cs="Arial"/>
        </w:rPr>
      </w:pPr>
    </w:p>
    <w:p w14:paraId="42D3C149" w14:textId="77777777" w:rsidR="008B2407" w:rsidRDefault="008B2407" w:rsidP="00F377E0">
      <w:pPr>
        <w:ind w:left="-142" w:right="-425"/>
        <w:jc w:val="both"/>
        <w:rPr>
          <w:rFonts w:cs="Arial"/>
        </w:rPr>
      </w:pPr>
      <w:r w:rsidRPr="00F377E0">
        <w:rPr>
          <w:rFonts w:cs="Arial"/>
        </w:rPr>
        <w:t>It sets out that the FRC’s experience supporting clients in the communities of Aurukun, Coen, Doomadgee, Hope Vale and Mossman Gorge suggests that elder abuse, in particular, financial elder abuse is common and normalised. The circumstances of remoteness and entrenched disadvantage also make the impacts of this abuse severe. The perpetrators of this abuse are usually family members.</w:t>
      </w:r>
    </w:p>
    <w:p w14:paraId="0EAD08B7" w14:textId="77777777" w:rsidR="00F377E0" w:rsidRPr="00F377E0" w:rsidRDefault="00F377E0" w:rsidP="00F377E0">
      <w:pPr>
        <w:ind w:left="-142" w:right="-425"/>
        <w:jc w:val="both"/>
        <w:rPr>
          <w:rFonts w:cs="Arial"/>
        </w:rPr>
      </w:pPr>
    </w:p>
    <w:p w14:paraId="50AAD77A" w14:textId="77777777" w:rsidR="008B2407" w:rsidRDefault="008B2407" w:rsidP="00F377E0">
      <w:pPr>
        <w:ind w:left="-142" w:right="-425"/>
        <w:jc w:val="both"/>
        <w:rPr>
          <w:rFonts w:cs="Arial"/>
        </w:rPr>
      </w:pPr>
      <w:r w:rsidRPr="00F377E0">
        <w:rPr>
          <w:rFonts w:cs="Arial"/>
        </w:rPr>
        <w:t>There is a critical lack of education and awareness campaigns and other initiatives that are specifically tailored to the needs and perspectives of older people in remote First Nations communities. However, there are strong protective factors that already exist in FRC communities, and these can be utilised to develop and implement tailored education and awareness campaigns.</w:t>
      </w:r>
    </w:p>
    <w:p w14:paraId="77F1D5F5" w14:textId="77777777" w:rsidR="00F377E0" w:rsidRPr="00F377E0" w:rsidRDefault="00F377E0" w:rsidP="00F377E0">
      <w:pPr>
        <w:ind w:left="-142" w:right="-425"/>
        <w:jc w:val="both"/>
        <w:rPr>
          <w:rFonts w:cs="Arial"/>
        </w:rPr>
      </w:pPr>
    </w:p>
    <w:p w14:paraId="45193884" w14:textId="77777777" w:rsidR="008B2407" w:rsidRDefault="008B2407" w:rsidP="00F377E0">
      <w:pPr>
        <w:ind w:left="-142" w:right="-425"/>
        <w:jc w:val="both"/>
        <w:rPr>
          <w:rFonts w:cs="Arial"/>
        </w:rPr>
      </w:pPr>
      <w:r w:rsidRPr="00F377E0">
        <w:rPr>
          <w:rFonts w:cs="Arial"/>
        </w:rPr>
        <w:t>There are significant service gaps specifically responding to elder abuse in remote communities. Older people who are the subject of financial elder abuse in FRC communities require intensive and cohesive support. Resources need to be directed to enabling a central support mechanism, such as an Adult Safeguarding Network, in communities that leverages existing infrastructure, including the FRC.</w:t>
      </w:r>
    </w:p>
    <w:p w14:paraId="3F177F20" w14:textId="77777777" w:rsidR="00F377E0" w:rsidRPr="00F377E0" w:rsidRDefault="00F377E0" w:rsidP="00F377E0">
      <w:pPr>
        <w:ind w:left="-142" w:right="-425"/>
        <w:jc w:val="both"/>
        <w:rPr>
          <w:rFonts w:cs="Arial"/>
        </w:rPr>
      </w:pPr>
    </w:p>
    <w:p w14:paraId="7399E795" w14:textId="77777777" w:rsidR="008B2407" w:rsidRPr="00F377E0" w:rsidRDefault="008B2407" w:rsidP="00F377E0">
      <w:pPr>
        <w:ind w:left="-142" w:right="-425"/>
        <w:jc w:val="both"/>
        <w:rPr>
          <w:rFonts w:cs="Arial"/>
        </w:rPr>
      </w:pPr>
      <w:r w:rsidRPr="00F377E0">
        <w:rPr>
          <w:rFonts w:cs="Arial"/>
        </w:rPr>
        <w:t>Whilst preventative measures and systemic and programmatic social support for elder abuse are imperative, making voluntary income management available to a broad range of people is a fast and effective way of empowering older people to protect their payments.</w:t>
      </w:r>
    </w:p>
    <w:p w14:paraId="7191D0ED" w14:textId="77777777" w:rsidR="00457EAF" w:rsidRDefault="00457EAF" w:rsidP="00A3118F">
      <w:pPr>
        <w:ind w:left="-142" w:right="-425"/>
      </w:pPr>
    </w:p>
    <w:p w14:paraId="50C83726" w14:textId="77777777" w:rsidR="001121B3" w:rsidRPr="00FC6DA7" w:rsidRDefault="001121B3" w:rsidP="009E16D7">
      <w:pPr>
        <w:spacing w:after="120"/>
        <w:ind w:left="-142" w:right="-425"/>
      </w:pPr>
      <w:r w:rsidRPr="00FC6DA7">
        <w:t>The recommendations made in the submission were that the Committee:</w:t>
      </w:r>
    </w:p>
    <w:p w14:paraId="2BF88359" w14:textId="77777777" w:rsidR="001121B3" w:rsidRPr="00FC6DA7" w:rsidRDefault="001121B3" w:rsidP="005C10AF">
      <w:pPr>
        <w:pStyle w:val="ListParagraph"/>
        <w:numPr>
          <w:ilvl w:val="0"/>
          <w:numId w:val="12"/>
        </w:numPr>
        <w:spacing w:after="120" w:line="288" w:lineRule="auto"/>
        <w:ind w:left="714" w:right="-425" w:hanging="357"/>
        <w:rPr>
          <w:rFonts w:ascii="Verdana" w:hAnsi="Verdana"/>
          <w:sz w:val="20"/>
          <w:szCs w:val="20"/>
        </w:rPr>
      </w:pPr>
      <w:r w:rsidRPr="00FC6DA7">
        <w:rPr>
          <w:rFonts w:ascii="Verdana" w:hAnsi="Verdana"/>
          <w:sz w:val="20"/>
          <w:szCs w:val="20"/>
        </w:rPr>
        <w:t>Notes in its final report the learnings of the FRC over 16 years of working in partnership with remote First Nations communities: that while there are significant risk factors for elder abuse and barriers to accessing support, there are also strong protective factors that can be harnessed and grown.</w:t>
      </w:r>
    </w:p>
    <w:p w14:paraId="77D3BF4D" w14:textId="77777777" w:rsidR="001121B3" w:rsidRPr="00FC6DA7" w:rsidRDefault="001121B3" w:rsidP="005C10AF">
      <w:pPr>
        <w:pStyle w:val="ListParagraph"/>
        <w:numPr>
          <w:ilvl w:val="0"/>
          <w:numId w:val="12"/>
        </w:numPr>
        <w:spacing w:after="120" w:line="288" w:lineRule="auto"/>
        <w:ind w:left="714" w:right="-425" w:hanging="357"/>
        <w:rPr>
          <w:rFonts w:ascii="Verdana" w:hAnsi="Verdana"/>
          <w:sz w:val="20"/>
          <w:szCs w:val="20"/>
        </w:rPr>
      </w:pPr>
      <w:r w:rsidRPr="00FC6DA7">
        <w:rPr>
          <w:rFonts w:ascii="Verdana" w:hAnsi="Verdana"/>
          <w:sz w:val="20"/>
          <w:szCs w:val="20"/>
        </w:rPr>
        <w:t>Recommends the Queensland State Government funds the development and implementation of evidence based, culturally appropriate elder abuse education, and awareness campaigns:</w:t>
      </w:r>
    </w:p>
    <w:p w14:paraId="5F3F793B" w14:textId="77777777" w:rsidR="00457EAF" w:rsidRPr="00FC6DA7" w:rsidRDefault="00457EAF" w:rsidP="005C10AF">
      <w:pPr>
        <w:pStyle w:val="ListParagraph"/>
        <w:numPr>
          <w:ilvl w:val="0"/>
          <w:numId w:val="13"/>
        </w:numPr>
        <w:spacing w:line="288" w:lineRule="auto"/>
        <w:ind w:left="1077" w:right="-425" w:hanging="357"/>
        <w:rPr>
          <w:rFonts w:ascii="Verdana" w:hAnsi="Verdana"/>
          <w:sz w:val="20"/>
          <w:szCs w:val="20"/>
        </w:rPr>
      </w:pPr>
      <w:r w:rsidRPr="00FC6DA7">
        <w:rPr>
          <w:rFonts w:ascii="Verdana" w:hAnsi="Verdana"/>
          <w:sz w:val="20"/>
          <w:szCs w:val="20"/>
        </w:rPr>
        <w:t>tailored for remote First Nations contexts</w:t>
      </w:r>
    </w:p>
    <w:p w14:paraId="211AA287" w14:textId="77777777" w:rsidR="00457EAF" w:rsidRPr="00FC6DA7" w:rsidRDefault="00457EAF" w:rsidP="005C10AF">
      <w:pPr>
        <w:pStyle w:val="ListParagraph"/>
        <w:numPr>
          <w:ilvl w:val="0"/>
          <w:numId w:val="13"/>
        </w:numPr>
        <w:spacing w:line="288" w:lineRule="auto"/>
        <w:ind w:left="1077" w:right="-425" w:hanging="357"/>
        <w:rPr>
          <w:rFonts w:ascii="Verdana" w:hAnsi="Verdana"/>
          <w:sz w:val="20"/>
          <w:szCs w:val="20"/>
        </w:rPr>
      </w:pPr>
      <w:r w:rsidRPr="00FC6DA7">
        <w:rPr>
          <w:rFonts w:ascii="Verdana" w:hAnsi="Verdana"/>
          <w:sz w:val="20"/>
          <w:szCs w:val="20"/>
        </w:rPr>
        <w:t>delivered in-person in communities</w:t>
      </w:r>
    </w:p>
    <w:p w14:paraId="38359B72" w14:textId="609D6E31" w:rsidR="00457EAF" w:rsidRPr="00FC6DA7" w:rsidRDefault="00457EAF" w:rsidP="005C10AF">
      <w:pPr>
        <w:pStyle w:val="ListParagraph"/>
        <w:numPr>
          <w:ilvl w:val="0"/>
          <w:numId w:val="13"/>
        </w:numPr>
        <w:spacing w:after="120" w:line="288" w:lineRule="auto"/>
        <w:ind w:left="1077" w:right="-425" w:hanging="357"/>
        <w:rPr>
          <w:rFonts w:ascii="Verdana" w:hAnsi="Verdana"/>
          <w:sz w:val="20"/>
          <w:szCs w:val="20"/>
        </w:rPr>
      </w:pPr>
      <w:r w:rsidRPr="00FC6DA7">
        <w:rPr>
          <w:rFonts w:ascii="Verdana" w:hAnsi="Verdana"/>
          <w:sz w:val="20"/>
          <w:szCs w:val="20"/>
        </w:rPr>
        <w:t>using existing infrastructure and relationships, including the FRC.</w:t>
      </w:r>
    </w:p>
    <w:p w14:paraId="7B2AB1C4" w14:textId="77777777" w:rsidR="001121B3" w:rsidRPr="00FC6DA7" w:rsidRDefault="001121B3" w:rsidP="005C10AF">
      <w:pPr>
        <w:pStyle w:val="ListParagraph"/>
        <w:numPr>
          <w:ilvl w:val="0"/>
          <w:numId w:val="12"/>
        </w:numPr>
        <w:spacing w:after="120" w:line="288" w:lineRule="auto"/>
        <w:ind w:left="714" w:right="-425" w:hanging="357"/>
        <w:rPr>
          <w:rFonts w:ascii="Verdana" w:hAnsi="Verdana"/>
          <w:sz w:val="20"/>
          <w:szCs w:val="20"/>
        </w:rPr>
      </w:pPr>
      <w:r w:rsidRPr="00FC6DA7">
        <w:rPr>
          <w:rFonts w:ascii="Verdana" w:hAnsi="Verdana"/>
          <w:sz w:val="20"/>
          <w:szCs w:val="20"/>
        </w:rPr>
        <w:t>Recommends the Queensland State Government directs funds to ensure that culturally appropriate and accessible in-person services to provide financial management tools, but also to help navigate family and community relationships, are available in remote First Nations communities. The Commission supports the establishment of local Adult Safeguarding Networks, as proposed by the Public Advocate.</w:t>
      </w:r>
    </w:p>
    <w:p w14:paraId="2FF2957B" w14:textId="77777777" w:rsidR="001121B3" w:rsidRPr="00FC6DA7" w:rsidRDefault="001121B3" w:rsidP="005C10AF">
      <w:pPr>
        <w:pStyle w:val="ListParagraph"/>
        <w:numPr>
          <w:ilvl w:val="0"/>
          <w:numId w:val="12"/>
        </w:numPr>
        <w:spacing w:line="288" w:lineRule="auto"/>
        <w:ind w:left="714" w:right="-425" w:hanging="357"/>
        <w:rPr>
          <w:rFonts w:ascii="Verdana" w:hAnsi="Verdana"/>
          <w:sz w:val="20"/>
          <w:szCs w:val="20"/>
        </w:rPr>
      </w:pPr>
      <w:r w:rsidRPr="00FC6DA7">
        <w:rPr>
          <w:rFonts w:ascii="Verdana" w:hAnsi="Verdana"/>
          <w:sz w:val="20"/>
          <w:szCs w:val="20"/>
        </w:rPr>
        <w:lastRenderedPageBreak/>
        <w:t xml:space="preserve">Recognises the unique role of the FRC, as a Queensland public sector entity, and recommends legislative amendments to the </w:t>
      </w:r>
      <w:r w:rsidRPr="00FC6DA7">
        <w:rPr>
          <w:rFonts w:ascii="Verdana" w:hAnsi="Verdana"/>
          <w:i/>
          <w:iCs/>
          <w:sz w:val="20"/>
          <w:szCs w:val="20"/>
        </w:rPr>
        <w:t>Family Responsibilities Commission Act 2008</w:t>
      </w:r>
      <w:r w:rsidRPr="00FC6DA7">
        <w:rPr>
          <w:rFonts w:ascii="Verdana" w:hAnsi="Verdana"/>
          <w:sz w:val="20"/>
          <w:szCs w:val="20"/>
        </w:rPr>
        <w:t xml:space="preserve"> to enable VIM to operate state-wide, administered by the FRC to empower vulnerable older Queenslanders to self-refer and utilise the benefits of voluntary income management.</w:t>
      </w:r>
    </w:p>
    <w:p w14:paraId="63E85070" w14:textId="77777777" w:rsidR="009E16D7" w:rsidRDefault="009E16D7" w:rsidP="009E16D7">
      <w:pPr>
        <w:ind w:left="-142" w:right="-425"/>
      </w:pPr>
    </w:p>
    <w:p w14:paraId="4EB2E644" w14:textId="77777777" w:rsidR="008B2407" w:rsidRDefault="008B2407" w:rsidP="00F377E0">
      <w:pPr>
        <w:ind w:left="-142" w:right="-425"/>
        <w:jc w:val="both"/>
        <w:rPr>
          <w:rFonts w:cs="Arial"/>
        </w:rPr>
      </w:pPr>
      <w:r w:rsidRPr="00F377E0">
        <w:rPr>
          <w:rFonts w:cs="Arial"/>
        </w:rPr>
        <w:t>On 14 May 2025, the Education, Arts and Communities Committee held a hearing on the Inquiry in Cairns, and the FRC were invited to appear. Local Commissioner Doris Poonkamelya travelled from Aurukun to give evidence to the Inquiry and was supported by Cara Marks, Local Registry Coordinator for Aurukun and Camille Banks, Manager, Compliance and Legal Policy. Commissioner Poonkamelya and Ms Marks have been working closely with older clients and community members, in partnership with the Aurukun Chivaree Aged Care Centre in Aurukun to support those experiencing or at risk of financial abuse.</w:t>
      </w:r>
    </w:p>
    <w:p w14:paraId="136719B8" w14:textId="77777777" w:rsidR="00F377E0" w:rsidRPr="00F377E0" w:rsidRDefault="00F377E0" w:rsidP="00F377E0">
      <w:pPr>
        <w:ind w:left="-142" w:right="-425"/>
        <w:jc w:val="both"/>
        <w:rPr>
          <w:rFonts w:cs="Arial"/>
        </w:rPr>
      </w:pPr>
    </w:p>
    <w:p w14:paraId="4038A32F" w14:textId="77777777" w:rsidR="008B2407" w:rsidRDefault="008B2407" w:rsidP="00F377E0">
      <w:pPr>
        <w:ind w:left="-142" w:right="-425"/>
        <w:jc w:val="both"/>
        <w:rPr>
          <w:rFonts w:cs="Arial"/>
        </w:rPr>
      </w:pPr>
      <w:r w:rsidRPr="00F377E0">
        <w:rPr>
          <w:rFonts w:cs="Arial"/>
        </w:rPr>
        <w:t>At the hearing, the FRC highlighted issues of financial abuse, particularly humbugging, that are common in FRC communities, and explained that cost-of-living pressures and internet banking exploitation exacerbate elder abuse. The SmartCard was discussed as a tool to manage income and protect elders from financial exploitation. Commissioner Poonkamelya shared her experience of using the SmartCard to safeguard her pension and manage her finances. Ms Marks discussed the lack of banking infrastructure and digital literacy issues that hinder financial independence for elders.</w:t>
      </w:r>
    </w:p>
    <w:p w14:paraId="23E171F9" w14:textId="77777777" w:rsidR="00F377E0" w:rsidRPr="00F377E0" w:rsidRDefault="00F377E0" w:rsidP="00F377E0">
      <w:pPr>
        <w:ind w:left="-142" w:right="-425"/>
        <w:jc w:val="both"/>
        <w:rPr>
          <w:rFonts w:cs="Arial"/>
        </w:rPr>
      </w:pPr>
    </w:p>
    <w:p w14:paraId="57D90BCD" w14:textId="77777777" w:rsidR="008B2407" w:rsidRPr="00F377E0" w:rsidRDefault="008B2407" w:rsidP="00F377E0">
      <w:pPr>
        <w:ind w:left="-142" w:right="-425"/>
        <w:jc w:val="both"/>
        <w:rPr>
          <w:rFonts w:cs="Arial"/>
        </w:rPr>
      </w:pPr>
      <w:r w:rsidRPr="00F377E0">
        <w:rPr>
          <w:rFonts w:cs="Arial"/>
        </w:rPr>
        <w:t>Commissioner Poonkamelya explained that gambling, particularly internet-based gambling, is a significant issue in communities like Aurukun. The FRC emphasised the need for better financial support, education, and awareness programs tailored to First Nations communities. Addressing systemic issues like addiction and poverty among perpetrators of abuse was also recommended.</w:t>
      </w:r>
    </w:p>
    <w:p w14:paraId="0AB9AF29" w14:textId="77777777" w:rsidR="001121B3" w:rsidRDefault="001121B3" w:rsidP="00A3118F">
      <w:pPr>
        <w:ind w:left="-142" w:right="-425"/>
      </w:pPr>
    </w:p>
    <w:p w14:paraId="4082514A" w14:textId="77777777" w:rsidR="0040779A" w:rsidRDefault="0040779A" w:rsidP="0040779A">
      <w:pPr>
        <w:pStyle w:val="Heading2"/>
        <w:rPr>
          <w:szCs w:val="20"/>
        </w:rPr>
      </w:pPr>
      <w:r w:rsidRPr="00303BE6">
        <w:t>Education, Arts and Communities Committee</w:t>
      </w:r>
    </w:p>
    <w:p w14:paraId="0F4A7EBE" w14:textId="77777777" w:rsidR="008B2407" w:rsidRPr="00F377E0" w:rsidRDefault="008B2407" w:rsidP="00F377E0">
      <w:pPr>
        <w:ind w:left="-142" w:right="-425"/>
        <w:jc w:val="both"/>
        <w:rPr>
          <w:rFonts w:cs="Arial"/>
        </w:rPr>
      </w:pPr>
      <w:r w:rsidRPr="00F377E0">
        <w:rPr>
          <w:rFonts w:cs="Arial"/>
        </w:rPr>
        <w:t xml:space="preserve">On 28 April 2025, by invitation, Commissioner Williams and Registrar Helen Weedon appeared in person at a Public Hearing of the Education, Arts and Communities Committee of the Queensland State Parliament. The purpose of the hearing was to assist the Committee with its oversight of the functions and performance of the Commission. At the hearing the Registrar gave an opening address to the Committee before Commissioner Williams and the Registrar responded to </w:t>
      </w:r>
      <w:proofErr w:type="gramStart"/>
      <w:r w:rsidRPr="00F377E0">
        <w:rPr>
          <w:rFonts w:cs="Arial"/>
        </w:rPr>
        <w:t>a number of</w:t>
      </w:r>
      <w:proofErr w:type="gramEnd"/>
      <w:r w:rsidRPr="00F377E0">
        <w:rPr>
          <w:rFonts w:cs="Arial"/>
        </w:rPr>
        <w:t xml:space="preserve"> questions from Committee members on the operation of the Commission.</w:t>
      </w:r>
    </w:p>
    <w:p w14:paraId="229683B7" w14:textId="77777777" w:rsidR="0040779A" w:rsidRDefault="0040779A" w:rsidP="0040779A">
      <w:pPr>
        <w:ind w:left="-142" w:right="-425"/>
      </w:pPr>
    </w:p>
    <w:p w14:paraId="0347D1C9" w14:textId="77777777" w:rsidR="0040779A" w:rsidRPr="00224AA8" w:rsidRDefault="0040779A" w:rsidP="0040779A">
      <w:pPr>
        <w:ind w:left="-142" w:right="-425"/>
      </w:pPr>
      <w:r>
        <w:t>Topics discussed included</w:t>
      </w:r>
      <w:r w:rsidRPr="00224AA8">
        <w:t>:</w:t>
      </w:r>
    </w:p>
    <w:p w14:paraId="7547B860" w14:textId="77777777" w:rsidR="0040779A" w:rsidRPr="009E16D7" w:rsidRDefault="0040779A" w:rsidP="0040779A">
      <w:pPr>
        <w:pStyle w:val="ListParagraph"/>
        <w:numPr>
          <w:ilvl w:val="0"/>
          <w:numId w:val="17"/>
        </w:numPr>
        <w:spacing w:line="288" w:lineRule="auto"/>
        <w:ind w:left="572" w:right="-425" w:hanging="357"/>
        <w:rPr>
          <w:rFonts w:ascii="Verdana" w:hAnsi="Verdana"/>
          <w:sz w:val="20"/>
          <w:szCs w:val="20"/>
        </w:rPr>
      </w:pPr>
      <w:r w:rsidRPr="009E16D7">
        <w:rPr>
          <w:rFonts w:ascii="Verdana" w:hAnsi="Verdana"/>
          <w:sz w:val="20"/>
          <w:szCs w:val="20"/>
        </w:rPr>
        <w:t>the strategic evolution of the FRC</w:t>
      </w:r>
    </w:p>
    <w:p w14:paraId="5B792918" w14:textId="77777777" w:rsidR="0040779A" w:rsidRPr="009E16D7" w:rsidRDefault="0040779A" w:rsidP="0040779A">
      <w:pPr>
        <w:pStyle w:val="ListParagraph"/>
        <w:numPr>
          <w:ilvl w:val="0"/>
          <w:numId w:val="17"/>
        </w:numPr>
        <w:spacing w:line="288" w:lineRule="auto"/>
        <w:ind w:left="572" w:right="-425" w:hanging="357"/>
        <w:rPr>
          <w:rFonts w:ascii="Verdana" w:hAnsi="Verdana"/>
          <w:sz w:val="20"/>
          <w:szCs w:val="20"/>
        </w:rPr>
      </w:pPr>
      <w:r w:rsidRPr="009E16D7">
        <w:rPr>
          <w:rFonts w:ascii="Verdana" w:hAnsi="Verdana"/>
          <w:sz w:val="20"/>
          <w:szCs w:val="20"/>
        </w:rPr>
        <w:t>the empowerment and leadership of the Local Commissioners and FRC clients</w:t>
      </w:r>
    </w:p>
    <w:p w14:paraId="522A75FA" w14:textId="77777777" w:rsidR="0040779A" w:rsidRPr="009E16D7" w:rsidRDefault="0040779A" w:rsidP="0040779A">
      <w:pPr>
        <w:pStyle w:val="ListParagraph"/>
        <w:numPr>
          <w:ilvl w:val="0"/>
          <w:numId w:val="17"/>
        </w:numPr>
        <w:spacing w:line="288" w:lineRule="auto"/>
        <w:ind w:left="572" w:right="-425" w:hanging="357"/>
        <w:rPr>
          <w:rFonts w:ascii="Verdana" w:hAnsi="Verdana"/>
          <w:sz w:val="20"/>
          <w:szCs w:val="20"/>
        </w:rPr>
      </w:pPr>
      <w:r w:rsidRPr="009E16D7">
        <w:rPr>
          <w:rFonts w:ascii="Verdana" w:hAnsi="Verdana"/>
          <w:sz w:val="20"/>
          <w:szCs w:val="20"/>
        </w:rPr>
        <w:t>voluntary income management</w:t>
      </w:r>
    </w:p>
    <w:p w14:paraId="5EFD997F" w14:textId="01729ED5" w:rsidR="0040779A" w:rsidRPr="0040779A" w:rsidRDefault="0040779A" w:rsidP="0040779A">
      <w:pPr>
        <w:pStyle w:val="ListParagraph"/>
        <w:numPr>
          <w:ilvl w:val="0"/>
          <w:numId w:val="17"/>
        </w:numPr>
        <w:spacing w:line="288" w:lineRule="auto"/>
        <w:ind w:left="572" w:right="-425" w:hanging="357"/>
        <w:rPr>
          <w:rFonts w:ascii="Verdana" w:hAnsi="Verdana"/>
          <w:sz w:val="20"/>
          <w:szCs w:val="20"/>
        </w:rPr>
      </w:pPr>
      <w:r w:rsidRPr="009E16D7">
        <w:rPr>
          <w:rFonts w:ascii="Verdana" w:hAnsi="Verdana"/>
          <w:sz w:val="20"/>
          <w:szCs w:val="20"/>
        </w:rPr>
        <w:t>challenges faced by the Commission, including the uncertainty of short-term funding arrangements.</w:t>
      </w:r>
    </w:p>
    <w:p w14:paraId="280E1D2F" w14:textId="77777777" w:rsidR="0040779A" w:rsidRPr="002A49A1" w:rsidRDefault="0040779A" w:rsidP="00A3118F">
      <w:pPr>
        <w:ind w:left="-142" w:right="-425"/>
      </w:pPr>
    </w:p>
    <w:p w14:paraId="2C8D95CC" w14:textId="77777777" w:rsidR="002E3C76" w:rsidRPr="004A17AA" w:rsidRDefault="002E3C76" w:rsidP="004A17AA">
      <w:pPr>
        <w:pStyle w:val="Heading2"/>
      </w:pPr>
      <w:r w:rsidRPr="001254C1">
        <w:t>Domestic and Family Violence Protection and Other Legislation Amendment Bill 2025 (DFVOLA Bill)</w:t>
      </w:r>
    </w:p>
    <w:p w14:paraId="07378C57" w14:textId="77777777" w:rsidR="008B2407" w:rsidRPr="00F377E0" w:rsidRDefault="008B2407" w:rsidP="00F377E0">
      <w:pPr>
        <w:ind w:left="-142" w:right="-425"/>
        <w:jc w:val="both"/>
        <w:rPr>
          <w:rFonts w:cs="Arial"/>
        </w:rPr>
      </w:pPr>
      <w:r w:rsidRPr="00F377E0">
        <w:rPr>
          <w:rFonts w:cs="Arial"/>
        </w:rPr>
        <w:t>The FRC has concerns regarding the proposed introduction of Police Protection Directions (PPDs) under the DFVOLA Bill. On 30 May 2025, the Commission made a submission to the Education, Arts and Communities Committee, highlighting the potential impact of PPDs on the Commission’s ability to fulfil its role in supporting victim-survivors and addressing domestic and family violence (DFV) in culturally appropriate ways.</w:t>
      </w:r>
    </w:p>
    <w:p w14:paraId="790F9914" w14:textId="77777777" w:rsidR="008B2407" w:rsidRDefault="008B2407" w:rsidP="008B2407">
      <w:r>
        <w:br w:type="page"/>
      </w:r>
    </w:p>
    <w:p w14:paraId="66708C4C" w14:textId="77777777" w:rsidR="008B2407" w:rsidRPr="00445EA8" w:rsidRDefault="008B2407" w:rsidP="008B2407">
      <w:r>
        <w:lastRenderedPageBreak/>
        <w:t>The submission’s k</w:t>
      </w:r>
      <w:r w:rsidRPr="00445EA8">
        <w:t>ey points include</w:t>
      </w:r>
      <w:r>
        <w:t>d</w:t>
      </w:r>
      <w:r w:rsidRPr="00445EA8">
        <w:t>:</w:t>
      </w:r>
    </w:p>
    <w:p w14:paraId="3F6A0AE6" w14:textId="77777777" w:rsidR="002E3C76" w:rsidRPr="00FC6DA7" w:rsidRDefault="002E3C76" w:rsidP="005C10AF">
      <w:pPr>
        <w:pStyle w:val="ListParagraph"/>
        <w:numPr>
          <w:ilvl w:val="0"/>
          <w:numId w:val="14"/>
        </w:numPr>
        <w:spacing w:after="120" w:line="288" w:lineRule="auto"/>
        <w:ind w:right="-425"/>
        <w:rPr>
          <w:rFonts w:ascii="Verdana" w:hAnsi="Verdana"/>
          <w:sz w:val="20"/>
          <w:szCs w:val="20"/>
        </w:rPr>
      </w:pPr>
      <w:r w:rsidRPr="00FC6DA7">
        <w:rPr>
          <w:rFonts w:ascii="Verdana" w:hAnsi="Verdana"/>
          <w:sz w:val="20"/>
          <w:szCs w:val="20"/>
        </w:rPr>
        <w:t>Impact on FRC operations:</w:t>
      </w:r>
    </w:p>
    <w:p w14:paraId="6230F8C9" w14:textId="77777777" w:rsidR="002E3C76" w:rsidRPr="003E6DD3" w:rsidRDefault="002E3C76" w:rsidP="005C10AF">
      <w:pPr>
        <w:pStyle w:val="ListParagraph"/>
        <w:numPr>
          <w:ilvl w:val="0"/>
          <w:numId w:val="15"/>
        </w:numPr>
        <w:spacing w:line="288" w:lineRule="auto"/>
        <w:ind w:left="1077" w:right="-425" w:hanging="357"/>
        <w:rPr>
          <w:rFonts w:ascii="Verdana" w:hAnsi="Verdana"/>
          <w:sz w:val="20"/>
          <w:szCs w:val="20"/>
        </w:rPr>
      </w:pPr>
      <w:r w:rsidRPr="003E6DD3">
        <w:rPr>
          <w:rFonts w:ascii="Verdana" w:hAnsi="Verdana"/>
          <w:sz w:val="20"/>
          <w:szCs w:val="20"/>
        </w:rPr>
        <w:t>PPDs, being distinct from court-ordered protection orders, would not trigger court advice notices to the FRC under section 43(1) of the FRC Act. This would significantly reduce the FRC’s visibility of DFV matters and limit opportunities for early intervention, culturally safe conferencing, and referrals to support services.</w:t>
      </w:r>
    </w:p>
    <w:p w14:paraId="0BC5320E" w14:textId="77777777" w:rsidR="002E3C76" w:rsidRPr="003E6DD3" w:rsidRDefault="002E3C76" w:rsidP="005C10AF">
      <w:pPr>
        <w:pStyle w:val="ListParagraph"/>
        <w:numPr>
          <w:ilvl w:val="0"/>
          <w:numId w:val="15"/>
        </w:numPr>
        <w:spacing w:line="288" w:lineRule="auto"/>
        <w:ind w:left="1077" w:right="-425" w:hanging="357"/>
        <w:rPr>
          <w:rFonts w:ascii="Verdana" w:hAnsi="Verdana"/>
          <w:sz w:val="20"/>
          <w:szCs w:val="20"/>
        </w:rPr>
      </w:pPr>
      <w:r w:rsidRPr="003E6DD3">
        <w:rPr>
          <w:rFonts w:ascii="Verdana" w:hAnsi="Verdana"/>
          <w:sz w:val="20"/>
          <w:szCs w:val="20"/>
        </w:rPr>
        <w:t>The FRC emphasised that its model, which involves Local Commissioners and community-based approaches, is critical for addressing DFV in remote First Nations communities.</w:t>
      </w:r>
    </w:p>
    <w:p w14:paraId="3620D044" w14:textId="4C640F34" w:rsidR="009E16D7" w:rsidRPr="005C10AF" w:rsidRDefault="002E3C76" w:rsidP="005C10AF">
      <w:pPr>
        <w:pStyle w:val="ListParagraph"/>
        <w:numPr>
          <w:ilvl w:val="0"/>
          <w:numId w:val="15"/>
        </w:numPr>
        <w:spacing w:after="120" w:line="288" w:lineRule="auto"/>
        <w:ind w:right="-425"/>
        <w:rPr>
          <w:rFonts w:ascii="Verdana" w:hAnsi="Verdana"/>
          <w:sz w:val="20"/>
          <w:szCs w:val="20"/>
        </w:rPr>
      </w:pPr>
      <w:r w:rsidRPr="003E6DD3">
        <w:rPr>
          <w:rFonts w:ascii="Verdana" w:hAnsi="Verdana"/>
          <w:sz w:val="20"/>
          <w:szCs w:val="20"/>
        </w:rPr>
        <w:t>In 2023-24, the FRC received 221 court advice notices for DFV orders, held 210 related conferences, and made 142 referrals to support services. A shift to PPDs could significantly reduce these activities, undermining the FRC’s ability to intervene early and provide culturally appropriate support.</w:t>
      </w:r>
    </w:p>
    <w:p w14:paraId="44FE732C" w14:textId="795467D8" w:rsidR="002E3C76" w:rsidRPr="00FC6DA7" w:rsidRDefault="002E3C76" w:rsidP="005C10AF">
      <w:pPr>
        <w:pStyle w:val="ListParagraph"/>
        <w:numPr>
          <w:ilvl w:val="0"/>
          <w:numId w:val="14"/>
        </w:numPr>
        <w:spacing w:after="120" w:line="288" w:lineRule="auto"/>
        <w:ind w:right="-425"/>
        <w:rPr>
          <w:rFonts w:ascii="Verdana" w:hAnsi="Verdana"/>
          <w:sz w:val="20"/>
          <w:szCs w:val="20"/>
        </w:rPr>
      </w:pPr>
      <w:r w:rsidRPr="00FC6DA7">
        <w:rPr>
          <w:rFonts w:ascii="Verdana" w:hAnsi="Verdana"/>
          <w:sz w:val="20"/>
          <w:szCs w:val="20"/>
        </w:rPr>
        <w:t>Concerns for First Nations Communities:</w:t>
      </w:r>
    </w:p>
    <w:p w14:paraId="709539B8" w14:textId="77777777" w:rsidR="002E3C76" w:rsidRPr="003E6DD3" w:rsidRDefault="002E3C76" w:rsidP="005C10AF">
      <w:pPr>
        <w:pStyle w:val="ListParagraph"/>
        <w:numPr>
          <w:ilvl w:val="0"/>
          <w:numId w:val="15"/>
        </w:numPr>
        <w:spacing w:after="120" w:line="288" w:lineRule="auto"/>
        <w:ind w:right="-425"/>
        <w:rPr>
          <w:rFonts w:ascii="Verdana" w:hAnsi="Verdana"/>
          <w:sz w:val="20"/>
          <w:szCs w:val="20"/>
        </w:rPr>
      </w:pPr>
      <w:r w:rsidRPr="003E6DD3">
        <w:rPr>
          <w:rFonts w:ascii="Verdana" w:hAnsi="Verdana"/>
          <w:sz w:val="20"/>
          <w:szCs w:val="20"/>
        </w:rPr>
        <w:t>The Commission also gave the view that PPDs may exacerbate the overrepresentation of First Nations people in the criminal justice system due to limited understanding of PPD conditions and lack of access to legal or financial support.</w:t>
      </w:r>
    </w:p>
    <w:p w14:paraId="27D446C6" w14:textId="77777777" w:rsidR="002E3C76" w:rsidRPr="003E6DD3" w:rsidRDefault="002E3C76" w:rsidP="005C10AF">
      <w:pPr>
        <w:pStyle w:val="ListParagraph"/>
        <w:numPr>
          <w:ilvl w:val="0"/>
          <w:numId w:val="15"/>
        </w:numPr>
        <w:spacing w:after="120" w:line="288" w:lineRule="auto"/>
        <w:ind w:right="-425"/>
        <w:rPr>
          <w:rFonts w:ascii="Verdana" w:hAnsi="Verdana"/>
          <w:sz w:val="20"/>
          <w:szCs w:val="20"/>
        </w:rPr>
      </w:pPr>
      <w:r w:rsidRPr="003E6DD3">
        <w:rPr>
          <w:rFonts w:ascii="Verdana" w:hAnsi="Verdana"/>
          <w:sz w:val="20"/>
          <w:szCs w:val="20"/>
        </w:rPr>
        <w:t>The severity and normalisation of DFV in remote communities make it challenging to identify those most in need of protection, potentially reducing the effectiveness of PPDs.</w:t>
      </w:r>
    </w:p>
    <w:p w14:paraId="19083FF6" w14:textId="1221D2FB" w:rsidR="009E16D7" w:rsidRPr="00865A69" w:rsidRDefault="002E3C76" w:rsidP="009E16D7">
      <w:pPr>
        <w:spacing w:after="120"/>
        <w:ind w:left="-142" w:right="-425"/>
      </w:pPr>
      <w:r w:rsidRPr="00865A69">
        <w:t>The FRC’s recommendations to the Committee were to:</w:t>
      </w:r>
    </w:p>
    <w:p w14:paraId="03B1F59B" w14:textId="2AA971C2" w:rsidR="009E16D7" w:rsidRPr="009E16D7" w:rsidRDefault="002E3C76" w:rsidP="005C10AF">
      <w:pPr>
        <w:pStyle w:val="ListParagraph"/>
        <w:numPr>
          <w:ilvl w:val="0"/>
          <w:numId w:val="16"/>
        </w:numPr>
        <w:spacing w:line="288" w:lineRule="auto"/>
        <w:ind w:left="714" w:right="-425" w:hanging="357"/>
        <w:rPr>
          <w:rFonts w:ascii="Verdana" w:hAnsi="Verdana"/>
          <w:sz w:val="20"/>
          <w:szCs w:val="20"/>
        </w:rPr>
      </w:pPr>
      <w:r w:rsidRPr="009E16D7">
        <w:rPr>
          <w:rFonts w:ascii="Verdana" w:hAnsi="Verdana"/>
          <w:sz w:val="20"/>
          <w:szCs w:val="20"/>
        </w:rPr>
        <w:t>Amend section 43(1) of the FRC Act to ensure the FRC is notified of all PPDs issued within its jurisdiction.</w:t>
      </w:r>
    </w:p>
    <w:p w14:paraId="0BFB842C" w14:textId="77777777" w:rsidR="002E3C76" w:rsidRPr="009E16D7" w:rsidRDefault="002E3C76" w:rsidP="005C10AF">
      <w:pPr>
        <w:pStyle w:val="ListParagraph"/>
        <w:numPr>
          <w:ilvl w:val="0"/>
          <w:numId w:val="16"/>
        </w:numPr>
        <w:spacing w:line="288" w:lineRule="auto"/>
        <w:ind w:left="714" w:right="-425" w:hanging="357"/>
        <w:rPr>
          <w:rFonts w:ascii="Verdana" w:hAnsi="Verdana"/>
          <w:sz w:val="20"/>
          <w:szCs w:val="20"/>
        </w:rPr>
      </w:pPr>
      <w:r w:rsidRPr="009E16D7">
        <w:rPr>
          <w:rFonts w:ascii="Verdana" w:hAnsi="Verdana"/>
          <w:sz w:val="20"/>
          <w:szCs w:val="20"/>
        </w:rPr>
        <w:t>Carefully consider the broader impacts of PPDs on victim-survivor support, early intervention, and the overrepresentation of First Nations people in incarceration.</w:t>
      </w:r>
    </w:p>
    <w:p w14:paraId="4B0A47B4" w14:textId="77777777" w:rsidR="002E3C76" w:rsidRDefault="002E3C76" w:rsidP="004A17AA">
      <w:pPr>
        <w:ind w:left="-142" w:right="-425"/>
      </w:pPr>
    </w:p>
    <w:p w14:paraId="102BE822" w14:textId="31B66E2A" w:rsidR="008B2407" w:rsidRDefault="008B2407" w:rsidP="00F377E0">
      <w:pPr>
        <w:ind w:left="-142" w:right="-425"/>
        <w:jc w:val="both"/>
        <w:rPr>
          <w:rFonts w:cs="Arial"/>
        </w:rPr>
      </w:pPr>
      <w:r w:rsidRPr="00F377E0">
        <w:rPr>
          <w:rFonts w:cs="Arial"/>
        </w:rPr>
        <w:t xml:space="preserve">On 3 June 2025, the FRC were again invited to expand on the submission at a hearing on the Inquiry into the DFVOLA Bill in Cairns. Deputy Commissioner Curtin, and Camille Banks, Manager, Compliance and Legal Policy, gave evidence at the hearing. Deputy Commissioner Curtin highlighted that the introduction of PPDs, as currently proposed, would hinder its ability to intervene early in domestic and family violence cases. The lack of recognition of PPDs as agency notices under the </w:t>
      </w:r>
      <w:r w:rsidRPr="00F377E0">
        <w:rPr>
          <w:rFonts w:cs="Arial"/>
          <w:i/>
          <w:iCs/>
        </w:rPr>
        <w:t>Family Responsibilities Commission Act 2008</w:t>
      </w:r>
      <w:r w:rsidRPr="00F377E0">
        <w:rPr>
          <w:rFonts w:cs="Arial"/>
        </w:rPr>
        <w:t xml:space="preserve"> limits the FRC’s jurisdiction and ability to act effectively.</w:t>
      </w:r>
    </w:p>
    <w:p w14:paraId="0AA75734" w14:textId="77777777" w:rsidR="00F377E0" w:rsidRPr="00F377E0" w:rsidRDefault="00F377E0" w:rsidP="00F377E0">
      <w:pPr>
        <w:ind w:left="-142" w:right="-425"/>
        <w:jc w:val="both"/>
        <w:rPr>
          <w:rFonts w:cs="Arial"/>
        </w:rPr>
      </w:pPr>
    </w:p>
    <w:p w14:paraId="7F750C08" w14:textId="77777777" w:rsidR="008B2407" w:rsidRDefault="008B2407" w:rsidP="00F377E0">
      <w:pPr>
        <w:ind w:left="-142" w:right="-425"/>
        <w:jc w:val="both"/>
        <w:rPr>
          <w:rFonts w:cs="Arial"/>
        </w:rPr>
      </w:pPr>
      <w:r w:rsidRPr="00F377E0">
        <w:rPr>
          <w:rFonts w:cs="Arial"/>
        </w:rPr>
        <w:t>The FRC recommended amending section 43(1)(a) of the FRC Act to classify PPDs as agency notices. This change would enable the FRC to provide culturally appropriate support, facilitate community engagement, and address underlying issues such as addiction, trauma, and violence. Deputy Commissioner Curtin reiterated the concern that the current form of the bill could exacerbate the over-representation of First Nations people in the criminal justice system. He emphasised the importance of culturally sensitive interventions and the role of Local Commissioners in supporting victim-survivors and addressing the root causes of violence.</w:t>
      </w:r>
    </w:p>
    <w:p w14:paraId="780AE589" w14:textId="77777777" w:rsidR="00F377E0" w:rsidRPr="00F377E0" w:rsidRDefault="00F377E0" w:rsidP="00F377E0">
      <w:pPr>
        <w:ind w:left="-142" w:right="-425"/>
        <w:jc w:val="both"/>
        <w:rPr>
          <w:rFonts w:cs="Arial"/>
        </w:rPr>
      </w:pPr>
    </w:p>
    <w:p w14:paraId="485B8B23" w14:textId="77777777" w:rsidR="008B2407" w:rsidRPr="00F377E0" w:rsidRDefault="008B2407" w:rsidP="00F377E0">
      <w:pPr>
        <w:ind w:left="-142" w:right="-425"/>
        <w:jc w:val="both"/>
        <w:rPr>
          <w:rFonts w:cs="Arial"/>
        </w:rPr>
      </w:pPr>
      <w:r w:rsidRPr="00F377E0">
        <w:rPr>
          <w:rFonts w:cs="Arial"/>
        </w:rPr>
        <w:t>The FRC concluded by urging the committee to carefully consider its recommendations to ensure the proposed legislation supports effective intervention and reduces harm within communities.</w:t>
      </w:r>
    </w:p>
    <w:p w14:paraId="161722A0" w14:textId="77777777" w:rsidR="002E3C76" w:rsidRDefault="002E3C76" w:rsidP="0022103B">
      <w:pPr>
        <w:ind w:left="-142" w:right="-425"/>
      </w:pPr>
    </w:p>
    <w:p w14:paraId="38DFBB53" w14:textId="0D93D5F1" w:rsidR="0022103B" w:rsidRDefault="0022103B" w:rsidP="004A17AA">
      <w:pPr>
        <w:pStyle w:val="Heading2"/>
      </w:pPr>
      <w:r>
        <w:t>Increased Statutory Compliance Requirements</w:t>
      </w:r>
    </w:p>
    <w:p w14:paraId="3F2492E3" w14:textId="77777777" w:rsidR="008B2407" w:rsidRPr="00F377E0" w:rsidRDefault="008B2407" w:rsidP="00F377E0">
      <w:pPr>
        <w:ind w:left="-142" w:right="-425"/>
        <w:jc w:val="both"/>
        <w:rPr>
          <w:rFonts w:cs="Arial"/>
        </w:rPr>
      </w:pPr>
      <w:r w:rsidRPr="00F377E0">
        <w:rPr>
          <w:rFonts w:cs="Arial"/>
        </w:rPr>
        <w:t>As a Queensland Public Sector entity, the FRC is obligated to ensure compliance with Queensland Government legislation. As one of the smallest Public Sector entities, the FRC faces a considerable legislative burden, commensurate with central agencies. Recent legislative amendments have significantly increased the compliance and governance obligations placed on the Commission.</w:t>
      </w:r>
    </w:p>
    <w:p w14:paraId="7923DAF7" w14:textId="2EA06DFD" w:rsidR="008B2407" w:rsidRDefault="008B2407" w:rsidP="00F377E0">
      <w:pPr>
        <w:ind w:left="-142" w:right="-425"/>
        <w:jc w:val="both"/>
        <w:rPr>
          <w:rFonts w:cs="Arial"/>
        </w:rPr>
      </w:pPr>
      <w:r w:rsidRPr="00F377E0">
        <w:rPr>
          <w:rFonts w:cs="Arial"/>
        </w:rPr>
        <w:lastRenderedPageBreak/>
        <w:t xml:space="preserve">To support these enhanced requirements, the FRC was awarded a grant of $595,000 from </w:t>
      </w:r>
      <w:r w:rsidR="00073851" w:rsidRPr="00F377E0">
        <w:rPr>
          <w:rFonts w:cs="Arial"/>
        </w:rPr>
        <w:t>Department of Women, Aboriginal and Torres Strait Islander Partnerships and Multiculturalism (DWATSIPM).</w:t>
      </w:r>
      <w:r w:rsidRPr="00F377E0">
        <w:rPr>
          <w:rFonts w:cs="Arial"/>
        </w:rPr>
        <w:t xml:space="preserve"> This funding will assist the Commission in meeting its legislative compliance obligations and supporting general administration. Key initiatives include work required to fulfil its responsibilities as a child safe entity and reporting under the Child Safe Organisations Act 2024, including training for staff and Local Commissioners.</w:t>
      </w:r>
    </w:p>
    <w:p w14:paraId="13B1FBED" w14:textId="77777777" w:rsidR="00F377E0" w:rsidRPr="00F377E0" w:rsidRDefault="00F377E0" w:rsidP="00F377E0">
      <w:pPr>
        <w:ind w:left="-142" w:right="-425"/>
        <w:jc w:val="both"/>
        <w:rPr>
          <w:rFonts w:cs="Arial"/>
        </w:rPr>
      </w:pPr>
    </w:p>
    <w:p w14:paraId="6F942106" w14:textId="77777777" w:rsidR="008B2407" w:rsidRDefault="008B2407" w:rsidP="00F377E0">
      <w:pPr>
        <w:ind w:left="-142" w:right="-425"/>
        <w:jc w:val="both"/>
        <w:rPr>
          <w:rFonts w:cs="Arial"/>
        </w:rPr>
      </w:pPr>
      <w:r w:rsidRPr="00F377E0">
        <w:rPr>
          <w:rFonts w:cs="Arial"/>
        </w:rPr>
        <w:t>The grant, provided as a one-off payment during the 2024-25 financial year, is available for use over the subsequent two financial years (2025-26 and 2026-27).</w:t>
      </w:r>
    </w:p>
    <w:p w14:paraId="7EA84543" w14:textId="77777777" w:rsidR="00F377E0" w:rsidRPr="00F377E0" w:rsidRDefault="00F377E0" w:rsidP="00F377E0">
      <w:pPr>
        <w:ind w:left="-142" w:right="-425"/>
        <w:jc w:val="both"/>
        <w:rPr>
          <w:rFonts w:cs="Arial"/>
        </w:rPr>
      </w:pPr>
    </w:p>
    <w:p w14:paraId="20C3E795" w14:textId="77777777" w:rsidR="008B2407" w:rsidRPr="00F377E0" w:rsidRDefault="008B2407" w:rsidP="00F377E0">
      <w:pPr>
        <w:ind w:left="-142" w:right="-425"/>
        <w:jc w:val="both"/>
        <w:rPr>
          <w:rFonts w:cs="Arial"/>
        </w:rPr>
      </w:pPr>
      <w:r w:rsidRPr="00F377E0">
        <w:rPr>
          <w:rFonts w:cs="Arial"/>
        </w:rPr>
        <w:t>The Commission extends its gratitude to DWATSIPM for their generous support and for providing this critical funding to enable the FRC to meet its compliance and governance responsibilities effectively.</w:t>
      </w:r>
    </w:p>
    <w:p w14:paraId="0D658B30" w14:textId="77777777" w:rsidR="00F54234" w:rsidRDefault="00F54234" w:rsidP="0022103B">
      <w:pPr>
        <w:ind w:left="-142" w:right="-425"/>
        <w:jc w:val="both"/>
      </w:pPr>
    </w:p>
    <w:p w14:paraId="615B3200" w14:textId="77777777" w:rsidR="0022103B" w:rsidRPr="00492250" w:rsidRDefault="0022103B" w:rsidP="004A17AA">
      <w:pPr>
        <w:pStyle w:val="Heading2"/>
      </w:pPr>
      <w:r w:rsidRPr="00492250">
        <w:t>Policy Review Project</w:t>
      </w:r>
    </w:p>
    <w:p w14:paraId="317CE12A" w14:textId="77777777" w:rsidR="00073851" w:rsidRDefault="00073851" w:rsidP="00F377E0">
      <w:pPr>
        <w:ind w:left="-142" w:right="-425"/>
        <w:jc w:val="both"/>
        <w:rPr>
          <w:rFonts w:cs="Arial"/>
        </w:rPr>
      </w:pPr>
      <w:r w:rsidRPr="00F377E0">
        <w:rPr>
          <w:rFonts w:cs="Arial"/>
        </w:rPr>
        <w:t>The FRC is committed to building and maintaining robust and integrated corporate governance that will assure stakeholders that the FRC is pursuing its objectives and fulfilling its responsibilities with due diligence and accountability.</w:t>
      </w:r>
    </w:p>
    <w:p w14:paraId="3120BDBA" w14:textId="77777777" w:rsidR="00F377E0" w:rsidRPr="00F377E0" w:rsidRDefault="00F377E0" w:rsidP="00F377E0">
      <w:pPr>
        <w:ind w:left="-142" w:right="-425"/>
        <w:jc w:val="both"/>
        <w:rPr>
          <w:rFonts w:cs="Arial"/>
        </w:rPr>
      </w:pPr>
    </w:p>
    <w:p w14:paraId="1ED6CCD2" w14:textId="77777777" w:rsidR="00073851" w:rsidRDefault="00073851" w:rsidP="00F377E0">
      <w:pPr>
        <w:ind w:left="-142" w:right="-425"/>
        <w:jc w:val="both"/>
        <w:rPr>
          <w:rFonts w:cs="Arial"/>
        </w:rPr>
      </w:pPr>
      <w:r w:rsidRPr="00F377E0">
        <w:rPr>
          <w:rFonts w:cs="Arial"/>
        </w:rPr>
        <w:t>The Policy Review project was identified as a major project for the Commission’s Compliance and Legal Policy team during the 2024-25 financial year. The project involves the review, update and development of the entire suite of the FRC’s operational (Human Resources and Corporate) policies for relevance, currency and overall compliance with Queensland Government’s legislative/regulative requirements and best practice.</w:t>
      </w:r>
    </w:p>
    <w:p w14:paraId="2CA91A21" w14:textId="77777777" w:rsidR="00F377E0" w:rsidRPr="00F377E0" w:rsidRDefault="00F377E0" w:rsidP="00F377E0">
      <w:pPr>
        <w:ind w:left="-142" w:right="-425"/>
        <w:jc w:val="both"/>
        <w:rPr>
          <w:rFonts w:cs="Arial"/>
        </w:rPr>
      </w:pPr>
    </w:p>
    <w:p w14:paraId="09020E8F" w14:textId="77777777" w:rsidR="00073851" w:rsidRDefault="00073851" w:rsidP="00F377E0">
      <w:pPr>
        <w:ind w:left="-142" w:right="-425"/>
        <w:jc w:val="both"/>
        <w:rPr>
          <w:rFonts w:cs="Arial"/>
        </w:rPr>
      </w:pPr>
      <w:r w:rsidRPr="00F377E0">
        <w:rPr>
          <w:rFonts w:cs="Arial"/>
        </w:rPr>
        <w:t xml:space="preserve">In addition to ensuring robust corporate governance, the review is focused on establishing the FRC’s legislative compliance and discharging its obligations under new requirements in the </w:t>
      </w:r>
      <w:r w:rsidRPr="00F377E0">
        <w:rPr>
          <w:rFonts w:cs="Arial"/>
          <w:i/>
          <w:iCs/>
        </w:rPr>
        <w:t>Public Records Act 2023</w:t>
      </w:r>
      <w:r w:rsidRPr="00F377E0">
        <w:rPr>
          <w:rFonts w:cs="Arial"/>
        </w:rPr>
        <w:t xml:space="preserve">, </w:t>
      </w:r>
      <w:r w:rsidRPr="00F377E0">
        <w:rPr>
          <w:rFonts w:cs="Arial"/>
          <w:i/>
          <w:iCs/>
        </w:rPr>
        <w:t>Public Sector Act 2022</w:t>
      </w:r>
      <w:r w:rsidRPr="00F377E0">
        <w:rPr>
          <w:rFonts w:cs="Arial"/>
        </w:rPr>
        <w:t xml:space="preserve">, </w:t>
      </w:r>
      <w:r w:rsidRPr="00F377E0">
        <w:rPr>
          <w:rFonts w:cs="Arial"/>
          <w:i/>
          <w:iCs/>
        </w:rPr>
        <w:t>Information Privacy and Other Legislation Amendment Act 2023</w:t>
      </w:r>
      <w:r w:rsidRPr="00F377E0">
        <w:rPr>
          <w:rFonts w:cs="Arial"/>
        </w:rPr>
        <w:t xml:space="preserve">, and the </w:t>
      </w:r>
      <w:r w:rsidRPr="00F377E0">
        <w:rPr>
          <w:rFonts w:cs="Arial"/>
          <w:i/>
          <w:iCs/>
        </w:rPr>
        <w:t>Child Safe Organisations Act 2024</w:t>
      </w:r>
      <w:r w:rsidRPr="00F377E0">
        <w:rPr>
          <w:rFonts w:cs="Arial"/>
        </w:rPr>
        <w:t>.</w:t>
      </w:r>
    </w:p>
    <w:p w14:paraId="2E66894C" w14:textId="77777777" w:rsidR="00F377E0" w:rsidRPr="00F377E0" w:rsidRDefault="00F377E0" w:rsidP="00F377E0">
      <w:pPr>
        <w:ind w:left="-142" w:right="-425"/>
        <w:jc w:val="both"/>
        <w:rPr>
          <w:rFonts w:cs="Arial"/>
        </w:rPr>
      </w:pPr>
    </w:p>
    <w:p w14:paraId="2EF53481" w14:textId="77777777" w:rsidR="00073851" w:rsidRDefault="00073851" w:rsidP="00F377E0">
      <w:pPr>
        <w:ind w:left="-142" w:right="-425"/>
        <w:jc w:val="both"/>
        <w:rPr>
          <w:rFonts w:cs="Arial"/>
        </w:rPr>
      </w:pPr>
      <w:r w:rsidRPr="00F377E0">
        <w:rPr>
          <w:rFonts w:cs="Arial"/>
        </w:rPr>
        <w:t>A policy development framework has been established, outlining the project methodology and incorporating a policy hierarchy and map that illustrates the relationships between policies, procedures and supporting documents. The team is progressing its work program in a series of prioritised tranches determined by urgency of upcoming legislative changes and operational requirements. The first tranche of policies is currently undergoing review and development with active consultation involving key internal and external stakeholders to ensure alignment with organisational needs and compliance obligations.</w:t>
      </w:r>
    </w:p>
    <w:p w14:paraId="375C3526" w14:textId="77777777" w:rsidR="00F377E0" w:rsidRPr="00F377E0" w:rsidRDefault="00F377E0" w:rsidP="00F377E0">
      <w:pPr>
        <w:ind w:left="-142" w:right="-425"/>
        <w:jc w:val="both"/>
        <w:rPr>
          <w:rFonts w:cs="Arial"/>
        </w:rPr>
      </w:pPr>
    </w:p>
    <w:p w14:paraId="0FEC0751" w14:textId="77777777" w:rsidR="00073851" w:rsidRPr="00F377E0" w:rsidRDefault="00073851" w:rsidP="00F377E0">
      <w:pPr>
        <w:ind w:left="-142" w:right="-425"/>
        <w:jc w:val="both"/>
        <w:rPr>
          <w:rFonts w:cs="Arial"/>
        </w:rPr>
      </w:pPr>
      <w:r w:rsidRPr="00F377E0">
        <w:rPr>
          <w:rFonts w:cs="Arial"/>
        </w:rPr>
        <w:t>The FRC is participating in a trial of the Queensland Government’s AI chatbot, QChat, offered to public authorities. QChat has so far been successful in generating efficiencies in the Policy Review Project. As part of the QChat trial, the FRC is undertaking a Foundational AI Risk Assessment, and developing guidance for staff in the use of Generative AI for work purposes.</w:t>
      </w:r>
    </w:p>
    <w:p w14:paraId="67BD9948" w14:textId="77777777" w:rsidR="0022103B" w:rsidRDefault="0022103B" w:rsidP="0022103B">
      <w:pPr>
        <w:ind w:left="-142" w:right="-425"/>
        <w:jc w:val="both"/>
      </w:pPr>
    </w:p>
    <w:p w14:paraId="07BB0AEA" w14:textId="4ABF48CA" w:rsidR="0022103B" w:rsidRDefault="0022103B" w:rsidP="004A17AA">
      <w:pPr>
        <w:pStyle w:val="Heading2"/>
      </w:pPr>
      <w:r>
        <w:t>Accounting Software Replacement</w:t>
      </w:r>
    </w:p>
    <w:p w14:paraId="1B920A13" w14:textId="77777777" w:rsidR="00073851" w:rsidRDefault="00073851" w:rsidP="00F377E0">
      <w:pPr>
        <w:ind w:left="-142" w:right="-425"/>
        <w:jc w:val="both"/>
        <w:rPr>
          <w:rFonts w:cs="Arial"/>
        </w:rPr>
      </w:pPr>
      <w:r w:rsidRPr="00F377E0">
        <w:rPr>
          <w:rFonts w:cs="Arial"/>
        </w:rPr>
        <w:t>The FRC accounting software system is now outdated, inefficient and labour intensive, falling short of effectively meeting the accounting needs of the Commission. During the 2023-24 financial year additional audit issues with the current system were identified prompting approval to initiate a project aimed at assessing the FRC’s accounting functional requirements and exploring alternative software solutions.</w:t>
      </w:r>
    </w:p>
    <w:p w14:paraId="2D059261" w14:textId="77777777" w:rsidR="00F377E0" w:rsidRPr="00F377E0" w:rsidRDefault="00F377E0" w:rsidP="00F377E0">
      <w:pPr>
        <w:ind w:left="-142" w:right="-425"/>
        <w:jc w:val="both"/>
        <w:rPr>
          <w:rFonts w:cs="Arial"/>
        </w:rPr>
      </w:pPr>
    </w:p>
    <w:p w14:paraId="2C194AF6" w14:textId="77777777" w:rsidR="00073851" w:rsidRDefault="00073851" w:rsidP="00F377E0">
      <w:pPr>
        <w:ind w:left="-142" w:right="-425"/>
        <w:jc w:val="both"/>
        <w:rPr>
          <w:rFonts w:cs="Arial"/>
        </w:rPr>
      </w:pPr>
      <w:r w:rsidRPr="00F377E0">
        <w:rPr>
          <w:rFonts w:cs="Arial"/>
        </w:rPr>
        <w:lastRenderedPageBreak/>
        <w:t>A leading Australian audit and accounting organisation were engaged to support the FRC with the process of documenting the Commission’s requirements and supporting the implementation of a replacement system. The FRC’s functional requirements were distributed to potential suppliers who were invited to provide a submission, and an Accounting Software Evaluation Panel was established to evaluate and assess the submissions.</w:t>
      </w:r>
    </w:p>
    <w:p w14:paraId="34111081" w14:textId="77777777" w:rsidR="00F377E0" w:rsidRPr="00F377E0" w:rsidRDefault="00F377E0" w:rsidP="00F377E0">
      <w:pPr>
        <w:ind w:left="-142" w:right="-425"/>
        <w:jc w:val="both"/>
        <w:rPr>
          <w:rFonts w:cs="Arial"/>
        </w:rPr>
      </w:pPr>
    </w:p>
    <w:p w14:paraId="615D9B01" w14:textId="77777777" w:rsidR="00073851" w:rsidRDefault="00073851" w:rsidP="00F377E0">
      <w:pPr>
        <w:ind w:left="-142" w:right="-425"/>
        <w:jc w:val="both"/>
        <w:rPr>
          <w:rFonts w:cs="Arial"/>
        </w:rPr>
      </w:pPr>
      <w:r w:rsidRPr="00F377E0">
        <w:rPr>
          <w:rFonts w:cs="Arial"/>
        </w:rPr>
        <w:t>A successful supplier was identified and approval to proceed to implementation was granted by the Commissioner at the end of May 2025.</w:t>
      </w:r>
    </w:p>
    <w:p w14:paraId="038BACD7" w14:textId="77777777" w:rsidR="00F377E0" w:rsidRPr="00F377E0" w:rsidRDefault="00F377E0" w:rsidP="00F377E0">
      <w:pPr>
        <w:ind w:left="-142" w:right="-425"/>
        <w:jc w:val="both"/>
        <w:rPr>
          <w:rFonts w:cs="Arial"/>
        </w:rPr>
      </w:pPr>
    </w:p>
    <w:p w14:paraId="5F1054D2" w14:textId="77777777" w:rsidR="00073851" w:rsidRPr="00F377E0" w:rsidRDefault="00073851" w:rsidP="00F377E0">
      <w:pPr>
        <w:ind w:left="-142" w:right="-425"/>
        <w:jc w:val="both"/>
        <w:rPr>
          <w:rFonts w:cs="Arial"/>
        </w:rPr>
      </w:pPr>
      <w:r w:rsidRPr="00F377E0">
        <w:rPr>
          <w:rFonts w:cs="Arial"/>
        </w:rPr>
        <w:t>The new accounting software system is expected to be implemented during the 2025-26 financial year.</w:t>
      </w:r>
    </w:p>
    <w:p w14:paraId="383F5585" w14:textId="77777777" w:rsidR="0022103B" w:rsidRDefault="0022103B" w:rsidP="0022103B">
      <w:pPr>
        <w:ind w:left="-142" w:right="-425"/>
        <w:jc w:val="both"/>
      </w:pPr>
    </w:p>
    <w:p w14:paraId="0B4D5E18" w14:textId="77777777" w:rsidR="003D582F" w:rsidRPr="003D582F" w:rsidRDefault="003D582F" w:rsidP="003D582F">
      <w:pPr>
        <w:ind w:left="-142" w:right="-425"/>
        <w:jc w:val="both"/>
      </w:pPr>
      <w:bookmarkStart w:id="35" w:name="_Hlk130207001"/>
      <w:bookmarkStart w:id="36" w:name="_Hlk143596962"/>
      <w:r>
        <w:br w:type="page"/>
      </w:r>
    </w:p>
    <w:p w14:paraId="59FA8724" w14:textId="55F36592" w:rsidR="005A5B78" w:rsidRPr="00E34093" w:rsidRDefault="005A5B78" w:rsidP="005A5B78">
      <w:pPr>
        <w:pStyle w:val="Heading1"/>
        <w:ind w:left="-142" w:right="-426"/>
      </w:pPr>
      <w:bookmarkStart w:id="37" w:name="RANGE!A4:I20"/>
      <w:bookmarkStart w:id="38" w:name="_Toc39657993"/>
      <w:bookmarkEnd w:id="35"/>
      <w:bookmarkEnd w:id="36"/>
      <w:bookmarkEnd w:id="37"/>
      <w:r w:rsidRPr="00E34093">
        <w:lastRenderedPageBreak/>
        <w:t xml:space="preserve">3.  </w:t>
      </w:r>
      <w:r w:rsidR="000541CA">
        <w:t>Governance</w:t>
      </w:r>
      <w:bookmarkEnd w:id="38"/>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C41210">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30A320D6"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w:t>
      </w:r>
      <w:r w:rsidR="00B9637D">
        <w:rPr>
          <w:rFonts w:cs="Arial"/>
        </w:rPr>
        <w:t xml:space="preserve">During quarter </w:t>
      </w:r>
      <w:r w:rsidR="00EF7EFC">
        <w:rPr>
          <w:rFonts w:cs="Arial"/>
        </w:rPr>
        <w:t>68</w:t>
      </w:r>
      <w:r w:rsidR="00B9637D">
        <w:rPr>
          <w:rFonts w:cs="Arial"/>
        </w:rPr>
        <w:t xml:space="preserve"> t</w:t>
      </w:r>
      <w:r w:rsidRPr="00E34093">
        <w:rPr>
          <w:rFonts w:cs="Arial"/>
        </w:rPr>
        <w:t xml:space="preserve">he </w:t>
      </w:r>
      <w:r w:rsidR="00FA7528">
        <w:rPr>
          <w:rFonts w:cs="Arial"/>
        </w:rPr>
        <w:t xml:space="preserve">FR </w:t>
      </w:r>
      <w:r w:rsidRPr="00E34093">
        <w:rPr>
          <w:rFonts w:cs="Arial"/>
        </w:rPr>
        <w:t>Board’s membership consist</w:t>
      </w:r>
      <w:r w:rsidR="00B9637D">
        <w:rPr>
          <w:rFonts w:cs="Arial"/>
        </w:rPr>
        <w:t>ed</w:t>
      </w:r>
      <w:r w:rsidRPr="00E34093">
        <w:rPr>
          <w:rFonts w:cs="Arial"/>
        </w:rPr>
        <w:t xml:space="preserve">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30580BCA" w14:textId="103EEF24" w:rsidR="005862C7" w:rsidRDefault="005862C7" w:rsidP="00FC008A">
      <w:pPr>
        <w:pStyle w:val="ListBullet"/>
        <w:ind w:left="2863" w:hanging="3005"/>
      </w:pPr>
      <w:r>
        <w:t xml:space="preserve">Ms </w:t>
      </w:r>
      <w:r w:rsidR="004506AE">
        <w:t>Kathy Parton</w:t>
      </w:r>
      <w:r>
        <w:tab/>
      </w:r>
      <w:r w:rsidR="004506AE">
        <w:t xml:space="preserve">Deputy </w:t>
      </w:r>
      <w:r>
        <w:t>Director-General, Department of Women, Aboriginal and Torres Strait Islander Partnerships and Multiculturalism (Chair)</w:t>
      </w:r>
      <w:r w:rsidR="000001F4">
        <w:t xml:space="preserve"> – Board Chair until 16 June 2025</w:t>
      </w:r>
    </w:p>
    <w:p w14:paraId="74927F8C" w14:textId="41F5CEB5" w:rsidR="005862C7" w:rsidRDefault="005862C7" w:rsidP="005862C7">
      <w:pPr>
        <w:pStyle w:val="ListBullet"/>
        <w:ind w:left="2863" w:hanging="3005"/>
      </w:pPr>
      <w:r>
        <w:t>Ms Jody Broun</w:t>
      </w:r>
      <w:r w:rsidRPr="00A42E2F">
        <w:tab/>
      </w:r>
      <w:r w:rsidRPr="00A42E2F">
        <w:tab/>
      </w:r>
      <w:r>
        <w:t>CEO, National Indigenous Australians Agency</w:t>
      </w:r>
    </w:p>
    <w:p w14:paraId="1C4EBA4C" w14:textId="4434A087" w:rsidR="005262F9" w:rsidRPr="00A42E2F" w:rsidRDefault="005262F9" w:rsidP="005262F9">
      <w:pPr>
        <w:pStyle w:val="ListBullet"/>
        <w:ind w:left="2863" w:hanging="3005"/>
      </w:pPr>
      <w:r w:rsidRPr="00E34093">
        <w:t>Mr Noel Pearson</w:t>
      </w:r>
      <w:r w:rsidRPr="00A42E2F">
        <w:tab/>
      </w:r>
      <w:r w:rsidRPr="00A42E2F">
        <w:tab/>
      </w:r>
      <w:r>
        <w:t>Founder, Cape York Partnership representing the Cape York Institute.</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C41210">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39" w:name="_Toc39657994"/>
      <w:r>
        <w:lastRenderedPageBreak/>
        <w:t>4</w:t>
      </w:r>
      <w:r w:rsidRPr="00E34093">
        <w:t>.  Financial Operations</w:t>
      </w:r>
      <w:bookmarkEnd w:id="39"/>
    </w:p>
    <w:p w14:paraId="3ABAF23C" w14:textId="77777777" w:rsidR="009637A0" w:rsidRPr="00E34093" w:rsidRDefault="009637A0" w:rsidP="005A5B78">
      <w:pPr>
        <w:ind w:left="-142" w:right="-425"/>
        <w:jc w:val="both"/>
        <w:rPr>
          <w:rFonts w:cs="Arial"/>
        </w:rPr>
      </w:pPr>
    </w:p>
    <w:p w14:paraId="5B9A8681" w14:textId="77777777" w:rsidR="00C2682B" w:rsidRPr="003B072E" w:rsidRDefault="00C2682B" w:rsidP="00C41210">
      <w:pPr>
        <w:pStyle w:val="Heading2"/>
      </w:pPr>
      <w:r w:rsidRPr="003B072E">
        <w:t>Income:</w:t>
      </w:r>
    </w:p>
    <w:p w14:paraId="5226D79B" w14:textId="0D6AC18F" w:rsidR="00C2682B" w:rsidRPr="00375E2B" w:rsidRDefault="00C2682B" w:rsidP="00C2682B">
      <w:pPr>
        <w:pStyle w:val="ListBullet"/>
        <w:ind w:left="215" w:hanging="357"/>
      </w:pPr>
      <w:r w:rsidRPr="003B072E">
        <w:t>Income of the Commission attributable to the quarter (</w:t>
      </w:r>
      <w:r w:rsidR="008E6F77">
        <w:t>1 April</w:t>
      </w:r>
      <w:r w:rsidR="0014564D" w:rsidRPr="003B072E">
        <w:t xml:space="preserve"> </w:t>
      </w:r>
      <w:r w:rsidR="00BC09BB" w:rsidRPr="003B072E">
        <w:t>202</w:t>
      </w:r>
      <w:r w:rsidR="0014564D" w:rsidRPr="003B072E">
        <w:t>5</w:t>
      </w:r>
      <w:r w:rsidR="00BC09BB" w:rsidRPr="003B072E">
        <w:t xml:space="preserve"> to </w:t>
      </w:r>
      <w:r w:rsidR="008E6F77">
        <w:t>30 June</w:t>
      </w:r>
      <w:r w:rsidR="0014564D" w:rsidRPr="003B072E">
        <w:t xml:space="preserve"> </w:t>
      </w:r>
      <w:r w:rsidR="00BC09BB" w:rsidRPr="003B072E">
        <w:t>202</w:t>
      </w:r>
      <w:r w:rsidR="0014564D" w:rsidRPr="003B072E">
        <w:t>5</w:t>
      </w:r>
      <w:r w:rsidRPr="003B072E">
        <w:t>) totalled $</w:t>
      </w:r>
      <w:r w:rsidR="00E45C75" w:rsidRPr="0031519F">
        <w:t>1,</w:t>
      </w:r>
      <w:r w:rsidR="00375E2B" w:rsidRPr="00375E2B">
        <w:t>463,382</w:t>
      </w:r>
      <w:r w:rsidRPr="00375E2B">
        <w:t>. This income consisted of:</w:t>
      </w:r>
    </w:p>
    <w:p w14:paraId="372A3FDC" w14:textId="56FA85D8" w:rsidR="00C2682B" w:rsidRPr="00375E2B" w:rsidRDefault="00C2682B" w:rsidP="00C2682B">
      <w:pPr>
        <w:pStyle w:val="ListBullet2"/>
      </w:pPr>
      <w:r w:rsidRPr="00375E2B">
        <w:t>$</w:t>
      </w:r>
      <w:r w:rsidR="00375E2B" w:rsidRPr="00375E2B">
        <w:t>896,500</w:t>
      </w:r>
      <w:r w:rsidRPr="00375E2B">
        <w:t xml:space="preserve"> Queensland Government funding</w:t>
      </w:r>
    </w:p>
    <w:p w14:paraId="6AE099A2" w14:textId="2BC1D25C" w:rsidR="00C2682B" w:rsidRPr="00375E2B" w:rsidRDefault="00C2682B" w:rsidP="00C2682B">
      <w:pPr>
        <w:pStyle w:val="ListBullet2"/>
      </w:pPr>
      <w:r w:rsidRPr="00375E2B">
        <w:t>$</w:t>
      </w:r>
      <w:r w:rsidR="00E45C75" w:rsidRPr="00375E2B">
        <w:t>515,000</w:t>
      </w:r>
      <w:r w:rsidRPr="00375E2B">
        <w:t xml:space="preserve"> Australian Government funding</w:t>
      </w:r>
    </w:p>
    <w:p w14:paraId="4572DD54" w14:textId="0E633F16" w:rsidR="00C2682B" w:rsidRPr="00375E2B" w:rsidRDefault="00C2682B" w:rsidP="00C2682B">
      <w:pPr>
        <w:pStyle w:val="ListBullet2"/>
      </w:pPr>
      <w:r w:rsidRPr="00375E2B">
        <w:t>$</w:t>
      </w:r>
      <w:r w:rsidR="00375E2B" w:rsidRPr="00375E2B">
        <w:t>51,862</w:t>
      </w:r>
      <w:r w:rsidRPr="00375E2B">
        <w:t xml:space="preserve"> interest received</w:t>
      </w:r>
    </w:p>
    <w:p w14:paraId="62A1B48F" w14:textId="3177C63B" w:rsidR="00C2682B" w:rsidRPr="00375E2B" w:rsidRDefault="00C2682B" w:rsidP="00C2682B">
      <w:pPr>
        <w:pStyle w:val="ListBullet2"/>
      </w:pPr>
      <w:r w:rsidRPr="00375E2B">
        <w:t>$</w:t>
      </w:r>
      <w:r w:rsidR="00375E2B" w:rsidRPr="0031519F">
        <w:t>20</w:t>
      </w:r>
      <w:r w:rsidR="009110C8" w:rsidRPr="00375E2B">
        <w:t xml:space="preserve"> </w:t>
      </w:r>
      <w:r w:rsidRPr="00375E2B">
        <w:t>sundry income.</w:t>
      </w:r>
    </w:p>
    <w:p w14:paraId="7098B201" w14:textId="77777777" w:rsidR="00C2682B" w:rsidRDefault="00C2682B" w:rsidP="00C2682B">
      <w:pPr>
        <w:ind w:left="-142" w:right="-425"/>
        <w:jc w:val="both"/>
        <w:rPr>
          <w:rFonts w:cs="Arial"/>
        </w:rPr>
      </w:pPr>
    </w:p>
    <w:p w14:paraId="2CF1CB52" w14:textId="1D785312" w:rsidR="00C2682B" w:rsidRPr="009110C8" w:rsidRDefault="00C2682B" w:rsidP="00C2682B">
      <w:pPr>
        <w:ind w:left="-142" w:right="-425"/>
        <w:jc w:val="both"/>
        <w:rPr>
          <w:rFonts w:cs="Arial"/>
        </w:rPr>
      </w:pPr>
      <w:r w:rsidRPr="0073709D">
        <w:rPr>
          <w:rFonts w:cs="Arial"/>
        </w:rPr>
        <w:t xml:space="preserve">The balance of available funds in the bank as at </w:t>
      </w:r>
      <w:r w:rsidR="008E6F77">
        <w:rPr>
          <w:rFonts w:cs="Arial"/>
        </w:rPr>
        <w:t>30 June</w:t>
      </w:r>
      <w:r w:rsidR="0014564D">
        <w:rPr>
          <w:rFonts w:cs="Arial"/>
        </w:rPr>
        <w:t xml:space="preserve"> </w:t>
      </w:r>
      <w:r>
        <w:rPr>
          <w:rFonts w:cs="Arial"/>
        </w:rPr>
        <w:t>202</w:t>
      </w:r>
      <w:r w:rsidR="0014564D">
        <w:rPr>
          <w:rFonts w:cs="Arial"/>
        </w:rPr>
        <w:t>5</w:t>
      </w:r>
      <w:r w:rsidRPr="0073709D">
        <w:rPr>
          <w:rFonts w:cs="Arial"/>
        </w:rPr>
        <w:t xml:space="preserve"> </w:t>
      </w:r>
      <w:r w:rsidRPr="008E6DBA">
        <w:rPr>
          <w:rFonts w:cs="Arial"/>
        </w:rPr>
        <w:t xml:space="preserve">is </w:t>
      </w:r>
      <w:r w:rsidRPr="00E66000">
        <w:rPr>
          <w:rFonts w:cs="Arial"/>
        </w:rPr>
        <w:t>$</w:t>
      </w:r>
      <w:r w:rsidR="00770D02">
        <w:rPr>
          <w:rFonts w:cs="Arial"/>
        </w:rPr>
        <w:t>4,664,923</w:t>
      </w:r>
      <w:r w:rsidR="003D2743">
        <w:rPr>
          <w:rFonts w:cs="Arial"/>
        </w:rPr>
        <w:t>.</w:t>
      </w:r>
    </w:p>
    <w:p w14:paraId="5311E579" w14:textId="77777777" w:rsidR="00C2682B" w:rsidRPr="009110C8" w:rsidRDefault="00C2682B" w:rsidP="00C2682B">
      <w:pPr>
        <w:ind w:left="-142" w:right="-425"/>
        <w:jc w:val="both"/>
        <w:rPr>
          <w:rFonts w:cs="Arial"/>
        </w:rPr>
      </w:pPr>
    </w:p>
    <w:p w14:paraId="709D473E" w14:textId="77777777" w:rsidR="00C2682B" w:rsidRPr="009110C8" w:rsidRDefault="00C2682B" w:rsidP="00C41210">
      <w:pPr>
        <w:pStyle w:val="Heading2"/>
      </w:pPr>
      <w:r w:rsidRPr="009110C8">
        <w:t>Expenditure:</w:t>
      </w:r>
    </w:p>
    <w:p w14:paraId="5CC31221" w14:textId="4DD6F634" w:rsidR="00C2682B" w:rsidRPr="009110C8" w:rsidRDefault="00C2682B" w:rsidP="00C2682B">
      <w:pPr>
        <w:pStyle w:val="ListBullet"/>
        <w:ind w:left="2863" w:hanging="3005"/>
      </w:pPr>
      <w:r w:rsidRPr="009110C8">
        <w:t>Expenditure for the quarter (</w:t>
      </w:r>
      <w:r w:rsidR="008E6F77">
        <w:t>1 April</w:t>
      </w:r>
      <w:r w:rsidR="0014564D" w:rsidRPr="009110C8">
        <w:t xml:space="preserve"> 202</w:t>
      </w:r>
      <w:r w:rsidR="0014564D">
        <w:t>5</w:t>
      </w:r>
      <w:r w:rsidR="0014564D" w:rsidRPr="009110C8">
        <w:t xml:space="preserve"> to </w:t>
      </w:r>
      <w:r w:rsidR="008E6F77">
        <w:t>30 June</w:t>
      </w:r>
      <w:r w:rsidR="0014564D" w:rsidRPr="009110C8">
        <w:t xml:space="preserve"> 202</w:t>
      </w:r>
      <w:r w:rsidR="0014564D">
        <w:t>5</w:t>
      </w:r>
      <w:r w:rsidRPr="009110C8">
        <w:t>) was $</w:t>
      </w:r>
      <w:r w:rsidR="003B072E" w:rsidRPr="0031519F">
        <w:t>1,</w:t>
      </w:r>
      <w:r w:rsidR="00770D02">
        <w:t>252,274</w:t>
      </w:r>
    </w:p>
    <w:p w14:paraId="4555CA86" w14:textId="07475910" w:rsidR="00D840DE" w:rsidRDefault="00D840DE" w:rsidP="009F0A67">
      <w:pPr>
        <w:ind w:left="-142" w:right="-425"/>
        <w:jc w:val="both"/>
        <w:rPr>
          <w:rFonts w:cs="Arial"/>
        </w:rPr>
      </w:pPr>
    </w:p>
    <w:p w14:paraId="40442581" w14:textId="49741130" w:rsidR="00EB0526" w:rsidRDefault="00EB0526" w:rsidP="009D766A">
      <w:pPr>
        <w:ind w:left="-142" w:right="-425"/>
        <w:jc w:val="both"/>
        <w:rPr>
          <w:rFonts w:cs="Arial"/>
          <w:sz w:val="16"/>
          <w:szCs w:val="16"/>
        </w:rPr>
      </w:pPr>
      <w:r w:rsidRPr="009D766A">
        <w:rPr>
          <w:rFonts w:cs="Arial"/>
          <w:b/>
          <w:sz w:val="16"/>
          <w:szCs w:val="16"/>
        </w:rPr>
        <w:t xml:space="preserve">Table </w:t>
      </w:r>
      <w:r w:rsidR="00D2716E">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EF7EFC">
        <w:rPr>
          <w:rFonts w:cs="Arial"/>
          <w:sz w:val="16"/>
          <w:szCs w:val="16"/>
        </w:rPr>
        <w:t>68</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14564D"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00F1A917" w:rsidR="0014564D" w:rsidRPr="00872CBA" w:rsidRDefault="008E6F77" w:rsidP="0014564D">
            <w:pPr>
              <w:pStyle w:val="StyleTableTextBoldCentered"/>
              <w:rPr>
                <w:lang w:eastAsia="en-AU"/>
              </w:rPr>
            </w:pPr>
            <w:r>
              <w:rPr>
                <w:lang w:eastAsia="en-AU"/>
              </w:rPr>
              <w:t>1 April</w:t>
            </w:r>
            <w:r w:rsidR="0014564D">
              <w:rPr>
                <w:lang w:eastAsia="en-AU"/>
              </w:rPr>
              <w:t xml:space="preserve"> 2025</w:t>
            </w:r>
            <w:r w:rsidR="0014564D"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14564D" w:rsidRPr="00872CBA" w:rsidRDefault="0014564D" w:rsidP="0014564D">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44F07159" w:rsidR="0014564D" w:rsidRPr="00872CBA" w:rsidRDefault="008E6F77" w:rsidP="0014564D">
            <w:pPr>
              <w:pStyle w:val="StyleTableTextBoldCentered"/>
              <w:rPr>
                <w:lang w:eastAsia="en-AU"/>
              </w:rPr>
            </w:pPr>
            <w:r>
              <w:rPr>
                <w:lang w:eastAsia="en-AU"/>
              </w:rPr>
              <w:t>1 April</w:t>
            </w:r>
            <w:r w:rsidR="0014564D">
              <w:rPr>
                <w:lang w:eastAsia="en-AU"/>
              </w:rPr>
              <w:t xml:space="preserve"> 2025</w:t>
            </w:r>
            <w:r w:rsidR="0014564D"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14564D" w:rsidRPr="00872CBA" w:rsidRDefault="0014564D" w:rsidP="0014564D">
            <w:pPr>
              <w:pStyle w:val="StyleTableTextBoldCentered"/>
              <w:rPr>
                <w:lang w:eastAsia="en-AU"/>
              </w:rPr>
            </w:pPr>
            <w:r w:rsidRPr="00872CBA">
              <w:rPr>
                <w:lang w:eastAsia="en-AU"/>
              </w:rPr>
              <w:t>Expenditure</w:t>
            </w:r>
          </w:p>
        </w:tc>
      </w:tr>
      <w:tr w:rsidR="0014564D"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74B9FA33" w:rsidR="0014564D" w:rsidRPr="00872CBA" w:rsidRDefault="008E6F77" w:rsidP="0014564D">
            <w:pPr>
              <w:pStyle w:val="StyleTableTextBoldCentered"/>
              <w:rPr>
                <w:lang w:eastAsia="en-AU"/>
              </w:rPr>
            </w:pPr>
            <w:r>
              <w:rPr>
                <w:lang w:eastAsia="en-AU"/>
              </w:rPr>
              <w:t>30 June</w:t>
            </w:r>
            <w:r w:rsidR="0014564D">
              <w:rPr>
                <w:lang w:eastAsia="en-AU"/>
              </w:rPr>
              <w:t xml:space="preserve"> 2025</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6235D82A" w:rsidR="0014564D" w:rsidRPr="00872CBA" w:rsidRDefault="0014564D" w:rsidP="0014564D">
            <w:pPr>
              <w:pStyle w:val="StyleTableTextBoldCentered"/>
              <w:rPr>
                <w:lang w:eastAsia="en-AU"/>
              </w:rPr>
            </w:pPr>
            <w:r w:rsidRPr="00872CBA">
              <w:rPr>
                <w:lang w:eastAsia="en-AU"/>
              </w:rPr>
              <w:t xml:space="preserve">Qtr </w:t>
            </w:r>
            <w:r w:rsidR="00EF7EFC">
              <w:rPr>
                <w:lang w:eastAsia="en-AU"/>
              </w:rPr>
              <w:t>68</w:t>
            </w:r>
          </w:p>
        </w:tc>
        <w:tc>
          <w:tcPr>
            <w:tcW w:w="2552" w:type="dxa"/>
            <w:tcBorders>
              <w:top w:val="nil"/>
              <w:left w:val="nil"/>
              <w:bottom w:val="nil"/>
              <w:right w:val="single" w:sz="4" w:space="0" w:color="FFFFFF"/>
            </w:tcBorders>
            <w:shd w:val="clear" w:color="auto" w:fill="000000"/>
            <w:noWrap/>
            <w:vAlign w:val="bottom"/>
          </w:tcPr>
          <w:p w14:paraId="7FB7D45D" w14:textId="58E4C71A" w:rsidR="0014564D" w:rsidRPr="00872CBA" w:rsidRDefault="008E6F77" w:rsidP="0014564D">
            <w:pPr>
              <w:pStyle w:val="StyleTableTextBoldCentered"/>
              <w:rPr>
                <w:lang w:eastAsia="en-AU"/>
              </w:rPr>
            </w:pPr>
            <w:r>
              <w:rPr>
                <w:lang w:eastAsia="en-AU"/>
              </w:rPr>
              <w:t>30 June</w:t>
            </w:r>
            <w:r w:rsidR="0014564D">
              <w:rPr>
                <w:lang w:eastAsia="en-AU"/>
              </w:rPr>
              <w:t xml:space="preserve"> 2025</w:t>
            </w:r>
          </w:p>
        </w:tc>
        <w:tc>
          <w:tcPr>
            <w:tcW w:w="1701" w:type="dxa"/>
            <w:tcBorders>
              <w:top w:val="nil"/>
              <w:left w:val="nil"/>
              <w:bottom w:val="nil"/>
              <w:right w:val="nil"/>
            </w:tcBorders>
            <w:shd w:val="clear" w:color="auto" w:fill="000000"/>
            <w:noWrap/>
            <w:vAlign w:val="bottom"/>
          </w:tcPr>
          <w:p w14:paraId="4A5AEAEC" w14:textId="42FF9BB5" w:rsidR="0014564D" w:rsidRPr="00872CBA" w:rsidRDefault="0014564D" w:rsidP="0014564D">
            <w:pPr>
              <w:pStyle w:val="StyleTableTextBoldCentered"/>
              <w:rPr>
                <w:lang w:eastAsia="en-AU"/>
              </w:rPr>
            </w:pPr>
            <w:r w:rsidRPr="00872CBA">
              <w:rPr>
                <w:lang w:eastAsia="en-AU"/>
              </w:rPr>
              <w:t xml:space="preserve">Qtr </w:t>
            </w:r>
            <w:r w:rsidR="00EF7EFC">
              <w:rPr>
                <w:lang w:eastAsia="en-AU"/>
              </w:rPr>
              <w:t>68</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892AAA" w:rsidRPr="00865891" w14:paraId="2D15F069"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03F208C7" w14:textId="78CD1F94" w:rsidR="00892AAA" w:rsidRPr="00872CBA" w:rsidRDefault="00892AAA" w:rsidP="00892AAA">
            <w:pPr>
              <w:pStyle w:val="TableText"/>
            </w:pPr>
            <w:r>
              <w:rPr>
                <w:kern w:val="2"/>
                <w14:ligatures w14:val="standardContextual"/>
              </w:rPr>
              <w:t>Employee expenses – FRC staff</w:t>
            </w:r>
          </w:p>
        </w:tc>
        <w:tc>
          <w:tcPr>
            <w:tcW w:w="1701" w:type="dxa"/>
            <w:tcBorders>
              <w:top w:val="single" w:sz="4" w:space="0" w:color="auto"/>
              <w:left w:val="nil"/>
              <w:bottom w:val="single" w:sz="4" w:space="0" w:color="auto"/>
              <w:right w:val="single" w:sz="4" w:space="0" w:color="auto"/>
            </w:tcBorders>
            <w:noWrap/>
            <w:vAlign w:val="center"/>
          </w:tcPr>
          <w:p w14:paraId="77476AD8" w14:textId="64463BAD" w:rsidR="00892AAA" w:rsidRPr="00865891" w:rsidRDefault="00770D02" w:rsidP="00892AAA">
            <w:pPr>
              <w:jc w:val="right"/>
            </w:pPr>
            <w:r>
              <w:t>$743,177</w:t>
            </w:r>
          </w:p>
        </w:tc>
        <w:tc>
          <w:tcPr>
            <w:tcW w:w="2552" w:type="dxa"/>
            <w:tcBorders>
              <w:top w:val="single" w:sz="4" w:space="0" w:color="auto"/>
              <w:left w:val="nil"/>
              <w:bottom w:val="single" w:sz="4" w:space="0" w:color="auto"/>
              <w:right w:val="single" w:sz="4" w:space="0" w:color="auto"/>
            </w:tcBorders>
            <w:noWrap/>
            <w:vAlign w:val="center"/>
          </w:tcPr>
          <w:p w14:paraId="09DAD549" w14:textId="50283CA0" w:rsidR="00892AAA" w:rsidRPr="00865891" w:rsidRDefault="00892AAA" w:rsidP="00892AAA">
            <w:pPr>
              <w:pStyle w:val="TableText"/>
            </w:pPr>
            <w:r w:rsidRPr="00865891">
              <w:rPr>
                <w:kern w:val="2"/>
                <w14:ligatures w14:val="standardContextual"/>
              </w:rPr>
              <w:t>Travel</w:t>
            </w:r>
          </w:p>
        </w:tc>
        <w:tc>
          <w:tcPr>
            <w:tcW w:w="1701" w:type="dxa"/>
            <w:tcBorders>
              <w:top w:val="single" w:sz="4" w:space="0" w:color="auto"/>
              <w:left w:val="nil"/>
              <w:bottom w:val="single" w:sz="4" w:space="0" w:color="auto"/>
              <w:right w:val="single" w:sz="4" w:space="0" w:color="auto"/>
            </w:tcBorders>
            <w:noWrap/>
            <w:vAlign w:val="center"/>
          </w:tcPr>
          <w:p w14:paraId="2B350BE4" w14:textId="12F6CA46" w:rsidR="00892AAA" w:rsidRPr="00865891" w:rsidRDefault="00770D02" w:rsidP="00892AAA">
            <w:pPr>
              <w:jc w:val="right"/>
            </w:pPr>
            <w:r>
              <w:t>$74,936</w:t>
            </w:r>
          </w:p>
        </w:tc>
      </w:tr>
      <w:tr w:rsidR="00892AAA" w:rsidRPr="00865891" w14:paraId="7FFFC35B"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3DB4CA08" w14:textId="11D0F577" w:rsidR="00892AAA" w:rsidRPr="00872CBA" w:rsidRDefault="00892AAA" w:rsidP="00892AAA">
            <w:pPr>
              <w:pStyle w:val="TableText"/>
            </w:pPr>
            <w:r>
              <w:rPr>
                <w:kern w:val="2"/>
                <w14:ligatures w14:val="standardContextual"/>
              </w:rPr>
              <w:t>Employee expenses – Local Commissioners</w:t>
            </w:r>
          </w:p>
        </w:tc>
        <w:tc>
          <w:tcPr>
            <w:tcW w:w="1701" w:type="dxa"/>
            <w:tcBorders>
              <w:top w:val="single" w:sz="4" w:space="0" w:color="auto"/>
              <w:left w:val="nil"/>
              <w:bottom w:val="single" w:sz="4" w:space="0" w:color="auto"/>
              <w:right w:val="single" w:sz="4" w:space="0" w:color="auto"/>
            </w:tcBorders>
            <w:noWrap/>
            <w:vAlign w:val="center"/>
          </w:tcPr>
          <w:p w14:paraId="5BB75F3C" w14:textId="3FBF5BCC" w:rsidR="00892AAA" w:rsidRPr="00865891" w:rsidRDefault="00770D02" w:rsidP="00892AAA">
            <w:pPr>
              <w:jc w:val="right"/>
            </w:pPr>
            <w:r>
              <w:t>$141,792</w:t>
            </w:r>
          </w:p>
        </w:tc>
        <w:tc>
          <w:tcPr>
            <w:tcW w:w="2552" w:type="dxa"/>
            <w:tcBorders>
              <w:top w:val="single" w:sz="4" w:space="0" w:color="auto"/>
              <w:left w:val="nil"/>
              <w:bottom w:val="single" w:sz="4" w:space="0" w:color="auto"/>
              <w:right w:val="single" w:sz="4" w:space="0" w:color="auto"/>
            </w:tcBorders>
            <w:noWrap/>
            <w:vAlign w:val="center"/>
          </w:tcPr>
          <w:p w14:paraId="24CD61D5" w14:textId="550CEC51" w:rsidR="00892AAA" w:rsidRPr="00865891" w:rsidRDefault="00892AAA" w:rsidP="00892AAA">
            <w:pPr>
              <w:pStyle w:val="TableText"/>
            </w:pPr>
            <w:r w:rsidRPr="00865891">
              <w:rPr>
                <w:kern w:val="2"/>
                <w14:ligatures w14:val="standardContextual"/>
              </w:rPr>
              <w:t>IT and Communications</w:t>
            </w:r>
          </w:p>
        </w:tc>
        <w:tc>
          <w:tcPr>
            <w:tcW w:w="1701" w:type="dxa"/>
            <w:tcBorders>
              <w:top w:val="single" w:sz="4" w:space="0" w:color="auto"/>
              <w:left w:val="nil"/>
              <w:bottom w:val="single" w:sz="4" w:space="0" w:color="auto"/>
              <w:right w:val="single" w:sz="4" w:space="0" w:color="auto"/>
            </w:tcBorders>
            <w:noWrap/>
            <w:vAlign w:val="center"/>
          </w:tcPr>
          <w:p w14:paraId="762EE478" w14:textId="4FDA5898" w:rsidR="00892AAA" w:rsidRPr="00865891" w:rsidRDefault="00770D02" w:rsidP="00892AAA">
            <w:pPr>
              <w:jc w:val="right"/>
            </w:pPr>
            <w:r>
              <w:t>$50,964</w:t>
            </w:r>
          </w:p>
        </w:tc>
      </w:tr>
      <w:tr w:rsidR="00892AAA" w:rsidRPr="00865891" w14:paraId="5A0EE9F7"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11F66C54" w14:textId="32E74B93" w:rsidR="00892AAA" w:rsidRPr="00872CBA" w:rsidRDefault="00892AAA" w:rsidP="00892AAA">
            <w:pPr>
              <w:pStyle w:val="TableText"/>
            </w:pPr>
            <w:r w:rsidRPr="00767EF1">
              <w:rPr>
                <w:kern w:val="2"/>
                <w14:ligatures w14:val="standardContextual"/>
              </w:rPr>
              <w:t>Other employment costs (Agency)</w:t>
            </w:r>
          </w:p>
        </w:tc>
        <w:tc>
          <w:tcPr>
            <w:tcW w:w="1701" w:type="dxa"/>
            <w:tcBorders>
              <w:top w:val="single" w:sz="4" w:space="0" w:color="auto"/>
              <w:left w:val="nil"/>
              <w:bottom w:val="single" w:sz="4" w:space="0" w:color="auto"/>
              <w:right w:val="single" w:sz="4" w:space="0" w:color="auto"/>
            </w:tcBorders>
            <w:noWrap/>
            <w:vAlign w:val="center"/>
          </w:tcPr>
          <w:p w14:paraId="35A68624" w14:textId="00C0D382" w:rsidR="00892AAA" w:rsidRPr="00865891" w:rsidRDefault="00770D02" w:rsidP="00892AAA">
            <w:pPr>
              <w:jc w:val="right"/>
            </w:pPr>
            <w:r>
              <w:t>$79,472</w:t>
            </w:r>
          </w:p>
        </w:tc>
        <w:tc>
          <w:tcPr>
            <w:tcW w:w="2552" w:type="dxa"/>
            <w:tcBorders>
              <w:top w:val="single" w:sz="4" w:space="0" w:color="auto"/>
              <w:left w:val="nil"/>
              <w:bottom w:val="single" w:sz="4" w:space="0" w:color="auto"/>
              <w:right w:val="single" w:sz="4" w:space="0" w:color="auto"/>
            </w:tcBorders>
            <w:noWrap/>
            <w:vAlign w:val="center"/>
          </w:tcPr>
          <w:p w14:paraId="5074F2B0" w14:textId="11281434" w:rsidR="00892AAA" w:rsidRPr="00865891" w:rsidRDefault="00892AAA" w:rsidP="00892AAA">
            <w:pPr>
              <w:pStyle w:val="TableText"/>
            </w:pPr>
            <w:r w:rsidRPr="00865891">
              <w:rPr>
                <w:kern w:val="2"/>
                <w14:ligatures w14:val="standardContextual"/>
              </w:rPr>
              <w:t>Property</w:t>
            </w:r>
          </w:p>
        </w:tc>
        <w:tc>
          <w:tcPr>
            <w:tcW w:w="1701" w:type="dxa"/>
            <w:tcBorders>
              <w:top w:val="single" w:sz="4" w:space="0" w:color="auto"/>
              <w:left w:val="nil"/>
              <w:bottom w:val="single" w:sz="4" w:space="0" w:color="auto"/>
              <w:right w:val="single" w:sz="4" w:space="0" w:color="auto"/>
            </w:tcBorders>
            <w:noWrap/>
            <w:vAlign w:val="center"/>
          </w:tcPr>
          <w:p w14:paraId="318F1B16" w14:textId="393E6BF8" w:rsidR="00892AAA" w:rsidRPr="00865891" w:rsidRDefault="00770D02" w:rsidP="00892AAA">
            <w:pPr>
              <w:jc w:val="right"/>
            </w:pPr>
            <w:r>
              <w:t>$89,963</w:t>
            </w:r>
          </w:p>
        </w:tc>
      </w:tr>
      <w:tr w:rsidR="00892AAA" w:rsidRPr="00865891" w14:paraId="34DE04A2"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093293CF" w14:textId="63AF48BD" w:rsidR="00892AAA" w:rsidRPr="00872CBA" w:rsidRDefault="00892AAA" w:rsidP="00892AAA">
            <w:pPr>
              <w:pStyle w:val="TableText"/>
            </w:pPr>
            <w:r w:rsidRPr="005D350A">
              <w:rPr>
                <w:kern w:val="2"/>
                <w14:ligatures w14:val="standardContextual"/>
              </w:rPr>
              <w:t>Other supplies and services</w:t>
            </w:r>
          </w:p>
        </w:tc>
        <w:tc>
          <w:tcPr>
            <w:tcW w:w="1701" w:type="dxa"/>
            <w:tcBorders>
              <w:top w:val="single" w:sz="4" w:space="0" w:color="auto"/>
              <w:left w:val="nil"/>
              <w:bottom w:val="single" w:sz="4" w:space="0" w:color="auto"/>
              <w:right w:val="single" w:sz="4" w:space="0" w:color="auto"/>
            </w:tcBorders>
            <w:noWrap/>
            <w:vAlign w:val="center"/>
          </w:tcPr>
          <w:p w14:paraId="745D0EF7" w14:textId="0FE5A3E8" w:rsidR="00892AAA" w:rsidRPr="00865891" w:rsidRDefault="00770D02" w:rsidP="00892AAA">
            <w:pPr>
              <w:jc w:val="right"/>
            </w:pPr>
            <w:r>
              <w:t>$71,970</w:t>
            </w:r>
          </w:p>
        </w:tc>
        <w:tc>
          <w:tcPr>
            <w:tcW w:w="2552" w:type="dxa"/>
            <w:tcBorders>
              <w:top w:val="single" w:sz="4" w:space="0" w:color="auto"/>
              <w:left w:val="nil"/>
              <w:bottom w:val="single" w:sz="4" w:space="0" w:color="auto"/>
              <w:right w:val="single" w:sz="4" w:space="0" w:color="auto"/>
            </w:tcBorders>
            <w:noWrap/>
            <w:vAlign w:val="center"/>
          </w:tcPr>
          <w:p w14:paraId="3113FE5C" w14:textId="762EF0D2" w:rsidR="00892AAA" w:rsidRPr="00865891" w:rsidRDefault="00892AAA" w:rsidP="00892AAA">
            <w:pPr>
              <w:pStyle w:val="TableText"/>
            </w:pPr>
            <w:r w:rsidRPr="00865891">
              <w:rPr>
                <w:b/>
                <w:bCs/>
                <w:kern w:val="2"/>
                <w14:ligatures w14:val="standardContextual"/>
              </w:rPr>
              <w:t>Total</w:t>
            </w:r>
          </w:p>
        </w:tc>
        <w:tc>
          <w:tcPr>
            <w:tcW w:w="1701" w:type="dxa"/>
            <w:tcBorders>
              <w:top w:val="single" w:sz="4" w:space="0" w:color="auto"/>
              <w:left w:val="nil"/>
              <w:bottom w:val="single" w:sz="4" w:space="0" w:color="auto"/>
              <w:right w:val="single" w:sz="4" w:space="0" w:color="auto"/>
            </w:tcBorders>
            <w:noWrap/>
            <w:vAlign w:val="center"/>
          </w:tcPr>
          <w:p w14:paraId="6711E729" w14:textId="7D469A9F" w:rsidR="00892AAA" w:rsidRPr="00865891" w:rsidRDefault="00692EED" w:rsidP="00892AAA">
            <w:pPr>
              <w:jc w:val="right"/>
            </w:pPr>
            <w:r>
              <w:t>$1,252,274</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A45527" w:rsidRDefault="00331081" w:rsidP="00CD4DBB">
      <w:pPr>
        <w:pStyle w:val="ListParagraph"/>
        <w:numPr>
          <w:ilvl w:val="0"/>
          <w:numId w:val="9"/>
        </w:numPr>
        <w:spacing w:after="120"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Community operations </w:t>
      </w:r>
      <w:r w:rsidRPr="00A45527">
        <w:rPr>
          <w:rFonts w:ascii="Verdana" w:hAnsi="Verdana" w:cs="Arial"/>
          <w:bCs/>
          <w:sz w:val="20"/>
          <w:szCs w:val="20"/>
        </w:rPr>
        <w:t>– further broken down into:</w:t>
      </w:r>
    </w:p>
    <w:p w14:paraId="400A74B2" w14:textId="7792F3DC"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On-the-ground community operational expenses </w:t>
      </w:r>
      <w:r w:rsidR="00B12E4B" w:rsidRPr="00A45527">
        <w:rPr>
          <w:rFonts w:ascii="Verdana" w:hAnsi="Verdana" w:cs="Arial"/>
          <w:sz w:val="20"/>
          <w:szCs w:val="20"/>
        </w:rPr>
        <w:t xml:space="preserve">including </w:t>
      </w:r>
      <w:r w:rsidR="00E8141B" w:rsidRPr="00E8141B">
        <w:rPr>
          <w:rFonts w:ascii="Verdana" w:hAnsi="Verdana" w:cs="Arial"/>
          <w:sz w:val="20"/>
          <w:szCs w:val="20"/>
        </w:rPr>
        <w:t>the operational expenses in each of the five communities to conduct conferences and hearings, prepare and monitor case plans for clients for attendance at community support services, prepare and monitor income management orders and agreements and undertake client engagement activities.</w:t>
      </w:r>
    </w:p>
    <w:p w14:paraId="6C2BB238" w14:textId="0B6E68E6"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Support and facilitation expenses </w:t>
      </w:r>
      <w:r w:rsidR="00B12E4B" w:rsidRPr="00A45527">
        <w:rPr>
          <w:rFonts w:ascii="Verdana" w:hAnsi="Verdana" w:cs="Arial"/>
          <w:sz w:val="20"/>
          <w:szCs w:val="20"/>
        </w:rPr>
        <w:t xml:space="preserve">including </w:t>
      </w:r>
      <w:r w:rsidR="00E8141B" w:rsidRPr="00E8141B">
        <w:rPr>
          <w:rFonts w:ascii="Verdana" w:hAnsi="Verdana" w:cs="Arial"/>
          <w:sz w:val="20"/>
          <w:szCs w:val="20"/>
        </w:rPr>
        <w:t>costs associated with facilitating the holding of conferences and hearings in the five communities, providing support to the Local Commissioners and Local Registry Coordinators to hold conferences, hearings and client engagement activities, assisting with the ongoing monitoring of case plans for clients through the provision of data and other information and processing income management orders and agreements.</w:t>
      </w:r>
    </w:p>
    <w:p w14:paraId="6360FB36" w14:textId="63B62480" w:rsidR="00331081" w:rsidRPr="00A45527" w:rsidRDefault="00331081" w:rsidP="00331081">
      <w:pPr>
        <w:pStyle w:val="ListParagraph"/>
        <w:numPr>
          <w:ilvl w:val="0"/>
          <w:numId w:val="9"/>
        </w:numPr>
        <w:spacing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Corporate governance </w:t>
      </w:r>
      <w:r w:rsidR="00B12E4B" w:rsidRPr="00A45527">
        <w:rPr>
          <w:rFonts w:ascii="Verdana" w:hAnsi="Verdana" w:cs="Arial"/>
          <w:sz w:val="20"/>
          <w:szCs w:val="20"/>
        </w:rPr>
        <w:t xml:space="preserve">includes </w:t>
      </w:r>
      <w:r w:rsidR="00E8141B" w:rsidRPr="00E8141B">
        <w:rPr>
          <w:rFonts w:ascii="Verdana" w:hAnsi="Verdana" w:cs="Arial"/>
          <w:sz w:val="20"/>
          <w:szCs w:val="20"/>
        </w:rPr>
        <w:t>finance, statistical reporting, corporate governance, compliance, information technology, training and other administrative functions to ensure the effective and efficient operations of the Commission.</w:t>
      </w:r>
    </w:p>
    <w:p w14:paraId="7850D318" w14:textId="77777777" w:rsidR="00E62FD0" w:rsidRDefault="00E62FD0">
      <w:pPr>
        <w:spacing w:line="240" w:lineRule="auto"/>
        <w:rPr>
          <w:rFonts w:cs="Arial"/>
        </w:rPr>
      </w:pPr>
      <w:r>
        <w:rPr>
          <w:rFonts w:cs="Arial"/>
        </w:rPr>
        <w:br w:type="page"/>
      </w:r>
    </w:p>
    <w:p w14:paraId="55D8945D" w14:textId="7E35FDA6" w:rsidR="00C14FC9" w:rsidRPr="0020608D" w:rsidRDefault="00C14FC9" w:rsidP="0020608D">
      <w:pPr>
        <w:ind w:left="-142" w:right="-425"/>
        <w:jc w:val="both"/>
        <w:rPr>
          <w:rFonts w:cs="Arial"/>
        </w:rPr>
      </w:pPr>
      <w:r w:rsidRPr="0020608D">
        <w:rPr>
          <w:rFonts w:cs="Arial"/>
        </w:rPr>
        <w:lastRenderedPageBreak/>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863906D" w14:textId="0755F4FB" w:rsidR="00C2682B" w:rsidRDefault="00C2682B" w:rsidP="00C2682B">
      <w:pPr>
        <w:ind w:left="-142" w:right="-425"/>
        <w:jc w:val="both"/>
        <w:rPr>
          <w:rFonts w:cs="Arial"/>
        </w:rPr>
      </w:pPr>
      <w:r>
        <w:rPr>
          <w:rFonts w:cs="Arial"/>
        </w:rPr>
        <w:t xml:space="preserve">As can be observed in Graph 13 below which displays the allocation of </w:t>
      </w:r>
      <w:r w:rsidRPr="00B156C7">
        <w:rPr>
          <w:rFonts w:cs="Arial"/>
        </w:rPr>
        <w:t>FRC costs</w:t>
      </w:r>
      <w:r w:rsidRPr="0020608D">
        <w:rPr>
          <w:rFonts w:cs="Arial"/>
        </w:rPr>
        <w:t xml:space="preserve"> </w:t>
      </w:r>
      <w:r>
        <w:rPr>
          <w:rFonts w:cs="Arial"/>
        </w:rPr>
        <w:t xml:space="preserve">across the core functions in quarter </w:t>
      </w:r>
      <w:r w:rsidR="00EF7EFC">
        <w:rPr>
          <w:rFonts w:cs="Arial"/>
        </w:rPr>
        <w:t>68</w:t>
      </w:r>
      <w:r>
        <w:rPr>
          <w:rFonts w:cs="Arial"/>
        </w:rPr>
        <w:t xml:space="preserve">, the largest allocation during the reporting period is in relation to community </w:t>
      </w:r>
      <w:r w:rsidRPr="00B001D4">
        <w:rPr>
          <w:rFonts w:cs="Arial"/>
        </w:rPr>
        <w:t>operations (</w:t>
      </w:r>
      <w:r w:rsidR="00895A6B" w:rsidRPr="0031519F">
        <w:rPr>
          <w:rFonts w:cs="Arial"/>
        </w:rPr>
        <w:t>70.4</w:t>
      </w:r>
      <w:r w:rsidR="00DD36DF" w:rsidRPr="00B001D4">
        <w:rPr>
          <w:rFonts w:cs="Arial"/>
        </w:rPr>
        <w:t>%</w:t>
      </w:r>
      <w:r w:rsidRPr="00B001D4">
        <w:rPr>
          <w:rFonts w:cs="Arial"/>
        </w:rPr>
        <w:t>).</w:t>
      </w:r>
    </w:p>
    <w:p w14:paraId="608B292F" w14:textId="1CE778A4" w:rsidR="00B24617" w:rsidRDefault="00B24617" w:rsidP="00994941">
      <w:pPr>
        <w:ind w:left="-142" w:right="-425"/>
        <w:jc w:val="both"/>
        <w:rPr>
          <w:rFonts w:cs="Arial"/>
        </w:rPr>
      </w:pPr>
    </w:p>
    <w:p w14:paraId="6FFC7769" w14:textId="75A71719" w:rsidR="00D2716E" w:rsidRDefault="00D2716E" w:rsidP="00D2716E">
      <w:pPr>
        <w:spacing w:line="240" w:lineRule="auto"/>
        <w:ind w:left="-142"/>
        <w:jc w:val="both"/>
        <w:rPr>
          <w:rFonts w:cs="Arial"/>
          <w:sz w:val="16"/>
          <w:szCs w:val="16"/>
        </w:rPr>
      </w:pPr>
      <w:r>
        <w:rPr>
          <w:rFonts w:cs="Arial"/>
          <w:b/>
          <w:sz w:val="16"/>
          <w:szCs w:val="16"/>
        </w:rPr>
        <w:t>Table 24</w:t>
      </w:r>
      <w:r w:rsidRPr="006A4DD7">
        <w:rPr>
          <w:rFonts w:cs="Arial"/>
          <w:b/>
          <w:sz w:val="16"/>
          <w:szCs w:val="16"/>
        </w:rPr>
        <w:t xml:space="preserve">: </w:t>
      </w:r>
      <w:r>
        <w:rPr>
          <w:rFonts w:cs="Arial"/>
          <w:sz w:val="16"/>
          <w:szCs w:val="16"/>
        </w:rPr>
        <w:t xml:space="preserve">Allocation of expenses 1 </w:t>
      </w:r>
      <w:r>
        <w:rPr>
          <w:rFonts w:cs="Arial"/>
          <w:sz w:val="16"/>
          <w:szCs w:val="16"/>
        </w:rPr>
        <w:t>April</w:t>
      </w:r>
      <w:r>
        <w:rPr>
          <w:rFonts w:cs="Arial"/>
          <w:sz w:val="16"/>
          <w:szCs w:val="16"/>
        </w:rPr>
        <w:t xml:space="preserve"> 2025 to 3</w:t>
      </w:r>
      <w:r>
        <w:rPr>
          <w:rFonts w:cs="Arial"/>
          <w:sz w:val="16"/>
          <w:szCs w:val="16"/>
        </w:rPr>
        <w:t xml:space="preserve">0 June </w:t>
      </w:r>
      <w:r>
        <w:rPr>
          <w:rFonts w:cs="Arial"/>
          <w:sz w:val="16"/>
          <w:szCs w:val="16"/>
        </w:rPr>
        <w:t>2025</w:t>
      </w:r>
    </w:p>
    <w:p w14:paraId="437DF121" w14:textId="77777777" w:rsidR="00D2716E" w:rsidRPr="0070366B" w:rsidRDefault="00D2716E" w:rsidP="00D2716E">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D2716E" w:rsidRPr="00920636" w14:paraId="097D9783" w14:textId="77777777" w:rsidTr="006E46CB">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51984DBD" w14:textId="77777777" w:rsidR="00D2716E" w:rsidRPr="000F130C" w:rsidRDefault="00D2716E" w:rsidP="006E46CB">
            <w:pPr>
              <w:pStyle w:val="TableText"/>
              <w:ind w:left="49"/>
              <w:rPr>
                <w:b/>
                <w:lang w:eastAsia="en-AU"/>
              </w:rPr>
            </w:pPr>
            <w:bookmarkStart w:id="40"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5AEB21D4" w14:textId="77777777" w:rsidR="00D2716E" w:rsidRDefault="00D2716E" w:rsidP="006E46CB">
            <w:pPr>
              <w:pStyle w:val="TableText"/>
              <w:jc w:val="right"/>
              <w:rPr>
                <w:b/>
                <w:lang w:eastAsia="en-AU"/>
              </w:rPr>
            </w:pPr>
            <w:r>
              <w:rPr>
                <w:b/>
                <w:lang w:eastAsia="en-AU"/>
              </w:rPr>
              <w:t>Percentage of Allocated Expenses</w:t>
            </w:r>
          </w:p>
        </w:tc>
      </w:tr>
      <w:tr w:rsidR="00D2716E" w:rsidRPr="00920636" w14:paraId="219B331F" w14:textId="77777777" w:rsidTr="006E46CB">
        <w:trPr>
          <w:trHeight w:val="255"/>
        </w:trPr>
        <w:tc>
          <w:tcPr>
            <w:tcW w:w="3871" w:type="dxa"/>
            <w:tcBorders>
              <w:top w:val="nil"/>
              <w:left w:val="single" w:sz="4" w:space="0" w:color="auto"/>
              <w:bottom w:val="single" w:sz="4" w:space="0" w:color="auto"/>
              <w:right w:val="single" w:sz="4" w:space="0" w:color="auto"/>
            </w:tcBorders>
            <w:noWrap/>
          </w:tcPr>
          <w:p w14:paraId="322A39BC" w14:textId="77777777" w:rsidR="00D2716E" w:rsidRPr="00E72DFB" w:rsidRDefault="00D2716E" w:rsidP="006E46CB">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18F59D2B" w14:textId="2CA29927" w:rsidR="00D2716E" w:rsidRDefault="00F94E8A" w:rsidP="006E46CB">
            <w:pPr>
              <w:pStyle w:val="TableText"/>
              <w:jc w:val="right"/>
              <w:rPr>
                <w:lang w:eastAsia="en-AU"/>
              </w:rPr>
            </w:pPr>
            <w:r>
              <w:rPr>
                <w:lang w:eastAsia="en-AU"/>
              </w:rPr>
              <w:t>29.6</w:t>
            </w:r>
            <w:r w:rsidR="00D2716E">
              <w:rPr>
                <w:lang w:eastAsia="en-AU"/>
              </w:rPr>
              <w:t>%</w:t>
            </w:r>
          </w:p>
        </w:tc>
      </w:tr>
      <w:tr w:rsidR="00D2716E" w:rsidRPr="00920636" w14:paraId="41CCA7AD" w14:textId="77777777" w:rsidTr="006E46CB">
        <w:trPr>
          <w:trHeight w:val="255"/>
        </w:trPr>
        <w:tc>
          <w:tcPr>
            <w:tcW w:w="3871" w:type="dxa"/>
            <w:tcBorders>
              <w:top w:val="nil"/>
              <w:left w:val="single" w:sz="4" w:space="0" w:color="auto"/>
              <w:bottom w:val="single" w:sz="4" w:space="0" w:color="auto"/>
              <w:right w:val="single" w:sz="4" w:space="0" w:color="auto"/>
            </w:tcBorders>
            <w:noWrap/>
            <w:hideMark/>
          </w:tcPr>
          <w:p w14:paraId="5A04DE16" w14:textId="77777777" w:rsidR="00D2716E" w:rsidRPr="00E72DFB" w:rsidRDefault="00D2716E" w:rsidP="006E46CB">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07C8EA2E" w14:textId="4DEEB254" w:rsidR="00D2716E" w:rsidRDefault="00F94E8A" w:rsidP="006E46CB">
            <w:pPr>
              <w:pStyle w:val="TableText"/>
              <w:jc w:val="right"/>
              <w:rPr>
                <w:lang w:eastAsia="en-AU"/>
              </w:rPr>
            </w:pPr>
            <w:r>
              <w:rPr>
                <w:lang w:eastAsia="en-AU"/>
              </w:rPr>
              <w:t>70.4</w:t>
            </w:r>
            <w:r w:rsidR="00D2716E">
              <w:rPr>
                <w:lang w:eastAsia="en-AU"/>
              </w:rPr>
              <w:t>%</w:t>
            </w:r>
          </w:p>
        </w:tc>
      </w:tr>
      <w:tr w:rsidR="00D2716E" w:rsidRPr="00920636" w14:paraId="1EDA230A" w14:textId="77777777" w:rsidTr="006E46CB">
        <w:trPr>
          <w:trHeight w:val="255"/>
        </w:trPr>
        <w:tc>
          <w:tcPr>
            <w:tcW w:w="3871" w:type="dxa"/>
            <w:tcBorders>
              <w:top w:val="nil"/>
              <w:left w:val="single" w:sz="4" w:space="0" w:color="auto"/>
              <w:bottom w:val="single" w:sz="4" w:space="0" w:color="auto"/>
              <w:right w:val="single" w:sz="4" w:space="0" w:color="auto"/>
            </w:tcBorders>
            <w:noWrap/>
            <w:hideMark/>
          </w:tcPr>
          <w:p w14:paraId="63495DD4" w14:textId="77777777" w:rsidR="00D2716E" w:rsidRPr="000F130C" w:rsidRDefault="00D2716E" w:rsidP="006E46CB">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10A180E2" w14:textId="77777777" w:rsidR="00D2716E" w:rsidRDefault="00D2716E" w:rsidP="006E46CB">
            <w:pPr>
              <w:pStyle w:val="TableText"/>
              <w:jc w:val="right"/>
              <w:rPr>
                <w:b/>
                <w:lang w:eastAsia="en-AU"/>
              </w:rPr>
            </w:pPr>
            <w:r>
              <w:rPr>
                <w:b/>
                <w:lang w:eastAsia="en-AU"/>
              </w:rPr>
              <w:t>100.0%</w:t>
            </w:r>
          </w:p>
        </w:tc>
      </w:tr>
      <w:bookmarkEnd w:id="40"/>
    </w:tbl>
    <w:p w14:paraId="317EEE4E" w14:textId="77777777" w:rsidR="00D2716E" w:rsidRDefault="00D2716E" w:rsidP="00D2716E">
      <w:pPr>
        <w:ind w:left="-142" w:right="-425"/>
        <w:jc w:val="both"/>
        <w:rPr>
          <w:rFonts w:cs="Arial"/>
        </w:rPr>
      </w:pPr>
    </w:p>
    <w:p w14:paraId="6D88FE99" w14:textId="77777777" w:rsidR="00D2716E" w:rsidRDefault="00D2716E" w:rsidP="00D2716E">
      <w:pPr>
        <w:ind w:left="-142" w:right="-425"/>
        <w:jc w:val="both"/>
        <w:rPr>
          <w:rFonts w:cs="Arial"/>
        </w:rPr>
      </w:pPr>
      <w:r>
        <w:rPr>
          <w:rFonts w:cs="Arial"/>
        </w:rPr>
        <w:t>R</w:t>
      </w:r>
      <w:r w:rsidRPr="00190B3A">
        <w:rPr>
          <w:rFonts w:cs="Arial"/>
        </w:rPr>
        <w:t>egional operational expenditure by location and quarter</w:t>
      </w:r>
      <w:r>
        <w:rPr>
          <w:rFonts w:cs="Arial"/>
        </w:rPr>
        <w:t>.</w:t>
      </w:r>
    </w:p>
    <w:p w14:paraId="3B9C32BC" w14:textId="77777777" w:rsidR="00D2716E" w:rsidRDefault="00D2716E" w:rsidP="00D2716E">
      <w:pPr>
        <w:ind w:left="-142" w:right="-425"/>
        <w:jc w:val="both"/>
        <w:rPr>
          <w:rFonts w:cs="Arial"/>
        </w:rPr>
      </w:pPr>
    </w:p>
    <w:p w14:paraId="72533993" w14:textId="3EEE6331" w:rsidR="00D2716E" w:rsidRDefault="00D2716E" w:rsidP="00D2716E">
      <w:pPr>
        <w:ind w:left="-142" w:right="-425"/>
        <w:jc w:val="both"/>
        <w:rPr>
          <w:rFonts w:cs="Arial"/>
          <w:sz w:val="16"/>
          <w:szCs w:val="16"/>
        </w:rPr>
      </w:pPr>
      <w:r>
        <w:rPr>
          <w:rFonts w:cs="Arial"/>
          <w:b/>
          <w:sz w:val="16"/>
          <w:szCs w:val="16"/>
        </w:rPr>
        <w:t>Table 25</w:t>
      </w:r>
      <w:r w:rsidRPr="006A4DD7">
        <w:rPr>
          <w:rFonts w:cs="Arial"/>
          <w:b/>
          <w:sz w:val="16"/>
          <w:szCs w:val="16"/>
        </w:rPr>
        <w:t xml:space="preserve">: </w:t>
      </w:r>
      <w:r>
        <w:rPr>
          <w:rFonts w:cs="Arial"/>
          <w:sz w:val="16"/>
          <w:szCs w:val="16"/>
        </w:rPr>
        <w:t>Operating c</w:t>
      </w:r>
      <w:r w:rsidRPr="006A4DD7">
        <w:rPr>
          <w:rFonts w:cs="Arial"/>
          <w:sz w:val="16"/>
          <w:szCs w:val="16"/>
        </w:rPr>
        <w:t xml:space="preserve">osts by remote </w:t>
      </w:r>
      <w:r w:rsidRPr="0031561D">
        <w:rPr>
          <w:rFonts w:cs="Arial"/>
          <w:sz w:val="16"/>
          <w:szCs w:val="16"/>
        </w:rPr>
        <w:t xml:space="preserve">location </w:t>
      </w:r>
      <w:r>
        <w:rPr>
          <w:rFonts w:cs="Arial"/>
          <w:sz w:val="16"/>
          <w:szCs w:val="16"/>
        </w:rPr>
        <w:t xml:space="preserve">1 </w:t>
      </w:r>
      <w:r w:rsidR="003B23C4">
        <w:rPr>
          <w:rFonts w:cs="Arial"/>
          <w:sz w:val="16"/>
          <w:szCs w:val="16"/>
        </w:rPr>
        <w:t>April</w:t>
      </w:r>
      <w:r>
        <w:rPr>
          <w:rFonts w:cs="Arial"/>
          <w:sz w:val="16"/>
          <w:szCs w:val="16"/>
        </w:rPr>
        <w:t xml:space="preserve"> 2024 to 3</w:t>
      </w:r>
      <w:r w:rsidR="003B23C4">
        <w:rPr>
          <w:rFonts w:cs="Arial"/>
          <w:sz w:val="16"/>
          <w:szCs w:val="16"/>
        </w:rPr>
        <w:t xml:space="preserve">0 June </w:t>
      </w:r>
      <w:r>
        <w:rPr>
          <w:rFonts w:cs="Arial"/>
          <w:sz w:val="16"/>
          <w:szCs w:val="16"/>
        </w:rPr>
        <w:t>2025</w:t>
      </w:r>
    </w:p>
    <w:p w14:paraId="7DD4B017" w14:textId="77777777" w:rsidR="00D2716E" w:rsidRPr="0070366B" w:rsidRDefault="00D2716E" w:rsidP="00D2716E">
      <w:pPr>
        <w:spacing w:line="240" w:lineRule="auto"/>
        <w:ind w:left="-142"/>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3B23C4" w:rsidRPr="000F130C" w14:paraId="4AE25017" w14:textId="77777777" w:rsidTr="006E46C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63744D93" w14:textId="77777777" w:rsidR="003B23C4" w:rsidRPr="000F130C" w:rsidRDefault="003B23C4" w:rsidP="003B23C4">
            <w:pPr>
              <w:pStyle w:val="TableText"/>
              <w:ind w:left="49"/>
              <w:rPr>
                <w:b/>
                <w:lang w:eastAsia="en-AU"/>
              </w:rPr>
            </w:pPr>
            <w:bookmarkStart w:id="41"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7FD0FDE7" w14:textId="33DEAEDD" w:rsidR="003B23C4" w:rsidRDefault="003B23C4" w:rsidP="003B23C4">
            <w:pPr>
              <w:pStyle w:val="TableText"/>
              <w:jc w:val="right"/>
              <w:rPr>
                <w:b/>
                <w:lang w:eastAsia="en-AU"/>
              </w:rPr>
            </w:pPr>
            <w:r>
              <w:rPr>
                <w:b/>
                <w:lang w:eastAsia="en-AU"/>
              </w:rPr>
              <w:t>Qtr 64</w:t>
            </w:r>
          </w:p>
        </w:tc>
        <w:tc>
          <w:tcPr>
            <w:tcW w:w="1242" w:type="dxa"/>
            <w:tcBorders>
              <w:top w:val="single" w:sz="4" w:space="0" w:color="auto"/>
              <w:left w:val="nil"/>
              <w:bottom w:val="single" w:sz="4" w:space="0" w:color="auto"/>
              <w:right w:val="single" w:sz="4" w:space="0" w:color="auto"/>
            </w:tcBorders>
          </w:tcPr>
          <w:p w14:paraId="0FA990A4" w14:textId="3BB12389" w:rsidR="003B23C4" w:rsidRDefault="003B23C4" w:rsidP="003B23C4">
            <w:pPr>
              <w:pStyle w:val="TableText"/>
              <w:jc w:val="right"/>
              <w:rPr>
                <w:b/>
                <w:lang w:eastAsia="en-AU"/>
              </w:rPr>
            </w:pPr>
            <w:r>
              <w:rPr>
                <w:b/>
                <w:lang w:eastAsia="en-AU"/>
              </w:rPr>
              <w:t>Qtr 65</w:t>
            </w:r>
          </w:p>
        </w:tc>
        <w:tc>
          <w:tcPr>
            <w:tcW w:w="1242" w:type="dxa"/>
            <w:tcBorders>
              <w:top w:val="single" w:sz="4" w:space="0" w:color="auto"/>
              <w:left w:val="nil"/>
              <w:bottom w:val="single" w:sz="4" w:space="0" w:color="auto"/>
              <w:right w:val="single" w:sz="4" w:space="0" w:color="auto"/>
            </w:tcBorders>
          </w:tcPr>
          <w:p w14:paraId="771E91A8" w14:textId="2CE9520F" w:rsidR="003B23C4" w:rsidRDefault="003B23C4" w:rsidP="003B23C4">
            <w:pPr>
              <w:pStyle w:val="TableText"/>
              <w:jc w:val="right"/>
              <w:rPr>
                <w:b/>
                <w:lang w:eastAsia="en-AU"/>
              </w:rPr>
            </w:pPr>
            <w:r>
              <w:rPr>
                <w:b/>
                <w:lang w:eastAsia="en-AU"/>
              </w:rPr>
              <w:t>Qtr 66</w:t>
            </w:r>
          </w:p>
        </w:tc>
        <w:tc>
          <w:tcPr>
            <w:tcW w:w="1242" w:type="dxa"/>
            <w:tcBorders>
              <w:top w:val="single" w:sz="4" w:space="0" w:color="auto"/>
              <w:left w:val="nil"/>
              <w:bottom w:val="single" w:sz="4" w:space="0" w:color="auto"/>
              <w:right w:val="single" w:sz="4" w:space="0" w:color="auto"/>
            </w:tcBorders>
          </w:tcPr>
          <w:p w14:paraId="6AC6CF11" w14:textId="5E16F5CC" w:rsidR="003B23C4" w:rsidRDefault="003B23C4" w:rsidP="003B23C4">
            <w:pPr>
              <w:pStyle w:val="TableText"/>
              <w:jc w:val="right"/>
              <w:rPr>
                <w:b/>
                <w:lang w:eastAsia="en-AU"/>
              </w:rPr>
            </w:pPr>
            <w:r>
              <w:rPr>
                <w:b/>
                <w:lang w:eastAsia="en-AU"/>
              </w:rPr>
              <w:t>Qtr 67</w:t>
            </w:r>
          </w:p>
        </w:tc>
        <w:tc>
          <w:tcPr>
            <w:tcW w:w="1242" w:type="dxa"/>
            <w:tcBorders>
              <w:top w:val="single" w:sz="4" w:space="0" w:color="auto"/>
              <w:left w:val="nil"/>
              <w:bottom w:val="single" w:sz="4" w:space="0" w:color="auto"/>
              <w:right w:val="single" w:sz="4" w:space="0" w:color="auto"/>
            </w:tcBorders>
          </w:tcPr>
          <w:p w14:paraId="6802B4E3" w14:textId="1F5CB7FF" w:rsidR="003B23C4" w:rsidRDefault="003B23C4" w:rsidP="003B23C4">
            <w:pPr>
              <w:pStyle w:val="TableText"/>
              <w:jc w:val="right"/>
              <w:rPr>
                <w:b/>
                <w:lang w:eastAsia="en-AU"/>
              </w:rPr>
            </w:pPr>
            <w:r>
              <w:rPr>
                <w:b/>
                <w:lang w:eastAsia="en-AU"/>
              </w:rPr>
              <w:t>Qtr 6</w:t>
            </w:r>
            <w:r>
              <w:rPr>
                <w:b/>
                <w:lang w:eastAsia="en-AU"/>
              </w:rPr>
              <w:t>8</w:t>
            </w:r>
          </w:p>
        </w:tc>
      </w:tr>
      <w:tr w:rsidR="003B23C4" w:rsidRPr="000F130C" w14:paraId="6939F9A7" w14:textId="77777777" w:rsidTr="0045240A">
        <w:trPr>
          <w:trHeight w:val="255"/>
        </w:trPr>
        <w:tc>
          <w:tcPr>
            <w:tcW w:w="2596" w:type="dxa"/>
            <w:tcBorders>
              <w:top w:val="nil"/>
              <w:left w:val="single" w:sz="4" w:space="0" w:color="auto"/>
              <w:bottom w:val="single" w:sz="4" w:space="0" w:color="auto"/>
              <w:right w:val="single" w:sz="4" w:space="0" w:color="auto"/>
            </w:tcBorders>
            <w:noWrap/>
            <w:hideMark/>
          </w:tcPr>
          <w:p w14:paraId="67276436" w14:textId="77777777" w:rsidR="003B23C4" w:rsidRPr="000F130C" w:rsidRDefault="003B23C4" w:rsidP="003B23C4">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vAlign w:val="bottom"/>
          </w:tcPr>
          <w:p w14:paraId="6D3C4DFF" w14:textId="0C6C992C" w:rsidR="003B23C4" w:rsidRDefault="003B23C4" w:rsidP="003B23C4">
            <w:pPr>
              <w:pStyle w:val="TableText"/>
              <w:jc w:val="right"/>
              <w:rPr>
                <w:rFonts w:cs="Calibri"/>
                <w:color w:val="000000"/>
              </w:rPr>
            </w:pPr>
            <w:r w:rsidRPr="00F700AE">
              <w:rPr>
                <w:rFonts w:cs="Calibri"/>
                <w:color w:val="000000"/>
              </w:rPr>
              <w:t>107K</w:t>
            </w:r>
          </w:p>
        </w:tc>
        <w:tc>
          <w:tcPr>
            <w:tcW w:w="1242" w:type="dxa"/>
            <w:tcBorders>
              <w:top w:val="nil"/>
              <w:left w:val="nil"/>
              <w:bottom w:val="single" w:sz="4" w:space="0" w:color="auto"/>
              <w:right w:val="single" w:sz="4" w:space="0" w:color="auto"/>
            </w:tcBorders>
            <w:vAlign w:val="bottom"/>
          </w:tcPr>
          <w:p w14:paraId="3D891C6F" w14:textId="65E8C49A" w:rsidR="003B23C4" w:rsidRDefault="003B23C4" w:rsidP="003B23C4">
            <w:pPr>
              <w:pStyle w:val="TableText"/>
              <w:jc w:val="right"/>
              <w:rPr>
                <w:rFonts w:cs="Calibri"/>
                <w:color w:val="000000"/>
              </w:rPr>
            </w:pPr>
            <w:r w:rsidRPr="00F35CC5">
              <w:rPr>
                <w:rFonts w:cs="Calibri"/>
                <w:color w:val="000000"/>
              </w:rPr>
              <w:t>101K</w:t>
            </w:r>
          </w:p>
        </w:tc>
        <w:tc>
          <w:tcPr>
            <w:tcW w:w="1242" w:type="dxa"/>
            <w:tcBorders>
              <w:top w:val="nil"/>
              <w:left w:val="nil"/>
              <w:bottom w:val="single" w:sz="4" w:space="0" w:color="auto"/>
              <w:right w:val="single" w:sz="4" w:space="0" w:color="auto"/>
            </w:tcBorders>
            <w:vAlign w:val="bottom"/>
          </w:tcPr>
          <w:p w14:paraId="50149E46" w14:textId="695F79B3" w:rsidR="003B23C4" w:rsidRDefault="003B23C4" w:rsidP="003B23C4">
            <w:pPr>
              <w:pStyle w:val="TableText"/>
              <w:jc w:val="right"/>
              <w:rPr>
                <w:rFonts w:cs="Calibri"/>
                <w:color w:val="000000"/>
              </w:rPr>
            </w:pPr>
            <w:r>
              <w:rPr>
                <w:rFonts w:cs="Calibri"/>
                <w:color w:val="000000"/>
              </w:rPr>
              <w:t>107K</w:t>
            </w:r>
          </w:p>
        </w:tc>
        <w:tc>
          <w:tcPr>
            <w:tcW w:w="1242" w:type="dxa"/>
            <w:tcBorders>
              <w:top w:val="nil"/>
              <w:left w:val="nil"/>
              <w:bottom w:val="single" w:sz="4" w:space="0" w:color="auto"/>
              <w:right w:val="single" w:sz="4" w:space="0" w:color="auto"/>
            </w:tcBorders>
            <w:vAlign w:val="bottom"/>
          </w:tcPr>
          <w:p w14:paraId="4208B600" w14:textId="600ADE09" w:rsidR="003B23C4" w:rsidRDefault="003B23C4" w:rsidP="003B23C4">
            <w:pPr>
              <w:pStyle w:val="TableText"/>
              <w:jc w:val="right"/>
              <w:rPr>
                <w:rFonts w:cs="Calibri"/>
                <w:color w:val="000000"/>
              </w:rPr>
            </w:pPr>
            <w:r>
              <w:rPr>
                <w:rFonts w:cs="Calibri"/>
                <w:color w:val="000000"/>
              </w:rPr>
              <w:t>116K</w:t>
            </w:r>
          </w:p>
        </w:tc>
        <w:tc>
          <w:tcPr>
            <w:tcW w:w="1242" w:type="dxa"/>
            <w:tcBorders>
              <w:top w:val="nil"/>
              <w:left w:val="nil"/>
              <w:bottom w:val="single" w:sz="4" w:space="0" w:color="auto"/>
              <w:right w:val="single" w:sz="4" w:space="0" w:color="auto"/>
            </w:tcBorders>
            <w:vAlign w:val="bottom"/>
          </w:tcPr>
          <w:p w14:paraId="633AFE48" w14:textId="5E50984E" w:rsidR="003B23C4" w:rsidRDefault="003B23C4" w:rsidP="003B23C4">
            <w:pPr>
              <w:pStyle w:val="TableText"/>
              <w:jc w:val="right"/>
              <w:rPr>
                <w:rFonts w:cs="Calibri"/>
                <w:color w:val="000000"/>
              </w:rPr>
            </w:pPr>
            <w:r>
              <w:rPr>
                <w:rFonts w:cs="Calibri"/>
                <w:color w:val="000000"/>
              </w:rPr>
              <w:t>1</w:t>
            </w:r>
            <w:r w:rsidR="00552181">
              <w:rPr>
                <w:rFonts w:cs="Calibri"/>
                <w:color w:val="000000"/>
              </w:rPr>
              <w:t>21</w:t>
            </w:r>
            <w:r>
              <w:rPr>
                <w:rFonts w:cs="Calibri"/>
                <w:color w:val="000000"/>
              </w:rPr>
              <w:t>K</w:t>
            </w:r>
          </w:p>
        </w:tc>
      </w:tr>
      <w:tr w:rsidR="003B23C4" w:rsidRPr="000F130C" w14:paraId="0673EBFF" w14:textId="77777777" w:rsidTr="0045240A">
        <w:trPr>
          <w:trHeight w:val="255"/>
        </w:trPr>
        <w:tc>
          <w:tcPr>
            <w:tcW w:w="2596" w:type="dxa"/>
            <w:tcBorders>
              <w:top w:val="nil"/>
              <w:left w:val="single" w:sz="4" w:space="0" w:color="auto"/>
              <w:bottom w:val="single" w:sz="4" w:space="0" w:color="auto"/>
              <w:right w:val="single" w:sz="4" w:space="0" w:color="auto"/>
            </w:tcBorders>
            <w:noWrap/>
            <w:hideMark/>
          </w:tcPr>
          <w:p w14:paraId="702B7247" w14:textId="2A84AC1F" w:rsidR="003B23C4" w:rsidRPr="000F130C" w:rsidRDefault="003B23C4" w:rsidP="003B23C4">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vAlign w:val="bottom"/>
          </w:tcPr>
          <w:p w14:paraId="4DCBFC3D" w14:textId="1F6CE87A" w:rsidR="003B23C4" w:rsidRDefault="003B23C4" w:rsidP="003B23C4">
            <w:pPr>
              <w:pStyle w:val="TableText"/>
              <w:jc w:val="right"/>
              <w:rPr>
                <w:rFonts w:cs="Calibri"/>
                <w:color w:val="000000"/>
              </w:rPr>
            </w:pPr>
            <w:r w:rsidRPr="00F700AE">
              <w:rPr>
                <w:rFonts w:cs="Calibri"/>
                <w:color w:val="000000"/>
              </w:rPr>
              <w:t>40K</w:t>
            </w:r>
          </w:p>
        </w:tc>
        <w:tc>
          <w:tcPr>
            <w:tcW w:w="1242" w:type="dxa"/>
            <w:tcBorders>
              <w:top w:val="nil"/>
              <w:left w:val="nil"/>
              <w:bottom w:val="single" w:sz="4" w:space="0" w:color="auto"/>
              <w:right w:val="single" w:sz="4" w:space="0" w:color="auto"/>
            </w:tcBorders>
            <w:vAlign w:val="bottom"/>
          </w:tcPr>
          <w:p w14:paraId="2598801C" w14:textId="3F2484FB" w:rsidR="003B23C4" w:rsidRDefault="003B23C4" w:rsidP="003B23C4">
            <w:pPr>
              <w:pStyle w:val="TableText"/>
              <w:jc w:val="right"/>
              <w:rPr>
                <w:rFonts w:cs="Calibri"/>
                <w:color w:val="000000"/>
              </w:rPr>
            </w:pPr>
            <w:r w:rsidRPr="00F35CC5">
              <w:rPr>
                <w:rFonts w:cs="Calibri"/>
                <w:color w:val="000000"/>
              </w:rPr>
              <w:t>24K</w:t>
            </w:r>
          </w:p>
        </w:tc>
        <w:tc>
          <w:tcPr>
            <w:tcW w:w="1242" w:type="dxa"/>
            <w:tcBorders>
              <w:top w:val="nil"/>
              <w:left w:val="nil"/>
              <w:bottom w:val="single" w:sz="4" w:space="0" w:color="auto"/>
              <w:right w:val="single" w:sz="4" w:space="0" w:color="auto"/>
            </w:tcBorders>
            <w:vAlign w:val="bottom"/>
          </w:tcPr>
          <w:p w14:paraId="667784BE" w14:textId="00E742F1" w:rsidR="003B23C4" w:rsidRDefault="003B23C4" w:rsidP="003B23C4">
            <w:pPr>
              <w:pStyle w:val="TableText"/>
              <w:jc w:val="right"/>
              <w:rPr>
                <w:rFonts w:cs="Calibri"/>
                <w:color w:val="000000"/>
              </w:rPr>
            </w:pPr>
            <w:r>
              <w:rPr>
                <w:rFonts w:cs="Calibri"/>
                <w:color w:val="000000"/>
              </w:rPr>
              <w:t>36K</w:t>
            </w:r>
          </w:p>
        </w:tc>
        <w:tc>
          <w:tcPr>
            <w:tcW w:w="1242" w:type="dxa"/>
            <w:tcBorders>
              <w:top w:val="nil"/>
              <w:left w:val="nil"/>
              <w:bottom w:val="single" w:sz="4" w:space="0" w:color="auto"/>
              <w:right w:val="single" w:sz="4" w:space="0" w:color="auto"/>
            </w:tcBorders>
            <w:vAlign w:val="bottom"/>
          </w:tcPr>
          <w:p w14:paraId="122C4D4F" w14:textId="66EC41F1" w:rsidR="003B23C4" w:rsidRDefault="003B23C4" w:rsidP="003B23C4">
            <w:pPr>
              <w:pStyle w:val="TableText"/>
              <w:jc w:val="right"/>
              <w:rPr>
                <w:rFonts w:cs="Calibri"/>
                <w:color w:val="000000"/>
              </w:rPr>
            </w:pPr>
            <w:r>
              <w:rPr>
                <w:rFonts w:cs="Calibri"/>
                <w:color w:val="000000"/>
              </w:rPr>
              <w:t>53K</w:t>
            </w:r>
          </w:p>
        </w:tc>
        <w:tc>
          <w:tcPr>
            <w:tcW w:w="1242" w:type="dxa"/>
            <w:tcBorders>
              <w:top w:val="nil"/>
              <w:left w:val="nil"/>
              <w:bottom w:val="single" w:sz="4" w:space="0" w:color="auto"/>
              <w:right w:val="single" w:sz="4" w:space="0" w:color="auto"/>
            </w:tcBorders>
            <w:vAlign w:val="bottom"/>
          </w:tcPr>
          <w:p w14:paraId="489E92D6" w14:textId="2266E8D7" w:rsidR="003B23C4" w:rsidRDefault="00552181" w:rsidP="003B23C4">
            <w:pPr>
              <w:pStyle w:val="TableText"/>
              <w:jc w:val="right"/>
              <w:rPr>
                <w:rFonts w:cs="Calibri"/>
                <w:color w:val="000000"/>
              </w:rPr>
            </w:pPr>
            <w:r>
              <w:rPr>
                <w:rFonts w:cs="Calibri"/>
                <w:color w:val="000000"/>
              </w:rPr>
              <w:t>65</w:t>
            </w:r>
            <w:r w:rsidR="003B23C4">
              <w:rPr>
                <w:rFonts w:cs="Calibri"/>
                <w:color w:val="000000"/>
              </w:rPr>
              <w:t>K</w:t>
            </w:r>
          </w:p>
        </w:tc>
      </w:tr>
      <w:tr w:rsidR="003B23C4" w:rsidRPr="000F130C" w14:paraId="0856D3E9" w14:textId="77777777" w:rsidTr="0045240A">
        <w:trPr>
          <w:trHeight w:val="255"/>
        </w:trPr>
        <w:tc>
          <w:tcPr>
            <w:tcW w:w="2596" w:type="dxa"/>
            <w:tcBorders>
              <w:top w:val="nil"/>
              <w:left w:val="single" w:sz="4" w:space="0" w:color="auto"/>
              <w:bottom w:val="single" w:sz="4" w:space="0" w:color="auto"/>
              <w:right w:val="single" w:sz="4" w:space="0" w:color="auto"/>
            </w:tcBorders>
            <w:noWrap/>
          </w:tcPr>
          <w:p w14:paraId="2831375B" w14:textId="77777777" w:rsidR="003B23C4" w:rsidRPr="000F130C" w:rsidRDefault="003B23C4" w:rsidP="003B23C4">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vAlign w:val="bottom"/>
          </w:tcPr>
          <w:p w14:paraId="03256DDC" w14:textId="7F9D7D5C" w:rsidR="003B23C4" w:rsidRDefault="003B23C4" w:rsidP="003B23C4">
            <w:pPr>
              <w:pStyle w:val="TableText"/>
              <w:jc w:val="right"/>
              <w:rPr>
                <w:rFonts w:cs="Calibri"/>
                <w:color w:val="000000"/>
              </w:rPr>
            </w:pPr>
            <w:r w:rsidRPr="00F700AE">
              <w:rPr>
                <w:rFonts w:cs="Calibri"/>
                <w:color w:val="000000"/>
              </w:rPr>
              <w:t>110K</w:t>
            </w:r>
          </w:p>
        </w:tc>
        <w:tc>
          <w:tcPr>
            <w:tcW w:w="1242" w:type="dxa"/>
            <w:tcBorders>
              <w:top w:val="nil"/>
              <w:left w:val="nil"/>
              <w:bottom w:val="single" w:sz="4" w:space="0" w:color="auto"/>
              <w:right w:val="single" w:sz="4" w:space="0" w:color="auto"/>
            </w:tcBorders>
            <w:vAlign w:val="bottom"/>
          </w:tcPr>
          <w:p w14:paraId="4DF4558E" w14:textId="2A2FC415" w:rsidR="003B23C4" w:rsidRDefault="003B23C4" w:rsidP="003B23C4">
            <w:pPr>
              <w:pStyle w:val="TableText"/>
              <w:jc w:val="right"/>
              <w:rPr>
                <w:rFonts w:cs="Calibri"/>
                <w:color w:val="000000"/>
              </w:rPr>
            </w:pPr>
            <w:r w:rsidRPr="00F35CC5">
              <w:rPr>
                <w:rFonts w:cs="Calibri"/>
                <w:color w:val="000000"/>
              </w:rPr>
              <w:t>130K</w:t>
            </w:r>
          </w:p>
        </w:tc>
        <w:tc>
          <w:tcPr>
            <w:tcW w:w="1242" w:type="dxa"/>
            <w:tcBorders>
              <w:top w:val="nil"/>
              <w:left w:val="nil"/>
              <w:bottom w:val="single" w:sz="4" w:space="0" w:color="auto"/>
              <w:right w:val="single" w:sz="4" w:space="0" w:color="auto"/>
            </w:tcBorders>
            <w:vAlign w:val="bottom"/>
          </w:tcPr>
          <w:p w14:paraId="3183111D" w14:textId="6ACD2480" w:rsidR="003B23C4" w:rsidRDefault="003B23C4" w:rsidP="003B23C4">
            <w:pPr>
              <w:pStyle w:val="TableText"/>
              <w:jc w:val="right"/>
              <w:rPr>
                <w:rFonts w:cs="Calibri"/>
                <w:color w:val="000000"/>
              </w:rPr>
            </w:pPr>
            <w:r>
              <w:rPr>
                <w:rFonts w:cs="Calibri"/>
                <w:color w:val="000000"/>
              </w:rPr>
              <w:t>150K</w:t>
            </w:r>
          </w:p>
        </w:tc>
        <w:tc>
          <w:tcPr>
            <w:tcW w:w="1242" w:type="dxa"/>
            <w:tcBorders>
              <w:top w:val="nil"/>
              <w:left w:val="nil"/>
              <w:bottom w:val="single" w:sz="4" w:space="0" w:color="auto"/>
              <w:right w:val="single" w:sz="4" w:space="0" w:color="auto"/>
            </w:tcBorders>
            <w:vAlign w:val="bottom"/>
          </w:tcPr>
          <w:p w14:paraId="0C345EEE" w14:textId="67A5214F" w:rsidR="003B23C4" w:rsidRDefault="003B23C4" w:rsidP="003B23C4">
            <w:pPr>
              <w:pStyle w:val="TableText"/>
              <w:jc w:val="right"/>
              <w:rPr>
                <w:rFonts w:cs="Calibri"/>
                <w:color w:val="000000"/>
              </w:rPr>
            </w:pPr>
            <w:r>
              <w:rPr>
                <w:rFonts w:cs="Calibri"/>
                <w:color w:val="000000"/>
              </w:rPr>
              <w:t>119K</w:t>
            </w:r>
          </w:p>
        </w:tc>
        <w:tc>
          <w:tcPr>
            <w:tcW w:w="1242" w:type="dxa"/>
            <w:tcBorders>
              <w:top w:val="nil"/>
              <w:left w:val="nil"/>
              <w:bottom w:val="single" w:sz="4" w:space="0" w:color="auto"/>
              <w:right w:val="single" w:sz="4" w:space="0" w:color="auto"/>
            </w:tcBorders>
            <w:vAlign w:val="bottom"/>
          </w:tcPr>
          <w:p w14:paraId="502A7852" w14:textId="3D6FBE81" w:rsidR="003B23C4" w:rsidRDefault="003B23C4" w:rsidP="003B23C4">
            <w:pPr>
              <w:pStyle w:val="TableText"/>
              <w:jc w:val="right"/>
              <w:rPr>
                <w:rFonts w:cs="Calibri"/>
                <w:color w:val="000000"/>
              </w:rPr>
            </w:pPr>
            <w:r>
              <w:rPr>
                <w:rFonts w:cs="Calibri"/>
                <w:color w:val="000000"/>
              </w:rPr>
              <w:t>11</w:t>
            </w:r>
            <w:r w:rsidR="00552181">
              <w:rPr>
                <w:rFonts w:cs="Calibri"/>
                <w:color w:val="000000"/>
              </w:rPr>
              <w:t>7</w:t>
            </w:r>
            <w:r>
              <w:rPr>
                <w:rFonts w:cs="Calibri"/>
                <w:color w:val="000000"/>
              </w:rPr>
              <w:t>K</w:t>
            </w:r>
          </w:p>
        </w:tc>
      </w:tr>
      <w:tr w:rsidR="003B23C4" w:rsidRPr="000F130C" w14:paraId="664B1BB2" w14:textId="77777777" w:rsidTr="0045240A">
        <w:trPr>
          <w:trHeight w:val="255"/>
        </w:trPr>
        <w:tc>
          <w:tcPr>
            <w:tcW w:w="2596" w:type="dxa"/>
            <w:tcBorders>
              <w:top w:val="nil"/>
              <w:left w:val="single" w:sz="4" w:space="0" w:color="auto"/>
              <w:bottom w:val="single" w:sz="4" w:space="0" w:color="auto"/>
              <w:right w:val="single" w:sz="4" w:space="0" w:color="auto"/>
            </w:tcBorders>
            <w:noWrap/>
            <w:hideMark/>
          </w:tcPr>
          <w:p w14:paraId="060C3743" w14:textId="77777777" w:rsidR="003B23C4" w:rsidRPr="000F130C" w:rsidRDefault="003B23C4" w:rsidP="003B23C4">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vAlign w:val="bottom"/>
          </w:tcPr>
          <w:p w14:paraId="1DB0BFDC" w14:textId="0B423F00" w:rsidR="003B23C4" w:rsidRDefault="003B23C4" w:rsidP="003B23C4">
            <w:pPr>
              <w:pStyle w:val="TableText"/>
              <w:jc w:val="right"/>
              <w:rPr>
                <w:rFonts w:cs="Calibri"/>
                <w:color w:val="000000"/>
              </w:rPr>
            </w:pPr>
            <w:r w:rsidRPr="00F700AE">
              <w:rPr>
                <w:rFonts w:cs="Calibri"/>
                <w:color w:val="000000"/>
              </w:rPr>
              <w:t>75K</w:t>
            </w:r>
          </w:p>
        </w:tc>
        <w:tc>
          <w:tcPr>
            <w:tcW w:w="1242" w:type="dxa"/>
            <w:tcBorders>
              <w:top w:val="nil"/>
              <w:left w:val="nil"/>
              <w:bottom w:val="single" w:sz="4" w:space="0" w:color="auto"/>
              <w:right w:val="single" w:sz="4" w:space="0" w:color="auto"/>
            </w:tcBorders>
            <w:vAlign w:val="bottom"/>
          </w:tcPr>
          <w:p w14:paraId="20BD2F71" w14:textId="11A979EF" w:rsidR="003B23C4" w:rsidRDefault="003B23C4" w:rsidP="003B23C4">
            <w:pPr>
              <w:pStyle w:val="TableText"/>
              <w:jc w:val="right"/>
              <w:rPr>
                <w:rFonts w:cs="Calibri"/>
                <w:color w:val="000000"/>
              </w:rPr>
            </w:pPr>
            <w:r w:rsidRPr="00F35CC5">
              <w:rPr>
                <w:rFonts w:cs="Calibri"/>
                <w:color w:val="000000"/>
              </w:rPr>
              <w:t>85K</w:t>
            </w:r>
          </w:p>
        </w:tc>
        <w:tc>
          <w:tcPr>
            <w:tcW w:w="1242" w:type="dxa"/>
            <w:tcBorders>
              <w:top w:val="nil"/>
              <w:left w:val="nil"/>
              <w:bottom w:val="single" w:sz="4" w:space="0" w:color="auto"/>
              <w:right w:val="single" w:sz="4" w:space="0" w:color="auto"/>
            </w:tcBorders>
            <w:vAlign w:val="bottom"/>
          </w:tcPr>
          <w:p w14:paraId="14D1D7B2" w14:textId="7627C8F0" w:rsidR="003B23C4" w:rsidRDefault="003B23C4" w:rsidP="003B23C4">
            <w:pPr>
              <w:pStyle w:val="TableText"/>
              <w:jc w:val="right"/>
              <w:rPr>
                <w:rFonts w:cs="Calibri"/>
                <w:color w:val="000000"/>
              </w:rPr>
            </w:pPr>
            <w:r>
              <w:rPr>
                <w:rFonts w:cs="Calibri"/>
                <w:color w:val="000000"/>
              </w:rPr>
              <w:t>40K</w:t>
            </w:r>
          </w:p>
        </w:tc>
        <w:tc>
          <w:tcPr>
            <w:tcW w:w="1242" w:type="dxa"/>
            <w:tcBorders>
              <w:top w:val="nil"/>
              <w:left w:val="nil"/>
              <w:bottom w:val="single" w:sz="4" w:space="0" w:color="auto"/>
              <w:right w:val="single" w:sz="4" w:space="0" w:color="auto"/>
            </w:tcBorders>
            <w:vAlign w:val="bottom"/>
          </w:tcPr>
          <w:p w14:paraId="514C92BE" w14:textId="1C81F05B" w:rsidR="003B23C4" w:rsidRDefault="003B23C4" w:rsidP="003B23C4">
            <w:pPr>
              <w:pStyle w:val="TableText"/>
              <w:jc w:val="right"/>
              <w:rPr>
                <w:rFonts w:cs="Calibri"/>
                <w:color w:val="000000"/>
              </w:rPr>
            </w:pPr>
            <w:r>
              <w:rPr>
                <w:rFonts w:cs="Calibri"/>
                <w:color w:val="000000"/>
              </w:rPr>
              <w:t>81K</w:t>
            </w:r>
          </w:p>
        </w:tc>
        <w:tc>
          <w:tcPr>
            <w:tcW w:w="1242" w:type="dxa"/>
            <w:tcBorders>
              <w:top w:val="nil"/>
              <w:left w:val="nil"/>
              <w:bottom w:val="single" w:sz="4" w:space="0" w:color="auto"/>
              <w:right w:val="single" w:sz="4" w:space="0" w:color="auto"/>
            </w:tcBorders>
            <w:vAlign w:val="bottom"/>
          </w:tcPr>
          <w:p w14:paraId="01A65D04" w14:textId="29885177" w:rsidR="003B23C4" w:rsidRDefault="00552181" w:rsidP="003B23C4">
            <w:pPr>
              <w:pStyle w:val="TableText"/>
              <w:jc w:val="right"/>
              <w:rPr>
                <w:rFonts w:cs="Calibri"/>
                <w:color w:val="000000"/>
              </w:rPr>
            </w:pPr>
            <w:r>
              <w:rPr>
                <w:rFonts w:cs="Calibri"/>
                <w:color w:val="000000"/>
              </w:rPr>
              <w:t>100</w:t>
            </w:r>
            <w:r w:rsidR="003B23C4">
              <w:rPr>
                <w:rFonts w:cs="Calibri"/>
                <w:color w:val="000000"/>
              </w:rPr>
              <w:t>K</w:t>
            </w:r>
          </w:p>
        </w:tc>
      </w:tr>
      <w:tr w:rsidR="003B23C4" w:rsidRPr="000F130C" w14:paraId="57B26BB1" w14:textId="77777777" w:rsidTr="0045240A">
        <w:trPr>
          <w:trHeight w:val="255"/>
        </w:trPr>
        <w:tc>
          <w:tcPr>
            <w:tcW w:w="2596" w:type="dxa"/>
            <w:tcBorders>
              <w:top w:val="nil"/>
              <w:left w:val="single" w:sz="4" w:space="0" w:color="auto"/>
              <w:bottom w:val="single" w:sz="4" w:space="0" w:color="auto"/>
              <w:right w:val="single" w:sz="4" w:space="0" w:color="auto"/>
            </w:tcBorders>
            <w:noWrap/>
            <w:hideMark/>
          </w:tcPr>
          <w:p w14:paraId="6A72732C" w14:textId="77777777" w:rsidR="003B23C4" w:rsidRPr="000F130C" w:rsidRDefault="003B23C4" w:rsidP="003B23C4">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vAlign w:val="bottom"/>
          </w:tcPr>
          <w:p w14:paraId="43B95FC9" w14:textId="3F46E970" w:rsidR="003B23C4" w:rsidRDefault="003B23C4" w:rsidP="003B23C4">
            <w:pPr>
              <w:pStyle w:val="TableText"/>
              <w:jc w:val="right"/>
              <w:rPr>
                <w:rFonts w:cs="Calibri"/>
                <w:color w:val="000000"/>
              </w:rPr>
            </w:pPr>
            <w:r w:rsidRPr="00F700AE">
              <w:rPr>
                <w:rFonts w:cs="Calibri"/>
                <w:color w:val="000000"/>
              </w:rPr>
              <w:t>50K</w:t>
            </w:r>
          </w:p>
        </w:tc>
        <w:tc>
          <w:tcPr>
            <w:tcW w:w="1242" w:type="dxa"/>
            <w:tcBorders>
              <w:top w:val="nil"/>
              <w:left w:val="nil"/>
              <w:bottom w:val="single" w:sz="4" w:space="0" w:color="auto"/>
              <w:right w:val="single" w:sz="4" w:space="0" w:color="auto"/>
            </w:tcBorders>
            <w:vAlign w:val="bottom"/>
          </w:tcPr>
          <w:p w14:paraId="399C8513" w14:textId="3B049351" w:rsidR="003B23C4" w:rsidRDefault="003B23C4" w:rsidP="003B23C4">
            <w:pPr>
              <w:pStyle w:val="TableText"/>
              <w:jc w:val="right"/>
              <w:rPr>
                <w:rFonts w:cs="Calibri"/>
                <w:color w:val="000000"/>
              </w:rPr>
            </w:pPr>
            <w:r w:rsidRPr="00F35CC5">
              <w:rPr>
                <w:rFonts w:cs="Calibri"/>
                <w:color w:val="000000"/>
              </w:rPr>
              <w:t>24K</w:t>
            </w:r>
          </w:p>
        </w:tc>
        <w:tc>
          <w:tcPr>
            <w:tcW w:w="1242" w:type="dxa"/>
            <w:tcBorders>
              <w:top w:val="nil"/>
              <w:left w:val="nil"/>
              <w:bottom w:val="single" w:sz="4" w:space="0" w:color="auto"/>
              <w:right w:val="single" w:sz="4" w:space="0" w:color="auto"/>
            </w:tcBorders>
            <w:vAlign w:val="bottom"/>
          </w:tcPr>
          <w:p w14:paraId="44AA08B0" w14:textId="0EC5C022" w:rsidR="003B23C4" w:rsidRDefault="003B23C4" w:rsidP="003B23C4">
            <w:pPr>
              <w:pStyle w:val="TableText"/>
              <w:jc w:val="right"/>
              <w:rPr>
                <w:rFonts w:cs="Calibri"/>
                <w:color w:val="000000"/>
              </w:rPr>
            </w:pPr>
            <w:r>
              <w:rPr>
                <w:rFonts w:cs="Calibri"/>
                <w:color w:val="000000"/>
              </w:rPr>
              <w:t>40K</w:t>
            </w:r>
          </w:p>
        </w:tc>
        <w:tc>
          <w:tcPr>
            <w:tcW w:w="1242" w:type="dxa"/>
            <w:tcBorders>
              <w:top w:val="nil"/>
              <w:left w:val="nil"/>
              <w:bottom w:val="single" w:sz="4" w:space="0" w:color="auto"/>
              <w:right w:val="single" w:sz="4" w:space="0" w:color="auto"/>
            </w:tcBorders>
            <w:vAlign w:val="bottom"/>
          </w:tcPr>
          <w:p w14:paraId="4A1C1929" w14:textId="6FBA33CD" w:rsidR="003B23C4" w:rsidRDefault="003B23C4" w:rsidP="003B23C4">
            <w:pPr>
              <w:pStyle w:val="TableText"/>
              <w:jc w:val="right"/>
              <w:rPr>
                <w:rFonts w:cs="Calibri"/>
                <w:color w:val="000000"/>
              </w:rPr>
            </w:pPr>
            <w:r>
              <w:rPr>
                <w:rFonts w:cs="Calibri"/>
                <w:color w:val="000000"/>
              </w:rPr>
              <w:t>50K</w:t>
            </w:r>
          </w:p>
        </w:tc>
        <w:tc>
          <w:tcPr>
            <w:tcW w:w="1242" w:type="dxa"/>
            <w:tcBorders>
              <w:top w:val="nil"/>
              <w:left w:val="nil"/>
              <w:bottom w:val="single" w:sz="4" w:space="0" w:color="auto"/>
              <w:right w:val="single" w:sz="4" w:space="0" w:color="auto"/>
            </w:tcBorders>
            <w:vAlign w:val="bottom"/>
          </w:tcPr>
          <w:p w14:paraId="32FE0FD7" w14:textId="31D24DAB" w:rsidR="003B23C4" w:rsidRDefault="00552181" w:rsidP="003B23C4">
            <w:pPr>
              <w:pStyle w:val="TableText"/>
              <w:jc w:val="right"/>
              <w:rPr>
                <w:rFonts w:cs="Calibri"/>
                <w:color w:val="000000"/>
              </w:rPr>
            </w:pPr>
            <w:r>
              <w:rPr>
                <w:rFonts w:cs="Calibri"/>
                <w:color w:val="000000"/>
              </w:rPr>
              <w:t>47</w:t>
            </w:r>
            <w:r w:rsidR="003B23C4">
              <w:rPr>
                <w:rFonts w:cs="Calibri"/>
                <w:color w:val="000000"/>
              </w:rPr>
              <w:t>K</w:t>
            </w:r>
          </w:p>
        </w:tc>
      </w:tr>
      <w:tr w:rsidR="003B23C4" w:rsidRPr="000F130C" w14:paraId="0DF9202D" w14:textId="77777777" w:rsidTr="0045240A">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2DA552A" w14:textId="77777777" w:rsidR="003B23C4" w:rsidRPr="000F130C" w:rsidRDefault="003B23C4" w:rsidP="003B23C4">
            <w:pPr>
              <w:pStyle w:val="TableText"/>
              <w:ind w:left="49"/>
              <w:rPr>
                <w:b/>
                <w:lang w:eastAsia="en-AU"/>
              </w:rPr>
            </w:pPr>
            <w:r w:rsidRPr="000F130C">
              <w:rPr>
                <w:b/>
                <w:lang w:eastAsia="en-AU"/>
              </w:rPr>
              <w:t>TOTAL</w:t>
            </w:r>
          </w:p>
        </w:tc>
        <w:tc>
          <w:tcPr>
            <w:tcW w:w="1242" w:type="dxa"/>
            <w:tcBorders>
              <w:top w:val="single" w:sz="4" w:space="0" w:color="auto"/>
              <w:left w:val="nil"/>
              <w:bottom w:val="single" w:sz="4" w:space="0" w:color="auto"/>
              <w:right w:val="single" w:sz="4" w:space="0" w:color="auto"/>
            </w:tcBorders>
            <w:vAlign w:val="bottom"/>
          </w:tcPr>
          <w:p w14:paraId="3D0233BB" w14:textId="344BABF1" w:rsidR="003B23C4" w:rsidRDefault="003B23C4" w:rsidP="003B23C4">
            <w:pPr>
              <w:pStyle w:val="TableText"/>
              <w:jc w:val="right"/>
              <w:rPr>
                <w:rFonts w:cs="Calibri"/>
                <w:b/>
                <w:bCs/>
                <w:color w:val="000000"/>
              </w:rPr>
            </w:pPr>
            <w:r w:rsidRPr="00F700AE">
              <w:rPr>
                <w:rFonts w:cs="Calibri"/>
                <w:b/>
                <w:bCs/>
                <w:color w:val="000000"/>
              </w:rPr>
              <w:t>382K</w:t>
            </w:r>
          </w:p>
        </w:tc>
        <w:tc>
          <w:tcPr>
            <w:tcW w:w="1242" w:type="dxa"/>
            <w:tcBorders>
              <w:top w:val="single" w:sz="4" w:space="0" w:color="auto"/>
              <w:left w:val="nil"/>
              <w:bottom w:val="single" w:sz="4" w:space="0" w:color="auto"/>
              <w:right w:val="single" w:sz="4" w:space="0" w:color="auto"/>
            </w:tcBorders>
            <w:vAlign w:val="bottom"/>
          </w:tcPr>
          <w:p w14:paraId="18874FFF" w14:textId="40DBFBA6" w:rsidR="003B23C4" w:rsidRDefault="003B23C4" w:rsidP="003B23C4">
            <w:pPr>
              <w:pStyle w:val="TableText"/>
              <w:jc w:val="right"/>
              <w:rPr>
                <w:rFonts w:cs="Calibri"/>
                <w:b/>
                <w:bCs/>
                <w:color w:val="000000"/>
              </w:rPr>
            </w:pPr>
            <w:r w:rsidRPr="00F35CC5">
              <w:rPr>
                <w:rFonts w:cs="Calibri"/>
                <w:b/>
                <w:bCs/>
                <w:color w:val="000000"/>
              </w:rPr>
              <w:t>364K</w:t>
            </w:r>
          </w:p>
        </w:tc>
        <w:tc>
          <w:tcPr>
            <w:tcW w:w="1242" w:type="dxa"/>
            <w:tcBorders>
              <w:top w:val="single" w:sz="4" w:space="0" w:color="auto"/>
              <w:left w:val="nil"/>
              <w:bottom w:val="single" w:sz="4" w:space="0" w:color="auto"/>
              <w:right w:val="single" w:sz="4" w:space="0" w:color="auto"/>
            </w:tcBorders>
            <w:vAlign w:val="bottom"/>
          </w:tcPr>
          <w:p w14:paraId="1A14B2EB" w14:textId="2B55E305" w:rsidR="003B23C4" w:rsidRDefault="003B23C4" w:rsidP="003B23C4">
            <w:pPr>
              <w:pStyle w:val="TableText"/>
              <w:jc w:val="right"/>
              <w:rPr>
                <w:rFonts w:cs="Calibri"/>
                <w:b/>
                <w:bCs/>
                <w:color w:val="000000"/>
              </w:rPr>
            </w:pPr>
            <w:r>
              <w:rPr>
                <w:rFonts w:cs="Calibri"/>
                <w:b/>
                <w:bCs/>
                <w:color w:val="000000"/>
              </w:rPr>
              <w:t>373K</w:t>
            </w:r>
          </w:p>
        </w:tc>
        <w:tc>
          <w:tcPr>
            <w:tcW w:w="1242" w:type="dxa"/>
            <w:tcBorders>
              <w:top w:val="single" w:sz="4" w:space="0" w:color="auto"/>
              <w:left w:val="nil"/>
              <w:bottom w:val="single" w:sz="4" w:space="0" w:color="auto"/>
              <w:right w:val="single" w:sz="4" w:space="0" w:color="auto"/>
            </w:tcBorders>
            <w:vAlign w:val="bottom"/>
          </w:tcPr>
          <w:p w14:paraId="2720AD93" w14:textId="3E547FE7" w:rsidR="003B23C4" w:rsidRDefault="003B23C4" w:rsidP="003B23C4">
            <w:pPr>
              <w:pStyle w:val="TableText"/>
              <w:jc w:val="right"/>
              <w:rPr>
                <w:rFonts w:cs="Calibri"/>
                <w:b/>
                <w:bCs/>
                <w:color w:val="000000"/>
              </w:rPr>
            </w:pPr>
            <w:r>
              <w:rPr>
                <w:rFonts w:cs="Calibri"/>
                <w:b/>
                <w:bCs/>
                <w:color w:val="000000"/>
              </w:rPr>
              <w:t>419K</w:t>
            </w:r>
          </w:p>
        </w:tc>
        <w:tc>
          <w:tcPr>
            <w:tcW w:w="1242" w:type="dxa"/>
            <w:tcBorders>
              <w:top w:val="single" w:sz="4" w:space="0" w:color="auto"/>
              <w:left w:val="nil"/>
              <w:bottom w:val="single" w:sz="4" w:space="0" w:color="auto"/>
              <w:right w:val="single" w:sz="4" w:space="0" w:color="auto"/>
            </w:tcBorders>
            <w:vAlign w:val="bottom"/>
          </w:tcPr>
          <w:p w14:paraId="2BAFAFD4" w14:textId="3813E887" w:rsidR="003B23C4" w:rsidRDefault="003B23C4" w:rsidP="003B23C4">
            <w:pPr>
              <w:pStyle w:val="TableText"/>
              <w:jc w:val="right"/>
              <w:rPr>
                <w:rFonts w:cs="Calibri"/>
                <w:b/>
                <w:bCs/>
                <w:color w:val="000000"/>
              </w:rPr>
            </w:pPr>
            <w:r>
              <w:rPr>
                <w:rFonts w:cs="Calibri"/>
                <w:b/>
                <w:bCs/>
                <w:color w:val="000000"/>
              </w:rPr>
              <w:t>4</w:t>
            </w:r>
            <w:r w:rsidR="00552181">
              <w:rPr>
                <w:rFonts w:cs="Calibri"/>
                <w:b/>
                <w:bCs/>
                <w:color w:val="000000"/>
              </w:rPr>
              <w:t>50</w:t>
            </w:r>
            <w:r>
              <w:rPr>
                <w:rFonts w:cs="Calibri"/>
                <w:b/>
                <w:bCs/>
                <w:color w:val="000000"/>
              </w:rPr>
              <w:t>K</w:t>
            </w:r>
          </w:p>
        </w:tc>
      </w:tr>
      <w:bookmarkEnd w:id="41"/>
    </w:tbl>
    <w:p w14:paraId="29540EC1" w14:textId="77777777" w:rsidR="00D2716E" w:rsidRDefault="00D2716E" w:rsidP="00D2716E">
      <w:pPr>
        <w:spacing w:line="240" w:lineRule="auto"/>
        <w:ind w:left="-142"/>
        <w:jc w:val="both"/>
        <w:rPr>
          <w:rFonts w:cs="Arial"/>
        </w:rPr>
      </w:pPr>
    </w:p>
    <w:p w14:paraId="18C6C2A1" w14:textId="2AF8AFC1" w:rsidR="00D2716E" w:rsidRDefault="00D2716E" w:rsidP="00D2716E">
      <w:pPr>
        <w:ind w:left="-142" w:right="-425"/>
        <w:jc w:val="both"/>
        <w:rPr>
          <w:rFonts w:cs="Arial"/>
        </w:rPr>
      </w:pPr>
      <w:r>
        <w:rPr>
          <w:rFonts w:cs="Arial"/>
        </w:rPr>
        <w:t>Cairns Registry expenditure for quarter 6</w:t>
      </w:r>
      <w:r w:rsidR="003B23C4">
        <w:rPr>
          <w:rFonts w:cs="Arial"/>
        </w:rPr>
        <w:t>8</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1C255D07" w14:textId="77777777" w:rsidR="00D2716E" w:rsidRDefault="00D2716E" w:rsidP="00D2716E">
      <w:pPr>
        <w:ind w:left="-142" w:right="-425"/>
        <w:jc w:val="both"/>
        <w:rPr>
          <w:rFonts w:cs="Arial"/>
        </w:rPr>
      </w:pPr>
    </w:p>
    <w:p w14:paraId="606E9468" w14:textId="77777777" w:rsidR="00D2716E" w:rsidRDefault="00D2716E" w:rsidP="00D2716E">
      <w:pPr>
        <w:spacing w:line="240" w:lineRule="auto"/>
        <w:ind w:left="-142"/>
        <w:jc w:val="both"/>
        <w:rPr>
          <w:rFonts w:cs="Arial"/>
          <w:sz w:val="16"/>
          <w:szCs w:val="16"/>
        </w:rPr>
      </w:pPr>
      <w:r>
        <w:rPr>
          <w:rFonts w:cs="Arial"/>
          <w:b/>
          <w:sz w:val="16"/>
          <w:szCs w:val="16"/>
        </w:rPr>
        <w:t>Table 26</w:t>
      </w:r>
      <w:r w:rsidRPr="0089132B">
        <w:rPr>
          <w:rFonts w:cs="Arial"/>
          <w:b/>
          <w:sz w:val="16"/>
          <w:szCs w:val="16"/>
        </w:rPr>
        <w:t xml:space="preserve">: </w:t>
      </w:r>
      <w:r>
        <w:rPr>
          <w:rFonts w:cs="Arial"/>
          <w:sz w:val="16"/>
          <w:szCs w:val="16"/>
        </w:rPr>
        <w:t>Quarterly operating c</w:t>
      </w:r>
      <w:r w:rsidRPr="006C5060">
        <w:rPr>
          <w:rFonts w:cs="Arial"/>
          <w:sz w:val="16"/>
          <w:szCs w:val="16"/>
        </w:rPr>
        <w:t xml:space="preserve">osts Cairns </w:t>
      </w:r>
      <w:r>
        <w:rPr>
          <w:rFonts w:cs="Arial"/>
          <w:sz w:val="16"/>
          <w:szCs w:val="16"/>
        </w:rPr>
        <w:t>1 January 2024 to 31 March 2025</w:t>
      </w:r>
    </w:p>
    <w:p w14:paraId="0D4042D6" w14:textId="77777777" w:rsidR="00D2716E" w:rsidRPr="0070366B" w:rsidRDefault="00D2716E" w:rsidP="00D2716E">
      <w:pPr>
        <w:spacing w:line="240" w:lineRule="auto"/>
        <w:ind w:left="-142"/>
        <w:jc w:val="both"/>
        <w:rPr>
          <w:rFonts w:cs="Arial"/>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3B23C4" w:rsidRPr="00920636" w14:paraId="0C1099D8" w14:textId="77777777" w:rsidTr="006E46C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550B22D" w14:textId="77777777" w:rsidR="003B23C4" w:rsidRPr="000F130C" w:rsidRDefault="003B23C4" w:rsidP="003B23C4">
            <w:pPr>
              <w:pStyle w:val="TableText"/>
              <w:ind w:left="49"/>
              <w:rPr>
                <w:b/>
                <w:lang w:eastAsia="en-AU"/>
              </w:rPr>
            </w:pPr>
            <w:bookmarkStart w:id="42"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33D06F85" w14:textId="332EAF0E" w:rsidR="003B23C4" w:rsidRDefault="003B23C4" w:rsidP="003B23C4">
            <w:pPr>
              <w:pStyle w:val="TableText"/>
              <w:jc w:val="right"/>
              <w:rPr>
                <w:b/>
                <w:lang w:eastAsia="en-AU"/>
              </w:rPr>
            </w:pPr>
            <w:r>
              <w:rPr>
                <w:b/>
                <w:lang w:eastAsia="en-AU"/>
              </w:rPr>
              <w:t>Qtr 64</w:t>
            </w:r>
          </w:p>
        </w:tc>
        <w:tc>
          <w:tcPr>
            <w:tcW w:w="1250" w:type="dxa"/>
            <w:tcBorders>
              <w:top w:val="single" w:sz="4" w:space="0" w:color="auto"/>
              <w:left w:val="nil"/>
              <w:bottom w:val="single" w:sz="4" w:space="0" w:color="auto"/>
              <w:right w:val="single" w:sz="4" w:space="0" w:color="auto"/>
            </w:tcBorders>
          </w:tcPr>
          <w:p w14:paraId="5E530EDE" w14:textId="5F2289BE" w:rsidR="003B23C4" w:rsidRDefault="003B23C4" w:rsidP="003B23C4">
            <w:pPr>
              <w:pStyle w:val="TableText"/>
              <w:jc w:val="right"/>
              <w:rPr>
                <w:b/>
                <w:lang w:eastAsia="en-AU"/>
              </w:rPr>
            </w:pPr>
            <w:r>
              <w:rPr>
                <w:b/>
                <w:lang w:eastAsia="en-AU"/>
              </w:rPr>
              <w:t>Qtr 65</w:t>
            </w:r>
          </w:p>
        </w:tc>
        <w:tc>
          <w:tcPr>
            <w:tcW w:w="1250" w:type="dxa"/>
            <w:tcBorders>
              <w:top w:val="single" w:sz="4" w:space="0" w:color="auto"/>
              <w:left w:val="nil"/>
              <w:bottom w:val="single" w:sz="4" w:space="0" w:color="auto"/>
              <w:right w:val="single" w:sz="4" w:space="0" w:color="auto"/>
            </w:tcBorders>
          </w:tcPr>
          <w:p w14:paraId="336E346A" w14:textId="0642CC92" w:rsidR="003B23C4" w:rsidRDefault="003B23C4" w:rsidP="003B23C4">
            <w:pPr>
              <w:pStyle w:val="TableText"/>
              <w:jc w:val="right"/>
              <w:rPr>
                <w:b/>
                <w:lang w:eastAsia="en-AU"/>
              </w:rPr>
            </w:pPr>
            <w:r>
              <w:rPr>
                <w:b/>
                <w:lang w:eastAsia="en-AU"/>
              </w:rPr>
              <w:t>Qtr 66</w:t>
            </w:r>
          </w:p>
        </w:tc>
        <w:tc>
          <w:tcPr>
            <w:tcW w:w="1250" w:type="dxa"/>
            <w:tcBorders>
              <w:top w:val="single" w:sz="4" w:space="0" w:color="auto"/>
              <w:left w:val="nil"/>
              <w:bottom w:val="single" w:sz="4" w:space="0" w:color="auto"/>
              <w:right w:val="single" w:sz="4" w:space="0" w:color="auto"/>
            </w:tcBorders>
          </w:tcPr>
          <w:p w14:paraId="25DD9137" w14:textId="063DFA92" w:rsidR="003B23C4" w:rsidRDefault="003B23C4" w:rsidP="003B23C4">
            <w:pPr>
              <w:pStyle w:val="TableText"/>
              <w:jc w:val="right"/>
              <w:rPr>
                <w:b/>
                <w:lang w:eastAsia="en-AU"/>
              </w:rPr>
            </w:pPr>
            <w:r>
              <w:rPr>
                <w:b/>
                <w:lang w:eastAsia="en-AU"/>
              </w:rPr>
              <w:t>Qtr 67</w:t>
            </w:r>
          </w:p>
        </w:tc>
        <w:tc>
          <w:tcPr>
            <w:tcW w:w="1250" w:type="dxa"/>
            <w:tcBorders>
              <w:top w:val="single" w:sz="4" w:space="0" w:color="auto"/>
              <w:left w:val="nil"/>
              <w:bottom w:val="single" w:sz="4" w:space="0" w:color="auto"/>
              <w:right w:val="single" w:sz="4" w:space="0" w:color="auto"/>
            </w:tcBorders>
          </w:tcPr>
          <w:p w14:paraId="4018A221" w14:textId="128EB9F4" w:rsidR="003B23C4" w:rsidRDefault="003B23C4" w:rsidP="003B23C4">
            <w:pPr>
              <w:pStyle w:val="TableText"/>
              <w:jc w:val="right"/>
              <w:rPr>
                <w:b/>
                <w:lang w:eastAsia="en-AU"/>
              </w:rPr>
            </w:pPr>
            <w:r>
              <w:rPr>
                <w:b/>
                <w:lang w:eastAsia="en-AU"/>
              </w:rPr>
              <w:t>Qtr 6</w:t>
            </w:r>
            <w:r>
              <w:rPr>
                <w:b/>
                <w:lang w:eastAsia="en-AU"/>
              </w:rPr>
              <w:t>8</w:t>
            </w:r>
          </w:p>
        </w:tc>
      </w:tr>
      <w:tr w:rsidR="003B23C4" w:rsidRPr="00920636" w14:paraId="754EF79E" w14:textId="77777777" w:rsidTr="007C051D">
        <w:trPr>
          <w:trHeight w:val="255"/>
        </w:trPr>
        <w:tc>
          <w:tcPr>
            <w:tcW w:w="2596" w:type="dxa"/>
            <w:tcBorders>
              <w:top w:val="nil"/>
              <w:left w:val="single" w:sz="4" w:space="0" w:color="auto"/>
              <w:bottom w:val="single" w:sz="4" w:space="0" w:color="auto"/>
              <w:right w:val="single" w:sz="4" w:space="0" w:color="auto"/>
            </w:tcBorders>
            <w:noWrap/>
          </w:tcPr>
          <w:p w14:paraId="73EA9C60" w14:textId="77777777" w:rsidR="003B23C4" w:rsidRPr="00E72DFB" w:rsidRDefault="003B23C4" w:rsidP="003B23C4">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0A7E15D3" w14:textId="473CC39E" w:rsidR="003B23C4" w:rsidRDefault="003B23C4" w:rsidP="003B23C4">
            <w:pPr>
              <w:pStyle w:val="TableText"/>
              <w:jc w:val="right"/>
              <w:rPr>
                <w:rFonts w:cs="Arial"/>
              </w:rPr>
            </w:pPr>
            <w:r>
              <w:rPr>
                <w:rFonts w:cs="Arial"/>
              </w:rPr>
              <w:t>294K</w:t>
            </w:r>
          </w:p>
        </w:tc>
        <w:tc>
          <w:tcPr>
            <w:tcW w:w="1250" w:type="dxa"/>
            <w:tcBorders>
              <w:top w:val="nil"/>
              <w:left w:val="nil"/>
              <w:bottom w:val="single" w:sz="4" w:space="0" w:color="auto"/>
              <w:right w:val="single" w:sz="4" w:space="0" w:color="auto"/>
            </w:tcBorders>
            <w:vAlign w:val="center"/>
          </w:tcPr>
          <w:p w14:paraId="2217F860" w14:textId="291A1277" w:rsidR="003B23C4" w:rsidRDefault="003B23C4" w:rsidP="003B23C4">
            <w:pPr>
              <w:pStyle w:val="TableText"/>
              <w:jc w:val="right"/>
              <w:rPr>
                <w:rFonts w:cs="Arial"/>
              </w:rPr>
            </w:pPr>
            <w:r w:rsidRPr="00F35CC5">
              <w:rPr>
                <w:rFonts w:cs="Arial"/>
              </w:rPr>
              <w:t>398K</w:t>
            </w:r>
          </w:p>
        </w:tc>
        <w:tc>
          <w:tcPr>
            <w:tcW w:w="1250" w:type="dxa"/>
            <w:tcBorders>
              <w:top w:val="nil"/>
              <w:left w:val="nil"/>
              <w:bottom w:val="single" w:sz="4" w:space="0" w:color="auto"/>
              <w:right w:val="single" w:sz="4" w:space="0" w:color="auto"/>
            </w:tcBorders>
            <w:vAlign w:val="center"/>
          </w:tcPr>
          <w:p w14:paraId="0CA0419C" w14:textId="74B7F2CE" w:rsidR="003B23C4" w:rsidRDefault="003B23C4" w:rsidP="003B23C4">
            <w:pPr>
              <w:pStyle w:val="TableText"/>
              <w:jc w:val="right"/>
              <w:rPr>
                <w:rFonts w:cs="Arial"/>
              </w:rPr>
            </w:pPr>
            <w:r>
              <w:rPr>
                <w:rFonts w:cs="Arial"/>
              </w:rPr>
              <w:t>424K</w:t>
            </w:r>
          </w:p>
        </w:tc>
        <w:tc>
          <w:tcPr>
            <w:tcW w:w="1250" w:type="dxa"/>
            <w:tcBorders>
              <w:top w:val="nil"/>
              <w:left w:val="nil"/>
              <w:bottom w:val="single" w:sz="4" w:space="0" w:color="auto"/>
              <w:right w:val="single" w:sz="4" w:space="0" w:color="auto"/>
            </w:tcBorders>
            <w:vAlign w:val="center"/>
          </w:tcPr>
          <w:p w14:paraId="7B01C321" w14:textId="7DA53100" w:rsidR="003B23C4" w:rsidRDefault="003B23C4" w:rsidP="003B23C4">
            <w:pPr>
              <w:pStyle w:val="TableText"/>
              <w:jc w:val="right"/>
              <w:rPr>
                <w:rFonts w:cs="Arial"/>
              </w:rPr>
            </w:pPr>
            <w:r>
              <w:rPr>
                <w:rFonts w:cs="Arial"/>
              </w:rPr>
              <w:t>357K</w:t>
            </w:r>
          </w:p>
        </w:tc>
        <w:tc>
          <w:tcPr>
            <w:tcW w:w="1250" w:type="dxa"/>
            <w:tcBorders>
              <w:top w:val="nil"/>
              <w:left w:val="nil"/>
              <w:bottom w:val="single" w:sz="4" w:space="0" w:color="auto"/>
              <w:right w:val="single" w:sz="4" w:space="0" w:color="auto"/>
            </w:tcBorders>
            <w:vAlign w:val="center"/>
          </w:tcPr>
          <w:p w14:paraId="0DA7B171" w14:textId="778EE78D" w:rsidR="003B23C4" w:rsidRDefault="003B23C4" w:rsidP="003B23C4">
            <w:pPr>
              <w:pStyle w:val="TableText"/>
              <w:jc w:val="right"/>
              <w:rPr>
                <w:rFonts w:cs="Arial"/>
              </w:rPr>
            </w:pPr>
            <w:r>
              <w:rPr>
                <w:rFonts w:cs="Arial"/>
              </w:rPr>
              <w:t>3</w:t>
            </w:r>
            <w:r w:rsidR="00552181">
              <w:rPr>
                <w:rFonts w:cs="Arial"/>
              </w:rPr>
              <w:t>71</w:t>
            </w:r>
            <w:r>
              <w:rPr>
                <w:rFonts w:cs="Arial"/>
              </w:rPr>
              <w:t>K</w:t>
            </w:r>
          </w:p>
        </w:tc>
      </w:tr>
      <w:tr w:rsidR="003B23C4" w:rsidRPr="00920636" w14:paraId="566BA123" w14:textId="77777777" w:rsidTr="007C051D">
        <w:trPr>
          <w:trHeight w:val="255"/>
        </w:trPr>
        <w:tc>
          <w:tcPr>
            <w:tcW w:w="2596" w:type="dxa"/>
            <w:tcBorders>
              <w:top w:val="nil"/>
              <w:left w:val="single" w:sz="4" w:space="0" w:color="auto"/>
              <w:bottom w:val="single" w:sz="4" w:space="0" w:color="auto"/>
              <w:right w:val="single" w:sz="4" w:space="0" w:color="auto"/>
            </w:tcBorders>
            <w:noWrap/>
            <w:hideMark/>
          </w:tcPr>
          <w:p w14:paraId="717E51BF" w14:textId="77777777" w:rsidR="003B23C4" w:rsidRPr="00E72DFB" w:rsidRDefault="003B23C4" w:rsidP="003B23C4">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1612F537" w14:textId="0549D143" w:rsidR="003B23C4" w:rsidRDefault="003B23C4" w:rsidP="003B23C4">
            <w:pPr>
              <w:pStyle w:val="TableText"/>
              <w:jc w:val="right"/>
              <w:rPr>
                <w:rFonts w:cs="Arial"/>
              </w:rPr>
            </w:pPr>
            <w:r>
              <w:rPr>
                <w:rFonts w:cs="Arial"/>
              </w:rPr>
              <w:t>391K</w:t>
            </w:r>
          </w:p>
        </w:tc>
        <w:tc>
          <w:tcPr>
            <w:tcW w:w="1250" w:type="dxa"/>
            <w:tcBorders>
              <w:top w:val="nil"/>
              <w:left w:val="nil"/>
              <w:bottom w:val="single" w:sz="4" w:space="0" w:color="auto"/>
              <w:right w:val="single" w:sz="4" w:space="0" w:color="auto"/>
            </w:tcBorders>
            <w:vAlign w:val="center"/>
          </w:tcPr>
          <w:p w14:paraId="7055F6F3" w14:textId="6914F635" w:rsidR="003B23C4" w:rsidRDefault="003B23C4" w:rsidP="003B23C4">
            <w:pPr>
              <w:pStyle w:val="TableText"/>
              <w:jc w:val="right"/>
              <w:rPr>
                <w:rFonts w:cs="Arial"/>
              </w:rPr>
            </w:pPr>
            <w:r w:rsidRPr="00F35CC5">
              <w:rPr>
                <w:rFonts w:cs="Arial"/>
              </w:rPr>
              <w:t>435K</w:t>
            </w:r>
          </w:p>
        </w:tc>
        <w:tc>
          <w:tcPr>
            <w:tcW w:w="1250" w:type="dxa"/>
            <w:tcBorders>
              <w:top w:val="nil"/>
              <w:left w:val="nil"/>
              <w:bottom w:val="single" w:sz="4" w:space="0" w:color="auto"/>
              <w:right w:val="single" w:sz="4" w:space="0" w:color="auto"/>
            </w:tcBorders>
            <w:vAlign w:val="center"/>
          </w:tcPr>
          <w:p w14:paraId="2CEFBC6B" w14:textId="0E0401AF" w:rsidR="003B23C4" w:rsidRDefault="003B23C4" w:rsidP="003B23C4">
            <w:pPr>
              <w:pStyle w:val="TableText"/>
              <w:jc w:val="right"/>
              <w:rPr>
                <w:rFonts w:cs="Arial"/>
              </w:rPr>
            </w:pPr>
            <w:r>
              <w:rPr>
                <w:rFonts w:cs="Arial"/>
              </w:rPr>
              <w:t>526K</w:t>
            </w:r>
          </w:p>
        </w:tc>
        <w:tc>
          <w:tcPr>
            <w:tcW w:w="1250" w:type="dxa"/>
            <w:tcBorders>
              <w:top w:val="nil"/>
              <w:left w:val="nil"/>
              <w:bottom w:val="single" w:sz="4" w:space="0" w:color="auto"/>
              <w:right w:val="single" w:sz="4" w:space="0" w:color="auto"/>
            </w:tcBorders>
            <w:vAlign w:val="center"/>
          </w:tcPr>
          <w:p w14:paraId="041C1D55" w14:textId="77B7FE8F" w:rsidR="003B23C4" w:rsidRDefault="003B23C4" w:rsidP="003B23C4">
            <w:pPr>
              <w:pStyle w:val="TableText"/>
              <w:jc w:val="right"/>
              <w:rPr>
                <w:rFonts w:cs="Arial"/>
              </w:rPr>
            </w:pPr>
            <w:r>
              <w:rPr>
                <w:rFonts w:cs="Arial"/>
              </w:rPr>
              <w:t>398K</w:t>
            </w:r>
          </w:p>
        </w:tc>
        <w:tc>
          <w:tcPr>
            <w:tcW w:w="1250" w:type="dxa"/>
            <w:tcBorders>
              <w:top w:val="nil"/>
              <w:left w:val="nil"/>
              <w:bottom w:val="single" w:sz="4" w:space="0" w:color="auto"/>
              <w:right w:val="single" w:sz="4" w:space="0" w:color="auto"/>
            </w:tcBorders>
            <w:vAlign w:val="center"/>
          </w:tcPr>
          <w:p w14:paraId="459DEBCB" w14:textId="359C371B" w:rsidR="003B23C4" w:rsidRDefault="00552181" w:rsidP="003B23C4">
            <w:pPr>
              <w:pStyle w:val="TableText"/>
              <w:jc w:val="right"/>
              <w:rPr>
                <w:rFonts w:cs="Arial"/>
              </w:rPr>
            </w:pPr>
            <w:r>
              <w:rPr>
                <w:rFonts w:cs="Arial"/>
              </w:rPr>
              <w:t>431</w:t>
            </w:r>
            <w:r w:rsidR="003B23C4">
              <w:rPr>
                <w:rFonts w:cs="Arial"/>
              </w:rPr>
              <w:t>K</w:t>
            </w:r>
          </w:p>
        </w:tc>
      </w:tr>
      <w:tr w:rsidR="003B23C4" w:rsidRPr="00920636" w14:paraId="035EBC9F" w14:textId="77777777" w:rsidTr="007C051D">
        <w:trPr>
          <w:trHeight w:val="255"/>
        </w:trPr>
        <w:tc>
          <w:tcPr>
            <w:tcW w:w="2596" w:type="dxa"/>
            <w:tcBorders>
              <w:top w:val="nil"/>
              <w:left w:val="single" w:sz="4" w:space="0" w:color="auto"/>
              <w:bottom w:val="single" w:sz="4" w:space="0" w:color="auto"/>
              <w:right w:val="single" w:sz="4" w:space="0" w:color="auto"/>
            </w:tcBorders>
            <w:noWrap/>
            <w:hideMark/>
          </w:tcPr>
          <w:p w14:paraId="7A11A61C" w14:textId="77777777" w:rsidR="003B23C4" w:rsidRPr="000F130C" w:rsidRDefault="003B23C4" w:rsidP="003B23C4">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121E7DAE" w14:textId="6A555461" w:rsidR="003B23C4" w:rsidRDefault="003B23C4" w:rsidP="003B23C4">
            <w:pPr>
              <w:pStyle w:val="TableText"/>
              <w:jc w:val="right"/>
              <w:rPr>
                <w:rFonts w:cs="Arial"/>
                <w:b/>
                <w:bCs/>
              </w:rPr>
            </w:pPr>
            <w:r>
              <w:rPr>
                <w:rFonts w:cs="Arial"/>
                <w:b/>
                <w:bCs/>
              </w:rPr>
              <w:t>685K</w:t>
            </w:r>
          </w:p>
        </w:tc>
        <w:tc>
          <w:tcPr>
            <w:tcW w:w="1250" w:type="dxa"/>
            <w:tcBorders>
              <w:top w:val="nil"/>
              <w:left w:val="nil"/>
              <w:bottom w:val="single" w:sz="4" w:space="0" w:color="auto"/>
              <w:right w:val="single" w:sz="4" w:space="0" w:color="auto"/>
            </w:tcBorders>
            <w:vAlign w:val="center"/>
          </w:tcPr>
          <w:p w14:paraId="36C83947" w14:textId="2FD3F81E" w:rsidR="003B23C4" w:rsidRDefault="003B23C4" w:rsidP="003B23C4">
            <w:pPr>
              <w:pStyle w:val="TableText"/>
              <w:jc w:val="right"/>
              <w:rPr>
                <w:rFonts w:cs="Arial"/>
                <w:b/>
                <w:bCs/>
              </w:rPr>
            </w:pPr>
            <w:r w:rsidRPr="00F35CC5">
              <w:rPr>
                <w:rFonts w:cs="Arial"/>
                <w:b/>
                <w:bCs/>
              </w:rPr>
              <w:t>833K</w:t>
            </w:r>
          </w:p>
        </w:tc>
        <w:tc>
          <w:tcPr>
            <w:tcW w:w="1250" w:type="dxa"/>
            <w:tcBorders>
              <w:top w:val="nil"/>
              <w:left w:val="nil"/>
              <w:bottom w:val="single" w:sz="4" w:space="0" w:color="auto"/>
              <w:right w:val="single" w:sz="4" w:space="0" w:color="auto"/>
            </w:tcBorders>
            <w:vAlign w:val="center"/>
          </w:tcPr>
          <w:p w14:paraId="3A4A340E" w14:textId="12A22729" w:rsidR="003B23C4" w:rsidRDefault="003B23C4" w:rsidP="003B23C4">
            <w:pPr>
              <w:pStyle w:val="TableText"/>
              <w:jc w:val="right"/>
              <w:rPr>
                <w:rFonts w:cs="Arial"/>
                <w:b/>
                <w:bCs/>
              </w:rPr>
            </w:pPr>
            <w:r>
              <w:rPr>
                <w:rFonts w:cs="Arial"/>
                <w:b/>
                <w:bCs/>
              </w:rPr>
              <w:t>950K</w:t>
            </w:r>
          </w:p>
        </w:tc>
        <w:tc>
          <w:tcPr>
            <w:tcW w:w="1250" w:type="dxa"/>
            <w:tcBorders>
              <w:top w:val="nil"/>
              <w:left w:val="nil"/>
              <w:bottom w:val="single" w:sz="4" w:space="0" w:color="auto"/>
              <w:right w:val="single" w:sz="4" w:space="0" w:color="auto"/>
            </w:tcBorders>
            <w:vAlign w:val="center"/>
          </w:tcPr>
          <w:p w14:paraId="4BBBE011" w14:textId="2F4FD77A" w:rsidR="003B23C4" w:rsidRDefault="003B23C4" w:rsidP="003B23C4">
            <w:pPr>
              <w:pStyle w:val="TableText"/>
              <w:jc w:val="right"/>
              <w:rPr>
                <w:rFonts w:cs="Arial"/>
                <w:b/>
                <w:bCs/>
              </w:rPr>
            </w:pPr>
            <w:r>
              <w:rPr>
                <w:rFonts w:cs="Arial"/>
                <w:b/>
                <w:bCs/>
              </w:rPr>
              <w:t>755K</w:t>
            </w:r>
          </w:p>
        </w:tc>
        <w:tc>
          <w:tcPr>
            <w:tcW w:w="1250" w:type="dxa"/>
            <w:tcBorders>
              <w:top w:val="nil"/>
              <w:left w:val="nil"/>
              <w:bottom w:val="single" w:sz="4" w:space="0" w:color="auto"/>
              <w:right w:val="single" w:sz="4" w:space="0" w:color="auto"/>
            </w:tcBorders>
            <w:vAlign w:val="center"/>
          </w:tcPr>
          <w:p w14:paraId="018FC3FF" w14:textId="682C938B" w:rsidR="003B23C4" w:rsidRPr="00F35CC5" w:rsidRDefault="00552181" w:rsidP="003B23C4">
            <w:pPr>
              <w:pStyle w:val="TableText"/>
              <w:jc w:val="right"/>
              <w:rPr>
                <w:rFonts w:cs="Arial"/>
                <w:b/>
                <w:bCs/>
              </w:rPr>
            </w:pPr>
            <w:r>
              <w:rPr>
                <w:rFonts w:cs="Arial"/>
                <w:b/>
                <w:bCs/>
              </w:rPr>
              <w:t>802</w:t>
            </w:r>
            <w:r w:rsidR="003B23C4">
              <w:rPr>
                <w:rFonts w:cs="Arial"/>
                <w:b/>
                <w:bCs/>
              </w:rPr>
              <w:t>K</w:t>
            </w:r>
          </w:p>
        </w:tc>
      </w:tr>
      <w:bookmarkEnd w:id="42"/>
    </w:tbl>
    <w:p w14:paraId="6476CEF7" w14:textId="77777777" w:rsidR="00D2716E" w:rsidRDefault="00D2716E" w:rsidP="00D2716E">
      <w:pPr>
        <w:ind w:left="-142" w:right="-425"/>
        <w:jc w:val="both"/>
        <w:rPr>
          <w:rFonts w:cs="Arial"/>
        </w:rPr>
      </w:pPr>
    </w:p>
    <w:p w14:paraId="27769A17" w14:textId="77777777" w:rsidR="00F04376" w:rsidRDefault="00F04376" w:rsidP="00994941">
      <w:pPr>
        <w:spacing w:line="240" w:lineRule="auto"/>
        <w:ind w:left="-142"/>
        <w:jc w:val="both"/>
        <w:rPr>
          <w:rFonts w:cs="Arial"/>
          <w:sz w:val="16"/>
          <w:szCs w:val="16"/>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34"/>
        <w:gridCol w:w="1134"/>
        <w:gridCol w:w="1418"/>
        <w:gridCol w:w="1417"/>
        <w:gridCol w:w="1276"/>
        <w:gridCol w:w="1234"/>
        <w:gridCol w:w="3245"/>
      </w:tblGrid>
      <w:tr w:rsidR="000D6508" w:rsidRPr="0056129C" w14:paraId="23D22753" w14:textId="77777777" w:rsidTr="009416EA">
        <w:trPr>
          <w:trHeight w:val="279"/>
          <w:tblHeader/>
        </w:trPr>
        <w:tc>
          <w:tcPr>
            <w:tcW w:w="10858" w:type="dxa"/>
            <w:gridSpan w:val="7"/>
            <w:tcBorders>
              <w:top w:val="nil"/>
              <w:left w:val="nil"/>
              <w:bottom w:val="nil"/>
              <w:right w:val="nil"/>
            </w:tcBorders>
            <w:vAlign w:val="center"/>
          </w:tcPr>
          <w:p w14:paraId="218C70DA" w14:textId="2EA2AB90" w:rsidR="000D6508" w:rsidRPr="00B22AF8" w:rsidRDefault="000D6508" w:rsidP="000D6508">
            <w:pPr>
              <w:rPr>
                <w:noProof/>
                <w:lang w:eastAsia="en-AU"/>
              </w:rPr>
            </w:pPr>
            <w:r>
              <w:rPr>
                <w:rFonts w:cs="Arial"/>
                <w:b/>
              </w:rPr>
              <w:lastRenderedPageBreak/>
              <w:t xml:space="preserve">APPENDIX </w:t>
            </w:r>
            <w:r w:rsidRPr="00E65AEC">
              <w:rPr>
                <w:rFonts w:cs="Arial"/>
                <w:b/>
              </w:rPr>
              <w:t>A</w:t>
            </w:r>
          </w:p>
        </w:tc>
      </w:tr>
      <w:tr w:rsidR="00D017C0" w:rsidRPr="0056129C" w14:paraId="344929DC" w14:textId="77777777" w:rsidTr="009416EA">
        <w:trPr>
          <w:trHeight w:val="1140"/>
          <w:tblHeader/>
        </w:trPr>
        <w:tc>
          <w:tcPr>
            <w:tcW w:w="1134" w:type="dxa"/>
            <w:tcBorders>
              <w:top w:val="nil"/>
              <w:left w:val="nil"/>
              <w:bottom w:val="single" w:sz="18" w:space="0" w:color="auto"/>
              <w:right w:val="nil"/>
            </w:tcBorders>
            <w:vAlign w:val="center"/>
          </w:tcPr>
          <w:p w14:paraId="503B639B" w14:textId="4E1F9AF7" w:rsidR="00D017C0" w:rsidRPr="0056129C" w:rsidRDefault="00D017C0" w:rsidP="00E37E96">
            <w:pPr>
              <w:ind w:right="-100"/>
              <w:rPr>
                <w:rFonts w:ascii="Arial Narrow" w:hAnsi="Arial Narrow" w:cs="Arial"/>
                <w:b/>
                <w:bCs/>
              </w:rPr>
            </w:pPr>
            <w:r w:rsidRPr="00B9709A">
              <w:rPr>
                <w:rFonts w:cs="Arial"/>
              </w:rPr>
              <w:br w:type="page"/>
            </w:r>
          </w:p>
        </w:tc>
        <w:tc>
          <w:tcPr>
            <w:tcW w:w="6479" w:type="dxa"/>
            <w:gridSpan w:val="5"/>
            <w:tcBorders>
              <w:top w:val="nil"/>
              <w:left w:val="nil"/>
              <w:bottom w:val="single" w:sz="18" w:space="0" w:color="auto"/>
              <w:right w:val="nil"/>
            </w:tcBorders>
            <w:vAlign w:val="center"/>
          </w:tcPr>
          <w:p w14:paraId="116923F4" w14:textId="7C7BBCB6"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w:t>
            </w:r>
            <w:r w:rsidR="00613477">
              <w:rPr>
                <w:rFonts w:ascii="Arial" w:hAnsi="Arial" w:cs="Arial"/>
                <w:b/>
                <w:bCs/>
                <w:noProof/>
                <w:lang w:val="en-US"/>
              </w:rPr>
              <w:t xml:space="preserve">AND CLIENT ENGAGEMENT </w:t>
            </w:r>
            <w:r w:rsidRPr="00BC00C8">
              <w:rPr>
                <w:rFonts w:ascii="Arial" w:hAnsi="Arial" w:cs="Arial"/>
                <w:b/>
                <w:bCs/>
                <w:noProof/>
                <w:lang w:val="en-US"/>
              </w:rPr>
              <w:t xml:space="preserve">CALENDAR </w:t>
            </w:r>
            <w:r>
              <w:rPr>
                <w:rFonts w:ascii="Arial" w:hAnsi="Arial" w:cs="Arial"/>
                <w:b/>
                <w:bCs/>
                <w:noProof/>
                <w:lang w:val="en-US"/>
              </w:rPr>
              <w:t>20</w:t>
            </w:r>
            <w:r w:rsidR="001A5CE8">
              <w:rPr>
                <w:rFonts w:ascii="Arial" w:hAnsi="Arial" w:cs="Arial"/>
                <w:b/>
                <w:bCs/>
                <w:noProof/>
                <w:lang w:val="en-US"/>
              </w:rPr>
              <w:t>2</w:t>
            </w:r>
            <w:r w:rsidR="003B19FF">
              <w:rPr>
                <w:rFonts w:ascii="Arial" w:hAnsi="Arial" w:cs="Arial"/>
                <w:b/>
                <w:bCs/>
                <w:noProof/>
                <w:lang w:val="en-US"/>
              </w:rPr>
              <w:t>5</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7D590B7D"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3B19FF">
              <w:rPr>
                <w:rFonts w:ascii="Arial" w:hAnsi="Arial" w:cs="Arial"/>
                <w:b/>
                <w:bCs/>
                <w:noProof/>
                <w:lang w:val="en-US"/>
              </w:rPr>
              <w:t xml:space="preserve">January </w:t>
            </w:r>
            <w:r w:rsidR="00920BC4">
              <w:rPr>
                <w:rFonts w:ascii="Arial" w:hAnsi="Arial" w:cs="Arial"/>
                <w:b/>
                <w:bCs/>
                <w:noProof/>
                <w:lang w:val="en-US"/>
              </w:rPr>
              <w:t>202</w:t>
            </w:r>
            <w:r w:rsidR="003B19FF">
              <w:rPr>
                <w:rFonts w:ascii="Arial" w:hAnsi="Arial" w:cs="Arial"/>
                <w:b/>
                <w:bCs/>
                <w:noProof/>
                <w:lang w:val="en-US"/>
              </w:rPr>
              <w:t>5</w:t>
            </w:r>
            <w:r>
              <w:rPr>
                <w:rFonts w:ascii="Arial" w:hAnsi="Arial" w:cs="Arial"/>
                <w:b/>
                <w:bCs/>
                <w:noProof/>
                <w:lang w:val="en-US"/>
              </w:rPr>
              <w:t xml:space="preserve"> to 3</w:t>
            </w:r>
            <w:r w:rsidR="00D70174">
              <w:rPr>
                <w:rFonts w:ascii="Arial" w:hAnsi="Arial" w:cs="Arial"/>
                <w:b/>
                <w:bCs/>
                <w:noProof/>
                <w:lang w:val="en-US"/>
              </w:rPr>
              <w:t xml:space="preserve">0 June </w:t>
            </w:r>
            <w:r w:rsidR="00984BBB">
              <w:rPr>
                <w:rFonts w:ascii="Arial" w:hAnsi="Arial" w:cs="Arial"/>
                <w:b/>
                <w:bCs/>
                <w:noProof/>
                <w:lang w:val="en-US"/>
              </w:rPr>
              <w:t>202</w:t>
            </w:r>
            <w:r w:rsidR="00D70174">
              <w:rPr>
                <w:rFonts w:ascii="Arial" w:hAnsi="Arial" w:cs="Arial"/>
                <w:b/>
                <w:bCs/>
                <w:noProof/>
                <w:lang w:val="en-US"/>
              </w:rPr>
              <w:t>5</w:t>
            </w:r>
          </w:p>
        </w:tc>
        <w:tc>
          <w:tcPr>
            <w:tcW w:w="3245" w:type="dxa"/>
            <w:tcBorders>
              <w:top w:val="nil"/>
              <w:left w:val="nil"/>
              <w:bottom w:val="single" w:sz="18" w:space="0" w:color="auto"/>
              <w:right w:val="nil"/>
            </w:tcBorders>
            <w:vAlign w:val="center"/>
          </w:tcPr>
          <w:p w14:paraId="79EDD674" w14:textId="2D88D617" w:rsidR="00D017C0" w:rsidRPr="0056129C" w:rsidRDefault="00D017C0" w:rsidP="00E37E96">
            <w:pPr>
              <w:jc w:val="right"/>
              <w:rPr>
                <w:rFonts w:ascii="Arial Narrow" w:hAnsi="Arial Narrow" w:cs="Arial"/>
                <w:b/>
                <w:bCs/>
              </w:rPr>
            </w:pPr>
          </w:p>
        </w:tc>
      </w:tr>
      <w:tr w:rsidR="009416EA" w:rsidRPr="00BC2C5D" w14:paraId="2D8D131F" w14:textId="77777777" w:rsidTr="00DE4F1F">
        <w:trPr>
          <w:trHeight w:val="567"/>
          <w:tblHeader/>
        </w:trPr>
        <w:tc>
          <w:tcPr>
            <w:tcW w:w="1134"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34"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245" w:type="dxa"/>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BD223A" w:rsidRPr="00BC2C5D" w14:paraId="137E730A" w14:textId="77777777" w:rsidTr="00E57545">
        <w:trPr>
          <w:trHeight w:val="397"/>
        </w:trPr>
        <w:tc>
          <w:tcPr>
            <w:tcW w:w="1134" w:type="dxa"/>
            <w:tcBorders>
              <w:top w:val="single" w:sz="18" w:space="0" w:color="C0C0C0"/>
              <w:left w:val="single" w:sz="18" w:space="0" w:color="auto"/>
              <w:bottom w:val="single" w:sz="18" w:space="0" w:color="C0C0C0"/>
              <w:right w:val="single" w:sz="18" w:space="0" w:color="C0C0C0"/>
            </w:tcBorders>
            <w:vAlign w:val="center"/>
          </w:tcPr>
          <w:p w14:paraId="644AD876" w14:textId="5B57384B" w:rsidR="00BD223A" w:rsidRPr="00A634FA" w:rsidRDefault="0022339B" w:rsidP="00BD223A">
            <w:pPr>
              <w:jc w:val="center"/>
              <w:rPr>
                <w:rFonts w:ascii="Arial Narrow" w:hAnsi="Arial Narrow" w:cs="Arial"/>
                <w:sz w:val="16"/>
                <w:szCs w:val="16"/>
              </w:rPr>
            </w:pPr>
            <w:r>
              <w:rPr>
                <w:rFonts w:ascii="Arial Narrow" w:hAnsi="Arial Narrow" w:cs="Arial"/>
                <w:sz w:val="16"/>
                <w:szCs w:val="16"/>
              </w:rPr>
              <w:t>30 December</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50FEC033" w:rsidR="00BD223A" w:rsidRPr="00BD223A" w:rsidRDefault="00BD223A" w:rsidP="00BD223A">
            <w:pPr>
              <w:jc w:val="center"/>
              <w:rPr>
                <w:rFonts w:ascii="Arial Narrow" w:hAnsi="Arial Narrow" w:cs="Arial"/>
                <w:sz w:val="15"/>
                <w:szCs w:val="15"/>
              </w:rPr>
            </w:pP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BD223A" w:rsidRPr="00BD223A" w:rsidRDefault="00BD223A" w:rsidP="00BD223A">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537BC8B6" w:rsidR="00BD223A" w:rsidRPr="00BD223A" w:rsidRDefault="00BE7F1D" w:rsidP="00BE7F1D">
            <w:pPr>
              <w:jc w:val="center"/>
              <w:rPr>
                <w:rFonts w:ascii="Arial Narrow" w:hAnsi="Arial Narrow" w:cs="Arial"/>
                <w:sz w:val="16"/>
                <w:szCs w:val="16"/>
              </w:rPr>
            </w:pPr>
            <w:r w:rsidRPr="004D747C">
              <w:rPr>
                <w:rFonts w:ascii="Arial Narrow" w:hAnsi="Arial Narrow" w:cs="Arial"/>
                <w:b/>
                <w:bCs/>
                <w:sz w:val="16"/>
                <w:szCs w:val="16"/>
              </w:rPr>
              <w:t>Public Holiday</w:t>
            </w:r>
          </w:p>
        </w:tc>
        <w:tc>
          <w:tcPr>
            <w:tcW w:w="1276"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BD223A" w:rsidRPr="00BD223A" w:rsidRDefault="00BD223A" w:rsidP="00BD223A">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6FAC65F6" w:rsidR="00BD223A" w:rsidRPr="00BD223A" w:rsidRDefault="00BD223A" w:rsidP="00BD223A">
            <w:pPr>
              <w:jc w:val="center"/>
              <w:rPr>
                <w:rFonts w:ascii="Arial Narrow" w:hAnsi="Arial Narrow" w:cs="Arial"/>
                <w:sz w:val="15"/>
                <w:szCs w:val="15"/>
              </w:rPr>
            </w:pPr>
          </w:p>
        </w:tc>
        <w:tc>
          <w:tcPr>
            <w:tcW w:w="3245" w:type="dxa"/>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6F29487A" w:rsidR="00BD223A" w:rsidRPr="00464CCB" w:rsidRDefault="00BE7F1D" w:rsidP="00BD223A">
            <w:pPr>
              <w:jc w:val="center"/>
              <w:rPr>
                <w:rFonts w:ascii="Arial Narrow" w:hAnsi="Arial Narrow" w:cs="Arial"/>
                <w:b/>
                <w:bCs/>
                <w:sz w:val="16"/>
                <w:szCs w:val="16"/>
              </w:rPr>
            </w:pPr>
            <w:r w:rsidRPr="00464CCB">
              <w:rPr>
                <w:rFonts w:ascii="Arial Narrow" w:hAnsi="Arial Narrow" w:cs="Arial"/>
                <w:b/>
                <w:bCs/>
                <w:sz w:val="16"/>
                <w:szCs w:val="16"/>
              </w:rPr>
              <w:t>1 New Year’s Day Public Holiday</w:t>
            </w:r>
          </w:p>
        </w:tc>
      </w:tr>
      <w:tr w:rsidR="00CC0335" w:rsidRPr="00BC2C5D" w14:paraId="7C66C142" w14:textId="77777777" w:rsidTr="00464CCB">
        <w:trPr>
          <w:trHeight w:val="284"/>
        </w:trPr>
        <w:tc>
          <w:tcPr>
            <w:tcW w:w="1134" w:type="dxa"/>
            <w:tcBorders>
              <w:top w:val="single" w:sz="18" w:space="0" w:color="C0C0C0"/>
              <w:left w:val="single" w:sz="18" w:space="0" w:color="auto"/>
              <w:right w:val="single" w:sz="18" w:space="0" w:color="C0C0C0"/>
            </w:tcBorders>
            <w:vAlign w:val="center"/>
          </w:tcPr>
          <w:p w14:paraId="750FF1B7" w14:textId="25180D17" w:rsidR="00CC0335" w:rsidRPr="00A634FA" w:rsidRDefault="0022339B" w:rsidP="00A14655">
            <w:pPr>
              <w:jc w:val="center"/>
              <w:rPr>
                <w:rFonts w:ascii="Arial Narrow" w:hAnsi="Arial Narrow" w:cs="Arial"/>
                <w:sz w:val="16"/>
                <w:szCs w:val="16"/>
              </w:rPr>
            </w:pPr>
            <w:r>
              <w:rPr>
                <w:rFonts w:ascii="Arial Narrow" w:hAnsi="Arial Narrow" w:cs="Arial"/>
                <w:sz w:val="16"/>
                <w:szCs w:val="16"/>
              </w:rPr>
              <w:t>6 January</w:t>
            </w:r>
          </w:p>
        </w:tc>
        <w:tc>
          <w:tcPr>
            <w:tcW w:w="1134" w:type="dxa"/>
            <w:tcBorders>
              <w:top w:val="single" w:sz="18" w:space="0" w:color="C0C0C0"/>
              <w:left w:val="single" w:sz="18" w:space="0" w:color="C0C0C0"/>
              <w:right w:val="single" w:sz="18" w:space="0" w:color="C0C0C0"/>
            </w:tcBorders>
            <w:shd w:val="clear" w:color="auto" w:fill="D9D9D9"/>
            <w:vAlign w:val="center"/>
          </w:tcPr>
          <w:p w14:paraId="7FB8E453" w14:textId="3DEF2785" w:rsidR="00CC0335" w:rsidRPr="008C7414" w:rsidRDefault="00CC0335" w:rsidP="00A14655">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D9D9D9"/>
            <w:vAlign w:val="center"/>
          </w:tcPr>
          <w:p w14:paraId="731C4540" w14:textId="0A0D5E81" w:rsidR="00CC0335" w:rsidRPr="008C7414" w:rsidRDefault="00CC0335" w:rsidP="009A2A1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D9D9D9"/>
            <w:vAlign w:val="center"/>
          </w:tcPr>
          <w:p w14:paraId="1E99A741" w14:textId="0A80CB8C" w:rsidR="00CC0335" w:rsidRPr="008C7414" w:rsidRDefault="00CC0335" w:rsidP="00395962">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shd w:val="clear" w:color="auto" w:fill="D9D9D9"/>
            <w:vAlign w:val="center"/>
          </w:tcPr>
          <w:p w14:paraId="07B23DF6" w14:textId="533DF22F" w:rsidR="00CC0335" w:rsidRPr="008C7414" w:rsidRDefault="00CC0335" w:rsidP="0049482B">
            <w:pPr>
              <w:jc w:val="center"/>
              <w:rPr>
                <w:rFonts w:ascii="Arial Narrow" w:hAnsi="Arial Narrow" w:cs="Arial"/>
                <w:sz w:val="16"/>
                <w:szCs w:val="16"/>
              </w:rPr>
            </w:pPr>
          </w:p>
        </w:tc>
        <w:tc>
          <w:tcPr>
            <w:tcW w:w="1234" w:type="dxa"/>
            <w:tcBorders>
              <w:top w:val="single" w:sz="18" w:space="0" w:color="C0C0C0"/>
              <w:left w:val="single" w:sz="18" w:space="0" w:color="C0C0C0"/>
              <w:right w:val="single" w:sz="18" w:space="0" w:color="auto"/>
            </w:tcBorders>
            <w:shd w:val="clear" w:color="auto" w:fill="D9D9D9"/>
            <w:vAlign w:val="center"/>
          </w:tcPr>
          <w:p w14:paraId="5BFFB592" w14:textId="60D47FF6" w:rsidR="00CC0335" w:rsidRPr="008C7414" w:rsidRDefault="00CC0335" w:rsidP="00A14655">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shd w:val="clear" w:color="auto" w:fill="D9D9D9"/>
            <w:vAlign w:val="center"/>
          </w:tcPr>
          <w:p w14:paraId="35E5B25C" w14:textId="77777777" w:rsidR="00BE7F1D" w:rsidRPr="00464CCB" w:rsidRDefault="00BE7F1D" w:rsidP="00BE7F1D">
            <w:pPr>
              <w:jc w:val="center"/>
              <w:rPr>
                <w:rFonts w:ascii="Arial Narrow" w:hAnsi="Arial Narrow"/>
                <w:color w:val="31849B"/>
                <w:sz w:val="16"/>
                <w:szCs w:val="16"/>
              </w:rPr>
            </w:pPr>
            <w:r w:rsidRPr="00464CCB">
              <w:rPr>
                <w:rFonts w:ascii="Arial Narrow" w:hAnsi="Arial Narrow"/>
                <w:color w:val="31849B"/>
                <w:sz w:val="16"/>
                <w:szCs w:val="16"/>
              </w:rPr>
              <w:t>Cooktown Circuit</w:t>
            </w:r>
          </w:p>
          <w:p w14:paraId="304C5BB3" w14:textId="47F843E5" w:rsidR="00CC0335" w:rsidRPr="00464CCB" w:rsidRDefault="00BE7F1D" w:rsidP="00BE7F1D">
            <w:pPr>
              <w:jc w:val="center"/>
              <w:rPr>
                <w:rFonts w:ascii="Arial Narrow" w:hAnsi="Arial Narrow"/>
                <w:color w:val="31849B"/>
                <w:sz w:val="16"/>
                <w:szCs w:val="16"/>
              </w:rPr>
            </w:pPr>
            <w:r w:rsidRPr="00464CCB">
              <w:rPr>
                <w:rFonts w:ascii="Arial Narrow" w:hAnsi="Arial Narrow"/>
                <w:color w:val="31849B"/>
                <w:sz w:val="16"/>
                <w:szCs w:val="16"/>
              </w:rPr>
              <w:t>Hope Vale Circuit</w:t>
            </w:r>
          </w:p>
        </w:tc>
      </w:tr>
      <w:tr w:rsidR="00276491" w:rsidRPr="00BC2C5D" w14:paraId="5BA53CBD" w14:textId="77777777" w:rsidTr="00E57545">
        <w:trPr>
          <w:trHeight w:val="397"/>
        </w:trPr>
        <w:tc>
          <w:tcPr>
            <w:tcW w:w="1134" w:type="dxa"/>
            <w:tcBorders>
              <w:top w:val="single" w:sz="18" w:space="0" w:color="BFBFBF"/>
              <w:left w:val="single" w:sz="18" w:space="0" w:color="auto"/>
              <w:right w:val="single" w:sz="18" w:space="0" w:color="C0C0C0"/>
            </w:tcBorders>
            <w:vAlign w:val="center"/>
          </w:tcPr>
          <w:p w14:paraId="0D10FC03" w14:textId="2A7985BF" w:rsidR="00276491" w:rsidRPr="00A634FA" w:rsidRDefault="00276491" w:rsidP="00276491">
            <w:pPr>
              <w:jc w:val="center"/>
              <w:rPr>
                <w:rFonts w:ascii="Arial Narrow" w:hAnsi="Arial Narrow" w:cs="Arial"/>
                <w:sz w:val="16"/>
                <w:szCs w:val="16"/>
              </w:rPr>
            </w:pPr>
            <w:r>
              <w:rPr>
                <w:rFonts w:ascii="Arial Narrow" w:hAnsi="Arial Narrow" w:cs="Arial"/>
                <w:sz w:val="16"/>
                <w:szCs w:val="16"/>
              </w:rPr>
              <w:t>13 January</w:t>
            </w:r>
          </w:p>
        </w:tc>
        <w:tc>
          <w:tcPr>
            <w:tcW w:w="1134" w:type="dxa"/>
            <w:tcBorders>
              <w:top w:val="single" w:sz="18" w:space="0" w:color="BFBFBF"/>
              <w:left w:val="single" w:sz="18" w:space="0" w:color="C0C0C0"/>
              <w:right w:val="single" w:sz="18" w:space="0" w:color="C0C0C0"/>
            </w:tcBorders>
            <w:shd w:val="clear" w:color="auto" w:fill="D9D9D9"/>
            <w:vAlign w:val="center"/>
          </w:tcPr>
          <w:p w14:paraId="5FA0BC74" w14:textId="1101B3A4" w:rsidR="00276491" w:rsidRPr="008C7414" w:rsidRDefault="00276491" w:rsidP="00276491">
            <w:pPr>
              <w:jc w:val="center"/>
              <w:rPr>
                <w:rFonts w:ascii="Arial Narrow" w:hAnsi="Arial Narrow" w:cs="Arial"/>
                <w:sz w:val="15"/>
                <w:szCs w:val="15"/>
              </w:rPr>
            </w:pPr>
          </w:p>
        </w:tc>
        <w:tc>
          <w:tcPr>
            <w:tcW w:w="1418" w:type="dxa"/>
            <w:tcBorders>
              <w:top w:val="single" w:sz="18" w:space="0" w:color="BFBFBF"/>
              <w:left w:val="single" w:sz="18" w:space="0" w:color="C0C0C0"/>
              <w:right w:val="single" w:sz="18" w:space="0" w:color="BFBFBF"/>
              <w:tr2bl w:val="nil"/>
            </w:tcBorders>
            <w:shd w:val="clear" w:color="auto" w:fill="FF0000"/>
            <w:vAlign w:val="center"/>
          </w:tcPr>
          <w:p w14:paraId="346AA547" w14:textId="48D5F0C7"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14 CE</w:t>
            </w:r>
          </w:p>
        </w:tc>
        <w:tc>
          <w:tcPr>
            <w:tcW w:w="1417" w:type="dxa"/>
            <w:tcBorders>
              <w:top w:val="single" w:sz="18" w:space="0" w:color="BFBFBF"/>
              <w:left w:val="single" w:sz="18" w:space="0" w:color="BFBFBF"/>
              <w:right w:val="single" w:sz="18" w:space="0" w:color="C0C0C0"/>
            </w:tcBorders>
            <w:shd w:val="clear" w:color="auto" w:fill="FF0000"/>
            <w:vAlign w:val="center"/>
          </w:tcPr>
          <w:p w14:paraId="7A536749" w14:textId="5282CD4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15 CE</w:t>
            </w:r>
          </w:p>
        </w:tc>
        <w:tc>
          <w:tcPr>
            <w:tcW w:w="1276" w:type="dxa"/>
            <w:tcBorders>
              <w:top w:val="single" w:sz="18" w:space="0" w:color="BFBFBF"/>
              <w:left w:val="single" w:sz="18" w:space="0" w:color="C0C0C0"/>
              <w:right w:val="single" w:sz="18" w:space="0" w:color="C0C0C0"/>
            </w:tcBorders>
            <w:shd w:val="clear" w:color="auto" w:fill="FF0000"/>
            <w:vAlign w:val="center"/>
          </w:tcPr>
          <w:p w14:paraId="6CAE5B32" w14:textId="7F0AAFA0"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16 ½ day CE</w:t>
            </w:r>
          </w:p>
        </w:tc>
        <w:tc>
          <w:tcPr>
            <w:tcW w:w="1234" w:type="dxa"/>
            <w:tcBorders>
              <w:top w:val="single" w:sz="18" w:space="0" w:color="BFBFBF"/>
              <w:left w:val="single" w:sz="18" w:space="0" w:color="C0C0C0"/>
              <w:right w:val="single" w:sz="18" w:space="0" w:color="auto"/>
            </w:tcBorders>
            <w:shd w:val="clear" w:color="auto" w:fill="D9D9D9"/>
            <w:vAlign w:val="center"/>
          </w:tcPr>
          <w:p w14:paraId="77ED7AC8" w14:textId="1ACBFD0C" w:rsidR="00276491" w:rsidRPr="008C7414" w:rsidRDefault="00276491" w:rsidP="00276491">
            <w:pPr>
              <w:jc w:val="center"/>
              <w:rPr>
                <w:rFonts w:ascii="Arial Narrow" w:hAnsi="Arial Narrow" w:cs="Arial"/>
                <w:sz w:val="15"/>
                <w:szCs w:val="15"/>
              </w:rPr>
            </w:pPr>
          </w:p>
        </w:tc>
        <w:tc>
          <w:tcPr>
            <w:tcW w:w="3245" w:type="dxa"/>
            <w:tcBorders>
              <w:top w:val="single" w:sz="18" w:space="0" w:color="BFBFBF"/>
              <w:left w:val="single" w:sz="18" w:space="0" w:color="auto"/>
              <w:right w:val="single" w:sz="18" w:space="0" w:color="auto"/>
            </w:tcBorders>
            <w:shd w:val="clear" w:color="auto" w:fill="D9D9D9"/>
            <w:vAlign w:val="center"/>
          </w:tcPr>
          <w:p w14:paraId="6C8C40F7" w14:textId="14BD7F3A" w:rsidR="00276491" w:rsidRPr="00464CCB" w:rsidRDefault="00276491" w:rsidP="00276491">
            <w:pPr>
              <w:jc w:val="center"/>
              <w:rPr>
                <w:rFonts w:ascii="Arial Narrow" w:hAnsi="Arial Narrow"/>
                <w:color w:val="31849B"/>
                <w:sz w:val="16"/>
                <w:szCs w:val="16"/>
              </w:rPr>
            </w:pPr>
            <w:r w:rsidRPr="00464CCB">
              <w:rPr>
                <w:rFonts w:ascii="Arial Narrow" w:hAnsi="Arial Narrow"/>
                <w:color w:val="31849B"/>
                <w:sz w:val="16"/>
                <w:szCs w:val="16"/>
              </w:rPr>
              <w:t>Aurukun Cape B &amp; Coen Cape A Circuit</w:t>
            </w:r>
          </w:p>
        </w:tc>
      </w:tr>
      <w:tr w:rsidR="00276491" w:rsidRPr="00BC2C5D" w14:paraId="3FC520FE" w14:textId="77777777" w:rsidTr="00971872">
        <w:trPr>
          <w:trHeight w:val="57"/>
        </w:trPr>
        <w:tc>
          <w:tcPr>
            <w:tcW w:w="1134" w:type="dxa"/>
            <w:vMerge w:val="restart"/>
            <w:tcBorders>
              <w:top w:val="single" w:sz="18" w:space="0" w:color="BFBFBF"/>
              <w:left w:val="single" w:sz="18" w:space="0" w:color="auto"/>
              <w:right w:val="single" w:sz="18" w:space="0" w:color="C0C0C0"/>
            </w:tcBorders>
            <w:vAlign w:val="center"/>
          </w:tcPr>
          <w:p w14:paraId="6D1805FC" w14:textId="18C82741" w:rsidR="00276491" w:rsidRPr="00A634FA" w:rsidRDefault="00276491" w:rsidP="00276491">
            <w:pPr>
              <w:jc w:val="center"/>
              <w:rPr>
                <w:rFonts w:ascii="Arial Narrow" w:hAnsi="Arial Narrow" w:cs="Arial"/>
                <w:sz w:val="16"/>
                <w:szCs w:val="16"/>
              </w:rPr>
            </w:pPr>
            <w:r>
              <w:rPr>
                <w:rFonts w:ascii="Arial Narrow" w:hAnsi="Arial Narrow" w:cs="Arial"/>
                <w:sz w:val="16"/>
                <w:szCs w:val="16"/>
              </w:rPr>
              <w:t>20 January</w:t>
            </w:r>
          </w:p>
        </w:tc>
        <w:tc>
          <w:tcPr>
            <w:tcW w:w="1134" w:type="dxa"/>
            <w:vMerge w:val="restart"/>
            <w:tcBorders>
              <w:top w:val="single" w:sz="18" w:space="0" w:color="BFBFBF"/>
              <w:left w:val="single" w:sz="18" w:space="0" w:color="C0C0C0"/>
              <w:right w:val="single" w:sz="18" w:space="0" w:color="C0C0C0"/>
            </w:tcBorders>
            <w:shd w:val="clear" w:color="auto" w:fill="D9D9D9"/>
            <w:vAlign w:val="center"/>
          </w:tcPr>
          <w:p w14:paraId="4DAA80E5" w14:textId="4C021FC1" w:rsidR="00276491" w:rsidRPr="008C7414" w:rsidRDefault="00276491" w:rsidP="00276491">
            <w:pPr>
              <w:jc w:val="center"/>
              <w:rPr>
                <w:rFonts w:ascii="Arial Narrow" w:hAnsi="Arial Narrow" w:cs="Arial"/>
                <w:sz w:val="16"/>
                <w:szCs w:val="16"/>
              </w:rPr>
            </w:pPr>
          </w:p>
        </w:tc>
        <w:tc>
          <w:tcPr>
            <w:tcW w:w="1418" w:type="dxa"/>
            <w:tcBorders>
              <w:top w:val="single" w:sz="18" w:space="0" w:color="C0C0C0"/>
              <w:left w:val="single" w:sz="18" w:space="0" w:color="C0C0C0"/>
              <w:bottom w:val="nil"/>
              <w:right w:val="single" w:sz="18" w:space="0" w:color="BFBFBF"/>
              <w:tr2bl w:val="nil"/>
            </w:tcBorders>
            <w:shd w:val="clear" w:color="auto" w:fill="FF0000"/>
            <w:vAlign w:val="center"/>
          </w:tcPr>
          <w:p w14:paraId="211F9DD8" w14:textId="21101449"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54F73A57" w14:textId="00E6F87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CE</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2B85F166" w14:textId="37D756D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23 CE</w:t>
            </w:r>
          </w:p>
        </w:tc>
        <w:tc>
          <w:tcPr>
            <w:tcW w:w="1234" w:type="dxa"/>
            <w:vMerge w:val="restart"/>
            <w:tcBorders>
              <w:top w:val="single" w:sz="18" w:space="0" w:color="BFBFBF"/>
              <w:left w:val="single" w:sz="18" w:space="0" w:color="C0C0C0"/>
              <w:right w:val="single" w:sz="18" w:space="0" w:color="auto"/>
            </w:tcBorders>
            <w:shd w:val="clear" w:color="auto" w:fill="D9D9D9"/>
            <w:vAlign w:val="center"/>
          </w:tcPr>
          <w:p w14:paraId="4C8AAF12" w14:textId="58205119" w:rsidR="00276491" w:rsidRPr="008C7414" w:rsidRDefault="00276491" w:rsidP="00276491">
            <w:pPr>
              <w:jc w:val="center"/>
              <w:rPr>
                <w:rFonts w:ascii="Arial Narrow" w:hAnsi="Arial Narrow" w:cs="Arial"/>
                <w:sz w:val="15"/>
                <w:szCs w:val="15"/>
              </w:rPr>
            </w:pPr>
          </w:p>
        </w:tc>
        <w:tc>
          <w:tcPr>
            <w:tcW w:w="3245" w:type="dxa"/>
            <w:vMerge w:val="restart"/>
            <w:tcBorders>
              <w:top w:val="single" w:sz="18" w:space="0" w:color="BFBFBF"/>
              <w:left w:val="single" w:sz="18" w:space="0" w:color="auto"/>
              <w:right w:val="single" w:sz="18" w:space="0" w:color="auto"/>
            </w:tcBorders>
            <w:shd w:val="clear" w:color="auto" w:fill="D9D9D9"/>
            <w:vAlign w:val="center"/>
          </w:tcPr>
          <w:p w14:paraId="4A692BE1" w14:textId="7A8F6B4A" w:rsidR="00276491" w:rsidRPr="00464CCB" w:rsidRDefault="00276491" w:rsidP="00276491">
            <w:pPr>
              <w:jc w:val="center"/>
              <w:rPr>
                <w:rFonts w:ascii="Arial Narrow" w:hAnsi="Arial Narrow"/>
                <w:color w:val="31849B"/>
                <w:sz w:val="16"/>
                <w:szCs w:val="16"/>
              </w:rPr>
            </w:pPr>
            <w:r w:rsidRPr="00464CCB">
              <w:rPr>
                <w:rFonts w:ascii="Arial Narrow" w:hAnsi="Arial Narrow"/>
                <w:color w:val="31849B"/>
                <w:sz w:val="16"/>
                <w:szCs w:val="16"/>
              </w:rPr>
              <w:t>Doomadgee Circuit</w:t>
            </w:r>
          </w:p>
        </w:tc>
      </w:tr>
      <w:tr w:rsidR="00276491" w:rsidRPr="00BC2C5D" w14:paraId="2D98ABFC" w14:textId="77777777" w:rsidTr="00276491">
        <w:trPr>
          <w:trHeight w:val="57"/>
        </w:trPr>
        <w:tc>
          <w:tcPr>
            <w:tcW w:w="1134" w:type="dxa"/>
            <w:vMerge/>
            <w:tcBorders>
              <w:left w:val="single" w:sz="18" w:space="0" w:color="auto"/>
              <w:right w:val="single" w:sz="18" w:space="0" w:color="C0C0C0"/>
            </w:tcBorders>
            <w:vAlign w:val="center"/>
          </w:tcPr>
          <w:p w14:paraId="2B2C125A" w14:textId="77777777" w:rsidR="00276491" w:rsidRDefault="00276491" w:rsidP="0027649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D9D9D9"/>
            <w:vAlign w:val="center"/>
          </w:tcPr>
          <w:p w14:paraId="54C8D418" w14:textId="77777777" w:rsidR="00276491" w:rsidRPr="008C7414" w:rsidRDefault="00276491" w:rsidP="00276491">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r2bl w:val="nil"/>
            </w:tcBorders>
            <w:shd w:val="clear" w:color="auto" w:fill="20849B"/>
            <w:vAlign w:val="center"/>
          </w:tcPr>
          <w:p w14:paraId="377D8EE9" w14:textId="066AC977"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417" w:type="dxa"/>
            <w:tcBorders>
              <w:top w:val="nil"/>
              <w:left w:val="single" w:sz="18" w:space="0" w:color="BFBFBF"/>
              <w:bottom w:val="nil"/>
              <w:right w:val="single" w:sz="18" w:space="0" w:color="C0C0C0"/>
            </w:tcBorders>
            <w:shd w:val="clear" w:color="auto" w:fill="20849B"/>
            <w:vAlign w:val="center"/>
          </w:tcPr>
          <w:p w14:paraId="66E05397" w14:textId="49BFA10A"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CE</w:t>
            </w:r>
          </w:p>
        </w:tc>
        <w:tc>
          <w:tcPr>
            <w:tcW w:w="1276" w:type="dxa"/>
            <w:tcBorders>
              <w:top w:val="nil"/>
              <w:left w:val="single" w:sz="18" w:space="0" w:color="C0C0C0"/>
              <w:bottom w:val="nil"/>
              <w:right w:val="single" w:sz="18" w:space="0" w:color="C0C0C0"/>
            </w:tcBorders>
            <w:shd w:val="clear" w:color="auto" w:fill="20849B"/>
            <w:vAlign w:val="center"/>
          </w:tcPr>
          <w:p w14:paraId="46F3A49E" w14:textId="5791C90F"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23 CE</w:t>
            </w:r>
          </w:p>
        </w:tc>
        <w:tc>
          <w:tcPr>
            <w:tcW w:w="1234" w:type="dxa"/>
            <w:vMerge/>
            <w:tcBorders>
              <w:left w:val="single" w:sz="18" w:space="0" w:color="C0C0C0"/>
              <w:right w:val="single" w:sz="18" w:space="0" w:color="auto"/>
            </w:tcBorders>
            <w:shd w:val="clear" w:color="auto" w:fill="D9D9D9"/>
            <w:vAlign w:val="center"/>
          </w:tcPr>
          <w:p w14:paraId="0BFF164C"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D9D9D9"/>
            <w:vAlign w:val="center"/>
          </w:tcPr>
          <w:p w14:paraId="54070D5E" w14:textId="77777777" w:rsidR="00276491" w:rsidRPr="00464CCB" w:rsidRDefault="00276491" w:rsidP="00276491">
            <w:pPr>
              <w:jc w:val="center"/>
              <w:rPr>
                <w:rFonts w:ascii="Arial Narrow" w:hAnsi="Arial Narrow"/>
                <w:color w:val="31849B"/>
                <w:sz w:val="16"/>
                <w:szCs w:val="16"/>
              </w:rPr>
            </w:pPr>
          </w:p>
        </w:tc>
      </w:tr>
      <w:tr w:rsidR="00276491" w:rsidRPr="00BC2C5D" w14:paraId="1B1B6B74" w14:textId="77777777" w:rsidTr="00971872">
        <w:trPr>
          <w:trHeight w:val="57"/>
        </w:trPr>
        <w:tc>
          <w:tcPr>
            <w:tcW w:w="1134" w:type="dxa"/>
            <w:vMerge/>
            <w:tcBorders>
              <w:left w:val="single" w:sz="18" w:space="0" w:color="auto"/>
              <w:right w:val="single" w:sz="18" w:space="0" w:color="C0C0C0"/>
            </w:tcBorders>
            <w:vAlign w:val="center"/>
          </w:tcPr>
          <w:p w14:paraId="550ABE68" w14:textId="77777777" w:rsidR="00276491" w:rsidRDefault="00276491" w:rsidP="0027649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D9D9D9"/>
            <w:vAlign w:val="center"/>
          </w:tcPr>
          <w:p w14:paraId="18379026" w14:textId="77777777" w:rsidR="00276491" w:rsidRPr="008C7414" w:rsidRDefault="00276491" w:rsidP="00276491">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r2bl w:val="nil"/>
            </w:tcBorders>
            <w:shd w:val="clear" w:color="auto" w:fill="A972A9"/>
            <w:vAlign w:val="center"/>
          </w:tcPr>
          <w:p w14:paraId="26A1B8A7" w14:textId="42406825"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417" w:type="dxa"/>
            <w:tcBorders>
              <w:top w:val="nil"/>
              <w:left w:val="single" w:sz="18" w:space="0" w:color="BFBFBF"/>
              <w:bottom w:val="nil"/>
              <w:right w:val="single" w:sz="18" w:space="0" w:color="C0C0C0"/>
            </w:tcBorders>
            <w:shd w:val="clear" w:color="auto" w:fill="A972A9"/>
            <w:vAlign w:val="center"/>
          </w:tcPr>
          <w:p w14:paraId="2535B703" w14:textId="3BE83E5D"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CE</w:t>
            </w:r>
          </w:p>
        </w:tc>
        <w:tc>
          <w:tcPr>
            <w:tcW w:w="1276" w:type="dxa"/>
            <w:tcBorders>
              <w:top w:val="nil"/>
              <w:left w:val="single" w:sz="18" w:space="0" w:color="C0C0C0"/>
              <w:bottom w:val="nil"/>
              <w:right w:val="single" w:sz="18" w:space="0" w:color="C0C0C0"/>
            </w:tcBorders>
            <w:shd w:val="clear" w:color="auto" w:fill="A972A9"/>
            <w:vAlign w:val="center"/>
          </w:tcPr>
          <w:p w14:paraId="18BAA77D" w14:textId="57AD5757"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23 CE</w:t>
            </w:r>
          </w:p>
        </w:tc>
        <w:tc>
          <w:tcPr>
            <w:tcW w:w="1234" w:type="dxa"/>
            <w:vMerge/>
            <w:tcBorders>
              <w:left w:val="single" w:sz="18" w:space="0" w:color="C0C0C0"/>
              <w:right w:val="single" w:sz="18" w:space="0" w:color="auto"/>
            </w:tcBorders>
            <w:shd w:val="clear" w:color="auto" w:fill="D9D9D9"/>
            <w:vAlign w:val="center"/>
          </w:tcPr>
          <w:p w14:paraId="4BB81F21"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D9D9D9"/>
            <w:vAlign w:val="center"/>
          </w:tcPr>
          <w:p w14:paraId="718F2215" w14:textId="77777777" w:rsidR="00276491" w:rsidRPr="00464CCB" w:rsidRDefault="00276491" w:rsidP="00276491">
            <w:pPr>
              <w:jc w:val="center"/>
              <w:rPr>
                <w:rFonts w:ascii="Arial Narrow" w:hAnsi="Arial Narrow"/>
                <w:color w:val="31849B"/>
                <w:sz w:val="16"/>
                <w:szCs w:val="16"/>
              </w:rPr>
            </w:pPr>
          </w:p>
        </w:tc>
      </w:tr>
      <w:tr w:rsidR="00276491" w:rsidRPr="00BC2C5D" w14:paraId="529A654B" w14:textId="77777777" w:rsidTr="00971872">
        <w:trPr>
          <w:trHeight w:val="57"/>
        </w:trPr>
        <w:tc>
          <w:tcPr>
            <w:tcW w:w="1134" w:type="dxa"/>
            <w:vMerge/>
            <w:tcBorders>
              <w:left w:val="single" w:sz="18" w:space="0" w:color="auto"/>
              <w:right w:val="single" w:sz="18" w:space="0" w:color="C0C0C0"/>
            </w:tcBorders>
            <w:vAlign w:val="center"/>
          </w:tcPr>
          <w:p w14:paraId="05F6034E" w14:textId="77777777" w:rsidR="00276491" w:rsidRDefault="00276491" w:rsidP="0027649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D9D9D9"/>
            <w:vAlign w:val="center"/>
          </w:tcPr>
          <w:p w14:paraId="49E989B9" w14:textId="77777777" w:rsidR="00276491" w:rsidRPr="008C7414" w:rsidRDefault="00276491" w:rsidP="00276491">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r2bl w:val="nil"/>
            </w:tcBorders>
            <w:shd w:val="clear" w:color="auto" w:fill="769250"/>
            <w:vAlign w:val="center"/>
          </w:tcPr>
          <w:p w14:paraId="1F555580" w14:textId="2FFC917A"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417" w:type="dxa"/>
            <w:tcBorders>
              <w:top w:val="nil"/>
              <w:left w:val="single" w:sz="18" w:space="0" w:color="BFBFBF"/>
              <w:bottom w:val="nil"/>
              <w:right w:val="single" w:sz="18" w:space="0" w:color="C0C0C0"/>
            </w:tcBorders>
            <w:shd w:val="clear" w:color="auto" w:fill="769250"/>
            <w:vAlign w:val="center"/>
          </w:tcPr>
          <w:p w14:paraId="27BDDA6E" w14:textId="0765CC3E"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CE</w:t>
            </w:r>
          </w:p>
        </w:tc>
        <w:tc>
          <w:tcPr>
            <w:tcW w:w="1276" w:type="dxa"/>
            <w:tcBorders>
              <w:top w:val="nil"/>
              <w:left w:val="single" w:sz="18" w:space="0" w:color="C0C0C0"/>
              <w:bottom w:val="nil"/>
              <w:right w:val="single" w:sz="18" w:space="0" w:color="C0C0C0"/>
            </w:tcBorders>
            <w:shd w:val="clear" w:color="auto" w:fill="769250"/>
            <w:vAlign w:val="center"/>
          </w:tcPr>
          <w:p w14:paraId="39717A04" w14:textId="67590E9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23 CE</w:t>
            </w:r>
          </w:p>
        </w:tc>
        <w:tc>
          <w:tcPr>
            <w:tcW w:w="1234" w:type="dxa"/>
            <w:vMerge/>
            <w:tcBorders>
              <w:left w:val="single" w:sz="18" w:space="0" w:color="C0C0C0"/>
              <w:right w:val="single" w:sz="18" w:space="0" w:color="auto"/>
            </w:tcBorders>
            <w:shd w:val="clear" w:color="auto" w:fill="D9D9D9"/>
            <w:vAlign w:val="center"/>
          </w:tcPr>
          <w:p w14:paraId="5162ACF1"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D9D9D9"/>
            <w:vAlign w:val="center"/>
          </w:tcPr>
          <w:p w14:paraId="519169F3" w14:textId="77777777" w:rsidR="00276491" w:rsidRPr="00464CCB" w:rsidRDefault="00276491" w:rsidP="00276491">
            <w:pPr>
              <w:jc w:val="center"/>
              <w:rPr>
                <w:rFonts w:ascii="Arial Narrow" w:hAnsi="Arial Narrow"/>
                <w:color w:val="31849B"/>
                <w:sz w:val="16"/>
                <w:szCs w:val="16"/>
              </w:rPr>
            </w:pPr>
          </w:p>
        </w:tc>
      </w:tr>
      <w:tr w:rsidR="00276491" w:rsidRPr="00BC2C5D" w14:paraId="7CC46899" w14:textId="77777777" w:rsidTr="00971872">
        <w:trPr>
          <w:trHeight w:val="57"/>
        </w:trPr>
        <w:tc>
          <w:tcPr>
            <w:tcW w:w="1134" w:type="dxa"/>
            <w:vMerge/>
            <w:tcBorders>
              <w:left w:val="single" w:sz="18" w:space="0" w:color="auto"/>
              <w:right w:val="single" w:sz="18" w:space="0" w:color="C0C0C0"/>
            </w:tcBorders>
            <w:vAlign w:val="center"/>
          </w:tcPr>
          <w:p w14:paraId="082CDC2B" w14:textId="77777777" w:rsidR="00276491" w:rsidRDefault="00276491" w:rsidP="0027649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D9D9D9"/>
            <w:vAlign w:val="center"/>
          </w:tcPr>
          <w:p w14:paraId="3C072301" w14:textId="77777777" w:rsidR="00276491" w:rsidRPr="008C7414" w:rsidRDefault="00276491" w:rsidP="00276491">
            <w:pPr>
              <w:jc w:val="center"/>
              <w:rPr>
                <w:rFonts w:ascii="Arial Narrow" w:hAnsi="Arial Narrow" w:cs="Arial"/>
                <w:sz w:val="16"/>
                <w:szCs w:val="16"/>
              </w:rPr>
            </w:pPr>
          </w:p>
        </w:tc>
        <w:tc>
          <w:tcPr>
            <w:tcW w:w="1418" w:type="dxa"/>
            <w:tcBorders>
              <w:top w:val="nil"/>
              <w:left w:val="single" w:sz="18" w:space="0" w:color="C0C0C0"/>
              <w:right w:val="single" w:sz="18" w:space="0" w:color="BFBFBF"/>
              <w:tr2bl w:val="nil"/>
            </w:tcBorders>
            <w:shd w:val="clear" w:color="auto" w:fill="FFFF00"/>
            <w:vAlign w:val="center"/>
          </w:tcPr>
          <w:p w14:paraId="78D6BED8" w14:textId="24E31D7A" w:rsidR="00276491" w:rsidRPr="00E57545" w:rsidRDefault="00276491" w:rsidP="00276491">
            <w:pPr>
              <w:jc w:val="center"/>
              <w:rPr>
                <w:rFonts w:ascii="Arial Narrow" w:hAnsi="Arial Narrow" w:cs="Arial"/>
                <w:sz w:val="16"/>
                <w:szCs w:val="16"/>
              </w:rPr>
            </w:pPr>
            <w:r w:rsidRPr="00E57545">
              <w:rPr>
                <w:rFonts w:ascii="Arial Narrow" w:hAnsi="Arial Narrow" w:cs="Arial"/>
                <w:b/>
                <w:bCs/>
                <w:sz w:val="16"/>
                <w:szCs w:val="16"/>
              </w:rPr>
              <w:t>21 CE</w:t>
            </w:r>
          </w:p>
        </w:tc>
        <w:tc>
          <w:tcPr>
            <w:tcW w:w="1417" w:type="dxa"/>
            <w:tcBorders>
              <w:top w:val="nil"/>
              <w:left w:val="single" w:sz="18" w:space="0" w:color="BFBFBF"/>
              <w:right w:val="single" w:sz="18" w:space="0" w:color="C0C0C0"/>
            </w:tcBorders>
            <w:shd w:val="clear" w:color="auto" w:fill="FFFF00"/>
            <w:vAlign w:val="center"/>
          </w:tcPr>
          <w:p w14:paraId="61644A5F" w14:textId="5720F87C" w:rsidR="00276491" w:rsidRPr="00E57545" w:rsidRDefault="00276491" w:rsidP="00276491">
            <w:pPr>
              <w:jc w:val="center"/>
              <w:rPr>
                <w:rFonts w:ascii="Arial Narrow" w:hAnsi="Arial Narrow" w:cs="Arial"/>
                <w:sz w:val="16"/>
                <w:szCs w:val="16"/>
              </w:rPr>
            </w:pPr>
            <w:r w:rsidRPr="00E57545">
              <w:rPr>
                <w:rFonts w:ascii="Arial Narrow" w:hAnsi="Arial Narrow" w:cs="Arial"/>
                <w:b/>
                <w:bCs/>
                <w:sz w:val="16"/>
                <w:szCs w:val="16"/>
              </w:rPr>
              <w:t>22 CE</w:t>
            </w:r>
          </w:p>
        </w:tc>
        <w:tc>
          <w:tcPr>
            <w:tcW w:w="1276" w:type="dxa"/>
            <w:tcBorders>
              <w:top w:val="nil"/>
              <w:left w:val="single" w:sz="18" w:space="0" w:color="C0C0C0"/>
              <w:right w:val="single" w:sz="18" w:space="0" w:color="C0C0C0"/>
            </w:tcBorders>
            <w:shd w:val="clear" w:color="auto" w:fill="FFFF00"/>
            <w:vAlign w:val="center"/>
          </w:tcPr>
          <w:p w14:paraId="5F85F98C" w14:textId="67DD04A7" w:rsidR="00276491" w:rsidRPr="00E57545" w:rsidRDefault="00276491" w:rsidP="00276491">
            <w:pPr>
              <w:jc w:val="center"/>
              <w:rPr>
                <w:rFonts w:ascii="Arial Narrow" w:hAnsi="Arial Narrow" w:cs="Arial"/>
                <w:sz w:val="16"/>
                <w:szCs w:val="16"/>
              </w:rPr>
            </w:pPr>
            <w:r w:rsidRPr="00E57545">
              <w:rPr>
                <w:rFonts w:ascii="Arial Narrow" w:hAnsi="Arial Narrow" w:cs="Arial"/>
                <w:b/>
                <w:bCs/>
                <w:sz w:val="16"/>
                <w:szCs w:val="16"/>
              </w:rPr>
              <w:t>23 CE</w:t>
            </w:r>
          </w:p>
        </w:tc>
        <w:tc>
          <w:tcPr>
            <w:tcW w:w="1234" w:type="dxa"/>
            <w:vMerge/>
            <w:tcBorders>
              <w:left w:val="single" w:sz="18" w:space="0" w:color="C0C0C0"/>
              <w:right w:val="single" w:sz="18" w:space="0" w:color="auto"/>
            </w:tcBorders>
            <w:shd w:val="clear" w:color="auto" w:fill="D9D9D9"/>
            <w:vAlign w:val="center"/>
          </w:tcPr>
          <w:p w14:paraId="31C3644D"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D9D9D9"/>
            <w:vAlign w:val="center"/>
          </w:tcPr>
          <w:p w14:paraId="2FEB9BCA" w14:textId="77777777" w:rsidR="00276491" w:rsidRPr="00464CCB" w:rsidRDefault="00276491" w:rsidP="00276491">
            <w:pPr>
              <w:jc w:val="center"/>
              <w:rPr>
                <w:rFonts w:ascii="Arial Narrow" w:hAnsi="Arial Narrow"/>
                <w:color w:val="31849B"/>
                <w:sz w:val="16"/>
                <w:szCs w:val="16"/>
              </w:rPr>
            </w:pPr>
          </w:p>
        </w:tc>
      </w:tr>
      <w:tr w:rsidR="00CC0335" w:rsidRPr="00BC2C5D" w14:paraId="2A3C72E2" w14:textId="77777777" w:rsidTr="00E57545">
        <w:trPr>
          <w:trHeight w:val="397"/>
        </w:trPr>
        <w:tc>
          <w:tcPr>
            <w:tcW w:w="1134" w:type="dxa"/>
            <w:tcBorders>
              <w:top w:val="single" w:sz="18" w:space="0" w:color="BFBFBF" w:themeColor="background1" w:themeShade="BF"/>
              <w:left w:val="single" w:sz="18" w:space="0" w:color="auto"/>
              <w:right w:val="single" w:sz="18" w:space="0" w:color="C0C0C0"/>
            </w:tcBorders>
            <w:vAlign w:val="center"/>
          </w:tcPr>
          <w:p w14:paraId="2C84293E" w14:textId="5244AF99" w:rsidR="00CC0335" w:rsidRDefault="00CC0335" w:rsidP="00F3374E">
            <w:pPr>
              <w:jc w:val="center"/>
              <w:rPr>
                <w:rFonts w:ascii="Arial Narrow" w:hAnsi="Arial Narrow" w:cs="Arial"/>
                <w:sz w:val="16"/>
                <w:szCs w:val="16"/>
              </w:rPr>
            </w:pPr>
            <w:r>
              <w:rPr>
                <w:rFonts w:ascii="Arial Narrow" w:hAnsi="Arial Narrow" w:cs="Arial"/>
                <w:sz w:val="16"/>
                <w:szCs w:val="16"/>
              </w:rPr>
              <w:t>2</w:t>
            </w:r>
            <w:r w:rsidR="0022339B">
              <w:rPr>
                <w:rFonts w:ascii="Arial Narrow" w:hAnsi="Arial Narrow" w:cs="Arial"/>
                <w:sz w:val="16"/>
                <w:szCs w:val="16"/>
              </w:rPr>
              <w:t>7 January</w:t>
            </w:r>
          </w:p>
        </w:tc>
        <w:tc>
          <w:tcPr>
            <w:tcW w:w="1134" w:type="dxa"/>
            <w:tcBorders>
              <w:top w:val="single" w:sz="18" w:space="0" w:color="BFBFBF" w:themeColor="background1" w:themeShade="BF"/>
              <w:left w:val="single" w:sz="18" w:space="0" w:color="C0C0C0"/>
              <w:right w:val="single" w:sz="18" w:space="0" w:color="C0C0C0"/>
            </w:tcBorders>
            <w:vAlign w:val="center"/>
          </w:tcPr>
          <w:p w14:paraId="652F01DE" w14:textId="77678D84" w:rsidR="00CC0335" w:rsidRPr="008C7414" w:rsidRDefault="00BE7F1D" w:rsidP="0049221A">
            <w:pPr>
              <w:jc w:val="center"/>
              <w:rPr>
                <w:rFonts w:ascii="Arial Narrow" w:hAnsi="Arial Narrow" w:cs="Arial"/>
                <w:sz w:val="16"/>
                <w:szCs w:val="16"/>
              </w:rPr>
            </w:pPr>
            <w:r w:rsidRPr="004D747C">
              <w:rPr>
                <w:rFonts w:ascii="Arial Narrow" w:hAnsi="Arial Narrow" w:cs="Arial"/>
                <w:b/>
                <w:bCs/>
                <w:sz w:val="16"/>
                <w:szCs w:val="16"/>
              </w:rPr>
              <w:t>Public Holiday</w:t>
            </w:r>
          </w:p>
        </w:tc>
        <w:tc>
          <w:tcPr>
            <w:tcW w:w="1418" w:type="dxa"/>
            <w:tcBorders>
              <w:top w:val="single" w:sz="18" w:space="0" w:color="BFBFBF" w:themeColor="background1" w:themeShade="BF"/>
              <w:left w:val="single" w:sz="18" w:space="0" w:color="C0C0C0"/>
              <w:right w:val="single" w:sz="18" w:space="0" w:color="BFBFBF"/>
              <w:tr2bl w:val="nil"/>
            </w:tcBorders>
            <w:vAlign w:val="center"/>
          </w:tcPr>
          <w:p w14:paraId="57679363" w14:textId="0B926125" w:rsidR="00CC0335" w:rsidRPr="008C7414" w:rsidRDefault="00CC0335" w:rsidP="008F37C2">
            <w:pPr>
              <w:jc w:val="center"/>
              <w:rPr>
                <w:rFonts w:ascii="Arial Narrow" w:hAnsi="Arial Narrow" w:cs="Arial"/>
                <w:sz w:val="16"/>
                <w:szCs w:val="16"/>
              </w:rPr>
            </w:pPr>
          </w:p>
        </w:tc>
        <w:tc>
          <w:tcPr>
            <w:tcW w:w="1417" w:type="dxa"/>
            <w:tcBorders>
              <w:top w:val="single" w:sz="18" w:space="0" w:color="BFBFBF" w:themeColor="background1" w:themeShade="BF"/>
              <w:left w:val="single" w:sz="18" w:space="0" w:color="BFBFBF"/>
              <w:right w:val="single" w:sz="18" w:space="0" w:color="C0C0C0"/>
            </w:tcBorders>
            <w:vAlign w:val="center"/>
          </w:tcPr>
          <w:p w14:paraId="3B8E32D4" w14:textId="08890506" w:rsidR="00CC0335" w:rsidRPr="008C7414" w:rsidRDefault="00CC0335" w:rsidP="00F3374E">
            <w:pPr>
              <w:jc w:val="center"/>
              <w:rPr>
                <w:rFonts w:ascii="Arial Narrow" w:hAnsi="Arial Narrow" w:cs="Arial"/>
                <w:sz w:val="16"/>
                <w:szCs w:val="16"/>
              </w:rPr>
            </w:pPr>
          </w:p>
        </w:tc>
        <w:tc>
          <w:tcPr>
            <w:tcW w:w="1276" w:type="dxa"/>
            <w:tcBorders>
              <w:top w:val="single" w:sz="18" w:space="0" w:color="BFBFBF" w:themeColor="background1" w:themeShade="BF"/>
              <w:left w:val="single" w:sz="18" w:space="0" w:color="C0C0C0"/>
              <w:right w:val="single" w:sz="18" w:space="0" w:color="C0C0C0"/>
            </w:tcBorders>
            <w:vAlign w:val="center"/>
          </w:tcPr>
          <w:p w14:paraId="5940BE24" w14:textId="09D08B49" w:rsidR="00CC0335" w:rsidRPr="008C7414" w:rsidRDefault="00CC0335" w:rsidP="00F3374E">
            <w:pPr>
              <w:jc w:val="center"/>
              <w:rPr>
                <w:rFonts w:ascii="Arial Narrow" w:hAnsi="Arial Narrow" w:cs="Arial"/>
                <w:sz w:val="16"/>
                <w:szCs w:val="16"/>
              </w:rPr>
            </w:pPr>
          </w:p>
        </w:tc>
        <w:tc>
          <w:tcPr>
            <w:tcW w:w="1234" w:type="dxa"/>
            <w:tcBorders>
              <w:top w:val="single" w:sz="18" w:space="0" w:color="BFBFBF" w:themeColor="background1" w:themeShade="BF"/>
              <w:left w:val="single" w:sz="18" w:space="0" w:color="C0C0C0"/>
              <w:right w:val="single" w:sz="18" w:space="0" w:color="auto"/>
            </w:tcBorders>
            <w:vAlign w:val="center"/>
          </w:tcPr>
          <w:p w14:paraId="23CB3DBA" w14:textId="27E73F96" w:rsidR="00CC0335" w:rsidRPr="008C7414" w:rsidRDefault="00CC0335" w:rsidP="00F3374E">
            <w:pPr>
              <w:jc w:val="center"/>
              <w:rPr>
                <w:rFonts w:ascii="Arial Narrow" w:hAnsi="Arial Narrow" w:cs="Arial"/>
                <w:sz w:val="15"/>
                <w:szCs w:val="15"/>
              </w:rPr>
            </w:pPr>
          </w:p>
        </w:tc>
        <w:tc>
          <w:tcPr>
            <w:tcW w:w="3245" w:type="dxa"/>
            <w:tcBorders>
              <w:top w:val="single" w:sz="18" w:space="0" w:color="BFBFBF" w:themeColor="background1" w:themeShade="BF"/>
              <w:left w:val="single" w:sz="18" w:space="0" w:color="auto"/>
              <w:right w:val="single" w:sz="18" w:space="0" w:color="auto"/>
            </w:tcBorders>
            <w:vAlign w:val="center"/>
          </w:tcPr>
          <w:p w14:paraId="470BC975" w14:textId="2F8763A1" w:rsidR="00CC0335" w:rsidRPr="00464CCB" w:rsidRDefault="00BE7F1D" w:rsidP="00F3374E">
            <w:pPr>
              <w:jc w:val="center"/>
              <w:rPr>
                <w:rFonts w:ascii="Arial Narrow" w:hAnsi="Arial Narrow" w:cs="Arial"/>
                <w:b/>
                <w:bCs/>
                <w:sz w:val="16"/>
                <w:szCs w:val="16"/>
              </w:rPr>
            </w:pPr>
            <w:r w:rsidRPr="00464CCB">
              <w:rPr>
                <w:rFonts w:ascii="Arial Narrow" w:hAnsi="Arial Narrow" w:cs="Arial"/>
                <w:b/>
                <w:bCs/>
                <w:sz w:val="16"/>
                <w:szCs w:val="16"/>
              </w:rPr>
              <w:t>27 Australia Day Public Holiday</w:t>
            </w:r>
          </w:p>
        </w:tc>
      </w:tr>
      <w:tr w:rsidR="00276491" w:rsidRPr="00BC2C5D" w14:paraId="20327535" w14:textId="77777777" w:rsidTr="00971872">
        <w:trPr>
          <w:trHeight w:val="145"/>
        </w:trPr>
        <w:tc>
          <w:tcPr>
            <w:tcW w:w="1134" w:type="dxa"/>
            <w:vMerge w:val="restart"/>
            <w:tcBorders>
              <w:top w:val="single" w:sz="18" w:space="0" w:color="auto"/>
              <w:left w:val="single" w:sz="18" w:space="0" w:color="auto"/>
              <w:right w:val="single" w:sz="18" w:space="0" w:color="C0C0C0"/>
            </w:tcBorders>
            <w:vAlign w:val="center"/>
          </w:tcPr>
          <w:p w14:paraId="088F8A57" w14:textId="4B372A81" w:rsidR="00276491" w:rsidRPr="00A634FA" w:rsidRDefault="00276491" w:rsidP="00276491">
            <w:pPr>
              <w:jc w:val="center"/>
              <w:rPr>
                <w:rFonts w:ascii="Arial Narrow" w:hAnsi="Arial Narrow" w:cs="Arial"/>
                <w:sz w:val="16"/>
                <w:szCs w:val="16"/>
              </w:rPr>
            </w:pPr>
            <w:r>
              <w:rPr>
                <w:rFonts w:ascii="Arial Narrow" w:hAnsi="Arial Narrow" w:cs="Arial"/>
                <w:sz w:val="16"/>
                <w:szCs w:val="16"/>
              </w:rPr>
              <w:t>3 February</w:t>
            </w:r>
          </w:p>
        </w:tc>
        <w:tc>
          <w:tcPr>
            <w:tcW w:w="1134" w:type="dxa"/>
            <w:tcBorders>
              <w:top w:val="single" w:sz="18" w:space="0" w:color="auto"/>
              <w:left w:val="single" w:sz="18" w:space="0" w:color="C0C0C0"/>
              <w:bottom w:val="nil"/>
              <w:right w:val="single" w:sz="18" w:space="0" w:color="C0C0C0"/>
            </w:tcBorders>
            <w:shd w:val="clear" w:color="auto" w:fill="FF0000"/>
            <w:vAlign w:val="center"/>
          </w:tcPr>
          <w:p w14:paraId="05BAEBD3" w14:textId="6C0993AF"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½ day CE</w:t>
            </w:r>
          </w:p>
        </w:tc>
        <w:tc>
          <w:tcPr>
            <w:tcW w:w="1418" w:type="dxa"/>
            <w:tcBorders>
              <w:top w:val="single" w:sz="18" w:space="0" w:color="auto"/>
              <w:left w:val="single" w:sz="18" w:space="0" w:color="C0C0C0"/>
              <w:bottom w:val="nil"/>
              <w:right w:val="single" w:sz="18" w:space="0" w:color="BFBFBF"/>
            </w:tcBorders>
            <w:shd w:val="clear" w:color="auto" w:fill="FF0000"/>
            <w:vAlign w:val="center"/>
          </w:tcPr>
          <w:p w14:paraId="6EF5A450" w14:textId="46738AF9"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4 CE</w:t>
            </w:r>
          </w:p>
        </w:tc>
        <w:tc>
          <w:tcPr>
            <w:tcW w:w="1417" w:type="dxa"/>
            <w:tcBorders>
              <w:top w:val="single" w:sz="18" w:space="0" w:color="auto"/>
              <w:left w:val="single" w:sz="18" w:space="0" w:color="BFBFBF"/>
              <w:bottom w:val="nil"/>
              <w:right w:val="single" w:sz="18" w:space="0" w:color="C0C0C0"/>
            </w:tcBorders>
            <w:shd w:val="clear" w:color="auto" w:fill="FF0000"/>
            <w:vAlign w:val="center"/>
          </w:tcPr>
          <w:p w14:paraId="60AD86C6" w14:textId="59A74999"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5 CE</w:t>
            </w:r>
          </w:p>
        </w:tc>
        <w:tc>
          <w:tcPr>
            <w:tcW w:w="1276" w:type="dxa"/>
            <w:tcBorders>
              <w:top w:val="single" w:sz="18" w:space="0" w:color="auto"/>
              <w:left w:val="single" w:sz="18" w:space="0" w:color="C0C0C0"/>
              <w:right w:val="single" w:sz="18" w:space="0" w:color="C0C0C0"/>
            </w:tcBorders>
            <w:shd w:val="clear" w:color="auto" w:fill="FF0000"/>
            <w:vAlign w:val="center"/>
          </w:tcPr>
          <w:p w14:paraId="7C18418D" w14:textId="01BF55F1"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6 ½ day CE</w:t>
            </w:r>
          </w:p>
        </w:tc>
        <w:tc>
          <w:tcPr>
            <w:tcW w:w="1234" w:type="dxa"/>
            <w:vMerge w:val="restart"/>
            <w:tcBorders>
              <w:top w:val="single" w:sz="18" w:space="0" w:color="auto"/>
              <w:left w:val="single" w:sz="18" w:space="0" w:color="C0C0C0"/>
              <w:right w:val="single" w:sz="18" w:space="0" w:color="auto"/>
            </w:tcBorders>
            <w:vAlign w:val="center"/>
          </w:tcPr>
          <w:p w14:paraId="4997C671" w14:textId="77777777" w:rsidR="00276491" w:rsidRPr="008C7414" w:rsidRDefault="00276491" w:rsidP="00276491">
            <w:pPr>
              <w:jc w:val="center"/>
              <w:rPr>
                <w:rFonts w:ascii="Arial Narrow" w:hAnsi="Arial Narrow" w:cs="Arial"/>
                <w:sz w:val="15"/>
                <w:szCs w:val="15"/>
              </w:rPr>
            </w:pPr>
          </w:p>
        </w:tc>
        <w:tc>
          <w:tcPr>
            <w:tcW w:w="3245" w:type="dxa"/>
            <w:vMerge w:val="restart"/>
            <w:tcBorders>
              <w:top w:val="single" w:sz="18" w:space="0" w:color="auto"/>
              <w:left w:val="single" w:sz="18" w:space="0" w:color="auto"/>
              <w:right w:val="single" w:sz="18" w:space="0" w:color="auto"/>
            </w:tcBorders>
            <w:vAlign w:val="center"/>
          </w:tcPr>
          <w:p w14:paraId="45B78991" w14:textId="77777777" w:rsidR="00276491" w:rsidRPr="00464CCB" w:rsidRDefault="00276491" w:rsidP="00276491">
            <w:pPr>
              <w:jc w:val="center"/>
              <w:rPr>
                <w:rFonts w:ascii="Arial Narrow" w:hAnsi="Arial Narrow"/>
                <w:color w:val="31849B"/>
                <w:sz w:val="16"/>
                <w:szCs w:val="16"/>
              </w:rPr>
            </w:pPr>
            <w:r w:rsidRPr="00464CCB">
              <w:rPr>
                <w:rFonts w:ascii="Arial Narrow" w:hAnsi="Arial Narrow"/>
                <w:color w:val="31849B"/>
                <w:sz w:val="16"/>
                <w:szCs w:val="16"/>
              </w:rPr>
              <w:t>Cooktown Circuit</w:t>
            </w:r>
          </w:p>
          <w:p w14:paraId="71568B7F" w14:textId="2D256641" w:rsidR="00276491" w:rsidRPr="00464CCB" w:rsidRDefault="00276491" w:rsidP="00276491">
            <w:pPr>
              <w:jc w:val="center"/>
              <w:rPr>
                <w:rFonts w:ascii="Arial Narrow" w:hAnsi="Arial Narrow"/>
                <w:sz w:val="16"/>
                <w:szCs w:val="16"/>
              </w:rPr>
            </w:pPr>
            <w:r w:rsidRPr="00464CCB">
              <w:rPr>
                <w:rFonts w:ascii="Arial Narrow" w:hAnsi="Arial Narrow"/>
                <w:color w:val="31849B"/>
                <w:sz w:val="16"/>
                <w:szCs w:val="16"/>
              </w:rPr>
              <w:t>Hope Vale Circuit</w:t>
            </w:r>
          </w:p>
        </w:tc>
      </w:tr>
      <w:tr w:rsidR="00276491" w:rsidRPr="00BC2C5D" w14:paraId="5A9018D2" w14:textId="77777777" w:rsidTr="00971872">
        <w:trPr>
          <w:trHeight w:val="145"/>
        </w:trPr>
        <w:tc>
          <w:tcPr>
            <w:tcW w:w="1134" w:type="dxa"/>
            <w:vMerge/>
            <w:tcBorders>
              <w:left w:val="single" w:sz="18" w:space="0" w:color="auto"/>
              <w:right w:val="single" w:sz="18" w:space="0" w:color="C0C0C0"/>
            </w:tcBorders>
            <w:vAlign w:val="center"/>
          </w:tcPr>
          <w:p w14:paraId="0D1DDCD7" w14:textId="77777777" w:rsidR="00276491" w:rsidRDefault="00276491" w:rsidP="00276491">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20849B"/>
            <w:vAlign w:val="center"/>
          </w:tcPr>
          <w:p w14:paraId="4DADD149" w14:textId="48A0A1F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CE</w:t>
            </w:r>
          </w:p>
        </w:tc>
        <w:tc>
          <w:tcPr>
            <w:tcW w:w="1418" w:type="dxa"/>
            <w:tcBorders>
              <w:top w:val="nil"/>
              <w:left w:val="single" w:sz="18" w:space="0" w:color="C0C0C0"/>
              <w:bottom w:val="nil"/>
              <w:right w:val="single" w:sz="18" w:space="0" w:color="BFBFBF"/>
            </w:tcBorders>
            <w:shd w:val="clear" w:color="auto" w:fill="20849B"/>
            <w:vAlign w:val="center"/>
          </w:tcPr>
          <w:p w14:paraId="2042CBAB" w14:textId="55732001"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4 CE</w:t>
            </w:r>
          </w:p>
        </w:tc>
        <w:tc>
          <w:tcPr>
            <w:tcW w:w="1417" w:type="dxa"/>
            <w:tcBorders>
              <w:top w:val="nil"/>
              <w:left w:val="single" w:sz="18" w:space="0" w:color="BFBFBF"/>
              <w:bottom w:val="nil"/>
              <w:right w:val="single" w:sz="18" w:space="0" w:color="C0C0C0"/>
            </w:tcBorders>
            <w:shd w:val="clear" w:color="auto" w:fill="20849B"/>
            <w:vAlign w:val="center"/>
          </w:tcPr>
          <w:p w14:paraId="3D8C130C" w14:textId="3C9FAFF0"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5 ½ day CE</w:t>
            </w:r>
          </w:p>
        </w:tc>
        <w:tc>
          <w:tcPr>
            <w:tcW w:w="1276" w:type="dxa"/>
            <w:tcBorders>
              <w:left w:val="single" w:sz="18" w:space="0" w:color="C0C0C0"/>
              <w:right w:val="single" w:sz="18" w:space="0" w:color="C0C0C0"/>
            </w:tcBorders>
            <w:vAlign w:val="center"/>
          </w:tcPr>
          <w:p w14:paraId="41C3887A" w14:textId="77777777" w:rsidR="00276491" w:rsidRPr="00E57545" w:rsidRDefault="00276491" w:rsidP="00276491">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0557975A"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0C5601CF" w14:textId="77777777" w:rsidR="00276491" w:rsidRPr="00464CCB" w:rsidRDefault="00276491" w:rsidP="00276491">
            <w:pPr>
              <w:jc w:val="center"/>
              <w:rPr>
                <w:rFonts w:ascii="Arial Narrow" w:hAnsi="Arial Narrow"/>
                <w:color w:val="31849B"/>
                <w:sz w:val="16"/>
                <w:szCs w:val="16"/>
              </w:rPr>
            </w:pPr>
          </w:p>
        </w:tc>
      </w:tr>
      <w:tr w:rsidR="00920FC3" w:rsidRPr="00BC2C5D" w14:paraId="7D96C078" w14:textId="77777777" w:rsidTr="00971872">
        <w:trPr>
          <w:trHeight w:val="145"/>
        </w:trPr>
        <w:tc>
          <w:tcPr>
            <w:tcW w:w="1134" w:type="dxa"/>
            <w:vMerge/>
            <w:tcBorders>
              <w:left w:val="single" w:sz="18" w:space="0" w:color="auto"/>
              <w:right w:val="single" w:sz="18" w:space="0" w:color="C0C0C0"/>
            </w:tcBorders>
            <w:vAlign w:val="center"/>
          </w:tcPr>
          <w:p w14:paraId="65151A16" w14:textId="77777777" w:rsidR="00920FC3" w:rsidRDefault="00920FC3" w:rsidP="00F3374E">
            <w:pPr>
              <w:jc w:val="center"/>
              <w:rPr>
                <w:rFonts w:ascii="Arial Narrow" w:hAnsi="Arial Narrow" w:cs="Arial"/>
                <w:sz w:val="16"/>
                <w:szCs w:val="16"/>
              </w:rPr>
            </w:pPr>
          </w:p>
        </w:tc>
        <w:tc>
          <w:tcPr>
            <w:tcW w:w="1134" w:type="dxa"/>
            <w:tcBorders>
              <w:top w:val="nil"/>
              <w:left w:val="single" w:sz="18" w:space="0" w:color="C0C0C0"/>
              <w:right w:val="single" w:sz="18" w:space="0" w:color="C0C0C0"/>
            </w:tcBorders>
            <w:vAlign w:val="center"/>
          </w:tcPr>
          <w:p w14:paraId="7596AA1C" w14:textId="77777777" w:rsidR="00920FC3" w:rsidRPr="00E57545" w:rsidRDefault="00920FC3" w:rsidP="00F3374E">
            <w:pPr>
              <w:jc w:val="center"/>
              <w:rPr>
                <w:rFonts w:ascii="Arial Narrow" w:hAnsi="Arial Narrow" w:cs="Arial"/>
                <w:sz w:val="16"/>
                <w:szCs w:val="16"/>
              </w:rPr>
            </w:pPr>
          </w:p>
        </w:tc>
        <w:tc>
          <w:tcPr>
            <w:tcW w:w="1418" w:type="dxa"/>
            <w:tcBorders>
              <w:top w:val="nil"/>
              <w:left w:val="single" w:sz="18" w:space="0" w:color="C0C0C0"/>
              <w:right w:val="single" w:sz="18" w:space="0" w:color="BFBFBF"/>
            </w:tcBorders>
            <w:shd w:val="clear" w:color="auto" w:fill="FFFF00"/>
            <w:vAlign w:val="center"/>
          </w:tcPr>
          <w:p w14:paraId="3008F87F" w14:textId="6B9D8DC2" w:rsidR="00920FC3" w:rsidRPr="00E57545" w:rsidRDefault="00276491" w:rsidP="00384E96">
            <w:pPr>
              <w:jc w:val="center"/>
              <w:rPr>
                <w:rFonts w:ascii="Arial Narrow" w:hAnsi="Arial Narrow" w:cs="Arial"/>
                <w:sz w:val="16"/>
                <w:szCs w:val="16"/>
              </w:rPr>
            </w:pPr>
            <w:r w:rsidRPr="00E57545">
              <w:rPr>
                <w:rFonts w:ascii="Arial Narrow" w:hAnsi="Arial Narrow" w:cs="Arial"/>
                <w:b/>
                <w:bCs/>
                <w:sz w:val="16"/>
                <w:szCs w:val="16"/>
              </w:rPr>
              <w:t>4 ½ day CE</w:t>
            </w:r>
          </w:p>
        </w:tc>
        <w:tc>
          <w:tcPr>
            <w:tcW w:w="1417" w:type="dxa"/>
            <w:tcBorders>
              <w:top w:val="nil"/>
              <w:left w:val="single" w:sz="18" w:space="0" w:color="BFBFBF"/>
              <w:right w:val="single" w:sz="18" w:space="0" w:color="C0C0C0"/>
            </w:tcBorders>
            <w:vAlign w:val="center"/>
          </w:tcPr>
          <w:p w14:paraId="6331F195" w14:textId="77777777" w:rsidR="00920FC3" w:rsidRPr="00E57545" w:rsidRDefault="00920FC3" w:rsidP="00F3374E">
            <w:pPr>
              <w:jc w:val="center"/>
              <w:rPr>
                <w:rFonts w:ascii="Arial Narrow" w:hAnsi="Arial Narrow" w:cs="Arial"/>
                <w:sz w:val="16"/>
                <w:szCs w:val="16"/>
              </w:rPr>
            </w:pPr>
          </w:p>
        </w:tc>
        <w:tc>
          <w:tcPr>
            <w:tcW w:w="1276" w:type="dxa"/>
            <w:tcBorders>
              <w:left w:val="single" w:sz="18" w:space="0" w:color="C0C0C0"/>
              <w:right w:val="single" w:sz="18" w:space="0" w:color="C0C0C0"/>
            </w:tcBorders>
            <w:vAlign w:val="center"/>
          </w:tcPr>
          <w:p w14:paraId="0E0DCBFB" w14:textId="77777777" w:rsidR="00920FC3" w:rsidRPr="00E57545" w:rsidRDefault="00920FC3"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42571069" w14:textId="77777777" w:rsidR="00920FC3" w:rsidRPr="008C7414" w:rsidRDefault="00920FC3"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211D56C6" w14:textId="77777777" w:rsidR="00920FC3" w:rsidRPr="00464CCB" w:rsidRDefault="00920FC3" w:rsidP="00BE7F1D">
            <w:pPr>
              <w:jc w:val="center"/>
              <w:rPr>
                <w:rFonts w:ascii="Arial Narrow" w:hAnsi="Arial Narrow"/>
                <w:color w:val="31849B"/>
                <w:sz w:val="16"/>
                <w:szCs w:val="16"/>
              </w:rPr>
            </w:pPr>
          </w:p>
        </w:tc>
      </w:tr>
      <w:tr w:rsidR="00820E19" w:rsidRPr="00BC2C5D" w14:paraId="34AF6A84" w14:textId="77777777" w:rsidTr="00971872">
        <w:trPr>
          <w:trHeight w:val="111"/>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166DE05A" w14:textId="08C90110" w:rsidR="00820E19" w:rsidRDefault="00820E19" w:rsidP="00820E19">
            <w:pPr>
              <w:jc w:val="center"/>
              <w:rPr>
                <w:rFonts w:ascii="Arial Narrow" w:hAnsi="Arial Narrow" w:cs="Arial"/>
                <w:sz w:val="16"/>
                <w:szCs w:val="16"/>
              </w:rPr>
            </w:pPr>
            <w:r>
              <w:rPr>
                <w:rFonts w:ascii="Arial Narrow" w:hAnsi="Arial Narrow" w:cs="Arial"/>
                <w:sz w:val="16"/>
                <w:szCs w:val="16"/>
              </w:rPr>
              <w:t>10 February</w:t>
            </w:r>
          </w:p>
        </w:tc>
        <w:tc>
          <w:tcPr>
            <w:tcW w:w="1134"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1044A681" w14:textId="74AA107A"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½ day CE</w:t>
            </w: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34B4531E" w14:textId="3B47074A"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CE/ATSILs</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04E57ED8" w14:textId="2EEF7C2C"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CE/ATSILs</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733FC8E2" w14:textId="347B791B"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CE/ATSILs</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710A6A94" w14:textId="77777777" w:rsidR="00820E19" w:rsidRPr="008C7414" w:rsidRDefault="00820E19" w:rsidP="00820E19">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6D400FD8" w14:textId="77777777" w:rsidR="00820E19" w:rsidRPr="00464CCB" w:rsidRDefault="00820E19" w:rsidP="00820E19">
            <w:pPr>
              <w:jc w:val="center"/>
              <w:rPr>
                <w:rFonts w:ascii="Arial Narrow" w:hAnsi="Arial Narrow"/>
                <w:color w:val="31849B"/>
                <w:sz w:val="16"/>
                <w:szCs w:val="16"/>
              </w:rPr>
            </w:pPr>
            <w:r w:rsidRPr="00464CCB">
              <w:rPr>
                <w:rFonts w:ascii="Arial Narrow" w:hAnsi="Arial Narrow"/>
                <w:color w:val="31849B"/>
                <w:sz w:val="16"/>
                <w:szCs w:val="16"/>
              </w:rPr>
              <w:t>Aurukun Cape B Circuit</w:t>
            </w:r>
          </w:p>
          <w:p w14:paraId="37A79FEF" w14:textId="4DACCBAD" w:rsidR="00820E19" w:rsidRPr="00464CCB" w:rsidRDefault="00820E19" w:rsidP="00820E19">
            <w:pPr>
              <w:jc w:val="center"/>
              <w:rPr>
                <w:rFonts w:ascii="Arial Narrow" w:hAnsi="Arial Narrow"/>
                <w:sz w:val="16"/>
                <w:szCs w:val="16"/>
              </w:rPr>
            </w:pPr>
            <w:r w:rsidRPr="00464CCB">
              <w:rPr>
                <w:rFonts w:ascii="Arial Narrow" w:hAnsi="Arial Narrow"/>
                <w:color w:val="31849B"/>
                <w:sz w:val="16"/>
                <w:szCs w:val="16"/>
                <w:highlight w:val="magenta"/>
              </w:rPr>
              <w:t>Doomadgee Gulf Circuit</w:t>
            </w:r>
          </w:p>
        </w:tc>
      </w:tr>
      <w:tr w:rsidR="00820E19" w:rsidRPr="00BC2C5D" w14:paraId="4C1E3697" w14:textId="77777777" w:rsidTr="00971872">
        <w:trPr>
          <w:trHeight w:val="108"/>
        </w:trPr>
        <w:tc>
          <w:tcPr>
            <w:tcW w:w="1134" w:type="dxa"/>
            <w:vMerge/>
            <w:tcBorders>
              <w:left w:val="single" w:sz="18" w:space="0" w:color="auto"/>
              <w:right w:val="single" w:sz="18" w:space="0" w:color="C0C0C0"/>
            </w:tcBorders>
            <w:vAlign w:val="center"/>
          </w:tcPr>
          <w:p w14:paraId="14C65CB1" w14:textId="77777777" w:rsidR="00820E19" w:rsidRDefault="00820E19" w:rsidP="00820E19">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18DEA2EF" w14:textId="7FE1C178"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½ day CE</w:t>
            </w:r>
          </w:p>
        </w:tc>
        <w:tc>
          <w:tcPr>
            <w:tcW w:w="1418" w:type="dxa"/>
            <w:tcBorders>
              <w:top w:val="nil"/>
              <w:left w:val="single" w:sz="18" w:space="0" w:color="C0C0C0"/>
              <w:bottom w:val="nil"/>
              <w:right w:val="single" w:sz="18" w:space="0" w:color="BFBFBF"/>
            </w:tcBorders>
            <w:shd w:val="clear" w:color="auto" w:fill="A972A9"/>
            <w:vAlign w:val="center"/>
          </w:tcPr>
          <w:p w14:paraId="301D59E1" w14:textId="12C80F6F"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tcBorders>
              <w:top w:val="nil"/>
              <w:left w:val="single" w:sz="18" w:space="0" w:color="BFBFBF"/>
              <w:bottom w:val="nil"/>
              <w:right w:val="single" w:sz="18" w:space="0" w:color="C0C0C0"/>
            </w:tcBorders>
            <w:shd w:val="clear" w:color="auto" w:fill="A972A9"/>
            <w:vAlign w:val="center"/>
          </w:tcPr>
          <w:p w14:paraId="710DE946" w14:textId="2004CC19"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tcBorders>
              <w:top w:val="nil"/>
              <w:left w:val="single" w:sz="18" w:space="0" w:color="C0C0C0"/>
              <w:bottom w:val="nil"/>
              <w:right w:val="single" w:sz="18" w:space="0" w:color="C0C0C0"/>
            </w:tcBorders>
            <w:shd w:val="clear" w:color="auto" w:fill="A972A9"/>
            <w:vAlign w:val="center"/>
          </w:tcPr>
          <w:p w14:paraId="3DBB08C8" w14:textId="7316AC74"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Conf</w:t>
            </w:r>
          </w:p>
        </w:tc>
        <w:tc>
          <w:tcPr>
            <w:tcW w:w="1234" w:type="dxa"/>
            <w:vMerge/>
            <w:tcBorders>
              <w:left w:val="single" w:sz="18" w:space="0" w:color="C0C0C0"/>
              <w:right w:val="single" w:sz="18" w:space="0" w:color="auto"/>
            </w:tcBorders>
            <w:vAlign w:val="center"/>
          </w:tcPr>
          <w:p w14:paraId="4B4CBF4A" w14:textId="77777777" w:rsidR="00820E19" w:rsidRPr="008C7414" w:rsidRDefault="00820E19" w:rsidP="00820E19">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5A536388" w14:textId="77777777" w:rsidR="00820E19" w:rsidRPr="00464CCB" w:rsidRDefault="00820E19" w:rsidP="00820E19">
            <w:pPr>
              <w:jc w:val="center"/>
              <w:rPr>
                <w:rFonts w:ascii="Arial Narrow" w:hAnsi="Arial Narrow"/>
                <w:color w:val="31849B"/>
                <w:sz w:val="16"/>
                <w:szCs w:val="16"/>
              </w:rPr>
            </w:pPr>
          </w:p>
        </w:tc>
      </w:tr>
      <w:tr w:rsidR="00820E19" w:rsidRPr="00BC2C5D" w14:paraId="65609651" w14:textId="77777777" w:rsidTr="00971872">
        <w:trPr>
          <w:trHeight w:val="108"/>
        </w:trPr>
        <w:tc>
          <w:tcPr>
            <w:tcW w:w="1134" w:type="dxa"/>
            <w:vMerge/>
            <w:tcBorders>
              <w:left w:val="single" w:sz="18" w:space="0" w:color="auto"/>
              <w:right w:val="single" w:sz="18" w:space="0" w:color="C0C0C0"/>
            </w:tcBorders>
            <w:vAlign w:val="center"/>
          </w:tcPr>
          <w:p w14:paraId="3E21250F" w14:textId="77777777" w:rsidR="00820E19" w:rsidRDefault="00820E19" w:rsidP="00820E19">
            <w:pPr>
              <w:jc w:val="center"/>
              <w:rPr>
                <w:rFonts w:ascii="Arial Narrow" w:hAnsi="Arial Narrow" w:cs="Arial"/>
                <w:sz w:val="16"/>
                <w:szCs w:val="16"/>
              </w:rPr>
            </w:pPr>
          </w:p>
        </w:tc>
        <w:tc>
          <w:tcPr>
            <w:tcW w:w="1134" w:type="dxa"/>
            <w:vMerge w:val="restart"/>
            <w:tcBorders>
              <w:top w:val="nil"/>
              <w:left w:val="single" w:sz="18" w:space="0" w:color="C0C0C0"/>
              <w:right w:val="single" w:sz="18" w:space="0" w:color="C0C0C0"/>
            </w:tcBorders>
            <w:vAlign w:val="center"/>
          </w:tcPr>
          <w:p w14:paraId="18978100" w14:textId="77777777" w:rsidR="00820E19" w:rsidRPr="00E57545" w:rsidRDefault="00820E19" w:rsidP="00820E19">
            <w:pPr>
              <w:jc w:val="center"/>
              <w:rPr>
                <w:rFonts w:ascii="Arial Narrow" w:hAnsi="Arial Narrow" w:cs="Arial"/>
                <w:sz w:val="16"/>
                <w:szCs w:val="16"/>
              </w:rPr>
            </w:pPr>
          </w:p>
        </w:tc>
        <w:tc>
          <w:tcPr>
            <w:tcW w:w="1418" w:type="dxa"/>
            <w:vMerge w:val="restart"/>
            <w:tcBorders>
              <w:top w:val="nil"/>
              <w:left w:val="single" w:sz="18" w:space="0" w:color="C0C0C0"/>
              <w:right w:val="single" w:sz="18" w:space="0" w:color="BFBFBF"/>
            </w:tcBorders>
            <w:shd w:val="clear" w:color="auto" w:fill="769250"/>
            <w:vAlign w:val="center"/>
          </w:tcPr>
          <w:p w14:paraId="073C9A98" w14:textId="40D59048"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vMerge w:val="restart"/>
            <w:tcBorders>
              <w:top w:val="nil"/>
              <w:left w:val="single" w:sz="18" w:space="0" w:color="BFBFBF"/>
              <w:right w:val="single" w:sz="18" w:space="0" w:color="C0C0C0"/>
            </w:tcBorders>
            <w:shd w:val="clear" w:color="auto" w:fill="769250"/>
            <w:vAlign w:val="center"/>
          </w:tcPr>
          <w:p w14:paraId="3B037889" w14:textId="5C0CE349"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tcBorders>
              <w:top w:val="nil"/>
              <w:left w:val="single" w:sz="18" w:space="0" w:color="C0C0C0"/>
              <w:bottom w:val="nil"/>
              <w:right w:val="single" w:sz="18" w:space="0" w:color="C0C0C0"/>
            </w:tcBorders>
            <w:shd w:val="clear" w:color="auto" w:fill="769250"/>
            <w:vAlign w:val="center"/>
          </w:tcPr>
          <w:p w14:paraId="0F33E5E8" w14:textId="6F22BD21"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Conf</w:t>
            </w:r>
          </w:p>
        </w:tc>
        <w:tc>
          <w:tcPr>
            <w:tcW w:w="1234" w:type="dxa"/>
            <w:vMerge/>
            <w:tcBorders>
              <w:left w:val="single" w:sz="18" w:space="0" w:color="C0C0C0"/>
              <w:right w:val="single" w:sz="18" w:space="0" w:color="auto"/>
            </w:tcBorders>
            <w:vAlign w:val="center"/>
          </w:tcPr>
          <w:p w14:paraId="5507A95B" w14:textId="77777777" w:rsidR="00820E19" w:rsidRPr="008C7414" w:rsidRDefault="00820E19" w:rsidP="00820E19">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21F8EB1E" w14:textId="77777777" w:rsidR="00820E19" w:rsidRPr="00464CCB" w:rsidRDefault="00820E19" w:rsidP="00820E19">
            <w:pPr>
              <w:jc w:val="center"/>
              <w:rPr>
                <w:rFonts w:ascii="Arial Narrow" w:hAnsi="Arial Narrow"/>
                <w:color w:val="31849B"/>
                <w:sz w:val="16"/>
                <w:szCs w:val="16"/>
              </w:rPr>
            </w:pPr>
          </w:p>
        </w:tc>
      </w:tr>
      <w:tr w:rsidR="00820E19" w:rsidRPr="00BC2C5D" w14:paraId="2D562F24" w14:textId="77777777" w:rsidTr="00971872">
        <w:trPr>
          <w:trHeight w:val="108"/>
        </w:trPr>
        <w:tc>
          <w:tcPr>
            <w:tcW w:w="1134" w:type="dxa"/>
            <w:vMerge/>
            <w:tcBorders>
              <w:left w:val="single" w:sz="18" w:space="0" w:color="auto"/>
              <w:right w:val="single" w:sz="18" w:space="0" w:color="C0C0C0"/>
            </w:tcBorders>
            <w:vAlign w:val="center"/>
          </w:tcPr>
          <w:p w14:paraId="45739903" w14:textId="77777777" w:rsidR="00820E19" w:rsidRDefault="00820E19" w:rsidP="00820E19">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7EC1DE07" w14:textId="77777777" w:rsidR="00820E19" w:rsidRPr="00E57545" w:rsidRDefault="00820E19" w:rsidP="00820E19">
            <w:pPr>
              <w:jc w:val="center"/>
              <w:rPr>
                <w:rFonts w:ascii="Arial Narrow" w:hAnsi="Arial Narrow" w:cs="Arial"/>
                <w:sz w:val="16"/>
                <w:szCs w:val="16"/>
              </w:rPr>
            </w:pPr>
          </w:p>
        </w:tc>
        <w:tc>
          <w:tcPr>
            <w:tcW w:w="1418" w:type="dxa"/>
            <w:vMerge/>
            <w:tcBorders>
              <w:left w:val="single" w:sz="18" w:space="0" w:color="C0C0C0"/>
              <w:right w:val="single" w:sz="18" w:space="0" w:color="BFBFBF"/>
            </w:tcBorders>
            <w:vAlign w:val="center"/>
          </w:tcPr>
          <w:p w14:paraId="6E6FBFDB" w14:textId="77777777" w:rsidR="00820E19" w:rsidRPr="00E57545" w:rsidRDefault="00820E19" w:rsidP="00820E19">
            <w:pPr>
              <w:jc w:val="center"/>
              <w:rPr>
                <w:rFonts w:ascii="Arial Narrow" w:hAnsi="Arial Narrow" w:cs="Arial"/>
                <w:sz w:val="16"/>
                <w:szCs w:val="16"/>
              </w:rPr>
            </w:pPr>
          </w:p>
        </w:tc>
        <w:tc>
          <w:tcPr>
            <w:tcW w:w="1417" w:type="dxa"/>
            <w:vMerge/>
            <w:tcBorders>
              <w:left w:val="single" w:sz="18" w:space="0" w:color="BFBFBF"/>
              <w:right w:val="single" w:sz="18" w:space="0" w:color="C0C0C0"/>
            </w:tcBorders>
            <w:vAlign w:val="center"/>
          </w:tcPr>
          <w:p w14:paraId="50202493" w14:textId="77777777" w:rsidR="00820E19" w:rsidRPr="00E57545" w:rsidRDefault="00820E19" w:rsidP="00820E19">
            <w:pPr>
              <w:jc w:val="center"/>
              <w:rPr>
                <w:rFonts w:ascii="Arial Narrow" w:hAnsi="Arial Narrow" w:cs="Arial"/>
                <w:sz w:val="16"/>
                <w:szCs w:val="16"/>
              </w:rPr>
            </w:pPr>
          </w:p>
        </w:tc>
        <w:tc>
          <w:tcPr>
            <w:tcW w:w="1276" w:type="dxa"/>
            <w:tcBorders>
              <w:top w:val="nil"/>
              <w:left w:val="single" w:sz="18" w:space="0" w:color="C0C0C0"/>
              <w:bottom w:val="single" w:sz="18" w:space="0" w:color="C0C0C0"/>
              <w:right w:val="single" w:sz="18" w:space="0" w:color="C0C0C0"/>
            </w:tcBorders>
            <w:shd w:val="clear" w:color="auto" w:fill="FFFF00"/>
            <w:vAlign w:val="center"/>
          </w:tcPr>
          <w:p w14:paraId="7C280A85" w14:textId="22BE8371" w:rsidR="00820E19" w:rsidRPr="00E57545" w:rsidRDefault="00820E19" w:rsidP="00820E19">
            <w:pPr>
              <w:jc w:val="center"/>
              <w:rPr>
                <w:rFonts w:ascii="Arial Narrow" w:hAnsi="Arial Narrow" w:cs="Arial"/>
                <w:sz w:val="16"/>
                <w:szCs w:val="16"/>
              </w:rPr>
            </w:pPr>
            <w:r w:rsidRPr="00E57545">
              <w:rPr>
                <w:rFonts w:ascii="Arial Narrow" w:hAnsi="Arial Narrow" w:cs="Arial"/>
                <w:b/>
                <w:bCs/>
                <w:sz w:val="16"/>
                <w:szCs w:val="16"/>
              </w:rPr>
              <w:t>13 CE</w:t>
            </w:r>
          </w:p>
        </w:tc>
        <w:tc>
          <w:tcPr>
            <w:tcW w:w="1234" w:type="dxa"/>
            <w:vMerge/>
            <w:tcBorders>
              <w:left w:val="single" w:sz="18" w:space="0" w:color="C0C0C0"/>
              <w:right w:val="single" w:sz="18" w:space="0" w:color="auto"/>
            </w:tcBorders>
            <w:vAlign w:val="center"/>
          </w:tcPr>
          <w:p w14:paraId="27287878" w14:textId="77777777" w:rsidR="00820E19" w:rsidRPr="008C7414" w:rsidRDefault="00820E19" w:rsidP="00820E19">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56A259A7" w14:textId="77777777" w:rsidR="00820E19" w:rsidRPr="00464CCB" w:rsidRDefault="00820E19" w:rsidP="00820E19">
            <w:pPr>
              <w:jc w:val="center"/>
              <w:rPr>
                <w:rFonts w:ascii="Arial Narrow" w:hAnsi="Arial Narrow"/>
                <w:color w:val="31849B"/>
                <w:sz w:val="16"/>
                <w:szCs w:val="16"/>
              </w:rPr>
            </w:pPr>
          </w:p>
        </w:tc>
      </w:tr>
      <w:tr w:rsidR="00B225ED" w:rsidRPr="00BC2C5D" w14:paraId="2980BC10" w14:textId="77777777" w:rsidTr="00E57545">
        <w:trPr>
          <w:trHeight w:val="397"/>
        </w:trPr>
        <w:tc>
          <w:tcPr>
            <w:tcW w:w="1134" w:type="dxa"/>
            <w:tcBorders>
              <w:top w:val="single" w:sz="18" w:space="0" w:color="C0C0C0"/>
              <w:left w:val="single" w:sz="18" w:space="0" w:color="auto"/>
              <w:right w:val="single" w:sz="18" w:space="0" w:color="C0C0C0"/>
            </w:tcBorders>
            <w:vAlign w:val="center"/>
          </w:tcPr>
          <w:p w14:paraId="4AC745A6" w14:textId="5F8FDFDC" w:rsidR="00B225ED" w:rsidRPr="00A634FA" w:rsidRDefault="00B225ED" w:rsidP="00B225ED">
            <w:pPr>
              <w:jc w:val="center"/>
              <w:rPr>
                <w:rFonts w:ascii="Arial Narrow" w:hAnsi="Arial Narrow" w:cs="Arial"/>
                <w:sz w:val="16"/>
                <w:szCs w:val="16"/>
              </w:rPr>
            </w:pPr>
            <w:r>
              <w:rPr>
                <w:rFonts w:ascii="Arial Narrow" w:hAnsi="Arial Narrow" w:cs="Arial"/>
                <w:sz w:val="16"/>
                <w:szCs w:val="16"/>
              </w:rPr>
              <w:t>17 February</w:t>
            </w:r>
          </w:p>
        </w:tc>
        <w:tc>
          <w:tcPr>
            <w:tcW w:w="1134" w:type="dxa"/>
            <w:tcBorders>
              <w:top w:val="single" w:sz="18" w:space="0" w:color="C0C0C0"/>
              <w:left w:val="single" w:sz="18" w:space="0" w:color="C0C0C0"/>
              <w:right w:val="single" w:sz="18" w:space="0" w:color="C0C0C0"/>
            </w:tcBorders>
            <w:shd w:val="clear" w:color="auto" w:fill="FF0000"/>
            <w:vAlign w:val="center"/>
          </w:tcPr>
          <w:p w14:paraId="59C7D183" w14:textId="202886BB"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17 ½ day CE</w:t>
            </w:r>
          </w:p>
        </w:tc>
        <w:tc>
          <w:tcPr>
            <w:tcW w:w="1418" w:type="dxa"/>
            <w:tcBorders>
              <w:top w:val="single" w:sz="18" w:space="0" w:color="C0C0C0"/>
              <w:left w:val="single" w:sz="18" w:space="0" w:color="C0C0C0"/>
              <w:right w:val="single" w:sz="18" w:space="0" w:color="BFBFBF"/>
            </w:tcBorders>
            <w:shd w:val="clear" w:color="auto" w:fill="FF0000"/>
            <w:vAlign w:val="center"/>
          </w:tcPr>
          <w:p w14:paraId="61BD711E" w14:textId="4DC56A55"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18 CE</w:t>
            </w:r>
          </w:p>
        </w:tc>
        <w:tc>
          <w:tcPr>
            <w:tcW w:w="1417" w:type="dxa"/>
            <w:tcBorders>
              <w:top w:val="single" w:sz="18" w:space="0" w:color="C0C0C0"/>
              <w:left w:val="single" w:sz="18" w:space="0" w:color="BFBFBF"/>
              <w:right w:val="single" w:sz="18" w:space="0" w:color="C0C0C0"/>
            </w:tcBorders>
            <w:shd w:val="clear" w:color="auto" w:fill="FF0000"/>
            <w:vAlign w:val="center"/>
          </w:tcPr>
          <w:p w14:paraId="3BA986A2" w14:textId="298D13C6"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CE</w:t>
            </w:r>
          </w:p>
        </w:tc>
        <w:tc>
          <w:tcPr>
            <w:tcW w:w="1276" w:type="dxa"/>
            <w:tcBorders>
              <w:top w:val="single" w:sz="18" w:space="0" w:color="C0C0C0"/>
              <w:left w:val="single" w:sz="18" w:space="0" w:color="C0C0C0"/>
              <w:right w:val="single" w:sz="18" w:space="0" w:color="C0C0C0"/>
            </w:tcBorders>
            <w:shd w:val="clear" w:color="auto" w:fill="FF0000"/>
            <w:vAlign w:val="center"/>
          </w:tcPr>
          <w:p w14:paraId="719EBC8E" w14:textId="243C650E"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½ day CE</w:t>
            </w:r>
          </w:p>
        </w:tc>
        <w:tc>
          <w:tcPr>
            <w:tcW w:w="1234" w:type="dxa"/>
            <w:tcBorders>
              <w:top w:val="single" w:sz="18" w:space="0" w:color="C0C0C0"/>
              <w:left w:val="single" w:sz="18" w:space="0" w:color="C0C0C0"/>
              <w:right w:val="single" w:sz="18" w:space="0" w:color="auto"/>
            </w:tcBorders>
            <w:vAlign w:val="center"/>
          </w:tcPr>
          <w:p w14:paraId="71B48D44" w14:textId="0E00D80E" w:rsidR="00B225ED" w:rsidRPr="008C7414" w:rsidRDefault="00B225ED" w:rsidP="00B225ED">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vAlign w:val="center"/>
          </w:tcPr>
          <w:p w14:paraId="369C694F" w14:textId="4F996DB8" w:rsidR="00B225ED" w:rsidRPr="00464CCB" w:rsidRDefault="00B225ED" w:rsidP="00B225ED">
            <w:pPr>
              <w:jc w:val="center"/>
              <w:rPr>
                <w:rFonts w:ascii="Arial Narrow" w:hAnsi="Arial Narrow"/>
                <w:sz w:val="16"/>
                <w:szCs w:val="16"/>
              </w:rPr>
            </w:pPr>
          </w:p>
        </w:tc>
      </w:tr>
      <w:tr w:rsidR="00B225ED" w:rsidRPr="00BC2C5D" w14:paraId="3066009B" w14:textId="77777777" w:rsidTr="00971872">
        <w:trPr>
          <w:trHeight w:val="95"/>
        </w:trPr>
        <w:tc>
          <w:tcPr>
            <w:tcW w:w="1134" w:type="dxa"/>
            <w:vMerge w:val="restart"/>
            <w:tcBorders>
              <w:top w:val="single" w:sz="18" w:space="0" w:color="C0C0C0"/>
              <w:left w:val="single" w:sz="18" w:space="0" w:color="auto"/>
              <w:right w:val="single" w:sz="18" w:space="0" w:color="C0C0C0"/>
            </w:tcBorders>
            <w:vAlign w:val="center"/>
          </w:tcPr>
          <w:p w14:paraId="4ABB8CC6" w14:textId="054EE2AE" w:rsidR="00B225ED" w:rsidRPr="00A634FA" w:rsidRDefault="00B225ED" w:rsidP="00B225ED">
            <w:pPr>
              <w:jc w:val="center"/>
              <w:rPr>
                <w:rFonts w:ascii="Arial Narrow" w:hAnsi="Arial Narrow" w:cs="Arial"/>
                <w:sz w:val="16"/>
                <w:szCs w:val="16"/>
              </w:rPr>
            </w:pPr>
            <w:r>
              <w:rPr>
                <w:rFonts w:ascii="Arial Narrow" w:hAnsi="Arial Narrow" w:cs="Arial"/>
                <w:sz w:val="16"/>
                <w:szCs w:val="16"/>
              </w:rPr>
              <w:t>24 February</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18147567" w14:textId="3AD8E5D7"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24 ½ day CE</w:t>
            </w:r>
          </w:p>
        </w:tc>
        <w:tc>
          <w:tcPr>
            <w:tcW w:w="1418" w:type="dxa"/>
            <w:tcBorders>
              <w:top w:val="single" w:sz="18" w:space="0" w:color="BFBFBF"/>
              <w:left w:val="single" w:sz="18" w:space="0" w:color="C0C0C0"/>
              <w:bottom w:val="nil"/>
              <w:right w:val="single" w:sz="18" w:space="0" w:color="BFBFBF"/>
            </w:tcBorders>
            <w:shd w:val="clear" w:color="auto" w:fill="A972A9"/>
            <w:vAlign w:val="center"/>
          </w:tcPr>
          <w:p w14:paraId="63E8B25A" w14:textId="5E6C1F83"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CE</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710F20E7" w14:textId="7501D32E"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6C6E2192" w14:textId="620F8FCF"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Conf</w:t>
            </w:r>
          </w:p>
        </w:tc>
        <w:tc>
          <w:tcPr>
            <w:tcW w:w="1234" w:type="dxa"/>
            <w:vMerge w:val="restart"/>
            <w:tcBorders>
              <w:top w:val="single" w:sz="18" w:space="0" w:color="C0C0C0"/>
              <w:left w:val="single" w:sz="18" w:space="0" w:color="C0C0C0"/>
              <w:right w:val="single" w:sz="18" w:space="0" w:color="auto"/>
            </w:tcBorders>
            <w:vAlign w:val="center"/>
          </w:tcPr>
          <w:p w14:paraId="580ACE5B" w14:textId="54381ECE" w:rsidR="00B225ED" w:rsidRPr="008C7414" w:rsidRDefault="00B225ED" w:rsidP="00B225ED">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319B5DB0" w14:textId="4CB1D0DB" w:rsidR="00B225ED" w:rsidRPr="00464CCB" w:rsidRDefault="00B225ED" w:rsidP="00B225ED">
            <w:pPr>
              <w:jc w:val="center"/>
              <w:rPr>
                <w:rFonts w:ascii="Arial Narrow" w:hAnsi="Arial Narrow"/>
                <w:sz w:val="16"/>
                <w:szCs w:val="16"/>
              </w:rPr>
            </w:pPr>
          </w:p>
        </w:tc>
      </w:tr>
      <w:tr w:rsidR="00B225ED" w:rsidRPr="00BC2C5D" w14:paraId="72BA9736" w14:textId="77777777" w:rsidTr="00971872">
        <w:trPr>
          <w:trHeight w:val="95"/>
        </w:trPr>
        <w:tc>
          <w:tcPr>
            <w:tcW w:w="1134" w:type="dxa"/>
            <w:vMerge/>
            <w:tcBorders>
              <w:left w:val="single" w:sz="18" w:space="0" w:color="auto"/>
              <w:right w:val="single" w:sz="18" w:space="0" w:color="C0C0C0"/>
            </w:tcBorders>
            <w:vAlign w:val="center"/>
          </w:tcPr>
          <w:p w14:paraId="0F2CD7BC" w14:textId="77777777" w:rsidR="00B225ED" w:rsidRDefault="00B225ED" w:rsidP="00B225ED">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465D12F9" w14:textId="77777777" w:rsidR="00B225ED" w:rsidRPr="00E57545" w:rsidRDefault="00B225ED" w:rsidP="00B225ED">
            <w:pPr>
              <w:jc w:val="center"/>
              <w:rPr>
                <w:rFonts w:ascii="Arial Narrow" w:hAnsi="Arial Narrow" w:cs="Arial"/>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769250"/>
            <w:vAlign w:val="center"/>
          </w:tcPr>
          <w:p w14:paraId="7BADC5D3" w14:textId="0A0CDB09"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CE</w:t>
            </w:r>
          </w:p>
        </w:tc>
        <w:tc>
          <w:tcPr>
            <w:tcW w:w="1417" w:type="dxa"/>
            <w:tcBorders>
              <w:top w:val="nil"/>
              <w:left w:val="single" w:sz="18" w:space="0" w:color="BFBFBF"/>
              <w:bottom w:val="nil"/>
              <w:right w:val="single" w:sz="18" w:space="0" w:color="C0C0C0"/>
            </w:tcBorders>
            <w:shd w:val="clear" w:color="auto" w:fill="769250"/>
            <w:vAlign w:val="center"/>
          </w:tcPr>
          <w:p w14:paraId="548B3B05" w14:textId="2A3B8BCA"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tcBorders>
              <w:top w:val="nil"/>
              <w:left w:val="single" w:sz="18" w:space="0" w:color="C0C0C0"/>
              <w:bottom w:val="nil"/>
              <w:right w:val="single" w:sz="18" w:space="0" w:color="C0C0C0"/>
            </w:tcBorders>
            <w:shd w:val="clear" w:color="auto" w:fill="769250"/>
            <w:vAlign w:val="center"/>
          </w:tcPr>
          <w:p w14:paraId="7C6402F5" w14:textId="496E7B9B"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CE</w:t>
            </w:r>
          </w:p>
        </w:tc>
        <w:tc>
          <w:tcPr>
            <w:tcW w:w="1234" w:type="dxa"/>
            <w:vMerge/>
            <w:tcBorders>
              <w:left w:val="single" w:sz="18" w:space="0" w:color="C0C0C0"/>
              <w:right w:val="single" w:sz="18" w:space="0" w:color="auto"/>
            </w:tcBorders>
            <w:vAlign w:val="center"/>
          </w:tcPr>
          <w:p w14:paraId="23D27089" w14:textId="77777777" w:rsidR="00B225ED" w:rsidRPr="008C7414" w:rsidRDefault="00B225ED" w:rsidP="00B225ED">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5B33F13D" w14:textId="77777777" w:rsidR="00B225ED" w:rsidRPr="00464CCB" w:rsidRDefault="00B225ED" w:rsidP="00B225ED">
            <w:pPr>
              <w:jc w:val="center"/>
              <w:rPr>
                <w:rFonts w:ascii="Arial Narrow" w:hAnsi="Arial Narrow"/>
                <w:sz w:val="16"/>
                <w:szCs w:val="16"/>
              </w:rPr>
            </w:pPr>
          </w:p>
        </w:tc>
      </w:tr>
      <w:tr w:rsidR="00B225ED" w:rsidRPr="00BC2C5D" w14:paraId="14458389" w14:textId="77777777" w:rsidTr="00971872">
        <w:trPr>
          <w:trHeight w:val="95"/>
        </w:trPr>
        <w:tc>
          <w:tcPr>
            <w:tcW w:w="1134" w:type="dxa"/>
            <w:vMerge/>
            <w:tcBorders>
              <w:left w:val="single" w:sz="18" w:space="0" w:color="auto"/>
              <w:right w:val="single" w:sz="18" w:space="0" w:color="C0C0C0"/>
            </w:tcBorders>
            <w:vAlign w:val="center"/>
          </w:tcPr>
          <w:p w14:paraId="7B47DB97" w14:textId="77777777" w:rsidR="00B225ED" w:rsidRDefault="00B225ED" w:rsidP="00B225ED">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0EC01C21" w14:textId="77777777" w:rsidR="00B225ED" w:rsidRPr="00E57545" w:rsidRDefault="00B225ED" w:rsidP="00B225ED">
            <w:pPr>
              <w:jc w:val="center"/>
              <w:rPr>
                <w:rFonts w:ascii="Arial Narrow" w:hAnsi="Arial Narrow" w:cs="Arial"/>
                <w:sz w:val="16"/>
                <w:szCs w:val="16"/>
              </w:rPr>
            </w:pPr>
          </w:p>
        </w:tc>
        <w:tc>
          <w:tcPr>
            <w:tcW w:w="1418" w:type="dxa"/>
            <w:tcBorders>
              <w:top w:val="nil"/>
              <w:left w:val="single" w:sz="18" w:space="0" w:color="C0C0C0"/>
              <w:right w:val="single" w:sz="18" w:space="0" w:color="BFBFBF"/>
            </w:tcBorders>
            <w:shd w:val="clear" w:color="auto" w:fill="FFFF00"/>
            <w:vAlign w:val="center"/>
          </w:tcPr>
          <w:p w14:paraId="0F5DC346" w14:textId="77777777" w:rsidR="00B225ED" w:rsidRPr="00E57545" w:rsidRDefault="00B225ED" w:rsidP="00B225ED">
            <w:pPr>
              <w:jc w:val="center"/>
              <w:rPr>
                <w:rFonts w:ascii="Arial Narrow" w:hAnsi="Arial Narrow" w:cs="Arial"/>
                <w:b/>
                <w:bCs/>
                <w:sz w:val="16"/>
                <w:szCs w:val="16"/>
              </w:rPr>
            </w:pPr>
            <w:r w:rsidRPr="00E57545">
              <w:rPr>
                <w:rFonts w:ascii="Arial Narrow" w:hAnsi="Arial Narrow" w:cs="Arial"/>
                <w:b/>
                <w:bCs/>
                <w:sz w:val="16"/>
                <w:szCs w:val="16"/>
              </w:rPr>
              <w:t>25 ½ day Conf</w:t>
            </w:r>
          </w:p>
          <w:p w14:paraId="7B03E398" w14:textId="1B190A75" w:rsidR="00B225ED" w:rsidRPr="00E57545" w:rsidRDefault="00B225ED" w:rsidP="00B225ED">
            <w:pPr>
              <w:jc w:val="center"/>
              <w:rPr>
                <w:rFonts w:ascii="Arial Narrow" w:hAnsi="Arial Narrow" w:cs="Arial"/>
                <w:sz w:val="16"/>
                <w:szCs w:val="16"/>
              </w:rPr>
            </w:pPr>
            <w:r w:rsidRPr="00E57545">
              <w:rPr>
                <w:rFonts w:ascii="Arial Narrow" w:hAnsi="Arial Narrow" w:cs="Arial"/>
                <w:b/>
                <w:bCs/>
                <w:sz w:val="16"/>
                <w:szCs w:val="16"/>
              </w:rPr>
              <w:t>25 ½ day CE</w:t>
            </w:r>
          </w:p>
        </w:tc>
        <w:tc>
          <w:tcPr>
            <w:tcW w:w="1417" w:type="dxa"/>
            <w:tcBorders>
              <w:top w:val="nil"/>
              <w:left w:val="single" w:sz="18" w:space="0" w:color="BFBFBF"/>
              <w:right w:val="single" w:sz="18" w:space="0" w:color="C0C0C0"/>
            </w:tcBorders>
            <w:vAlign w:val="center"/>
          </w:tcPr>
          <w:p w14:paraId="5F3F349B" w14:textId="77777777" w:rsidR="00B225ED" w:rsidRPr="00E57545" w:rsidRDefault="00B225ED" w:rsidP="00B225ED">
            <w:pPr>
              <w:jc w:val="center"/>
              <w:rPr>
                <w:rFonts w:ascii="Arial Narrow" w:hAnsi="Arial Narrow" w:cs="Arial"/>
                <w:sz w:val="16"/>
                <w:szCs w:val="16"/>
              </w:rPr>
            </w:pPr>
          </w:p>
        </w:tc>
        <w:tc>
          <w:tcPr>
            <w:tcW w:w="1276" w:type="dxa"/>
            <w:tcBorders>
              <w:top w:val="nil"/>
              <w:left w:val="single" w:sz="18" w:space="0" w:color="C0C0C0"/>
              <w:right w:val="single" w:sz="18" w:space="0" w:color="C0C0C0"/>
            </w:tcBorders>
            <w:vAlign w:val="center"/>
          </w:tcPr>
          <w:p w14:paraId="16D1F7DA" w14:textId="77777777" w:rsidR="00B225ED" w:rsidRPr="00E57545" w:rsidRDefault="00B225ED" w:rsidP="00B225ED">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101E1BFF" w14:textId="77777777" w:rsidR="00B225ED" w:rsidRPr="008C7414" w:rsidRDefault="00B225ED" w:rsidP="00B225ED">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6E24C925" w14:textId="77777777" w:rsidR="00B225ED" w:rsidRPr="00464CCB" w:rsidRDefault="00B225ED" w:rsidP="00B225ED">
            <w:pPr>
              <w:jc w:val="center"/>
              <w:rPr>
                <w:rFonts w:ascii="Arial Narrow" w:hAnsi="Arial Narrow"/>
                <w:sz w:val="16"/>
                <w:szCs w:val="16"/>
              </w:rPr>
            </w:pPr>
          </w:p>
        </w:tc>
      </w:tr>
      <w:tr w:rsidR="00B225ED" w:rsidRPr="00BC2C5D" w14:paraId="4F42726F" w14:textId="77777777" w:rsidTr="00E57545">
        <w:trPr>
          <w:trHeight w:val="397"/>
        </w:trPr>
        <w:tc>
          <w:tcPr>
            <w:tcW w:w="1134" w:type="dxa"/>
            <w:tcBorders>
              <w:top w:val="single" w:sz="18" w:space="0" w:color="auto"/>
              <w:left w:val="single" w:sz="18" w:space="0" w:color="auto"/>
              <w:right w:val="single" w:sz="18" w:space="0" w:color="C0C0C0"/>
            </w:tcBorders>
            <w:vAlign w:val="center"/>
          </w:tcPr>
          <w:p w14:paraId="547AAE0E" w14:textId="53B07203" w:rsidR="00B225ED" w:rsidRPr="00A634FA" w:rsidRDefault="00B225ED" w:rsidP="00B225ED">
            <w:pPr>
              <w:jc w:val="center"/>
              <w:rPr>
                <w:rFonts w:ascii="Arial Narrow" w:hAnsi="Arial Narrow" w:cs="Arial"/>
                <w:sz w:val="16"/>
                <w:szCs w:val="16"/>
              </w:rPr>
            </w:pPr>
            <w:r>
              <w:rPr>
                <w:rFonts w:ascii="Arial Narrow" w:hAnsi="Arial Narrow" w:cs="Arial"/>
                <w:sz w:val="16"/>
                <w:szCs w:val="16"/>
              </w:rPr>
              <w:t>3 March</w:t>
            </w:r>
          </w:p>
        </w:tc>
        <w:tc>
          <w:tcPr>
            <w:tcW w:w="1134" w:type="dxa"/>
            <w:tcBorders>
              <w:top w:val="single" w:sz="18" w:space="0" w:color="auto"/>
              <w:left w:val="single" w:sz="18" w:space="0" w:color="C0C0C0"/>
              <w:right w:val="single" w:sz="18" w:space="0" w:color="C0C0C0"/>
            </w:tcBorders>
            <w:shd w:val="clear" w:color="auto" w:fill="FF0000"/>
            <w:vAlign w:val="center"/>
          </w:tcPr>
          <w:p w14:paraId="01743E49" w14:textId="37E2698A"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½ day CE</w:t>
            </w:r>
          </w:p>
        </w:tc>
        <w:tc>
          <w:tcPr>
            <w:tcW w:w="1418" w:type="dxa"/>
            <w:tcBorders>
              <w:top w:val="single" w:sz="18" w:space="0" w:color="auto"/>
              <w:left w:val="single" w:sz="18" w:space="0" w:color="C0C0C0"/>
              <w:right w:val="single" w:sz="18" w:space="0" w:color="BFBFBF"/>
            </w:tcBorders>
            <w:shd w:val="clear" w:color="auto" w:fill="FF0000"/>
            <w:vAlign w:val="center"/>
          </w:tcPr>
          <w:p w14:paraId="638618E9" w14:textId="03F7A9AB"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4 Conf</w:t>
            </w:r>
          </w:p>
        </w:tc>
        <w:tc>
          <w:tcPr>
            <w:tcW w:w="1417" w:type="dxa"/>
            <w:tcBorders>
              <w:top w:val="single" w:sz="18" w:space="0" w:color="auto"/>
              <w:left w:val="single" w:sz="18" w:space="0" w:color="BFBFBF"/>
              <w:right w:val="single" w:sz="18" w:space="0" w:color="C0C0C0"/>
            </w:tcBorders>
            <w:shd w:val="clear" w:color="auto" w:fill="FF0000"/>
            <w:vAlign w:val="center"/>
          </w:tcPr>
          <w:p w14:paraId="2A768ACC" w14:textId="4F34C7CF"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5 Conf</w:t>
            </w:r>
          </w:p>
        </w:tc>
        <w:tc>
          <w:tcPr>
            <w:tcW w:w="1276" w:type="dxa"/>
            <w:tcBorders>
              <w:top w:val="single" w:sz="18" w:space="0" w:color="auto"/>
              <w:left w:val="single" w:sz="18" w:space="0" w:color="C0C0C0"/>
              <w:right w:val="single" w:sz="18" w:space="0" w:color="C0C0C0"/>
            </w:tcBorders>
            <w:shd w:val="clear" w:color="auto" w:fill="FF0000"/>
            <w:vAlign w:val="center"/>
          </w:tcPr>
          <w:p w14:paraId="20B7857C" w14:textId="36E21D00"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6 ½ day CE</w:t>
            </w:r>
          </w:p>
        </w:tc>
        <w:tc>
          <w:tcPr>
            <w:tcW w:w="1234" w:type="dxa"/>
            <w:tcBorders>
              <w:top w:val="single" w:sz="18" w:space="0" w:color="auto"/>
              <w:left w:val="single" w:sz="18" w:space="0" w:color="C0C0C0"/>
              <w:right w:val="single" w:sz="18" w:space="0" w:color="auto"/>
            </w:tcBorders>
            <w:vAlign w:val="center"/>
          </w:tcPr>
          <w:p w14:paraId="3B88A390" w14:textId="77777777" w:rsidR="00B225ED" w:rsidRPr="008C7414" w:rsidRDefault="00B225ED" w:rsidP="00B225ED">
            <w:pPr>
              <w:jc w:val="center"/>
              <w:rPr>
                <w:rFonts w:ascii="Arial Narrow" w:hAnsi="Arial Narrow" w:cs="Arial"/>
                <w:color w:val="000000"/>
                <w:sz w:val="15"/>
                <w:szCs w:val="15"/>
              </w:rPr>
            </w:pPr>
          </w:p>
        </w:tc>
        <w:tc>
          <w:tcPr>
            <w:tcW w:w="3245" w:type="dxa"/>
            <w:tcBorders>
              <w:top w:val="single" w:sz="18" w:space="0" w:color="auto"/>
              <w:left w:val="single" w:sz="18" w:space="0" w:color="auto"/>
              <w:right w:val="single" w:sz="18" w:space="0" w:color="auto"/>
            </w:tcBorders>
            <w:vAlign w:val="center"/>
          </w:tcPr>
          <w:p w14:paraId="03F7AA07" w14:textId="256B7013" w:rsidR="00B225ED" w:rsidRPr="00464CCB" w:rsidRDefault="00B225ED" w:rsidP="00B225ED">
            <w:pPr>
              <w:jc w:val="center"/>
              <w:rPr>
                <w:rFonts w:ascii="Arial Narrow" w:hAnsi="Arial Narrow"/>
                <w:color w:val="31849B"/>
                <w:sz w:val="16"/>
                <w:szCs w:val="16"/>
              </w:rPr>
            </w:pPr>
            <w:r w:rsidRPr="00464CCB">
              <w:rPr>
                <w:rFonts w:ascii="Arial Narrow" w:hAnsi="Arial Narrow"/>
                <w:color w:val="31849B"/>
                <w:sz w:val="16"/>
                <w:szCs w:val="16"/>
              </w:rPr>
              <w:t>Cooktown Circuit</w:t>
            </w:r>
          </w:p>
        </w:tc>
      </w:tr>
      <w:tr w:rsidR="00CC23F2" w:rsidRPr="00BC2C5D" w14:paraId="1709D6A1" w14:textId="77777777" w:rsidTr="00971872">
        <w:trPr>
          <w:trHeight w:val="111"/>
        </w:trPr>
        <w:tc>
          <w:tcPr>
            <w:tcW w:w="1134" w:type="dxa"/>
            <w:vMerge w:val="restart"/>
            <w:tcBorders>
              <w:top w:val="single" w:sz="18" w:space="0" w:color="C0C0C0"/>
              <w:left w:val="single" w:sz="18" w:space="0" w:color="auto"/>
              <w:right w:val="single" w:sz="18" w:space="0" w:color="C0C0C0"/>
            </w:tcBorders>
            <w:vAlign w:val="center"/>
          </w:tcPr>
          <w:p w14:paraId="51BF0A00" w14:textId="6B3372D4" w:rsidR="00CC23F2" w:rsidRPr="00390B39" w:rsidRDefault="00CC23F2" w:rsidP="00CC23F2">
            <w:pPr>
              <w:jc w:val="center"/>
              <w:rPr>
                <w:rFonts w:ascii="Arial Narrow" w:hAnsi="Arial Narrow" w:cs="Arial"/>
                <w:sz w:val="16"/>
                <w:szCs w:val="16"/>
              </w:rPr>
            </w:pPr>
            <w:r>
              <w:rPr>
                <w:rFonts w:ascii="Arial Narrow" w:hAnsi="Arial Narrow" w:cs="Arial"/>
                <w:sz w:val="16"/>
                <w:szCs w:val="16"/>
              </w:rPr>
              <w:t>10 March</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28EF7F10" w14:textId="3C37879C"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½ day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06EA5338" w14:textId="4C6CAAAC"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66874CFB" w14:textId="7FDC5C53"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6FA11784" w14:textId="43CEE62C"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Conf</w:t>
            </w:r>
          </w:p>
        </w:tc>
        <w:tc>
          <w:tcPr>
            <w:tcW w:w="1234" w:type="dxa"/>
            <w:vMerge w:val="restart"/>
            <w:tcBorders>
              <w:top w:val="single" w:sz="18" w:space="0" w:color="C0C0C0"/>
              <w:left w:val="single" w:sz="18" w:space="0" w:color="C0C0C0"/>
              <w:right w:val="single" w:sz="18" w:space="0" w:color="auto"/>
            </w:tcBorders>
            <w:vAlign w:val="center"/>
          </w:tcPr>
          <w:p w14:paraId="12101718" w14:textId="77777777" w:rsidR="00CC23F2" w:rsidRPr="008C7414" w:rsidRDefault="00CC23F2" w:rsidP="00CC23F2">
            <w:pPr>
              <w:jc w:val="center"/>
              <w:rPr>
                <w:rFonts w:ascii="Arial Narrow" w:hAnsi="Arial Narrow" w:cs="Arial"/>
                <w:color w:val="000000"/>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7312FA14" w14:textId="77777777" w:rsidR="00CC23F2" w:rsidRPr="00464CCB" w:rsidRDefault="00CC23F2" w:rsidP="00CC23F2">
            <w:pPr>
              <w:jc w:val="center"/>
              <w:rPr>
                <w:rFonts w:ascii="Arial Narrow" w:hAnsi="Arial Narrow"/>
                <w:color w:val="31849B"/>
                <w:sz w:val="16"/>
                <w:szCs w:val="16"/>
              </w:rPr>
            </w:pPr>
            <w:r w:rsidRPr="00464CCB">
              <w:rPr>
                <w:rFonts w:ascii="Arial Narrow" w:hAnsi="Arial Narrow"/>
                <w:color w:val="31849B"/>
                <w:sz w:val="16"/>
                <w:szCs w:val="16"/>
              </w:rPr>
              <w:t>Aurukun Cape B &amp; Coen Cape A Circuit</w:t>
            </w:r>
          </w:p>
          <w:p w14:paraId="0E52BC2E" w14:textId="3A10B54C" w:rsidR="00CC23F2" w:rsidRPr="00464CCB" w:rsidRDefault="00CC23F2" w:rsidP="00CC23F2">
            <w:pPr>
              <w:jc w:val="center"/>
              <w:rPr>
                <w:rFonts w:ascii="Arial Narrow" w:hAnsi="Arial Narrow"/>
                <w:sz w:val="16"/>
                <w:szCs w:val="16"/>
              </w:rPr>
            </w:pPr>
            <w:r w:rsidRPr="00464CCB">
              <w:rPr>
                <w:rFonts w:ascii="Arial Narrow" w:hAnsi="Arial Narrow"/>
                <w:color w:val="31849B"/>
                <w:sz w:val="16"/>
                <w:szCs w:val="16"/>
                <w:highlight w:val="magenta"/>
              </w:rPr>
              <w:t>Doomadgee Gulf Circuit</w:t>
            </w:r>
          </w:p>
        </w:tc>
      </w:tr>
      <w:tr w:rsidR="00CC23F2" w:rsidRPr="00BC2C5D" w14:paraId="43CF548B" w14:textId="77777777" w:rsidTr="00971872">
        <w:trPr>
          <w:trHeight w:val="108"/>
        </w:trPr>
        <w:tc>
          <w:tcPr>
            <w:tcW w:w="1134" w:type="dxa"/>
            <w:vMerge/>
            <w:tcBorders>
              <w:left w:val="single" w:sz="18" w:space="0" w:color="auto"/>
              <w:right w:val="single" w:sz="18" w:space="0" w:color="C0C0C0"/>
            </w:tcBorders>
            <w:vAlign w:val="center"/>
          </w:tcPr>
          <w:p w14:paraId="565A3334" w14:textId="77777777" w:rsidR="00CC23F2" w:rsidRDefault="00CC23F2" w:rsidP="00CC23F2">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5D6B274F" w14:textId="77777777" w:rsidR="00CC23F2" w:rsidRPr="00E57545" w:rsidRDefault="00CC23F2" w:rsidP="00CC23F2">
            <w:pPr>
              <w:jc w:val="center"/>
              <w:rPr>
                <w:rFonts w:ascii="Arial Narrow" w:hAnsi="Arial Narrow" w:cs="Arial"/>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FF0000"/>
            <w:vAlign w:val="center"/>
          </w:tcPr>
          <w:p w14:paraId="72CFDE3C" w14:textId="7360EFF0"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tcBorders>
              <w:top w:val="nil"/>
              <w:left w:val="single" w:sz="18" w:space="0" w:color="BFBFBF"/>
              <w:bottom w:val="nil"/>
              <w:right w:val="single" w:sz="18" w:space="0" w:color="C0C0C0"/>
            </w:tcBorders>
            <w:shd w:val="clear" w:color="auto" w:fill="FF0000"/>
            <w:vAlign w:val="center"/>
          </w:tcPr>
          <w:p w14:paraId="2B8D8A27" w14:textId="68E1AEBD"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CE</w:t>
            </w:r>
          </w:p>
        </w:tc>
        <w:tc>
          <w:tcPr>
            <w:tcW w:w="1276" w:type="dxa"/>
            <w:tcBorders>
              <w:top w:val="nil"/>
              <w:left w:val="single" w:sz="18" w:space="0" w:color="C0C0C0"/>
              <w:bottom w:val="nil"/>
              <w:right w:val="single" w:sz="18" w:space="0" w:color="C0C0C0"/>
            </w:tcBorders>
            <w:shd w:val="clear" w:color="auto" w:fill="FF0000"/>
            <w:vAlign w:val="center"/>
          </w:tcPr>
          <w:p w14:paraId="6FF9B270" w14:textId="34F97FDF"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CE</w:t>
            </w:r>
          </w:p>
        </w:tc>
        <w:tc>
          <w:tcPr>
            <w:tcW w:w="1234" w:type="dxa"/>
            <w:vMerge/>
            <w:tcBorders>
              <w:left w:val="single" w:sz="18" w:space="0" w:color="C0C0C0"/>
              <w:right w:val="single" w:sz="18" w:space="0" w:color="auto"/>
            </w:tcBorders>
            <w:vAlign w:val="center"/>
          </w:tcPr>
          <w:p w14:paraId="593F5C56" w14:textId="77777777" w:rsidR="00CC23F2" w:rsidRPr="008C7414" w:rsidRDefault="00CC23F2" w:rsidP="00CC23F2">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vAlign w:val="center"/>
          </w:tcPr>
          <w:p w14:paraId="6EC62D93" w14:textId="77777777" w:rsidR="00CC23F2" w:rsidRPr="00464CCB" w:rsidRDefault="00CC23F2" w:rsidP="00CC23F2">
            <w:pPr>
              <w:jc w:val="center"/>
              <w:rPr>
                <w:rFonts w:ascii="Arial Narrow" w:hAnsi="Arial Narrow"/>
                <w:color w:val="31849B"/>
                <w:sz w:val="16"/>
                <w:szCs w:val="16"/>
              </w:rPr>
            </w:pPr>
          </w:p>
        </w:tc>
      </w:tr>
      <w:tr w:rsidR="00CC23F2" w:rsidRPr="00BC2C5D" w14:paraId="3232D98B" w14:textId="77777777" w:rsidTr="00971872">
        <w:trPr>
          <w:trHeight w:val="108"/>
        </w:trPr>
        <w:tc>
          <w:tcPr>
            <w:tcW w:w="1134" w:type="dxa"/>
            <w:vMerge/>
            <w:tcBorders>
              <w:left w:val="single" w:sz="18" w:space="0" w:color="auto"/>
              <w:right w:val="single" w:sz="18" w:space="0" w:color="C0C0C0"/>
            </w:tcBorders>
            <w:vAlign w:val="center"/>
          </w:tcPr>
          <w:p w14:paraId="03EB20F5" w14:textId="77777777" w:rsidR="00CC23F2" w:rsidRDefault="00CC23F2" w:rsidP="00CC23F2">
            <w:pPr>
              <w:jc w:val="center"/>
              <w:rPr>
                <w:rFonts w:ascii="Arial Narrow" w:hAnsi="Arial Narrow" w:cs="Arial"/>
                <w:sz w:val="16"/>
                <w:szCs w:val="16"/>
              </w:rPr>
            </w:pPr>
          </w:p>
        </w:tc>
        <w:tc>
          <w:tcPr>
            <w:tcW w:w="1134" w:type="dxa"/>
            <w:vMerge/>
            <w:tcBorders>
              <w:left w:val="single" w:sz="18" w:space="0" w:color="C0C0C0"/>
              <w:bottom w:val="nil"/>
              <w:right w:val="single" w:sz="18" w:space="0" w:color="C0C0C0"/>
            </w:tcBorders>
            <w:vAlign w:val="center"/>
          </w:tcPr>
          <w:p w14:paraId="6E5BFCEA" w14:textId="77777777" w:rsidR="00CC23F2" w:rsidRPr="00E57545" w:rsidRDefault="00CC23F2" w:rsidP="00CC23F2">
            <w:pPr>
              <w:jc w:val="center"/>
              <w:rPr>
                <w:rFonts w:ascii="Arial Narrow" w:hAnsi="Arial Narrow" w:cs="Arial"/>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769250"/>
            <w:vAlign w:val="center"/>
          </w:tcPr>
          <w:p w14:paraId="5A0299C3" w14:textId="14CE60DF"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vMerge w:val="restart"/>
            <w:tcBorders>
              <w:top w:val="nil"/>
              <w:left w:val="single" w:sz="18" w:space="0" w:color="BFBFBF"/>
              <w:right w:val="single" w:sz="18" w:space="0" w:color="C0C0C0"/>
            </w:tcBorders>
            <w:shd w:val="clear" w:color="auto" w:fill="769250"/>
            <w:vAlign w:val="center"/>
          </w:tcPr>
          <w:p w14:paraId="30D1B850" w14:textId="4C670215"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vMerge w:val="restart"/>
            <w:tcBorders>
              <w:top w:val="nil"/>
              <w:left w:val="single" w:sz="18" w:space="0" w:color="C0C0C0"/>
              <w:right w:val="single" w:sz="18" w:space="0" w:color="C0C0C0"/>
            </w:tcBorders>
            <w:shd w:val="clear" w:color="auto" w:fill="769250"/>
            <w:vAlign w:val="center"/>
          </w:tcPr>
          <w:p w14:paraId="7898B32B" w14:textId="26C7CCE0"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CE</w:t>
            </w:r>
          </w:p>
        </w:tc>
        <w:tc>
          <w:tcPr>
            <w:tcW w:w="1234" w:type="dxa"/>
            <w:vMerge/>
            <w:tcBorders>
              <w:left w:val="single" w:sz="18" w:space="0" w:color="C0C0C0"/>
              <w:right w:val="single" w:sz="18" w:space="0" w:color="auto"/>
            </w:tcBorders>
            <w:vAlign w:val="center"/>
          </w:tcPr>
          <w:p w14:paraId="151E7E39" w14:textId="77777777" w:rsidR="00CC23F2" w:rsidRPr="008C7414" w:rsidRDefault="00CC23F2" w:rsidP="00CC23F2">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vAlign w:val="center"/>
          </w:tcPr>
          <w:p w14:paraId="4DDCFF16" w14:textId="77777777" w:rsidR="00CC23F2" w:rsidRPr="00464CCB" w:rsidRDefault="00CC23F2" w:rsidP="00CC23F2">
            <w:pPr>
              <w:jc w:val="center"/>
              <w:rPr>
                <w:rFonts w:ascii="Arial Narrow" w:hAnsi="Arial Narrow"/>
                <w:color w:val="31849B"/>
                <w:sz w:val="16"/>
                <w:szCs w:val="16"/>
              </w:rPr>
            </w:pPr>
          </w:p>
        </w:tc>
      </w:tr>
      <w:tr w:rsidR="00CC23F2" w:rsidRPr="00BC2C5D" w14:paraId="2F67F74C" w14:textId="77777777" w:rsidTr="00971872">
        <w:trPr>
          <w:trHeight w:val="108"/>
        </w:trPr>
        <w:tc>
          <w:tcPr>
            <w:tcW w:w="1134" w:type="dxa"/>
            <w:vMerge/>
            <w:tcBorders>
              <w:left w:val="single" w:sz="18" w:space="0" w:color="auto"/>
              <w:right w:val="single" w:sz="18" w:space="0" w:color="C0C0C0"/>
            </w:tcBorders>
            <w:vAlign w:val="center"/>
          </w:tcPr>
          <w:p w14:paraId="63D06836" w14:textId="77777777" w:rsidR="00CC23F2" w:rsidRDefault="00CC23F2" w:rsidP="00CC23F2">
            <w:pPr>
              <w:jc w:val="center"/>
              <w:rPr>
                <w:rFonts w:ascii="Arial Narrow" w:hAnsi="Arial Narrow" w:cs="Arial"/>
                <w:sz w:val="16"/>
                <w:szCs w:val="16"/>
              </w:rPr>
            </w:pPr>
          </w:p>
        </w:tc>
        <w:tc>
          <w:tcPr>
            <w:tcW w:w="1134"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4D3ABABB" w14:textId="0D456879" w:rsidR="00CC23F2" w:rsidRPr="00E57545" w:rsidRDefault="00CC23F2" w:rsidP="00CC23F2">
            <w:pPr>
              <w:jc w:val="center"/>
              <w:rPr>
                <w:rFonts w:ascii="Arial Narrow" w:hAnsi="Arial Narrow" w:cs="Arial"/>
                <w:sz w:val="16"/>
                <w:szCs w:val="16"/>
              </w:rPr>
            </w:pPr>
            <w:r w:rsidRPr="00E57545">
              <w:rPr>
                <w:rFonts w:ascii="Arial Narrow" w:hAnsi="Arial Narrow" w:cs="Arial"/>
                <w:b/>
                <w:bCs/>
                <w:sz w:val="16"/>
                <w:szCs w:val="16"/>
              </w:rPr>
              <w:t>LC Training</w:t>
            </w:r>
          </w:p>
        </w:tc>
        <w:tc>
          <w:tcPr>
            <w:tcW w:w="1418"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611A6CFA" w14:textId="3AC59591" w:rsidR="00CC23F2" w:rsidRPr="00E57545" w:rsidRDefault="00CC23F2" w:rsidP="00CC23F2">
            <w:pPr>
              <w:jc w:val="center"/>
              <w:rPr>
                <w:rFonts w:ascii="Arial Narrow" w:hAnsi="Arial Narrow" w:cs="Arial"/>
                <w:sz w:val="16"/>
                <w:szCs w:val="16"/>
              </w:rPr>
            </w:pPr>
            <w:r w:rsidRPr="00E57545">
              <w:rPr>
                <w:rFonts w:ascii="Arial Narrow" w:hAnsi="Arial Narrow" w:cs="Arial"/>
                <w:b/>
                <w:bCs/>
                <w:sz w:val="16"/>
                <w:szCs w:val="16"/>
              </w:rPr>
              <w:t>11 CE</w:t>
            </w:r>
          </w:p>
        </w:tc>
        <w:tc>
          <w:tcPr>
            <w:tcW w:w="1417" w:type="dxa"/>
            <w:vMerge/>
            <w:tcBorders>
              <w:left w:val="single" w:sz="18" w:space="0" w:color="BFBFBF"/>
              <w:right w:val="single" w:sz="18" w:space="0" w:color="C0C0C0"/>
            </w:tcBorders>
            <w:vAlign w:val="center"/>
          </w:tcPr>
          <w:p w14:paraId="4DD392E1" w14:textId="77777777" w:rsidR="00CC23F2" w:rsidRPr="00E57545" w:rsidRDefault="00CC23F2" w:rsidP="00CC23F2">
            <w:pPr>
              <w:jc w:val="center"/>
              <w:rPr>
                <w:rFonts w:ascii="Arial Narrow" w:hAnsi="Arial Narrow" w:cs="Arial"/>
                <w:sz w:val="16"/>
                <w:szCs w:val="16"/>
              </w:rPr>
            </w:pPr>
          </w:p>
        </w:tc>
        <w:tc>
          <w:tcPr>
            <w:tcW w:w="1276" w:type="dxa"/>
            <w:vMerge/>
            <w:tcBorders>
              <w:left w:val="single" w:sz="18" w:space="0" w:color="C0C0C0"/>
              <w:right w:val="single" w:sz="18" w:space="0" w:color="C0C0C0"/>
            </w:tcBorders>
            <w:vAlign w:val="center"/>
          </w:tcPr>
          <w:p w14:paraId="48B69655" w14:textId="77777777" w:rsidR="00CC23F2" w:rsidRPr="00E57545" w:rsidRDefault="00CC23F2" w:rsidP="00CC23F2">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1FB2177E" w14:textId="77777777" w:rsidR="00CC23F2" w:rsidRPr="008C7414" w:rsidRDefault="00CC23F2" w:rsidP="00CC23F2">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vAlign w:val="center"/>
          </w:tcPr>
          <w:p w14:paraId="0E3C03BC" w14:textId="77777777" w:rsidR="00CC23F2" w:rsidRPr="00464CCB" w:rsidRDefault="00CC23F2" w:rsidP="00CC23F2">
            <w:pPr>
              <w:jc w:val="center"/>
              <w:rPr>
                <w:rFonts w:ascii="Arial Narrow" w:hAnsi="Arial Narrow"/>
                <w:color w:val="31849B"/>
                <w:sz w:val="16"/>
                <w:szCs w:val="16"/>
              </w:rPr>
            </w:pPr>
          </w:p>
        </w:tc>
      </w:tr>
      <w:tr w:rsidR="00CC23F2" w:rsidRPr="00BC2C5D" w14:paraId="73DF2101" w14:textId="77777777" w:rsidTr="00971872">
        <w:trPr>
          <w:trHeight w:val="143"/>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6F7B8E84" w14:textId="54D1B837" w:rsidR="00CC23F2" w:rsidRPr="00390B39" w:rsidRDefault="00CC23F2" w:rsidP="00CC23F2">
            <w:pPr>
              <w:jc w:val="center"/>
              <w:rPr>
                <w:rFonts w:ascii="Arial Narrow" w:hAnsi="Arial Narrow" w:cs="Arial"/>
                <w:sz w:val="16"/>
                <w:szCs w:val="16"/>
              </w:rPr>
            </w:pPr>
            <w:r>
              <w:rPr>
                <w:rFonts w:ascii="Arial Narrow" w:hAnsi="Arial Narrow" w:cs="Arial"/>
                <w:sz w:val="16"/>
                <w:szCs w:val="16"/>
              </w:rPr>
              <w:t>17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72174859" w14:textId="1D4A96BB"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17 ½ day CE</w:t>
            </w: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023F7BD7" w14:textId="51854E56"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18 Conf</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587EA42C" w14:textId="021B213F"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Conf</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0D6D0741" w14:textId="65D725DB"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½ day CE</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2ABBF5DF" w14:textId="77777777" w:rsidR="00CC23F2" w:rsidRPr="00BD223A" w:rsidRDefault="00CC23F2" w:rsidP="00CC23F2">
            <w:pPr>
              <w:jc w:val="center"/>
              <w:rPr>
                <w:rFonts w:ascii="Arial Narrow" w:hAnsi="Arial Narrow" w:cs="Arial"/>
                <w:color w:val="000000"/>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07D43AC4" w14:textId="5403CD08" w:rsidR="00CC23F2" w:rsidRPr="00464CCB" w:rsidRDefault="00CC23F2" w:rsidP="00CC23F2">
            <w:pPr>
              <w:jc w:val="center"/>
              <w:rPr>
                <w:rFonts w:ascii="Arial Narrow" w:hAnsi="Arial Narrow"/>
                <w:sz w:val="16"/>
                <w:szCs w:val="16"/>
              </w:rPr>
            </w:pPr>
          </w:p>
        </w:tc>
      </w:tr>
      <w:tr w:rsidR="00CC23F2" w:rsidRPr="00BC2C5D" w14:paraId="4755CD5E" w14:textId="77777777" w:rsidTr="00971872">
        <w:trPr>
          <w:trHeight w:val="142"/>
        </w:trPr>
        <w:tc>
          <w:tcPr>
            <w:tcW w:w="1134" w:type="dxa"/>
            <w:vMerge/>
            <w:tcBorders>
              <w:left w:val="single" w:sz="18" w:space="0" w:color="auto"/>
              <w:right w:val="single" w:sz="18" w:space="0" w:color="C0C0C0"/>
            </w:tcBorders>
            <w:vAlign w:val="center"/>
          </w:tcPr>
          <w:p w14:paraId="322D52F4" w14:textId="77777777" w:rsidR="00CC23F2" w:rsidRDefault="00CC23F2" w:rsidP="00CC23F2">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0FD42F2A" w14:textId="77777777" w:rsidR="00CC23F2" w:rsidRPr="00E57545" w:rsidRDefault="00CC23F2" w:rsidP="00CC23F2">
            <w:pPr>
              <w:jc w:val="center"/>
              <w:rPr>
                <w:rFonts w:ascii="Arial Narrow" w:hAnsi="Arial Narrow" w:cs="Arial"/>
                <w:color w:val="FFFFFF" w:themeColor="background1"/>
                <w:sz w:val="16"/>
                <w:szCs w:val="16"/>
              </w:rPr>
            </w:pPr>
          </w:p>
        </w:tc>
        <w:tc>
          <w:tcPr>
            <w:tcW w:w="1418" w:type="dxa"/>
            <w:tcBorders>
              <w:top w:val="nil"/>
              <w:left w:val="single" w:sz="18" w:space="0" w:color="C0C0C0"/>
              <w:right w:val="single" w:sz="18" w:space="0" w:color="BFBFBF"/>
            </w:tcBorders>
            <w:shd w:val="clear" w:color="auto" w:fill="20849B"/>
            <w:vAlign w:val="center"/>
          </w:tcPr>
          <w:p w14:paraId="5A220D89" w14:textId="762055FF"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18 CE</w:t>
            </w:r>
          </w:p>
        </w:tc>
        <w:tc>
          <w:tcPr>
            <w:tcW w:w="1417" w:type="dxa"/>
            <w:tcBorders>
              <w:top w:val="nil"/>
              <w:left w:val="single" w:sz="18" w:space="0" w:color="BFBFBF"/>
              <w:right w:val="single" w:sz="18" w:space="0" w:color="C0C0C0"/>
            </w:tcBorders>
            <w:shd w:val="clear" w:color="auto" w:fill="20849B"/>
            <w:vAlign w:val="center"/>
          </w:tcPr>
          <w:p w14:paraId="676E3235" w14:textId="51901A89"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Conf</w:t>
            </w:r>
          </w:p>
        </w:tc>
        <w:tc>
          <w:tcPr>
            <w:tcW w:w="1276" w:type="dxa"/>
            <w:tcBorders>
              <w:top w:val="nil"/>
              <w:left w:val="single" w:sz="18" w:space="0" w:color="C0C0C0"/>
              <w:right w:val="single" w:sz="18" w:space="0" w:color="C0C0C0"/>
            </w:tcBorders>
            <w:shd w:val="clear" w:color="auto" w:fill="20849B"/>
            <w:vAlign w:val="center"/>
          </w:tcPr>
          <w:p w14:paraId="09891B9C" w14:textId="2056E033"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½ day CE</w:t>
            </w:r>
          </w:p>
        </w:tc>
        <w:tc>
          <w:tcPr>
            <w:tcW w:w="1234" w:type="dxa"/>
            <w:vMerge/>
            <w:tcBorders>
              <w:left w:val="single" w:sz="18" w:space="0" w:color="C0C0C0"/>
              <w:right w:val="single" w:sz="18" w:space="0" w:color="auto"/>
            </w:tcBorders>
            <w:vAlign w:val="center"/>
          </w:tcPr>
          <w:p w14:paraId="6BF4E8EA" w14:textId="77777777" w:rsidR="00CC23F2" w:rsidRPr="00BD223A" w:rsidRDefault="00CC23F2" w:rsidP="00CC23F2">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vAlign w:val="center"/>
          </w:tcPr>
          <w:p w14:paraId="2D985085" w14:textId="77777777" w:rsidR="00CC23F2" w:rsidRPr="00464CCB" w:rsidRDefault="00CC23F2" w:rsidP="00CC23F2">
            <w:pPr>
              <w:jc w:val="center"/>
              <w:rPr>
                <w:rFonts w:ascii="Arial Narrow" w:hAnsi="Arial Narrow"/>
                <w:sz w:val="16"/>
                <w:szCs w:val="16"/>
              </w:rPr>
            </w:pPr>
          </w:p>
        </w:tc>
      </w:tr>
      <w:tr w:rsidR="00CC23F2" w:rsidRPr="00BC2C5D" w14:paraId="307A9FC1" w14:textId="77777777" w:rsidTr="00971872">
        <w:trPr>
          <w:trHeight w:val="143"/>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3CB29D9B" w14:textId="4DB920BB" w:rsidR="00CC23F2" w:rsidRPr="00390B39" w:rsidRDefault="00CC23F2" w:rsidP="00CC23F2">
            <w:pPr>
              <w:jc w:val="center"/>
              <w:rPr>
                <w:rFonts w:ascii="Arial Narrow" w:hAnsi="Arial Narrow" w:cs="Arial"/>
                <w:sz w:val="16"/>
                <w:szCs w:val="16"/>
              </w:rPr>
            </w:pPr>
            <w:r>
              <w:rPr>
                <w:rFonts w:ascii="Arial Narrow" w:hAnsi="Arial Narrow" w:cs="Arial"/>
                <w:sz w:val="16"/>
                <w:szCs w:val="16"/>
              </w:rPr>
              <w:t>24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2B552431" w14:textId="1CEFB184"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24 ½ day CE</w:t>
            </w:r>
          </w:p>
        </w:tc>
        <w:tc>
          <w:tcPr>
            <w:tcW w:w="1418" w:type="dxa"/>
            <w:tcBorders>
              <w:top w:val="single" w:sz="18" w:space="0" w:color="BFBFBF"/>
              <w:left w:val="single" w:sz="18" w:space="0" w:color="C0C0C0"/>
              <w:bottom w:val="nil"/>
              <w:right w:val="single" w:sz="18" w:space="0" w:color="BFBFBF"/>
            </w:tcBorders>
            <w:shd w:val="clear" w:color="auto" w:fill="A972A9"/>
            <w:vAlign w:val="center"/>
          </w:tcPr>
          <w:p w14:paraId="7C5A4051" w14:textId="3279CFB3"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2D625F6F" w14:textId="0621C918"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31F3F07A" w14:textId="592C40A2"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Conf</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765D5946" w14:textId="0CC9E7A7" w:rsidR="00CC23F2" w:rsidRPr="00BD223A" w:rsidRDefault="00CC23F2" w:rsidP="00CC23F2">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7636D447" w14:textId="77D18BEB" w:rsidR="00CC23F2" w:rsidRPr="00464CCB" w:rsidRDefault="00CC23F2" w:rsidP="00CC23F2">
            <w:pPr>
              <w:jc w:val="center"/>
              <w:rPr>
                <w:rFonts w:ascii="Arial Narrow" w:hAnsi="Arial Narrow"/>
                <w:sz w:val="16"/>
                <w:szCs w:val="16"/>
              </w:rPr>
            </w:pPr>
          </w:p>
        </w:tc>
      </w:tr>
      <w:tr w:rsidR="00CC23F2" w:rsidRPr="00BC2C5D" w14:paraId="2943EB7E" w14:textId="77777777" w:rsidTr="00971872">
        <w:trPr>
          <w:trHeight w:val="142"/>
        </w:trPr>
        <w:tc>
          <w:tcPr>
            <w:tcW w:w="1134" w:type="dxa"/>
            <w:vMerge/>
            <w:tcBorders>
              <w:left w:val="single" w:sz="18" w:space="0" w:color="auto"/>
              <w:bottom w:val="single" w:sz="18" w:space="0" w:color="BFBFBF" w:themeColor="background1" w:themeShade="BF"/>
              <w:right w:val="single" w:sz="18" w:space="0" w:color="C0C0C0"/>
            </w:tcBorders>
            <w:vAlign w:val="center"/>
          </w:tcPr>
          <w:p w14:paraId="5BB9E2DF" w14:textId="77777777" w:rsidR="00CC23F2" w:rsidRDefault="00CC23F2" w:rsidP="00CC23F2">
            <w:pPr>
              <w:jc w:val="center"/>
              <w:rPr>
                <w:rFonts w:ascii="Arial Narrow" w:hAnsi="Arial Narrow" w:cs="Arial"/>
                <w:sz w:val="16"/>
                <w:szCs w:val="16"/>
              </w:rPr>
            </w:pPr>
          </w:p>
        </w:tc>
        <w:tc>
          <w:tcPr>
            <w:tcW w:w="1134" w:type="dxa"/>
            <w:vMerge/>
            <w:tcBorders>
              <w:left w:val="single" w:sz="18" w:space="0" w:color="C0C0C0"/>
              <w:bottom w:val="single" w:sz="18" w:space="0" w:color="BFBFBF" w:themeColor="background1" w:themeShade="BF"/>
              <w:right w:val="single" w:sz="18" w:space="0" w:color="C0C0C0"/>
            </w:tcBorders>
            <w:vAlign w:val="center"/>
          </w:tcPr>
          <w:p w14:paraId="05417449" w14:textId="77777777" w:rsidR="00CC23F2" w:rsidRPr="00E57545" w:rsidRDefault="00CC23F2" w:rsidP="00CC23F2">
            <w:pPr>
              <w:jc w:val="center"/>
              <w:rPr>
                <w:rFonts w:ascii="Arial Narrow" w:hAnsi="Arial Narrow" w:cs="Arial"/>
                <w:color w:val="FFFFFF" w:themeColor="background1"/>
                <w:sz w:val="16"/>
                <w:szCs w:val="16"/>
              </w:rPr>
            </w:pPr>
          </w:p>
        </w:tc>
        <w:tc>
          <w:tcPr>
            <w:tcW w:w="1418" w:type="dxa"/>
            <w:tcBorders>
              <w:top w:val="nil"/>
              <w:left w:val="single" w:sz="18" w:space="0" w:color="C0C0C0"/>
              <w:bottom w:val="single" w:sz="18" w:space="0" w:color="BFBFBF" w:themeColor="background1" w:themeShade="BF"/>
              <w:right w:val="single" w:sz="18" w:space="0" w:color="BFBFBF"/>
            </w:tcBorders>
            <w:shd w:val="clear" w:color="auto" w:fill="769250"/>
            <w:vAlign w:val="center"/>
          </w:tcPr>
          <w:p w14:paraId="3B16BDE1" w14:textId="4F43E517"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CE</w:t>
            </w:r>
          </w:p>
        </w:tc>
        <w:tc>
          <w:tcPr>
            <w:tcW w:w="1417"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727F44C4" w14:textId="7AB88B34"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177DFFDA" w14:textId="14C140A8"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CE</w:t>
            </w:r>
          </w:p>
        </w:tc>
        <w:tc>
          <w:tcPr>
            <w:tcW w:w="1234" w:type="dxa"/>
            <w:vMerge/>
            <w:tcBorders>
              <w:left w:val="single" w:sz="18" w:space="0" w:color="C0C0C0"/>
              <w:bottom w:val="single" w:sz="18" w:space="0" w:color="BFBFBF" w:themeColor="background1" w:themeShade="BF"/>
              <w:right w:val="single" w:sz="18" w:space="0" w:color="auto"/>
            </w:tcBorders>
            <w:vAlign w:val="center"/>
          </w:tcPr>
          <w:p w14:paraId="57CD105B" w14:textId="77777777" w:rsidR="00CC23F2" w:rsidRPr="00BD223A" w:rsidRDefault="00CC23F2" w:rsidP="00CC23F2">
            <w:pPr>
              <w:jc w:val="center"/>
              <w:rPr>
                <w:rFonts w:ascii="Arial Narrow" w:hAnsi="Arial Narrow" w:cs="Arial"/>
                <w:sz w:val="15"/>
                <w:szCs w:val="15"/>
              </w:rPr>
            </w:pPr>
          </w:p>
        </w:tc>
        <w:tc>
          <w:tcPr>
            <w:tcW w:w="3245" w:type="dxa"/>
            <w:vMerge/>
            <w:tcBorders>
              <w:left w:val="single" w:sz="18" w:space="0" w:color="auto"/>
              <w:bottom w:val="single" w:sz="18" w:space="0" w:color="BFBFBF" w:themeColor="background1" w:themeShade="BF"/>
              <w:right w:val="single" w:sz="18" w:space="0" w:color="auto"/>
            </w:tcBorders>
            <w:vAlign w:val="center"/>
          </w:tcPr>
          <w:p w14:paraId="70F95BCE" w14:textId="77777777" w:rsidR="00CC23F2" w:rsidRPr="00464CCB" w:rsidRDefault="00CC23F2" w:rsidP="00CC23F2">
            <w:pPr>
              <w:jc w:val="center"/>
              <w:rPr>
                <w:rFonts w:ascii="Arial Narrow" w:hAnsi="Arial Narrow"/>
                <w:sz w:val="16"/>
                <w:szCs w:val="16"/>
              </w:rPr>
            </w:pPr>
          </w:p>
        </w:tc>
      </w:tr>
      <w:tr w:rsidR="006C1646" w:rsidRPr="00BC2C5D" w14:paraId="04B98309" w14:textId="77777777" w:rsidTr="006C1646">
        <w:trPr>
          <w:trHeight w:val="218"/>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6B4F819B" w14:textId="52497528" w:rsidR="006C1646" w:rsidRPr="00390B39" w:rsidRDefault="006C1646" w:rsidP="00CC23F2">
            <w:pPr>
              <w:jc w:val="center"/>
              <w:rPr>
                <w:rFonts w:ascii="Arial Narrow" w:hAnsi="Arial Narrow" w:cs="Arial"/>
                <w:sz w:val="16"/>
                <w:szCs w:val="16"/>
              </w:rPr>
            </w:pPr>
            <w:r>
              <w:rPr>
                <w:rFonts w:ascii="Arial Narrow" w:hAnsi="Arial Narrow" w:cs="Arial"/>
                <w:sz w:val="16"/>
                <w:szCs w:val="16"/>
              </w:rPr>
              <w:t>31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642C16FC" w14:textId="0761DB41" w:rsidR="006C1646" w:rsidRPr="00E57545" w:rsidRDefault="006C1646"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31 ½ day CE</w:t>
            </w:r>
          </w:p>
        </w:tc>
        <w:tc>
          <w:tcPr>
            <w:tcW w:w="1418"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0A7AAF2C" w14:textId="502507BB" w:rsidR="006C1646" w:rsidRPr="00E57545" w:rsidRDefault="006C1646"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 Conf</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1F9ED47F" w14:textId="37A676D6" w:rsidR="006C1646" w:rsidRPr="00E57545" w:rsidRDefault="006C1646"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 Conf</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2B4AD7BE" w14:textId="0829CAC9" w:rsidR="006C1646" w:rsidRPr="00E57545" w:rsidRDefault="006C1646"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½ day CE</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71435210" w14:textId="5F8E18E6" w:rsidR="006C1646" w:rsidRPr="008C7414" w:rsidRDefault="006C1646" w:rsidP="00CC23F2">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24FC922E" w14:textId="10FB9111" w:rsidR="006C1646" w:rsidRPr="00464CCB" w:rsidRDefault="006C1646" w:rsidP="00CC23F2">
            <w:pPr>
              <w:jc w:val="center"/>
              <w:rPr>
                <w:rFonts w:ascii="Arial Narrow" w:hAnsi="Arial Narrow"/>
                <w:color w:val="31849B"/>
                <w:sz w:val="16"/>
                <w:szCs w:val="16"/>
              </w:rPr>
            </w:pPr>
            <w:r w:rsidRPr="00464CCB">
              <w:rPr>
                <w:rFonts w:ascii="Arial Narrow" w:hAnsi="Arial Narrow"/>
                <w:color w:val="31849B"/>
                <w:sz w:val="16"/>
                <w:szCs w:val="16"/>
              </w:rPr>
              <w:t>Cooktown Circuit</w:t>
            </w:r>
          </w:p>
          <w:p w14:paraId="3EB018F0" w14:textId="0880C2EF" w:rsidR="006C1646" w:rsidRPr="00464CCB" w:rsidRDefault="006C1646" w:rsidP="00CC23F2">
            <w:pPr>
              <w:jc w:val="center"/>
              <w:rPr>
                <w:rFonts w:ascii="Arial Narrow" w:hAnsi="Arial Narrow"/>
                <w:color w:val="31849B"/>
                <w:sz w:val="16"/>
                <w:szCs w:val="16"/>
              </w:rPr>
            </w:pPr>
            <w:r w:rsidRPr="00464CCB">
              <w:rPr>
                <w:rFonts w:ascii="Arial Narrow" w:hAnsi="Arial Narrow"/>
                <w:color w:val="31849B"/>
                <w:sz w:val="16"/>
                <w:szCs w:val="16"/>
              </w:rPr>
              <w:t>Doomadgee Gulf Circuit</w:t>
            </w:r>
          </w:p>
        </w:tc>
      </w:tr>
      <w:tr w:rsidR="006C1646" w:rsidRPr="00BC2C5D" w14:paraId="5ED30983" w14:textId="77777777" w:rsidTr="006C1646">
        <w:trPr>
          <w:trHeight w:val="217"/>
        </w:trPr>
        <w:tc>
          <w:tcPr>
            <w:tcW w:w="1134" w:type="dxa"/>
            <w:vMerge/>
            <w:tcBorders>
              <w:left w:val="single" w:sz="18" w:space="0" w:color="auto"/>
              <w:bottom w:val="single" w:sz="18" w:space="0" w:color="auto"/>
              <w:right w:val="single" w:sz="18" w:space="0" w:color="C0C0C0"/>
            </w:tcBorders>
            <w:vAlign w:val="center"/>
          </w:tcPr>
          <w:p w14:paraId="047DEE78" w14:textId="77777777" w:rsidR="006C1646" w:rsidRDefault="006C1646" w:rsidP="00CC23F2">
            <w:pPr>
              <w:jc w:val="center"/>
              <w:rPr>
                <w:rFonts w:ascii="Arial Narrow" w:hAnsi="Arial Narrow" w:cs="Arial"/>
                <w:sz w:val="16"/>
                <w:szCs w:val="16"/>
              </w:rPr>
            </w:pPr>
          </w:p>
        </w:tc>
        <w:tc>
          <w:tcPr>
            <w:tcW w:w="1134" w:type="dxa"/>
            <w:vMerge/>
            <w:tcBorders>
              <w:left w:val="single" w:sz="18" w:space="0" w:color="C0C0C0"/>
              <w:bottom w:val="single" w:sz="18" w:space="0" w:color="auto"/>
              <w:right w:val="single" w:sz="18" w:space="0" w:color="C0C0C0"/>
            </w:tcBorders>
            <w:shd w:val="clear" w:color="auto" w:fill="FF0000"/>
            <w:vAlign w:val="center"/>
          </w:tcPr>
          <w:p w14:paraId="6E322EA8" w14:textId="77777777" w:rsidR="006C1646" w:rsidRPr="00E57545" w:rsidRDefault="006C1646" w:rsidP="00CC23F2">
            <w:pPr>
              <w:jc w:val="center"/>
              <w:rPr>
                <w:rFonts w:ascii="Arial Narrow" w:hAnsi="Arial Narrow" w:cs="Arial"/>
                <w:b/>
                <w:bCs/>
                <w:color w:val="FFFFFF" w:themeColor="background1"/>
                <w:sz w:val="16"/>
                <w:szCs w:val="16"/>
              </w:rPr>
            </w:pPr>
          </w:p>
        </w:tc>
        <w:tc>
          <w:tcPr>
            <w:tcW w:w="1418" w:type="dxa"/>
            <w:vMerge/>
            <w:tcBorders>
              <w:left w:val="single" w:sz="18" w:space="0" w:color="C0C0C0"/>
              <w:bottom w:val="single" w:sz="18" w:space="0" w:color="auto"/>
              <w:right w:val="single" w:sz="18" w:space="0" w:color="BFBFBF"/>
            </w:tcBorders>
            <w:shd w:val="clear" w:color="auto" w:fill="FF0000"/>
            <w:vAlign w:val="center"/>
          </w:tcPr>
          <w:p w14:paraId="1634E4A9" w14:textId="77777777" w:rsidR="006C1646" w:rsidRPr="00E57545" w:rsidRDefault="006C1646" w:rsidP="00CC23F2">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single" w:sz="18" w:space="0" w:color="auto"/>
              <w:right w:val="single" w:sz="18" w:space="0" w:color="C0C0C0"/>
            </w:tcBorders>
            <w:shd w:val="clear" w:color="auto" w:fill="FFFF00"/>
            <w:vAlign w:val="center"/>
          </w:tcPr>
          <w:p w14:paraId="0634E42A" w14:textId="0677FCD8" w:rsidR="006C1646" w:rsidRPr="006C1646" w:rsidRDefault="006C1646" w:rsidP="00CC23F2">
            <w:pPr>
              <w:jc w:val="center"/>
              <w:rPr>
                <w:rFonts w:ascii="Arial Narrow" w:hAnsi="Arial Narrow" w:cs="Arial"/>
                <w:b/>
                <w:bCs/>
                <w:sz w:val="16"/>
                <w:szCs w:val="16"/>
              </w:rPr>
            </w:pPr>
            <w:r w:rsidRPr="006C1646">
              <w:rPr>
                <w:rFonts w:ascii="Arial Narrow" w:hAnsi="Arial Narrow" w:cs="Arial"/>
                <w:b/>
                <w:bCs/>
                <w:sz w:val="16"/>
                <w:szCs w:val="16"/>
              </w:rPr>
              <w:t>2 CE</w:t>
            </w:r>
          </w:p>
        </w:tc>
        <w:tc>
          <w:tcPr>
            <w:tcW w:w="1276" w:type="dxa"/>
            <w:vMerge/>
            <w:tcBorders>
              <w:left w:val="single" w:sz="18" w:space="0" w:color="C0C0C0"/>
              <w:bottom w:val="single" w:sz="18" w:space="0" w:color="auto"/>
              <w:right w:val="single" w:sz="18" w:space="0" w:color="C0C0C0"/>
            </w:tcBorders>
            <w:shd w:val="clear" w:color="auto" w:fill="FF0000"/>
            <w:vAlign w:val="center"/>
          </w:tcPr>
          <w:p w14:paraId="3621DEA6" w14:textId="77777777" w:rsidR="006C1646" w:rsidRPr="00E57545" w:rsidRDefault="006C1646" w:rsidP="00CC23F2">
            <w:pPr>
              <w:jc w:val="center"/>
              <w:rPr>
                <w:rFonts w:ascii="Arial Narrow" w:hAnsi="Arial Narrow" w:cs="Arial"/>
                <w:b/>
                <w:bCs/>
                <w:color w:val="FFFFFF" w:themeColor="background1"/>
                <w:sz w:val="16"/>
                <w:szCs w:val="16"/>
              </w:rPr>
            </w:pPr>
          </w:p>
        </w:tc>
        <w:tc>
          <w:tcPr>
            <w:tcW w:w="1234" w:type="dxa"/>
            <w:vMerge/>
            <w:tcBorders>
              <w:left w:val="single" w:sz="18" w:space="0" w:color="C0C0C0"/>
              <w:bottom w:val="single" w:sz="18" w:space="0" w:color="auto"/>
              <w:right w:val="single" w:sz="18" w:space="0" w:color="auto"/>
            </w:tcBorders>
            <w:vAlign w:val="center"/>
          </w:tcPr>
          <w:p w14:paraId="4C675368" w14:textId="77777777" w:rsidR="006C1646" w:rsidRPr="008C7414" w:rsidRDefault="006C1646" w:rsidP="00CC23F2">
            <w:pPr>
              <w:jc w:val="center"/>
              <w:rPr>
                <w:rFonts w:ascii="Arial Narrow" w:hAnsi="Arial Narrow" w:cs="Arial"/>
                <w:sz w:val="15"/>
                <w:szCs w:val="15"/>
              </w:rPr>
            </w:pPr>
          </w:p>
        </w:tc>
        <w:tc>
          <w:tcPr>
            <w:tcW w:w="3245" w:type="dxa"/>
            <w:vMerge/>
            <w:tcBorders>
              <w:left w:val="single" w:sz="18" w:space="0" w:color="auto"/>
              <w:bottom w:val="single" w:sz="18" w:space="0" w:color="auto"/>
              <w:right w:val="single" w:sz="18" w:space="0" w:color="auto"/>
            </w:tcBorders>
            <w:vAlign w:val="center"/>
          </w:tcPr>
          <w:p w14:paraId="32F7931A" w14:textId="77777777" w:rsidR="006C1646" w:rsidRPr="00464CCB" w:rsidRDefault="006C1646" w:rsidP="00CC23F2">
            <w:pPr>
              <w:jc w:val="center"/>
              <w:rPr>
                <w:rFonts w:ascii="Arial Narrow" w:hAnsi="Arial Narrow"/>
                <w:color w:val="31849B"/>
                <w:sz w:val="16"/>
                <w:szCs w:val="16"/>
              </w:rPr>
            </w:pPr>
          </w:p>
        </w:tc>
      </w:tr>
      <w:tr w:rsidR="00CC23F2" w:rsidRPr="00BC2C5D" w14:paraId="1920F1D5" w14:textId="77777777" w:rsidTr="00E57545">
        <w:trPr>
          <w:trHeight w:val="397"/>
        </w:trPr>
        <w:tc>
          <w:tcPr>
            <w:tcW w:w="1134" w:type="dxa"/>
            <w:tcBorders>
              <w:top w:val="single" w:sz="18" w:space="0" w:color="auto"/>
              <w:left w:val="single" w:sz="18" w:space="0" w:color="auto"/>
              <w:right w:val="single" w:sz="18" w:space="0" w:color="C0C0C0"/>
            </w:tcBorders>
            <w:vAlign w:val="center"/>
          </w:tcPr>
          <w:p w14:paraId="79CA0660" w14:textId="3CE56F32" w:rsidR="00CC23F2" w:rsidRPr="00A634FA" w:rsidRDefault="00CC23F2" w:rsidP="00CC23F2">
            <w:pPr>
              <w:jc w:val="center"/>
              <w:rPr>
                <w:rFonts w:ascii="Arial Narrow" w:hAnsi="Arial Narrow" w:cs="Arial"/>
                <w:sz w:val="16"/>
                <w:szCs w:val="16"/>
              </w:rPr>
            </w:pPr>
            <w:r>
              <w:rPr>
                <w:rFonts w:ascii="Arial Narrow" w:hAnsi="Arial Narrow" w:cs="Arial"/>
                <w:sz w:val="16"/>
                <w:szCs w:val="16"/>
              </w:rPr>
              <w:t>7 April</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56638F21" w14:textId="54FBF0C6" w:rsidR="00CC23F2" w:rsidRPr="00E57545" w:rsidRDefault="00CC23F2" w:rsidP="00CC23F2">
            <w:pPr>
              <w:jc w:val="center"/>
              <w:rPr>
                <w:rFonts w:ascii="Arial Narrow" w:hAnsi="Arial Narrow" w:cs="Arial"/>
                <w:sz w:val="16"/>
                <w:szCs w:val="16"/>
              </w:rPr>
            </w:pPr>
          </w:p>
        </w:tc>
        <w:tc>
          <w:tcPr>
            <w:tcW w:w="1418" w:type="dxa"/>
            <w:tcBorders>
              <w:top w:val="single" w:sz="18" w:space="0" w:color="auto"/>
              <w:left w:val="single" w:sz="18" w:space="0" w:color="C0C0C0"/>
              <w:right w:val="single" w:sz="18" w:space="0" w:color="BFBFBF"/>
            </w:tcBorders>
            <w:shd w:val="clear" w:color="auto" w:fill="FF0000"/>
            <w:vAlign w:val="center"/>
          </w:tcPr>
          <w:p w14:paraId="4476C160" w14:textId="2A3BC4DD"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8 CE</w:t>
            </w:r>
          </w:p>
        </w:tc>
        <w:tc>
          <w:tcPr>
            <w:tcW w:w="1417" w:type="dxa"/>
            <w:tcBorders>
              <w:top w:val="single" w:sz="18" w:space="0" w:color="auto"/>
              <w:left w:val="single" w:sz="18" w:space="0" w:color="BFBFBF"/>
              <w:right w:val="single" w:sz="18" w:space="0" w:color="C0C0C0"/>
            </w:tcBorders>
            <w:shd w:val="clear" w:color="auto" w:fill="FF0000"/>
            <w:vAlign w:val="center"/>
          </w:tcPr>
          <w:p w14:paraId="1AE5584B" w14:textId="51FC1678"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9 CE</w:t>
            </w:r>
          </w:p>
        </w:tc>
        <w:tc>
          <w:tcPr>
            <w:tcW w:w="1276" w:type="dxa"/>
            <w:tcBorders>
              <w:top w:val="single" w:sz="18" w:space="0" w:color="auto"/>
              <w:left w:val="single" w:sz="18" w:space="0" w:color="C0C0C0"/>
              <w:right w:val="single" w:sz="18" w:space="0" w:color="C0C0C0"/>
            </w:tcBorders>
            <w:shd w:val="clear" w:color="auto" w:fill="FF0000"/>
            <w:vAlign w:val="center"/>
          </w:tcPr>
          <w:p w14:paraId="6B78F59B" w14:textId="4EF6DEAC"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½ day CE</w:t>
            </w:r>
          </w:p>
        </w:tc>
        <w:tc>
          <w:tcPr>
            <w:tcW w:w="1234" w:type="dxa"/>
            <w:tcBorders>
              <w:top w:val="single" w:sz="18" w:space="0" w:color="auto"/>
              <w:left w:val="single" w:sz="18" w:space="0" w:color="C0C0C0"/>
              <w:right w:val="single" w:sz="18" w:space="0" w:color="auto"/>
            </w:tcBorders>
            <w:shd w:val="clear" w:color="auto" w:fill="D9D9D9"/>
            <w:vAlign w:val="center"/>
          </w:tcPr>
          <w:p w14:paraId="1A733CA3" w14:textId="0748470A" w:rsidR="00CC23F2" w:rsidRPr="008C7414" w:rsidRDefault="00CC23F2" w:rsidP="00CC23F2">
            <w:pPr>
              <w:jc w:val="center"/>
              <w:rPr>
                <w:rFonts w:ascii="Arial Narrow" w:hAnsi="Arial Narrow" w:cs="Arial"/>
                <w:sz w:val="15"/>
                <w:szCs w:val="15"/>
              </w:rPr>
            </w:pPr>
          </w:p>
        </w:tc>
        <w:tc>
          <w:tcPr>
            <w:tcW w:w="3245" w:type="dxa"/>
            <w:tcBorders>
              <w:top w:val="single" w:sz="18" w:space="0" w:color="auto"/>
              <w:left w:val="single" w:sz="18" w:space="0" w:color="auto"/>
              <w:right w:val="single" w:sz="18" w:space="0" w:color="auto"/>
            </w:tcBorders>
            <w:shd w:val="clear" w:color="auto" w:fill="D9D9D9"/>
            <w:vAlign w:val="center"/>
          </w:tcPr>
          <w:p w14:paraId="51EA0079" w14:textId="1583838F" w:rsidR="00CC23F2" w:rsidRPr="00464CCB" w:rsidRDefault="00CC23F2" w:rsidP="00CC23F2">
            <w:pPr>
              <w:jc w:val="center"/>
              <w:rPr>
                <w:rFonts w:ascii="Arial Narrow" w:hAnsi="Arial Narrow" w:cs="Arial"/>
                <w:b/>
                <w:bCs/>
                <w:sz w:val="16"/>
                <w:szCs w:val="16"/>
              </w:rPr>
            </w:pPr>
          </w:p>
        </w:tc>
      </w:tr>
      <w:tr w:rsidR="00B225ED" w:rsidRPr="00BC2C5D" w14:paraId="3D55130B" w14:textId="77777777" w:rsidTr="005417C8">
        <w:trPr>
          <w:trHeight w:val="397"/>
        </w:trPr>
        <w:tc>
          <w:tcPr>
            <w:tcW w:w="1134" w:type="dxa"/>
            <w:tcBorders>
              <w:top w:val="single" w:sz="18" w:space="0" w:color="C0C0C0"/>
              <w:left w:val="single" w:sz="18" w:space="0" w:color="auto"/>
              <w:right w:val="single" w:sz="18" w:space="0" w:color="C0C0C0"/>
            </w:tcBorders>
            <w:vAlign w:val="center"/>
          </w:tcPr>
          <w:p w14:paraId="50A09688" w14:textId="693CD6D8" w:rsidR="00B225ED" w:rsidRPr="00A634FA" w:rsidRDefault="00B225ED" w:rsidP="00B225ED">
            <w:pPr>
              <w:jc w:val="center"/>
              <w:rPr>
                <w:rFonts w:ascii="Arial Narrow" w:hAnsi="Arial Narrow" w:cs="Arial"/>
                <w:sz w:val="16"/>
                <w:szCs w:val="16"/>
              </w:rPr>
            </w:pPr>
            <w:r>
              <w:rPr>
                <w:rFonts w:ascii="Arial Narrow" w:hAnsi="Arial Narrow" w:cs="Arial"/>
                <w:sz w:val="16"/>
                <w:szCs w:val="16"/>
              </w:rPr>
              <w:t>14 April</w:t>
            </w:r>
          </w:p>
        </w:tc>
        <w:tc>
          <w:tcPr>
            <w:tcW w:w="1134" w:type="dxa"/>
            <w:tcBorders>
              <w:top w:val="single" w:sz="18" w:space="0" w:color="C0C0C0"/>
              <w:left w:val="single" w:sz="18" w:space="0" w:color="C0C0C0"/>
              <w:right w:val="single" w:sz="18" w:space="0" w:color="C0C0C0"/>
            </w:tcBorders>
            <w:shd w:val="clear" w:color="auto" w:fill="D9D9D9"/>
            <w:vAlign w:val="center"/>
          </w:tcPr>
          <w:p w14:paraId="3BBBD21F" w14:textId="04095F67" w:rsidR="00B225ED" w:rsidRPr="008C7414" w:rsidRDefault="00B225ED" w:rsidP="00B225ED">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D9D9D9"/>
            <w:vAlign w:val="center"/>
          </w:tcPr>
          <w:p w14:paraId="2F78CCA0" w14:textId="153742C6" w:rsidR="00B225ED" w:rsidRPr="008C7414" w:rsidRDefault="00B225ED" w:rsidP="00B225ED">
            <w:pPr>
              <w:jc w:val="center"/>
              <w:rPr>
                <w:rFonts w:ascii="Arial Narrow" w:hAnsi="Arial Narrow" w:cs="Arial"/>
                <w:sz w:val="16"/>
                <w:szCs w:val="16"/>
              </w:rPr>
            </w:pPr>
          </w:p>
        </w:tc>
        <w:tc>
          <w:tcPr>
            <w:tcW w:w="1417" w:type="dxa"/>
            <w:tcBorders>
              <w:top w:val="single" w:sz="18" w:space="0" w:color="BFBFBF" w:themeColor="background1" w:themeShade="BF"/>
              <w:left w:val="single" w:sz="18" w:space="0" w:color="BFBFBF"/>
              <w:right w:val="single" w:sz="18" w:space="0" w:color="C0C0C0"/>
            </w:tcBorders>
            <w:shd w:val="clear" w:color="auto" w:fill="20849B"/>
            <w:vAlign w:val="center"/>
          </w:tcPr>
          <w:p w14:paraId="484ED60A" w14:textId="47AA6CAA" w:rsidR="00B225ED" w:rsidRPr="005417C8" w:rsidRDefault="005417C8" w:rsidP="00B225ED">
            <w:pPr>
              <w:jc w:val="center"/>
              <w:rPr>
                <w:rFonts w:ascii="Arial Narrow" w:hAnsi="Arial Narrow" w:cs="Arial"/>
                <w:color w:val="FFFFFF" w:themeColor="background1"/>
                <w:sz w:val="16"/>
                <w:szCs w:val="16"/>
              </w:rPr>
            </w:pPr>
            <w:r w:rsidRPr="005417C8">
              <w:rPr>
                <w:rFonts w:ascii="Arial Narrow" w:hAnsi="Arial Narrow" w:cs="Arial"/>
                <w:color w:val="FFFFFF" w:themeColor="background1"/>
                <w:sz w:val="16"/>
                <w:szCs w:val="16"/>
              </w:rPr>
              <w:t>16 ½ day CE</w:t>
            </w:r>
          </w:p>
        </w:tc>
        <w:tc>
          <w:tcPr>
            <w:tcW w:w="1276" w:type="dxa"/>
            <w:tcBorders>
              <w:top w:val="single" w:sz="18" w:space="0" w:color="C0C0C0"/>
              <w:left w:val="single" w:sz="18" w:space="0" w:color="C0C0C0"/>
              <w:right w:val="single" w:sz="18" w:space="0" w:color="C0C0C0"/>
            </w:tcBorders>
            <w:shd w:val="clear" w:color="auto" w:fill="D9D9D9"/>
            <w:vAlign w:val="center"/>
          </w:tcPr>
          <w:p w14:paraId="13761527" w14:textId="0309803F" w:rsidR="00B225ED" w:rsidRPr="008C7414" w:rsidRDefault="00B225ED" w:rsidP="00B225ED">
            <w:pPr>
              <w:jc w:val="center"/>
              <w:rPr>
                <w:rFonts w:ascii="Arial Narrow" w:hAnsi="Arial Narrow" w:cs="Arial"/>
                <w:sz w:val="16"/>
                <w:szCs w:val="16"/>
              </w:rPr>
            </w:pPr>
          </w:p>
        </w:tc>
        <w:tc>
          <w:tcPr>
            <w:tcW w:w="1234" w:type="dxa"/>
            <w:tcBorders>
              <w:top w:val="single" w:sz="18" w:space="0" w:color="C0C0C0"/>
              <w:left w:val="single" w:sz="18" w:space="0" w:color="C0C0C0"/>
              <w:right w:val="single" w:sz="18" w:space="0" w:color="auto"/>
            </w:tcBorders>
            <w:shd w:val="clear" w:color="auto" w:fill="D9D9D9"/>
            <w:vAlign w:val="center"/>
          </w:tcPr>
          <w:p w14:paraId="341632A4" w14:textId="3C1225AA" w:rsidR="00B225ED" w:rsidRPr="008C7414" w:rsidRDefault="00B225ED" w:rsidP="00B225ED">
            <w:pPr>
              <w:jc w:val="center"/>
              <w:rPr>
                <w:rFonts w:ascii="Arial Narrow" w:hAnsi="Arial Narrow" w:cs="Arial"/>
                <w:sz w:val="15"/>
                <w:szCs w:val="15"/>
              </w:rPr>
            </w:pPr>
            <w:r w:rsidRPr="004D747C">
              <w:rPr>
                <w:rFonts w:ascii="Arial Narrow" w:hAnsi="Arial Narrow" w:cs="Arial"/>
                <w:b/>
                <w:bCs/>
                <w:sz w:val="16"/>
                <w:szCs w:val="16"/>
              </w:rPr>
              <w:t>Public Holiday</w:t>
            </w:r>
          </w:p>
        </w:tc>
        <w:tc>
          <w:tcPr>
            <w:tcW w:w="3245" w:type="dxa"/>
            <w:tcBorders>
              <w:top w:val="single" w:sz="18" w:space="0" w:color="C0C0C0"/>
              <w:left w:val="single" w:sz="18" w:space="0" w:color="auto"/>
              <w:right w:val="single" w:sz="18" w:space="0" w:color="auto"/>
            </w:tcBorders>
            <w:shd w:val="clear" w:color="auto" w:fill="D9D9D9"/>
            <w:vAlign w:val="center"/>
          </w:tcPr>
          <w:p w14:paraId="184F82AE" w14:textId="51B822FA" w:rsidR="00B225ED" w:rsidRPr="00464CCB" w:rsidRDefault="00B225ED" w:rsidP="00B225ED">
            <w:pPr>
              <w:jc w:val="center"/>
              <w:rPr>
                <w:rFonts w:ascii="Arial Narrow" w:hAnsi="Arial Narrow"/>
                <w:sz w:val="16"/>
                <w:szCs w:val="16"/>
              </w:rPr>
            </w:pPr>
            <w:r w:rsidRPr="00464CCB">
              <w:rPr>
                <w:rFonts w:ascii="Arial Narrow" w:hAnsi="Arial Narrow" w:cs="Arial"/>
                <w:b/>
                <w:bCs/>
                <w:sz w:val="16"/>
                <w:szCs w:val="16"/>
              </w:rPr>
              <w:t>18 Good Friday Public Holiday</w:t>
            </w:r>
          </w:p>
        </w:tc>
      </w:tr>
      <w:tr w:rsidR="00B225ED" w:rsidRPr="00BC2C5D" w14:paraId="172CB696" w14:textId="77777777" w:rsidTr="00464CCB">
        <w:trPr>
          <w:trHeight w:val="284"/>
        </w:trPr>
        <w:tc>
          <w:tcPr>
            <w:tcW w:w="1134" w:type="dxa"/>
            <w:tcBorders>
              <w:top w:val="single" w:sz="18" w:space="0" w:color="C0C0C0"/>
              <w:left w:val="single" w:sz="18" w:space="0" w:color="auto"/>
              <w:bottom w:val="single" w:sz="18" w:space="0" w:color="C0C0C0"/>
              <w:right w:val="single" w:sz="18" w:space="0" w:color="C0C0C0"/>
            </w:tcBorders>
            <w:vAlign w:val="center"/>
          </w:tcPr>
          <w:p w14:paraId="03C871EE" w14:textId="4A922142" w:rsidR="00B225ED" w:rsidRPr="00A634FA" w:rsidRDefault="00B225ED" w:rsidP="00B225ED">
            <w:pPr>
              <w:jc w:val="center"/>
              <w:rPr>
                <w:rFonts w:ascii="Arial Narrow" w:hAnsi="Arial Narrow" w:cs="Arial"/>
                <w:sz w:val="16"/>
                <w:szCs w:val="16"/>
              </w:rPr>
            </w:pPr>
            <w:r>
              <w:rPr>
                <w:rFonts w:ascii="Arial Narrow" w:hAnsi="Arial Narrow" w:cs="Arial"/>
                <w:sz w:val="16"/>
                <w:szCs w:val="16"/>
              </w:rPr>
              <w:t>21 April</w:t>
            </w:r>
          </w:p>
        </w:tc>
        <w:tc>
          <w:tcPr>
            <w:tcW w:w="1134" w:type="dxa"/>
            <w:tcBorders>
              <w:top w:val="single" w:sz="18" w:space="0" w:color="C0C0C0"/>
              <w:left w:val="single" w:sz="18" w:space="0" w:color="C0C0C0"/>
              <w:bottom w:val="single" w:sz="18" w:space="0" w:color="C0C0C0"/>
              <w:right w:val="single" w:sz="18" w:space="0" w:color="C0C0C0"/>
            </w:tcBorders>
            <w:vAlign w:val="center"/>
          </w:tcPr>
          <w:p w14:paraId="3BC75E46" w14:textId="3589F208" w:rsidR="00B225ED" w:rsidRPr="008C7414" w:rsidRDefault="00B225ED" w:rsidP="00B225ED">
            <w:pPr>
              <w:jc w:val="center"/>
              <w:rPr>
                <w:rFonts w:ascii="Arial Narrow" w:hAnsi="Arial Narrow" w:cs="Arial"/>
                <w:sz w:val="16"/>
                <w:szCs w:val="16"/>
              </w:rPr>
            </w:pPr>
            <w:r w:rsidRPr="004D747C">
              <w:rPr>
                <w:rFonts w:ascii="Arial Narrow" w:hAnsi="Arial Narrow" w:cs="Arial"/>
                <w:b/>
                <w:bCs/>
                <w:sz w:val="16"/>
                <w:szCs w:val="16"/>
              </w:rPr>
              <w:t>Public Holiday</w:t>
            </w:r>
          </w:p>
        </w:tc>
        <w:tc>
          <w:tcPr>
            <w:tcW w:w="1418" w:type="dxa"/>
            <w:tcBorders>
              <w:top w:val="single" w:sz="18" w:space="0" w:color="C0C0C0"/>
              <w:left w:val="single" w:sz="18" w:space="0" w:color="C0C0C0"/>
              <w:bottom w:val="single" w:sz="18" w:space="0" w:color="C0C0C0"/>
              <w:right w:val="single" w:sz="18" w:space="0" w:color="BFBFBF"/>
            </w:tcBorders>
            <w:vAlign w:val="center"/>
          </w:tcPr>
          <w:p w14:paraId="6A7880B7" w14:textId="1AC69EC9" w:rsidR="00B225ED" w:rsidRPr="008C7414" w:rsidRDefault="00B225ED" w:rsidP="00B225ED">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vAlign w:val="center"/>
          </w:tcPr>
          <w:p w14:paraId="2BEECBCA" w14:textId="769DB21B" w:rsidR="00B225ED" w:rsidRPr="008C7414" w:rsidRDefault="00B225ED" w:rsidP="00B225ED">
            <w:pPr>
              <w:jc w:val="center"/>
              <w:rPr>
                <w:rFonts w:ascii="Arial Narrow" w:hAnsi="Arial Narrow" w:cs="Arial"/>
                <w:sz w:val="16"/>
                <w:szCs w:val="16"/>
              </w:rPr>
            </w:pPr>
          </w:p>
        </w:tc>
        <w:tc>
          <w:tcPr>
            <w:tcW w:w="1276" w:type="dxa"/>
            <w:tcBorders>
              <w:top w:val="single" w:sz="18" w:space="0" w:color="C0C0C0"/>
              <w:left w:val="single" w:sz="18" w:space="0" w:color="C0C0C0"/>
              <w:bottom w:val="single" w:sz="18" w:space="0" w:color="C0C0C0"/>
              <w:right w:val="single" w:sz="18" w:space="0" w:color="C0C0C0"/>
            </w:tcBorders>
            <w:vAlign w:val="center"/>
          </w:tcPr>
          <w:p w14:paraId="030CE006" w14:textId="38C89B1B" w:rsidR="00B225ED" w:rsidRPr="008C7414" w:rsidRDefault="00B225ED" w:rsidP="00B225ED">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vAlign w:val="center"/>
          </w:tcPr>
          <w:p w14:paraId="1FFAFF47" w14:textId="7EE3E14E" w:rsidR="00B225ED" w:rsidRPr="008C7414" w:rsidRDefault="00B225ED" w:rsidP="00B225ED">
            <w:pPr>
              <w:jc w:val="center"/>
              <w:rPr>
                <w:rFonts w:ascii="Arial Narrow" w:hAnsi="Arial Narrow" w:cs="Arial"/>
                <w:sz w:val="15"/>
                <w:szCs w:val="15"/>
              </w:rPr>
            </w:pPr>
            <w:r w:rsidRPr="004D747C">
              <w:rPr>
                <w:rFonts w:ascii="Arial Narrow" w:hAnsi="Arial Narrow" w:cs="Arial"/>
                <w:b/>
                <w:bCs/>
                <w:sz w:val="16"/>
                <w:szCs w:val="16"/>
              </w:rPr>
              <w:t>Public Holiday</w:t>
            </w:r>
          </w:p>
        </w:tc>
        <w:tc>
          <w:tcPr>
            <w:tcW w:w="3245" w:type="dxa"/>
            <w:tcBorders>
              <w:top w:val="single" w:sz="18" w:space="0" w:color="C0C0C0"/>
              <w:left w:val="single" w:sz="18" w:space="0" w:color="auto"/>
              <w:bottom w:val="single" w:sz="18" w:space="0" w:color="C0C0C0"/>
              <w:right w:val="single" w:sz="18" w:space="0" w:color="auto"/>
            </w:tcBorders>
            <w:vAlign w:val="center"/>
          </w:tcPr>
          <w:p w14:paraId="300986DE" w14:textId="77777777" w:rsidR="00B225ED" w:rsidRPr="00464CCB" w:rsidRDefault="00B225ED" w:rsidP="00B225ED">
            <w:pPr>
              <w:jc w:val="center"/>
              <w:rPr>
                <w:rFonts w:ascii="Arial Narrow" w:hAnsi="Arial Narrow" w:cs="Arial"/>
                <w:b/>
                <w:bCs/>
                <w:sz w:val="16"/>
                <w:szCs w:val="16"/>
              </w:rPr>
            </w:pPr>
            <w:r w:rsidRPr="00464CCB">
              <w:rPr>
                <w:rFonts w:ascii="Arial Narrow" w:hAnsi="Arial Narrow" w:cs="Arial"/>
                <w:b/>
                <w:bCs/>
                <w:sz w:val="16"/>
                <w:szCs w:val="16"/>
              </w:rPr>
              <w:t xml:space="preserve">21 Easter Monday Public Holiday </w:t>
            </w:r>
          </w:p>
          <w:p w14:paraId="7B200A01" w14:textId="7887D075" w:rsidR="00B225ED" w:rsidRPr="00464CCB" w:rsidRDefault="00B225ED" w:rsidP="00B225ED">
            <w:pPr>
              <w:jc w:val="center"/>
              <w:rPr>
                <w:rFonts w:ascii="Arial Narrow" w:hAnsi="Arial Narrow" w:cs="Arial"/>
                <w:sz w:val="16"/>
                <w:szCs w:val="16"/>
              </w:rPr>
            </w:pPr>
            <w:r w:rsidRPr="00464CCB">
              <w:rPr>
                <w:rFonts w:ascii="Arial Narrow" w:hAnsi="Arial Narrow" w:cs="Arial"/>
                <w:b/>
                <w:bCs/>
                <w:sz w:val="16"/>
                <w:szCs w:val="16"/>
              </w:rPr>
              <w:t>25 Anzac Day Public Holiday</w:t>
            </w:r>
          </w:p>
        </w:tc>
      </w:tr>
      <w:tr w:rsidR="00F24F04" w:rsidRPr="00BC2C5D" w14:paraId="16F24AB7" w14:textId="77777777" w:rsidTr="00971872">
        <w:trPr>
          <w:trHeight w:val="145"/>
        </w:trPr>
        <w:tc>
          <w:tcPr>
            <w:tcW w:w="1134" w:type="dxa"/>
            <w:vMerge w:val="restart"/>
            <w:tcBorders>
              <w:top w:val="single" w:sz="18" w:space="0" w:color="C0C0C0"/>
              <w:left w:val="single" w:sz="18" w:space="0" w:color="auto"/>
              <w:right w:val="single" w:sz="18" w:space="0" w:color="C0C0C0"/>
            </w:tcBorders>
            <w:vAlign w:val="center"/>
          </w:tcPr>
          <w:p w14:paraId="6FFD95CD" w14:textId="505B87F9" w:rsidR="00F24F04" w:rsidRDefault="00F24F04" w:rsidP="00F24F04">
            <w:pPr>
              <w:jc w:val="center"/>
              <w:rPr>
                <w:rFonts w:ascii="Arial Narrow" w:hAnsi="Arial Narrow" w:cs="Arial"/>
                <w:sz w:val="16"/>
                <w:szCs w:val="16"/>
              </w:rPr>
            </w:pPr>
            <w:r>
              <w:rPr>
                <w:rFonts w:ascii="Arial Narrow" w:hAnsi="Arial Narrow" w:cs="Arial"/>
                <w:sz w:val="16"/>
                <w:szCs w:val="16"/>
              </w:rPr>
              <w:t>28 April</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6E68C571" w14:textId="0BCC4E54"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28 ½ day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446B7683" w14:textId="03987561"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CE</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69AE602C" w14:textId="0ADBCFB3"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30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61AC56FE" w14:textId="2DBBC81E"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 Conf</w:t>
            </w:r>
          </w:p>
        </w:tc>
        <w:tc>
          <w:tcPr>
            <w:tcW w:w="1234" w:type="dxa"/>
            <w:vMerge w:val="restart"/>
            <w:tcBorders>
              <w:top w:val="single" w:sz="18" w:space="0" w:color="C0C0C0"/>
              <w:left w:val="single" w:sz="18" w:space="0" w:color="C0C0C0"/>
              <w:right w:val="single" w:sz="18" w:space="0" w:color="auto"/>
            </w:tcBorders>
            <w:vAlign w:val="center"/>
          </w:tcPr>
          <w:p w14:paraId="2B923467" w14:textId="77777777" w:rsidR="00F24F04" w:rsidRPr="008C7414" w:rsidRDefault="00F24F04" w:rsidP="00F24F04">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76478037" w14:textId="77777777" w:rsidR="00F24F04" w:rsidRPr="00464CCB" w:rsidRDefault="00F24F04" w:rsidP="00F24F04">
            <w:pPr>
              <w:jc w:val="center"/>
              <w:rPr>
                <w:rFonts w:ascii="Arial Narrow" w:hAnsi="Arial Narrow"/>
                <w:color w:val="FFFFFF" w:themeColor="background1"/>
                <w:sz w:val="16"/>
                <w:szCs w:val="16"/>
                <w:highlight w:val="green"/>
              </w:rPr>
            </w:pPr>
            <w:r w:rsidRPr="00464CCB">
              <w:rPr>
                <w:rFonts w:ascii="Arial Narrow" w:hAnsi="Arial Narrow"/>
                <w:color w:val="FFFFFF" w:themeColor="background1"/>
                <w:sz w:val="16"/>
                <w:szCs w:val="16"/>
                <w:highlight w:val="green"/>
              </w:rPr>
              <w:t>Cooktown Circuit</w:t>
            </w:r>
          </w:p>
          <w:p w14:paraId="22F11D00" w14:textId="300EA95B" w:rsidR="00F24F04" w:rsidRPr="00464CCB" w:rsidRDefault="00F24F04" w:rsidP="00F24F04">
            <w:pPr>
              <w:jc w:val="center"/>
              <w:rPr>
                <w:rFonts w:ascii="Arial Narrow" w:hAnsi="Arial Narrow" w:cs="Arial"/>
                <w:sz w:val="16"/>
                <w:szCs w:val="16"/>
              </w:rPr>
            </w:pPr>
            <w:r w:rsidRPr="00464CCB">
              <w:rPr>
                <w:rFonts w:ascii="Arial Narrow" w:hAnsi="Arial Narrow"/>
                <w:color w:val="FFFFFF" w:themeColor="background1"/>
                <w:sz w:val="16"/>
                <w:szCs w:val="16"/>
                <w:highlight w:val="green"/>
              </w:rPr>
              <w:t>Hope Vale Circuit</w:t>
            </w:r>
          </w:p>
        </w:tc>
      </w:tr>
      <w:tr w:rsidR="00F24F04" w:rsidRPr="00BC2C5D" w14:paraId="09783231" w14:textId="77777777" w:rsidTr="007A0A3F">
        <w:trPr>
          <w:trHeight w:val="145"/>
        </w:trPr>
        <w:tc>
          <w:tcPr>
            <w:tcW w:w="1134" w:type="dxa"/>
            <w:vMerge/>
            <w:tcBorders>
              <w:left w:val="single" w:sz="18" w:space="0" w:color="auto"/>
              <w:right w:val="single" w:sz="18" w:space="0" w:color="C0C0C0"/>
            </w:tcBorders>
            <w:vAlign w:val="center"/>
          </w:tcPr>
          <w:p w14:paraId="75EB5D58" w14:textId="77777777" w:rsidR="00F24F04" w:rsidRDefault="00F24F04" w:rsidP="00F24F04">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6168E2B1" w14:textId="77777777" w:rsidR="00F24F04" w:rsidRPr="00E57545" w:rsidRDefault="00F24F04" w:rsidP="00F24F04">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cBorders>
            <w:shd w:val="clear" w:color="auto" w:fill="FF0000"/>
            <w:vAlign w:val="center"/>
          </w:tcPr>
          <w:p w14:paraId="0FCD8588" w14:textId="17F8E252"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CE</w:t>
            </w:r>
          </w:p>
        </w:tc>
        <w:tc>
          <w:tcPr>
            <w:tcW w:w="1417" w:type="dxa"/>
            <w:tcBorders>
              <w:top w:val="nil"/>
              <w:left w:val="single" w:sz="18" w:space="0" w:color="BFBFBF"/>
              <w:bottom w:val="nil"/>
              <w:right w:val="single" w:sz="18" w:space="0" w:color="C0C0C0"/>
            </w:tcBorders>
            <w:shd w:val="clear" w:color="auto" w:fill="FF0000"/>
            <w:vAlign w:val="center"/>
          </w:tcPr>
          <w:p w14:paraId="5A887517" w14:textId="3E35988C"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30 C</w:t>
            </w:r>
            <w:r w:rsidR="005417C8">
              <w:rPr>
                <w:rFonts w:ascii="Arial Narrow" w:hAnsi="Arial Narrow" w:cs="Arial"/>
                <w:b/>
                <w:bCs/>
                <w:color w:val="FFFFFF" w:themeColor="background1"/>
                <w:sz w:val="16"/>
                <w:szCs w:val="16"/>
              </w:rPr>
              <w:t>E</w:t>
            </w:r>
          </w:p>
        </w:tc>
        <w:tc>
          <w:tcPr>
            <w:tcW w:w="1276" w:type="dxa"/>
            <w:tcBorders>
              <w:top w:val="nil"/>
              <w:left w:val="single" w:sz="18" w:space="0" w:color="C0C0C0"/>
              <w:bottom w:val="nil"/>
              <w:right w:val="single" w:sz="18" w:space="0" w:color="C0C0C0"/>
            </w:tcBorders>
            <w:shd w:val="clear" w:color="auto" w:fill="FF0000"/>
            <w:vAlign w:val="center"/>
          </w:tcPr>
          <w:p w14:paraId="4000E685" w14:textId="5838BAA8"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 CE</w:t>
            </w:r>
          </w:p>
        </w:tc>
        <w:tc>
          <w:tcPr>
            <w:tcW w:w="1234" w:type="dxa"/>
            <w:vMerge/>
            <w:tcBorders>
              <w:left w:val="single" w:sz="18" w:space="0" w:color="C0C0C0"/>
              <w:right w:val="single" w:sz="18" w:space="0" w:color="auto"/>
            </w:tcBorders>
            <w:vAlign w:val="center"/>
          </w:tcPr>
          <w:p w14:paraId="7D985D1F" w14:textId="77777777" w:rsidR="00F24F04" w:rsidRPr="008C7414" w:rsidRDefault="00F24F04" w:rsidP="00F24F04">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5939622D" w14:textId="77777777" w:rsidR="00F24F04" w:rsidRPr="00464CCB" w:rsidRDefault="00F24F04" w:rsidP="00F24F04">
            <w:pPr>
              <w:jc w:val="center"/>
              <w:rPr>
                <w:rFonts w:ascii="Arial Narrow" w:hAnsi="Arial Narrow"/>
                <w:color w:val="FFFFFF" w:themeColor="background1"/>
                <w:sz w:val="16"/>
                <w:szCs w:val="16"/>
                <w:highlight w:val="green"/>
              </w:rPr>
            </w:pPr>
          </w:p>
        </w:tc>
      </w:tr>
      <w:tr w:rsidR="00F24F04" w:rsidRPr="00BC2C5D" w14:paraId="0D72531E" w14:textId="77777777" w:rsidTr="00971872">
        <w:trPr>
          <w:trHeight w:val="145"/>
        </w:trPr>
        <w:tc>
          <w:tcPr>
            <w:tcW w:w="1134" w:type="dxa"/>
            <w:vMerge/>
            <w:tcBorders>
              <w:left w:val="single" w:sz="18" w:space="0" w:color="auto"/>
              <w:bottom w:val="single" w:sz="18" w:space="0" w:color="auto"/>
              <w:right w:val="single" w:sz="18" w:space="0" w:color="C0C0C0"/>
            </w:tcBorders>
            <w:vAlign w:val="center"/>
          </w:tcPr>
          <w:p w14:paraId="5E4ECE21" w14:textId="77777777" w:rsidR="00F24F04" w:rsidRDefault="00F24F04" w:rsidP="00F24F04">
            <w:pPr>
              <w:jc w:val="center"/>
              <w:rPr>
                <w:rFonts w:ascii="Arial Narrow" w:hAnsi="Arial Narrow" w:cs="Arial"/>
                <w:sz w:val="16"/>
                <w:szCs w:val="16"/>
              </w:rPr>
            </w:pPr>
          </w:p>
        </w:tc>
        <w:tc>
          <w:tcPr>
            <w:tcW w:w="1134" w:type="dxa"/>
            <w:vMerge/>
            <w:tcBorders>
              <w:left w:val="single" w:sz="18" w:space="0" w:color="C0C0C0"/>
              <w:bottom w:val="single" w:sz="18" w:space="0" w:color="auto"/>
              <w:right w:val="single" w:sz="18" w:space="0" w:color="C0C0C0"/>
            </w:tcBorders>
            <w:vAlign w:val="center"/>
          </w:tcPr>
          <w:p w14:paraId="1046BF81" w14:textId="77777777" w:rsidR="00F24F04" w:rsidRPr="00E57545" w:rsidRDefault="00F24F04" w:rsidP="00F24F04">
            <w:pPr>
              <w:jc w:val="center"/>
              <w:rPr>
                <w:rFonts w:ascii="Arial Narrow" w:hAnsi="Arial Narrow" w:cs="Arial"/>
                <w:sz w:val="16"/>
                <w:szCs w:val="16"/>
              </w:rPr>
            </w:pPr>
          </w:p>
        </w:tc>
        <w:tc>
          <w:tcPr>
            <w:tcW w:w="1418" w:type="dxa"/>
            <w:tcBorders>
              <w:top w:val="nil"/>
              <w:left w:val="single" w:sz="18" w:space="0" w:color="C0C0C0"/>
              <w:bottom w:val="single" w:sz="18" w:space="0" w:color="auto"/>
              <w:right w:val="single" w:sz="18" w:space="0" w:color="BFBFBF"/>
            </w:tcBorders>
            <w:shd w:val="clear" w:color="auto" w:fill="20849B"/>
            <w:vAlign w:val="center"/>
          </w:tcPr>
          <w:p w14:paraId="052D607A" w14:textId="135DB4F9"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CE</w:t>
            </w:r>
          </w:p>
        </w:tc>
        <w:tc>
          <w:tcPr>
            <w:tcW w:w="1417" w:type="dxa"/>
            <w:tcBorders>
              <w:top w:val="nil"/>
              <w:left w:val="single" w:sz="18" w:space="0" w:color="BFBFBF"/>
              <w:bottom w:val="single" w:sz="18" w:space="0" w:color="auto"/>
              <w:right w:val="single" w:sz="18" w:space="0" w:color="C0C0C0"/>
            </w:tcBorders>
            <w:shd w:val="clear" w:color="auto" w:fill="20849B"/>
            <w:vAlign w:val="center"/>
          </w:tcPr>
          <w:p w14:paraId="38DAED08" w14:textId="0CF46431"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30 Conf</w:t>
            </w:r>
          </w:p>
        </w:tc>
        <w:tc>
          <w:tcPr>
            <w:tcW w:w="1276" w:type="dxa"/>
            <w:tcBorders>
              <w:top w:val="nil"/>
              <w:left w:val="single" w:sz="18" w:space="0" w:color="C0C0C0"/>
              <w:bottom w:val="single" w:sz="18" w:space="0" w:color="auto"/>
              <w:right w:val="single" w:sz="18" w:space="0" w:color="C0C0C0"/>
            </w:tcBorders>
            <w:shd w:val="clear" w:color="auto" w:fill="20849B"/>
            <w:vAlign w:val="center"/>
          </w:tcPr>
          <w:p w14:paraId="41C41509" w14:textId="16B453F7"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 ½ day CE</w:t>
            </w:r>
          </w:p>
        </w:tc>
        <w:tc>
          <w:tcPr>
            <w:tcW w:w="1234" w:type="dxa"/>
            <w:vMerge/>
            <w:tcBorders>
              <w:left w:val="single" w:sz="18" w:space="0" w:color="C0C0C0"/>
              <w:bottom w:val="single" w:sz="18" w:space="0" w:color="auto"/>
              <w:right w:val="single" w:sz="18" w:space="0" w:color="auto"/>
            </w:tcBorders>
            <w:vAlign w:val="center"/>
          </w:tcPr>
          <w:p w14:paraId="1A67DEE7" w14:textId="77777777" w:rsidR="00F24F04" w:rsidRPr="008C7414" w:rsidRDefault="00F24F04" w:rsidP="00F24F04">
            <w:pPr>
              <w:jc w:val="center"/>
              <w:rPr>
                <w:rFonts w:ascii="Arial Narrow" w:hAnsi="Arial Narrow" w:cs="Arial"/>
                <w:sz w:val="15"/>
                <w:szCs w:val="15"/>
              </w:rPr>
            </w:pPr>
          </w:p>
        </w:tc>
        <w:tc>
          <w:tcPr>
            <w:tcW w:w="3245" w:type="dxa"/>
            <w:vMerge/>
            <w:tcBorders>
              <w:left w:val="single" w:sz="18" w:space="0" w:color="auto"/>
              <w:bottom w:val="single" w:sz="18" w:space="0" w:color="auto"/>
              <w:right w:val="single" w:sz="18" w:space="0" w:color="auto"/>
            </w:tcBorders>
            <w:vAlign w:val="center"/>
          </w:tcPr>
          <w:p w14:paraId="1DDEF539" w14:textId="77777777" w:rsidR="00F24F04" w:rsidRPr="00464CCB" w:rsidRDefault="00F24F04" w:rsidP="00F24F04">
            <w:pPr>
              <w:jc w:val="center"/>
              <w:rPr>
                <w:rFonts w:ascii="Arial Narrow" w:hAnsi="Arial Narrow"/>
                <w:color w:val="FFFFFF" w:themeColor="background1"/>
                <w:sz w:val="16"/>
                <w:szCs w:val="16"/>
                <w:highlight w:val="green"/>
              </w:rPr>
            </w:pPr>
          </w:p>
        </w:tc>
      </w:tr>
    </w:tbl>
    <w:p w14:paraId="1D6FEBA2" w14:textId="77777777" w:rsidR="00FA7DA0" w:rsidRDefault="00FA7DA0"/>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11"/>
        <w:gridCol w:w="1134"/>
        <w:gridCol w:w="1418"/>
        <w:gridCol w:w="1417"/>
        <w:gridCol w:w="1276"/>
        <w:gridCol w:w="1276"/>
        <w:gridCol w:w="3226"/>
      </w:tblGrid>
      <w:tr w:rsidR="00C5507C" w:rsidRPr="00BC2C5D" w14:paraId="57F3478D" w14:textId="77777777" w:rsidTr="00DE4F1F">
        <w:trPr>
          <w:trHeight w:val="567"/>
        </w:trPr>
        <w:tc>
          <w:tcPr>
            <w:tcW w:w="1111"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76"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226"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5417C8" w:rsidRPr="00BC2C5D" w14:paraId="0CE321A3" w14:textId="77777777" w:rsidTr="00CF0FDE">
        <w:trPr>
          <w:trHeight w:val="486"/>
        </w:trPr>
        <w:tc>
          <w:tcPr>
            <w:tcW w:w="1111" w:type="dxa"/>
            <w:tcBorders>
              <w:top w:val="single" w:sz="18" w:space="0" w:color="auto"/>
              <w:left w:val="single" w:sz="18" w:space="0" w:color="auto"/>
              <w:right w:val="single" w:sz="18" w:space="0" w:color="C0C0C0"/>
            </w:tcBorders>
            <w:vAlign w:val="center"/>
          </w:tcPr>
          <w:p w14:paraId="696DAD36" w14:textId="6550CEFD" w:rsidR="005417C8" w:rsidRPr="00390B39" w:rsidRDefault="005417C8" w:rsidP="00F24F04">
            <w:pPr>
              <w:jc w:val="center"/>
              <w:rPr>
                <w:rFonts w:ascii="Arial Narrow" w:hAnsi="Arial Narrow" w:cs="Arial"/>
                <w:sz w:val="16"/>
                <w:szCs w:val="16"/>
              </w:rPr>
            </w:pPr>
            <w:r>
              <w:rPr>
                <w:rFonts w:ascii="Arial Narrow" w:hAnsi="Arial Narrow" w:cs="Arial"/>
                <w:sz w:val="16"/>
                <w:szCs w:val="16"/>
              </w:rPr>
              <w:t>5 May</w:t>
            </w:r>
          </w:p>
        </w:tc>
        <w:tc>
          <w:tcPr>
            <w:tcW w:w="1134" w:type="dxa"/>
            <w:tcBorders>
              <w:top w:val="single" w:sz="18" w:space="0" w:color="auto"/>
              <w:left w:val="single" w:sz="18" w:space="0" w:color="C0C0C0"/>
              <w:right w:val="single" w:sz="18" w:space="0" w:color="C0C0C0"/>
            </w:tcBorders>
            <w:vAlign w:val="center"/>
          </w:tcPr>
          <w:p w14:paraId="2F9AEB6D" w14:textId="27D58704" w:rsidR="005417C8" w:rsidRPr="00E57545" w:rsidRDefault="005417C8" w:rsidP="00F24F04">
            <w:pPr>
              <w:jc w:val="center"/>
              <w:rPr>
                <w:rFonts w:ascii="Arial Narrow" w:hAnsi="Arial Narrow" w:cs="Arial"/>
                <w:sz w:val="16"/>
                <w:szCs w:val="16"/>
              </w:rPr>
            </w:pPr>
            <w:r w:rsidRPr="00E57545">
              <w:rPr>
                <w:rFonts w:ascii="Arial Narrow" w:hAnsi="Arial Narrow" w:cs="Arial"/>
                <w:b/>
                <w:bCs/>
                <w:sz w:val="16"/>
                <w:szCs w:val="16"/>
              </w:rPr>
              <w:t>Public Holiday</w:t>
            </w:r>
          </w:p>
        </w:tc>
        <w:tc>
          <w:tcPr>
            <w:tcW w:w="1418" w:type="dxa"/>
            <w:tcBorders>
              <w:top w:val="single" w:sz="18" w:space="0" w:color="auto"/>
              <w:left w:val="single" w:sz="18" w:space="0" w:color="C0C0C0"/>
              <w:right w:val="single" w:sz="18" w:space="0" w:color="BFBFBF"/>
            </w:tcBorders>
            <w:shd w:val="clear" w:color="auto" w:fill="FF0000"/>
            <w:vAlign w:val="center"/>
          </w:tcPr>
          <w:p w14:paraId="65468345" w14:textId="480DAB1A"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6 ½ day CE</w:t>
            </w:r>
          </w:p>
        </w:tc>
        <w:tc>
          <w:tcPr>
            <w:tcW w:w="1417" w:type="dxa"/>
            <w:tcBorders>
              <w:top w:val="single" w:sz="18" w:space="0" w:color="auto"/>
              <w:left w:val="single" w:sz="18" w:space="0" w:color="BFBFBF"/>
              <w:right w:val="single" w:sz="18" w:space="0" w:color="C0C0C0"/>
            </w:tcBorders>
            <w:shd w:val="clear" w:color="auto" w:fill="FF0000"/>
            <w:vAlign w:val="center"/>
          </w:tcPr>
          <w:p w14:paraId="5D26E3A1" w14:textId="1831B449" w:rsidR="005417C8" w:rsidRPr="00E57545" w:rsidRDefault="005417C8" w:rsidP="005417C8">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7 Conf</w:t>
            </w:r>
          </w:p>
        </w:tc>
        <w:tc>
          <w:tcPr>
            <w:tcW w:w="1276" w:type="dxa"/>
            <w:tcBorders>
              <w:top w:val="single" w:sz="18" w:space="0" w:color="auto"/>
              <w:left w:val="single" w:sz="18" w:space="0" w:color="C0C0C0"/>
              <w:right w:val="single" w:sz="18" w:space="0" w:color="C0C0C0"/>
            </w:tcBorders>
            <w:shd w:val="clear" w:color="auto" w:fill="FF0000"/>
            <w:vAlign w:val="center"/>
          </w:tcPr>
          <w:p w14:paraId="37F7711A" w14:textId="1B6081F8" w:rsidR="005417C8" w:rsidRPr="00E57545" w:rsidRDefault="005417C8" w:rsidP="005417C8">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8 ½ day CE</w:t>
            </w:r>
          </w:p>
        </w:tc>
        <w:tc>
          <w:tcPr>
            <w:tcW w:w="1276" w:type="dxa"/>
            <w:tcBorders>
              <w:top w:val="single" w:sz="18" w:space="0" w:color="auto"/>
              <w:left w:val="single" w:sz="18" w:space="0" w:color="C0C0C0"/>
              <w:right w:val="single" w:sz="18" w:space="0" w:color="auto"/>
            </w:tcBorders>
            <w:vAlign w:val="center"/>
          </w:tcPr>
          <w:p w14:paraId="2ABAD594" w14:textId="77777777" w:rsidR="005417C8" w:rsidRPr="008C7414" w:rsidRDefault="005417C8" w:rsidP="00F24F04">
            <w:pPr>
              <w:jc w:val="center"/>
              <w:rPr>
                <w:rFonts w:ascii="Arial Narrow" w:hAnsi="Arial Narrow" w:cs="Arial"/>
                <w:sz w:val="16"/>
                <w:szCs w:val="16"/>
              </w:rPr>
            </w:pPr>
          </w:p>
        </w:tc>
        <w:tc>
          <w:tcPr>
            <w:tcW w:w="3226" w:type="dxa"/>
            <w:tcBorders>
              <w:top w:val="single" w:sz="18" w:space="0" w:color="auto"/>
              <w:left w:val="single" w:sz="18" w:space="0" w:color="auto"/>
              <w:right w:val="single" w:sz="18" w:space="0" w:color="auto"/>
            </w:tcBorders>
            <w:vAlign w:val="center"/>
          </w:tcPr>
          <w:p w14:paraId="5CA04E27" w14:textId="1045A8E2" w:rsidR="005417C8" w:rsidRPr="00464CCB" w:rsidRDefault="005417C8" w:rsidP="00F24F04">
            <w:pPr>
              <w:jc w:val="center"/>
              <w:rPr>
                <w:rFonts w:ascii="Arial Narrow" w:hAnsi="Arial Narrow"/>
                <w:sz w:val="16"/>
                <w:szCs w:val="16"/>
              </w:rPr>
            </w:pPr>
            <w:r w:rsidRPr="00464CCB">
              <w:rPr>
                <w:rFonts w:ascii="Arial Narrow" w:hAnsi="Arial Narrow" w:cs="Arial"/>
                <w:b/>
                <w:bCs/>
                <w:sz w:val="16"/>
                <w:szCs w:val="16"/>
              </w:rPr>
              <w:t>5 Labour Day Public Holiday</w:t>
            </w:r>
          </w:p>
        </w:tc>
      </w:tr>
      <w:tr w:rsidR="001C5A4D" w:rsidRPr="00BC2C5D" w14:paraId="3EA964B8" w14:textId="77777777" w:rsidTr="00870DBE">
        <w:trPr>
          <w:trHeight w:val="145"/>
        </w:trPr>
        <w:tc>
          <w:tcPr>
            <w:tcW w:w="1111" w:type="dxa"/>
            <w:vMerge w:val="restart"/>
            <w:tcBorders>
              <w:top w:val="single" w:sz="18" w:space="0" w:color="C0C0C0"/>
              <w:left w:val="single" w:sz="18" w:space="0" w:color="auto"/>
              <w:right w:val="single" w:sz="18" w:space="0" w:color="C0C0C0"/>
            </w:tcBorders>
            <w:vAlign w:val="center"/>
          </w:tcPr>
          <w:p w14:paraId="0A6385D6" w14:textId="47095406" w:rsidR="001C5A4D" w:rsidRPr="00390B39" w:rsidRDefault="001C5A4D" w:rsidP="00F24F04">
            <w:pPr>
              <w:jc w:val="center"/>
              <w:rPr>
                <w:rFonts w:ascii="Arial Narrow" w:hAnsi="Arial Narrow" w:cs="Arial"/>
                <w:sz w:val="16"/>
                <w:szCs w:val="16"/>
              </w:rPr>
            </w:pPr>
            <w:r>
              <w:rPr>
                <w:rFonts w:ascii="Arial Narrow" w:hAnsi="Arial Narrow" w:cs="Arial"/>
                <w:sz w:val="16"/>
                <w:szCs w:val="16"/>
              </w:rPr>
              <w:t>12 May</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27120716" w14:textId="4DF93FDA" w:rsidR="001C5A4D" w:rsidRPr="00870DBE" w:rsidRDefault="001C5A4D" w:rsidP="00870DBE">
            <w:pPr>
              <w:rPr>
                <w:rFonts w:ascii="Arial Narrow" w:hAnsi="Arial Narrow" w:cs="Arial"/>
                <w:color w:val="FFFFFF" w:themeColor="background1"/>
                <w:sz w:val="16"/>
                <w:szCs w:val="16"/>
              </w:rPr>
            </w:pPr>
            <w:r w:rsidRPr="00870DBE">
              <w:rPr>
                <w:rFonts w:ascii="Arial Narrow" w:hAnsi="Arial Narrow" w:cs="Arial"/>
                <w:b/>
                <w:bCs/>
                <w:color w:val="FFFFFF" w:themeColor="background1"/>
                <w:sz w:val="16"/>
                <w:szCs w:val="16"/>
              </w:rPr>
              <w:t>12 ½ day CE</w:t>
            </w:r>
          </w:p>
        </w:tc>
        <w:tc>
          <w:tcPr>
            <w:tcW w:w="1418" w:type="dxa"/>
            <w:vMerge w:val="restart"/>
            <w:tcBorders>
              <w:top w:val="single" w:sz="18" w:space="0" w:color="C0C0C0"/>
              <w:left w:val="single" w:sz="18" w:space="0" w:color="C0C0C0"/>
              <w:right w:val="single" w:sz="18" w:space="0" w:color="BFBFBF"/>
            </w:tcBorders>
            <w:shd w:val="clear" w:color="auto" w:fill="A972A9"/>
            <w:vAlign w:val="center"/>
          </w:tcPr>
          <w:p w14:paraId="79A68E23" w14:textId="07E0000A" w:rsidR="001C5A4D" w:rsidRPr="00870DBE" w:rsidRDefault="001C5A4D" w:rsidP="00B07E5D">
            <w:pPr>
              <w:jc w:val="center"/>
              <w:rPr>
                <w:rFonts w:ascii="Arial Narrow" w:hAnsi="Arial Narrow" w:cs="Arial"/>
                <w:color w:val="FFFFFF" w:themeColor="background1"/>
                <w:sz w:val="16"/>
                <w:szCs w:val="16"/>
              </w:rPr>
            </w:pPr>
            <w:r w:rsidRPr="00870DBE">
              <w:rPr>
                <w:rFonts w:ascii="Arial Narrow" w:hAnsi="Arial Narrow" w:cs="Arial"/>
                <w:b/>
                <w:bCs/>
                <w:color w:val="FFFFFF" w:themeColor="background1"/>
                <w:sz w:val="16"/>
                <w:szCs w:val="16"/>
              </w:rPr>
              <w:t>13 CE</w:t>
            </w:r>
          </w:p>
        </w:tc>
        <w:tc>
          <w:tcPr>
            <w:tcW w:w="1417" w:type="dxa"/>
            <w:vMerge w:val="restart"/>
            <w:tcBorders>
              <w:top w:val="single" w:sz="18" w:space="0" w:color="C0C0C0"/>
              <w:left w:val="single" w:sz="18" w:space="0" w:color="BFBFBF"/>
              <w:right w:val="single" w:sz="18" w:space="0" w:color="C0C0C0"/>
            </w:tcBorders>
            <w:shd w:val="clear" w:color="auto" w:fill="A972A9"/>
            <w:vAlign w:val="center"/>
          </w:tcPr>
          <w:p w14:paraId="05A7C8EF" w14:textId="53F73D81" w:rsidR="001C5A4D" w:rsidRPr="00870DBE" w:rsidRDefault="001C5A4D" w:rsidP="00B7135A">
            <w:pPr>
              <w:jc w:val="center"/>
              <w:rPr>
                <w:rFonts w:ascii="Arial Narrow" w:hAnsi="Arial Narrow" w:cs="Arial"/>
                <w:color w:val="FFFFFF" w:themeColor="background1"/>
                <w:sz w:val="16"/>
                <w:szCs w:val="16"/>
              </w:rPr>
            </w:pPr>
            <w:r w:rsidRPr="00870DBE">
              <w:rPr>
                <w:rFonts w:ascii="Arial Narrow" w:hAnsi="Arial Narrow" w:cs="Arial"/>
                <w:b/>
                <w:bCs/>
                <w:color w:val="FFFFFF" w:themeColor="background1"/>
                <w:sz w:val="16"/>
                <w:szCs w:val="16"/>
              </w:rPr>
              <w:t>14 Conf</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10D421D0" w14:textId="6B336FEA" w:rsidR="001C5A4D" w:rsidRPr="00E57545" w:rsidRDefault="001C5A4D"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15 ½ day CE</w:t>
            </w:r>
          </w:p>
        </w:tc>
        <w:tc>
          <w:tcPr>
            <w:tcW w:w="1276" w:type="dxa"/>
            <w:vMerge w:val="restart"/>
            <w:tcBorders>
              <w:top w:val="single" w:sz="18" w:space="0" w:color="C0C0C0"/>
              <w:left w:val="single" w:sz="18" w:space="0" w:color="C0C0C0"/>
              <w:right w:val="single" w:sz="18" w:space="0" w:color="auto"/>
            </w:tcBorders>
            <w:vAlign w:val="center"/>
          </w:tcPr>
          <w:p w14:paraId="3521E9C0" w14:textId="77777777" w:rsidR="001C5A4D" w:rsidRPr="008C7414" w:rsidRDefault="001C5A4D" w:rsidP="00F24F04">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vAlign w:val="center"/>
          </w:tcPr>
          <w:p w14:paraId="3BDBE255" w14:textId="77777777" w:rsidR="001C5A4D" w:rsidRPr="00464CCB" w:rsidRDefault="001C5A4D" w:rsidP="00F24F04">
            <w:pPr>
              <w:jc w:val="center"/>
              <w:rPr>
                <w:rFonts w:ascii="Arial Narrow" w:hAnsi="Arial Narrow"/>
                <w:color w:val="31849B"/>
                <w:sz w:val="16"/>
                <w:szCs w:val="16"/>
              </w:rPr>
            </w:pPr>
            <w:r w:rsidRPr="00464CCB">
              <w:rPr>
                <w:rFonts w:ascii="Arial Narrow" w:hAnsi="Arial Narrow"/>
                <w:color w:val="31849B"/>
                <w:sz w:val="16"/>
                <w:szCs w:val="16"/>
              </w:rPr>
              <w:t>Aurukun Cape B &amp; Coen Cape A Circuit</w:t>
            </w:r>
          </w:p>
          <w:p w14:paraId="711145A3" w14:textId="7D86A194" w:rsidR="001C5A4D" w:rsidRPr="00464CCB" w:rsidRDefault="001C5A4D" w:rsidP="00F24F04">
            <w:pPr>
              <w:jc w:val="center"/>
              <w:rPr>
                <w:rFonts w:ascii="Arial Narrow" w:hAnsi="Arial Narrow"/>
                <w:sz w:val="16"/>
                <w:szCs w:val="16"/>
              </w:rPr>
            </w:pPr>
            <w:r w:rsidRPr="00464CCB">
              <w:rPr>
                <w:rFonts w:ascii="Arial Narrow" w:hAnsi="Arial Narrow"/>
                <w:color w:val="31849B"/>
                <w:sz w:val="16"/>
                <w:szCs w:val="16"/>
                <w:highlight w:val="magenta"/>
              </w:rPr>
              <w:t>Doomadgee Gulf Circuit</w:t>
            </w:r>
          </w:p>
        </w:tc>
      </w:tr>
      <w:tr w:rsidR="001C5A4D" w:rsidRPr="00BC2C5D" w14:paraId="7F29F053" w14:textId="77777777" w:rsidTr="00B7135A">
        <w:trPr>
          <w:trHeight w:val="145"/>
        </w:trPr>
        <w:tc>
          <w:tcPr>
            <w:tcW w:w="1111" w:type="dxa"/>
            <w:vMerge/>
            <w:tcBorders>
              <w:left w:val="single" w:sz="18" w:space="0" w:color="auto"/>
              <w:right w:val="single" w:sz="18" w:space="0" w:color="C0C0C0"/>
            </w:tcBorders>
            <w:vAlign w:val="center"/>
          </w:tcPr>
          <w:p w14:paraId="5F8885D4" w14:textId="77777777" w:rsidR="001C5A4D" w:rsidRDefault="001C5A4D" w:rsidP="00F24F04">
            <w:pPr>
              <w:jc w:val="center"/>
              <w:rPr>
                <w:rFonts w:ascii="Arial Narrow" w:hAnsi="Arial Narrow" w:cs="Arial"/>
                <w:sz w:val="16"/>
                <w:szCs w:val="16"/>
              </w:rPr>
            </w:pPr>
          </w:p>
        </w:tc>
        <w:tc>
          <w:tcPr>
            <w:tcW w:w="1134" w:type="dxa"/>
            <w:vMerge/>
            <w:tcBorders>
              <w:left w:val="single" w:sz="18" w:space="0" w:color="C0C0C0"/>
              <w:bottom w:val="nil"/>
              <w:right w:val="single" w:sz="18" w:space="0" w:color="C0C0C0"/>
            </w:tcBorders>
            <w:shd w:val="clear" w:color="auto" w:fill="A972A9"/>
            <w:vAlign w:val="center"/>
          </w:tcPr>
          <w:p w14:paraId="13830AFB" w14:textId="02D8B08A" w:rsidR="001C5A4D" w:rsidRPr="00E57545" w:rsidRDefault="001C5A4D" w:rsidP="00F24F04">
            <w:pPr>
              <w:jc w:val="center"/>
              <w:rPr>
                <w:rFonts w:ascii="Arial Narrow" w:hAnsi="Arial Narrow" w:cs="Arial"/>
                <w:color w:val="FFFFFF" w:themeColor="background1"/>
                <w:sz w:val="16"/>
                <w:szCs w:val="16"/>
              </w:rPr>
            </w:pPr>
          </w:p>
        </w:tc>
        <w:tc>
          <w:tcPr>
            <w:tcW w:w="1418" w:type="dxa"/>
            <w:vMerge/>
            <w:tcBorders>
              <w:left w:val="single" w:sz="18" w:space="0" w:color="C0C0C0"/>
              <w:bottom w:val="nil"/>
              <w:right w:val="single" w:sz="18" w:space="0" w:color="BFBFBF"/>
            </w:tcBorders>
            <w:shd w:val="clear" w:color="auto" w:fill="A972A9"/>
            <w:vAlign w:val="center"/>
          </w:tcPr>
          <w:p w14:paraId="2549076B" w14:textId="6B3C6AF4" w:rsidR="001C5A4D" w:rsidRPr="00E57545" w:rsidRDefault="001C5A4D" w:rsidP="00F24F04">
            <w:pPr>
              <w:jc w:val="center"/>
              <w:rPr>
                <w:rFonts w:ascii="Arial Narrow" w:hAnsi="Arial Narrow" w:cs="Arial"/>
                <w:color w:val="FFFFFF" w:themeColor="background1"/>
                <w:sz w:val="16"/>
                <w:szCs w:val="16"/>
              </w:rPr>
            </w:pPr>
          </w:p>
        </w:tc>
        <w:tc>
          <w:tcPr>
            <w:tcW w:w="1417" w:type="dxa"/>
            <w:vMerge/>
            <w:tcBorders>
              <w:left w:val="single" w:sz="18" w:space="0" w:color="BFBFBF"/>
              <w:bottom w:val="nil"/>
              <w:right w:val="single" w:sz="18" w:space="0" w:color="C0C0C0"/>
            </w:tcBorders>
            <w:shd w:val="clear" w:color="auto" w:fill="A972A9"/>
            <w:vAlign w:val="center"/>
          </w:tcPr>
          <w:p w14:paraId="7DAE4B3D" w14:textId="0C5FD83C" w:rsidR="001C5A4D" w:rsidRPr="00E57545" w:rsidRDefault="001C5A4D" w:rsidP="00F24F04">
            <w:pPr>
              <w:jc w:val="center"/>
              <w:rPr>
                <w:rFonts w:ascii="Arial Narrow" w:hAnsi="Arial Narrow" w:cs="Arial"/>
                <w:color w:val="FFFFFF" w:themeColor="background1"/>
                <w:sz w:val="16"/>
                <w:szCs w:val="16"/>
              </w:rPr>
            </w:pPr>
          </w:p>
        </w:tc>
        <w:tc>
          <w:tcPr>
            <w:tcW w:w="1276" w:type="dxa"/>
            <w:tcBorders>
              <w:top w:val="nil"/>
              <w:left w:val="single" w:sz="18" w:space="0" w:color="C0C0C0"/>
              <w:bottom w:val="nil"/>
              <w:right w:val="single" w:sz="18" w:space="0" w:color="C0C0C0"/>
            </w:tcBorders>
            <w:shd w:val="clear" w:color="auto" w:fill="A972A9"/>
            <w:vAlign w:val="center"/>
          </w:tcPr>
          <w:p w14:paraId="22896C48" w14:textId="29C60695" w:rsidR="001C5A4D" w:rsidRPr="00E57545" w:rsidRDefault="001C5A4D"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15 Conf</w:t>
            </w:r>
          </w:p>
        </w:tc>
        <w:tc>
          <w:tcPr>
            <w:tcW w:w="1276" w:type="dxa"/>
            <w:vMerge/>
            <w:tcBorders>
              <w:left w:val="single" w:sz="18" w:space="0" w:color="C0C0C0"/>
              <w:right w:val="single" w:sz="18" w:space="0" w:color="auto"/>
            </w:tcBorders>
            <w:vAlign w:val="center"/>
          </w:tcPr>
          <w:p w14:paraId="0D0BC938" w14:textId="77777777" w:rsidR="001C5A4D" w:rsidRPr="008C7414" w:rsidRDefault="001C5A4D"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183332A0" w14:textId="77777777" w:rsidR="001C5A4D" w:rsidRPr="00464CCB" w:rsidRDefault="001C5A4D" w:rsidP="00F24F04">
            <w:pPr>
              <w:jc w:val="center"/>
              <w:rPr>
                <w:rFonts w:ascii="Arial Narrow" w:hAnsi="Arial Narrow"/>
                <w:color w:val="31849B"/>
                <w:sz w:val="16"/>
                <w:szCs w:val="16"/>
              </w:rPr>
            </w:pPr>
          </w:p>
        </w:tc>
      </w:tr>
      <w:tr w:rsidR="001C5A4D" w:rsidRPr="00BC2C5D" w14:paraId="3B01FDEF" w14:textId="77777777" w:rsidTr="004135F8">
        <w:trPr>
          <w:trHeight w:val="113"/>
        </w:trPr>
        <w:tc>
          <w:tcPr>
            <w:tcW w:w="1111" w:type="dxa"/>
            <w:vMerge/>
            <w:tcBorders>
              <w:left w:val="single" w:sz="18" w:space="0" w:color="auto"/>
              <w:right w:val="single" w:sz="18" w:space="0" w:color="C0C0C0"/>
            </w:tcBorders>
            <w:vAlign w:val="center"/>
          </w:tcPr>
          <w:p w14:paraId="06F595F2" w14:textId="77777777" w:rsidR="001C5A4D" w:rsidRDefault="001C5A4D" w:rsidP="00F24F04">
            <w:pPr>
              <w:jc w:val="center"/>
              <w:rPr>
                <w:rFonts w:ascii="Arial Narrow" w:hAnsi="Arial Narrow" w:cs="Arial"/>
                <w:sz w:val="16"/>
                <w:szCs w:val="16"/>
              </w:rPr>
            </w:pPr>
          </w:p>
        </w:tc>
        <w:tc>
          <w:tcPr>
            <w:tcW w:w="1134" w:type="dxa"/>
            <w:vMerge w:val="restart"/>
            <w:tcBorders>
              <w:top w:val="nil"/>
              <w:left w:val="single" w:sz="18" w:space="0" w:color="C0C0C0"/>
              <w:right w:val="single" w:sz="18" w:space="0" w:color="C0C0C0"/>
            </w:tcBorders>
            <w:shd w:val="clear" w:color="auto" w:fill="FFFF00"/>
            <w:vAlign w:val="center"/>
          </w:tcPr>
          <w:p w14:paraId="168606B6" w14:textId="3401F658" w:rsidR="001C5A4D" w:rsidRPr="00267AC6" w:rsidRDefault="001C5A4D" w:rsidP="00F24F04">
            <w:pPr>
              <w:jc w:val="center"/>
              <w:rPr>
                <w:rFonts w:ascii="Arial Narrow" w:hAnsi="Arial Narrow" w:cs="Arial"/>
                <w:b/>
                <w:bCs/>
                <w:sz w:val="16"/>
                <w:szCs w:val="16"/>
              </w:rPr>
            </w:pPr>
            <w:r w:rsidRPr="00267AC6">
              <w:rPr>
                <w:rFonts w:ascii="Arial Narrow" w:hAnsi="Arial Narrow" w:cs="Arial"/>
                <w:b/>
                <w:bCs/>
                <w:sz w:val="16"/>
                <w:szCs w:val="16"/>
              </w:rPr>
              <w:t>12 ½ day CE</w:t>
            </w:r>
          </w:p>
        </w:tc>
        <w:tc>
          <w:tcPr>
            <w:tcW w:w="1418" w:type="dxa"/>
            <w:vMerge w:val="restart"/>
            <w:tcBorders>
              <w:top w:val="nil"/>
              <w:left w:val="single" w:sz="18" w:space="0" w:color="C0C0C0"/>
              <w:right w:val="single" w:sz="18" w:space="0" w:color="BFBFBF"/>
            </w:tcBorders>
            <w:shd w:val="clear" w:color="auto" w:fill="769250"/>
            <w:vAlign w:val="center"/>
          </w:tcPr>
          <w:p w14:paraId="683DD214" w14:textId="3DB957AC" w:rsidR="001C5A4D" w:rsidRDefault="001C5A4D" w:rsidP="00F24F04">
            <w:pPr>
              <w:jc w:val="center"/>
              <w:rPr>
                <w:rFonts w:ascii="Arial Narrow" w:hAnsi="Arial Narrow" w:cs="Arial"/>
                <w:b/>
                <w:bCs/>
                <w:color w:val="FFFFFF" w:themeColor="background1"/>
                <w:sz w:val="16"/>
                <w:szCs w:val="16"/>
              </w:rPr>
            </w:pPr>
            <w:r w:rsidRPr="00E57545">
              <w:rPr>
                <w:rFonts w:ascii="Arial Narrow" w:hAnsi="Arial Narrow" w:cs="Arial"/>
                <w:b/>
                <w:bCs/>
                <w:color w:val="FFFFFF" w:themeColor="background1"/>
                <w:sz w:val="16"/>
                <w:szCs w:val="16"/>
              </w:rPr>
              <w:t>13</w:t>
            </w:r>
            <w:r>
              <w:rPr>
                <w:rFonts w:ascii="Arial Narrow" w:hAnsi="Arial Narrow" w:cs="Arial"/>
                <w:b/>
                <w:bCs/>
                <w:color w:val="FFFFFF" w:themeColor="background1"/>
                <w:sz w:val="16"/>
                <w:szCs w:val="16"/>
              </w:rPr>
              <w:t xml:space="preserve"> ½ day Conf</w:t>
            </w:r>
          </w:p>
          <w:p w14:paraId="2EBC2486" w14:textId="685A63E7" w:rsidR="001C5A4D" w:rsidRPr="00E57545" w:rsidRDefault="001C5A4D" w:rsidP="00F24F04">
            <w:pPr>
              <w:jc w:val="center"/>
              <w:rPr>
                <w:rFonts w:ascii="Arial Narrow" w:hAnsi="Arial Narrow" w:cs="Arial"/>
                <w:color w:val="FFFFFF" w:themeColor="background1"/>
                <w:sz w:val="16"/>
                <w:szCs w:val="16"/>
              </w:rPr>
            </w:pPr>
            <w:r>
              <w:rPr>
                <w:rFonts w:ascii="Arial Narrow" w:hAnsi="Arial Narrow" w:cs="Arial"/>
                <w:b/>
                <w:bCs/>
                <w:color w:val="FFFFFF" w:themeColor="background1"/>
                <w:sz w:val="16"/>
                <w:szCs w:val="16"/>
              </w:rPr>
              <w:t xml:space="preserve">13 ½ day </w:t>
            </w:r>
            <w:r w:rsidRPr="00E57545">
              <w:rPr>
                <w:rFonts w:ascii="Arial Narrow" w:hAnsi="Arial Narrow" w:cs="Arial"/>
                <w:b/>
                <w:bCs/>
                <w:color w:val="FFFFFF" w:themeColor="background1"/>
                <w:sz w:val="16"/>
                <w:szCs w:val="16"/>
              </w:rPr>
              <w:t>CE</w:t>
            </w:r>
          </w:p>
        </w:tc>
        <w:tc>
          <w:tcPr>
            <w:tcW w:w="1417" w:type="dxa"/>
            <w:tcBorders>
              <w:top w:val="nil"/>
              <w:left w:val="single" w:sz="18" w:space="0" w:color="BFBFBF"/>
              <w:bottom w:val="nil"/>
              <w:right w:val="single" w:sz="18" w:space="0" w:color="C0C0C0"/>
            </w:tcBorders>
            <w:shd w:val="clear" w:color="auto" w:fill="769250"/>
            <w:vAlign w:val="center"/>
          </w:tcPr>
          <w:p w14:paraId="02D1E932" w14:textId="2617A738" w:rsidR="001C5A4D" w:rsidRPr="00E57545" w:rsidRDefault="001C5A4D"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14 Conf</w:t>
            </w:r>
          </w:p>
        </w:tc>
        <w:tc>
          <w:tcPr>
            <w:tcW w:w="1276" w:type="dxa"/>
            <w:tcBorders>
              <w:top w:val="nil"/>
              <w:left w:val="single" w:sz="18" w:space="0" w:color="C0C0C0"/>
              <w:bottom w:val="nil"/>
              <w:right w:val="single" w:sz="18" w:space="0" w:color="C0C0C0"/>
            </w:tcBorders>
            <w:shd w:val="clear" w:color="auto" w:fill="769250"/>
            <w:vAlign w:val="center"/>
          </w:tcPr>
          <w:p w14:paraId="49EBE5B3" w14:textId="7476DAA5" w:rsidR="001C5A4D" w:rsidRPr="00E57545" w:rsidRDefault="001C5A4D"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15 CE</w:t>
            </w:r>
          </w:p>
        </w:tc>
        <w:tc>
          <w:tcPr>
            <w:tcW w:w="1276" w:type="dxa"/>
            <w:vMerge/>
            <w:tcBorders>
              <w:left w:val="single" w:sz="18" w:space="0" w:color="C0C0C0"/>
              <w:right w:val="single" w:sz="18" w:space="0" w:color="auto"/>
            </w:tcBorders>
            <w:vAlign w:val="center"/>
          </w:tcPr>
          <w:p w14:paraId="79D7E941" w14:textId="77777777" w:rsidR="001C5A4D" w:rsidRPr="008C7414" w:rsidRDefault="001C5A4D"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6B1C62AA" w14:textId="77777777" w:rsidR="001C5A4D" w:rsidRPr="00464CCB" w:rsidRDefault="001C5A4D" w:rsidP="00F24F04">
            <w:pPr>
              <w:jc w:val="center"/>
              <w:rPr>
                <w:rFonts w:ascii="Arial Narrow" w:hAnsi="Arial Narrow"/>
                <w:color w:val="31849B"/>
                <w:sz w:val="16"/>
                <w:szCs w:val="16"/>
              </w:rPr>
            </w:pPr>
          </w:p>
        </w:tc>
      </w:tr>
      <w:tr w:rsidR="001C5A4D" w:rsidRPr="00BC2C5D" w14:paraId="50398366" w14:textId="77777777" w:rsidTr="001C5A4D">
        <w:trPr>
          <w:trHeight w:val="113"/>
        </w:trPr>
        <w:tc>
          <w:tcPr>
            <w:tcW w:w="1111" w:type="dxa"/>
            <w:vMerge/>
            <w:tcBorders>
              <w:left w:val="single" w:sz="18" w:space="0" w:color="auto"/>
              <w:right w:val="single" w:sz="18" w:space="0" w:color="C0C0C0"/>
            </w:tcBorders>
            <w:vAlign w:val="center"/>
          </w:tcPr>
          <w:p w14:paraId="1C7E52B7" w14:textId="77777777" w:rsidR="001C5A4D" w:rsidRDefault="001C5A4D" w:rsidP="00F24F04">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FF00"/>
            <w:vAlign w:val="center"/>
          </w:tcPr>
          <w:p w14:paraId="3537F2CC" w14:textId="77777777" w:rsidR="001C5A4D" w:rsidRPr="005417C8" w:rsidRDefault="001C5A4D" w:rsidP="00F24F04">
            <w:pPr>
              <w:jc w:val="center"/>
              <w:rPr>
                <w:rFonts w:ascii="Arial Narrow" w:hAnsi="Arial Narrow" w:cs="Arial"/>
                <w:sz w:val="16"/>
                <w:szCs w:val="16"/>
              </w:rPr>
            </w:pPr>
          </w:p>
        </w:tc>
        <w:tc>
          <w:tcPr>
            <w:tcW w:w="1418" w:type="dxa"/>
            <w:vMerge/>
            <w:tcBorders>
              <w:left w:val="single" w:sz="18" w:space="0" w:color="C0C0C0"/>
              <w:right w:val="single" w:sz="18" w:space="0" w:color="BFBFBF"/>
            </w:tcBorders>
            <w:shd w:val="clear" w:color="auto" w:fill="769250"/>
            <w:vAlign w:val="center"/>
          </w:tcPr>
          <w:p w14:paraId="3E6A5E6A" w14:textId="77777777" w:rsidR="001C5A4D" w:rsidRPr="00E57545" w:rsidRDefault="001C5A4D" w:rsidP="00F24F04">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nil"/>
              <w:right w:val="single" w:sz="18" w:space="0" w:color="C0C0C0"/>
            </w:tcBorders>
            <w:shd w:val="clear" w:color="auto" w:fill="FFFF00"/>
            <w:vAlign w:val="center"/>
          </w:tcPr>
          <w:p w14:paraId="11B4EE57" w14:textId="60C520E6" w:rsidR="001C5A4D" w:rsidRPr="005417C8" w:rsidRDefault="001C5A4D" w:rsidP="00F24F04">
            <w:pPr>
              <w:jc w:val="center"/>
              <w:rPr>
                <w:rFonts w:ascii="Arial Narrow" w:hAnsi="Arial Narrow" w:cs="Arial"/>
                <w:b/>
                <w:bCs/>
                <w:sz w:val="16"/>
                <w:szCs w:val="16"/>
              </w:rPr>
            </w:pPr>
            <w:r w:rsidRPr="005417C8">
              <w:rPr>
                <w:rFonts w:ascii="Arial Narrow" w:hAnsi="Arial Narrow" w:cs="Arial"/>
                <w:b/>
                <w:bCs/>
                <w:sz w:val="16"/>
                <w:szCs w:val="16"/>
              </w:rPr>
              <w:t>14 CE</w:t>
            </w:r>
          </w:p>
        </w:tc>
        <w:tc>
          <w:tcPr>
            <w:tcW w:w="1276" w:type="dxa"/>
            <w:tcBorders>
              <w:top w:val="nil"/>
              <w:left w:val="single" w:sz="18" w:space="0" w:color="C0C0C0"/>
              <w:bottom w:val="nil"/>
              <w:right w:val="single" w:sz="18" w:space="0" w:color="C0C0C0"/>
            </w:tcBorders>
            <w:shd w:val="clear" w:color="auto" w:fill="FFFF00"/>
            <w:vAlign w:val="center"/>
          </w:tcPr>
          <w:p w14:paraId="65282D4F" w14:textId="5144D247" w:rsidR="001C5A4D" w:rsidRPr="005417C8" w:rsidRDefault="001C5A4D" w:rsidP="00F24F04">
            <w:pPr>
              <w:jc w:val="center"/>
              <w:rPr>
                <w:rFonts w:ascii="Arial Narrow" w:hAnsi="Arial Narrow" w:cs="Arial"/>
                <w:b/>
                <w:bCs/>
                <w:sz w:val="16"/>
                <w:szCs w:val="16"/>
              </w:rPr>
            </w:pPr>
            <w:r w:rsidRPr="005417C8">
              <w:rPr>
                <w:rFonts w:ascii="Arial Narrow" w:hAnsi="Arial Narrow" w:cs="Arial"/>
                <w:b/>
                <w:bCs/>
                <w:sz w:val="16"/>
                <w:szCs w:val="16"/>
              </w:rPr>
              <w:t>15 Conf</w:t>
            </w:r>
          </w:p>
        </w:tc>
        <w:tc>
          <w:tcPr>
            <w:tcW w:w="1276" w:type="dxa"/>
            <w:vMerge/>
            <w:tcBorders>
              <w:left w:val="single" w:sz="18" w:space="0" w:color="C0C0C0"/>
              <w:right w:val="single" w:sz="18" w:space="0" w:color="auto"/>
            </w:tcBorders>
            <w:vAlign w:val="center"/>
          </w:tcPr>
          <w:p w14:paraId="515F2842" w14:textId="77777777" w:rsidR="001C5A4D" w:rsidRPr="008C7414" w:rsidRDefault="001C5A4D"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4A984FC8" w14:textId="77777777" w:rsidR="001C5A4D" w:rsidRPr="00464CCB" w:rsidRDefault="001C5A4D" w:rsidP="00F24F04">
            <w:pPr>
              <w:jc w:val="center"/>
              <w:rPr>
                <w:rFonts w:ascii="Arial Narrow" w:hAnsi="Arial Narrow"/>
                <w:color w:val="31849B"/>
                <w:sz w:val="16"/>
                <w:szCs w:val="16"/>
              </w:rPr>
            </w:pPr>
          </w:p>
        </w:tc>
      </w:tr>
      <w:tr w:rsidR="001C5A4D" w:rsidRPr="00BC2C5D" w14:paraId="7F2797B1" w14:textId="77777777" w:rsidTr="001C5A4D">
        <w:trPr>
          <w:trHeight w:val="112"/>
        </w:trPr>
        <w:tc>
          <w:tcPr>
            <w:tcW w:w="1111" w:type="dxa"/>
            <w:vMerge/>
            <w:tcBorders>
              <w:left w:val="single" w:sz="18" w:space="0" w:color="auto"/>
              <w:right w:val="single" w:sz="18" w:space="0" w:color="C0C0C0"/>
            </w:tcBorders>
            <w:vAlign w:val="center"/>
          </w:tcPr>
          <w:p w14:paraId="4BEA8203" w14:textId="77777777" w:rsidR="001C5A4D" w:rsidRDefault="001C5A4D" w:rsidP="00F24F04">
            <w:pPr>
              <w:jc w:val="center"/>
              <w:rPr>
                <w:rFonts w:ascii="Arial Narrow" w:hAnsi="Arial Narrow" w:cs="Arial"/>
                <w:sz w:val="16"/>
                <w:szCs w:val="16"/>
              </w:rPr>
            </w:pPr>
          </w:p>
        </w:tc>
        <w:tc>
          <w:tcPr>
            <w:tcW w:w="1134" w:type="dxa"/>
            <w:vMerge/>
            <w:tcBorders>
              <w:left w:val="single" w:sz="18" w:space="0" w:color="C0C0C0"/>
              <w:bottom w:val="single" w:sz="18" w:space="0" w:color="C0C0C0"/>
              <w:right w:val="single" w:sz="18" w:space="0" w:color="C0C0C0"/>
            </w:tcBorders>
            <w:shd w:val="clear" w:color="auto" w:fill="FFFF00"/>
            <w:vAlign w:val="center"/>
          </w:tcPr>
          <w:p w14:paraId="7E8A7CA9" w14:textId="77777777" w:rsidR="001C5A4D" w:rsidRPr="005417C8" w:rsidRDefault="001C5A4D" w:rsidP="00F24F04">
            <w:pPr>
              <w:jc w:val="center"/>
              <w:rPr>
                <w:rFonts w:ascii="Arial Narrow" w:hAnsi="Arial Narrow" w:cs="Arial"/>
                <w:sz w:val="16"/>
                <w:szCs w:val="16"/>
              </w:rPr>
            </w:pPr>
          </w:p>
        </w:tc>
        <w:tc>
          <w:tcPr>
            <w:tcW w:w="1418" w:type="dxa"/>
            <w:vMerge/>
            <w:tcBorders>
              <w:left w:val="single" w:sz="18" w:space="0" w:color="C0C0C0"/>
              <w:right w:val="single" w:sz="18" w:space="0" w:color="BFBFBF"/>
            </w:tcBorders>
            <w:shd w:val="clear" w:color="auto" w:fill="769250"/>
            <w:vAlign w:val="center"/>
          </w:tcPr>
          <w:p w14:paraId="21DD5BDA" w14:textId="77777777" w:rsidR="001C5A4D" w:rsidRPr="00E57545" w:rsidRDefault="001C5A4D" w:rsidP="00F24F04">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single" w:sz="18" w:space="0" w:color="C0C0C0"/>
              <w:right w:val="single" w:sz="18" w:space="0" w:color="C0C0C0"/>
            </w:tcBorders>
            <w:shd w:val="clear" w:color="auto" w:fill="20849B"/>
            <w:vAlign w:val="center"/>
          </w:tcPr>
          <w:p w14:paraId="441988CC" w14:textId="7300424D" w:rsidR="001C5A4D" w:rsidRPr="001C5A4D" w:rsidRDefault="001C5A4D" w:rsidP="00F24F04">
            <w:pPr>
              <w:jc w:val="center"/>
              <w:rPr>
                <w:rFonts w:ascii="Arial Narrow" w:hAnsi="Arial Narrow" w:cs="Arial"/>
                <w:b/>
                <w:bCs/>
                <w:color w:val="FFFFFF" w:themeColor="background1"/>
                <w:sz w:val="16"/>
                <w:szCs w:val="16"/>
              </w:rPr>
            </w:pPr>
            <w:r w:rsidRPr="001C5A4D">
              <w:rPr>
                <w:rFonts w:ascii="Arial Narrow" w:hAnsi="Arial Narrow" w:cs="Arial"/>
                <w:b/>
                <w:bCs/>
                <w:color w:val="FFFFFF" w:themeColor="background1"/>
                <w:sz w:val="16"/>
                <w:szCs w:val="16"/>
              </w:rPr>
              <w:t>14 CE</w:t>
            </w:r>
          </w:p>
        </w:tc>
        <w:tc>
          <w:tcPr>
            <w:tcW w:w="1276" w:type="dxa"/>
            <w:tcBorders>
              <w:top w:val="nil"/>
              <w:left w:val="single" w:sz="18" w:space="0" w:color="C0C0C0"/>
              <w:bottom w:val="single" w:sz="18" w:space="0" w:color="C0C0C0"/>
              <w:right w:val="single" w:sz="18" w:space="0" w:color="C0C0C0"/>
            </w:tcBorders>
            <w:shd w:val="clear" w:color="auto" w:fill="20849B"/>
            <w:vAlign w:val="center"/>
          </w:tcPr>
          <w:p w14:paraId="22A1C258" w14:textId="2071E84F" w:rsidR="001C5A4D" w:rsidRPr="001C5A4D" w:rsidRDefault="001C5A4D" w:rsidP="00F24F04">
            <w:pPr>
              <w:jc w:val="center"/>
              <w:rPr>
                <w:rFonts w:ascii="Arial Narrow" w:hAnsi="Arial Narrow" w:cs="Arial"/>
                <w:b/>
                <w:bCs/>
                <w:color w:val="FFFFFF" w:themeColor="background1"/>
                <w:sz w:val="16"/>
                <w:szCs w:val="16"/>
              </w:rPr>
            </w:pPr>
            <w:r w:rsidRPr="001C5A4D">
              <w:rPr>
                <w:rFonts w:ascii="Arial Narrow" w:hAnsi="Arial Narrow" w:cs="Arial"/>
                <w:b/>
                <w:bCs/>
                <w:color w:val="FFFFFF" w:themeColor="background1"/>
                <w:sz w:val="16"/>
                <w:szCs w:val="16"/>
              </w:rPr>
              <w:t>15 Conf</w:t>
            </w:r>
          </w:p>
        </w:tc>
        <w:tc>
          <w:tcPr>
            <w:tcW w:w="1276" w:type="dxa"/>
            <w:vMerge/>
            <w:tcBorders>
              <w:left w:val="single" w:sz="18" w:space="0" w:color="C0C0C0"/>
              <w:right w:val="single" w:sz="18" w:space="0" w:color="auto"/>
            </w:tcBorders>
            <w:vAlign w:val="center"/>
          </w:tcPr>
          <w:p w14:paraId="32A96158" w14:textId="77777777" w:rsidR="001C5A4D" w:rsidRPr="008C7414" w:rsidRDefault="001C5A4D"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2708295D" w14:textId="77777777" w:rsidR="001C5A4D" w:rsidRPr="00464CCB" w:rsidRDefault="001C5A4D" w:rsidP="00F24F04">
            <w:pPr>
              <w:jc w:val="center"/>
              <w:rPr>
                <w:rFonts w:ascii="Arial Narrow" w:hAnsi="Arial Narrow"/>
                <w:color w:val="31849B"/>
                <w:sz w:val="16"/>
                <w:szCs w:val="16"/>
              </w:rPr>
            </w:pPr>
          </w:p>
        </w:tc>
      </w:tr>
      <w:tr w:rsidR="00F24F04" w:rsidRPr="00BC2C5D" w14:paraId="3766C4CB" w14:textId="77777777" w:rsidTr="005417C8">
        <w:trPr>
          <w:trHeight w:val="143"/>
        </w:trPr>
        <w:tc>
          <w:tcPr>
            <w:tcW w:w="1111" w:type="dxa"/>
            <w:vMerge w:val="restart"/>
            <w:tcBorders>
              <w:top w:val="single" w:sz="18" w:space="0" w:color="C0C0C0"/>
              <w:left w:val="single" w:sz="18" w:space="0" w:color="auto"/>
              <w:right w:val="single" w:sz="18" w:space="0" w:color="C0C0C0"/>
            </w:tcBorders>
            <w:vAlign w:val="center"/>
          </w:tcPr>
          <w:p w14:paraId="0F542D29" w14:textId="7D0AA8BC" w:rsidR="00F24F04" w:rsidRDefault="00F24F04" w:rsidP="00F24F04">
            <w:pPr>
              <w:jc w:val="center"/>
              <w:rPr>
                <w:rFonts w:ascii="Arial Narrow" w:hAnsi="Arial Narrow" w:cs="Arial"/>
                <w:sz w:val="16"/>
                <w:szCs w:val="16"/>
              </w:rPr>
            </w:pPr>
            <w:r>
              <w:rPr>
                <w:rFonts w:ascii="Arial Narrow" w:hAnsi="Arial Narrow" w:cs="Arial"/>
                <w:sz w:val="16"/>
                <w:szCs w:val="16"/>
              </w:rPr>
              <w:t>19 May</w:t>
            </w:r>
          </w:p>
        </w:tc>
        <w:tc>
          <w:tcPr>
            <w:tcW w:w="1134" w:type="dxa"/>
            <w:vMerge w:val="restart"/>
            <w:tcBorders>
              <w:top w:val="single" w:sz="18" w:space="0" w:color="C0C0C0"/>
              <w:left w:val="single" w:sz="18" w:space="0" w:color="C0C0C0"/>
              <w:right w:val="single" w:sz="18" w:space="0" w:color="C0C0C0"/>
            </w:tcBorders>
            <w:shd w:val="clear" w:color="auto" w:fill="FF0000"/>
            <w:vAlign w:val="center"/>
          </w:tcPr>
          <w:p w14:paraId="2B5526BB" w14:textId="40E19D99"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½ day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7CBBAD8B" w14:textId="2A67C8B5"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Conf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46FDB6FD" w14:textId="6A8B7E39"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Conf</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0E61EDBE" w14:textId="047652F0"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½ day CE</w:t>
            </w:r>
          </w:p>
        </w:tc>
        <w:tc>
          <w:tcPr>
            <w:tcW w:w="1276" w:type="dxa"/>
            <w:vMerge w:val="restart"/>
            <w:tcBorders>
              <w:top w:val="single" w:sz="18" w:space="0" w:color="C0C0C0"/>
              <w:left w:val="single" w:sz="18" w:space="0" w:color="C0C0C0"/>
              <w:right w:val="single" w:sz="18" w:space="0" w:color="auto"/>
            </w:tcBorders>
            <w:vAlign w:val="center"/>
          </w:tcPr>
          <w:p w14:paraId="5DEA3FBA" w14:textId="77777777" w:rsidR="00F24F04" w:rsidRPr="008C7414" w:rsidRDefault="00F24F04" w:rsidP="00F24F04">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vAlign w:val="center"/>
          </w:tcPr>
          <w:p w14:paraId="7E9BBB20" w14:textId="34F4572A" w:rsidR="00F24F04" w:rsidRPr="00464CCB" w:rsidRDefault="00F24F04" w:rsidP="00F24F04">
            <w:pPr>
              <w:jc w:val="center"/>
              <w:rPr>
                <w:rFonts w:ascii="Arial Narrow" w:hAnsi="Arial Narrow" w:cs="Arial"/>
                <w:sz w:val="16"/>
                <w:szCs w:val="16"/>
                <w:highlight w:val="yellow"/>
              </w:rPr>
            </w:pPr>
          </w:p>
        </w:tc>
      </w:tr>
      <w:tr w:rsidR="00F24F04" w:rsidRPr="00BC2C5D" w14:paraId="6D9CD358" w14:textId="77777777" w:rsidTr="00971872">
        <w:trPr>
          <w:trHeight w:val="142"/>
        </w:trPr>
        <w:tc>
          <w:tcPr>
            <w:tcW w:w="1111" w:type="dxa"/>
            <w:vMerge/>
            <w:tcBorders>
              <w:left w:val="single" w:sz="18" w:space="0" w:color="auto"/>
              <w:right w:val="single" w:sz="18" w:space="0" w:color="C0C0C0"/>
            </w:tcBorders>
            <w:vAlign w:val="center"/>
          </w:tcPr>
          <w:p w14:paraId="04D0E4DF" w14:textId="77777777" w:rsidR="00F24F04" w:rsidRDefault="00F24F04" w:rsidP="00F24F04">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5CE904C5" w14:textId="77777777" w:rsidR="00F24F04" w:rsidRPr="00E57545" w:rsidRDefault="00F24F04" w:rsidP="00F24F04">
            <w:pPr>
              <w:jc w:val="center"/>
              <w:rPr>
                <w:rFonts w:ascii="Arial Narrow" w:hAnsi="Arial Narrow" w:cs="Arial"/>
                <w:color w:val="FFFFFF" w:themeColor="background1"/>
                <w:sz w:val="16"/>
                <w:szCs w:val="16"/>
              </w:rPr>
            </w:pPr>
          </w:p>
        </w:tc>
        <w:tc>
          <w:tcPr>
            <w:tcW w:w="1418" w:type="dxa"/>
            <w:tcBorders>
              <w:top w:val="nil"/>
              <w:left w:val="single" w:sz="18" w:space="0" w:color="C0C0C0"/>
              <w:right w:val="single" w:sz="18" w:space="0" w:color="BFBFBF"/>
            </w:tcBorders>
            <w:shd w:val="clear" w:color="auto" w:fill="20849B"/>
            <w:vAlign w:val="center"/>
          </w:tcPr>
          <w:p w14:paraId="7268D786" w14:textId="629F6B7C"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CE</w:t>
            </w:r>
          </w:p>
        </w:tc>
        <w:tc>
          <w:tcPr>
            <w:tcW w:w="1417" w:type="dxa"/>
            <w:tcBorders>
              <w:top w:val="nil"/>
              <w:left w:val="single" w:sz="18" w:space="0" w:color="BFBFBF"/>
              <w:right w:val="single" w:sz="18" w:space="0" w:color="C0C0C0"/>
            </w:tcBorders>
            <w:shd w:val="clear" w:color="auto" w:fill="20849B"/>
            <w:vAlign w:val="center"/>
          </w:tcPr>
          <w:p w14:paraId="3B212757" w14:textId="18EB4D24"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276" w:type="dxa"/>
            <w:tcBorders>
              <w:top w:val="nil"/>
              <w:left w:val="single" w:sz="18" w:space="0" w:color="C0C0C0"/>
              <w:right w:val="single" w:sz="18" w:space="0" w:color="C0C0C0"/>
            </w:tcBorders>
            <w:shd w:val="clear" w:color="auto" w:fill="20849B"/>
            <w:vAlign w:val="center"/>
          </w:tcPr>
          <w:p w14:paraId="01EF1198" w14:textId="15FB106F"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½ day CE</w:t>
            </w:r>
          </w:p>
        </w:tc>
        <w:tc>
          <w:tcPr>
            <w:tcW w:w="1276" w:type="dxa"/>
            <w:vMerge/>
            <w:tcBorders>
              <w:left w:val="single" w:sz="18" w:space="0" w:color="C0C0C0"/>
              <w:right w:val="single" w:sz="18" w:space="0" w:color="auto"/>
            </w:tcBorders>
            <w:vAlign w:val="center"/>
          </w:tcPr>
          <w:p w14:paraId="4B82B7A7" w14:textId="77777777" w:rsidR="00F24F04" w:rsidRPr="008C7414" w:rsidRDefault="00F24F04"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70CC6DCA" w14:textId="77777777" w:rsidR="00F24F04" w:rsidRPr="00464CCB" w:rsidRDefault="00F24F04" w:rsidP="00F24F04">
            <w:pPr>
              <w:jc w:val="center"/>
              <w:rPr>
                <w:rFonts w:ascii="Arial Narrow" w:hAnsi="Arial Narrow" w:cs="Arial"/>
                <w:sz w:val="16"/>
                <w:szCs w:val="16"/>
                <w:highlight w:val="yellow"/>
              </w:rPr>
            </w:pPr>
          </w:p>
        </w:tc>
      </w:tr>
      <w:tr w:rsidR="00F24F04" w:rsidRPr="00BC2C5D" w14:paraId="2952A691" w14:textId="77777777" w:rsidTr="00971872">
        <w:trPr>
          <w:trHeight w:val="95"/>
        </w:trPr>
        <w:tc>
          <w:tcPr>
            <w:tcW w:w="1111" w:type="dxa"/>
            <w:vMerge w:val="restart"/>
            <w:tcBorders>
              <w:top w:val="single" w:sz="18" w:space="0" w:color="BFBFBF"/>
              <w:left w:val="single" w:sz="18" w:space="0" w:color="auto"/>
              <w:right w:val="single" w:sz="18" w:space="0" w:color="C0C0C0"/>
            </w:tcBorders>
            <w:vAlign w:val="center"/>
          </w:tcPr>
          <w:p w14:paraId="219AC89F" w14:textId="2950BDBE" w:rsidR="00F24F04" w:rsidRPr="00A634FA" w:rsidRDefault="00F24F04" w:rsidP="00F24F04">
            <w:pPr>
              <w:jc w:val="center"/>
              <w:rPr>
                <w:rFonts w:ascii="Arial Narrow" w:hAnsi="Arial Narrow" w:cs="Arial"/>
                <w:sz w:val="16"/>
                <w:szCs w:val="16"/>
              </w:rPr>
            </w:pPr>
            <w:r>
              <w:rPr>
                <w:rFonts w:ascii="Arial Narrow" w:hAnsi="Arial Narrow" w:cs="Arial"/>
                <w:sz w:val="16"/>
                <w:szCs w:val="16"/>
              </w:rPr>
              <w:t>26 May</w:t>
            </w:r>
          </w:p>
        </w:tc>
        <w:tc>
          <w:tcPr>
            <w:tcW w:w="1134" w:type="dxa"/>
            <w:vMerge w:val="restart"/>
            <w:tcBorders>
              <w:top w:val="single" w:sz="18" w:space="0" w:color="BFBFBF"/>
              <w:left w:val="single" w:sz="18" w:space="0" w:color="C0C0C0"/>
              <w:right w:val="single" w:sz="18" w:space="0" w:color="C0C0C0"/>
            </w:tcBorders>
            <w:shd w:val="clear" w:color="auto" w:fill="A972A9"/>
            <w:vAlign w:val="center"/>
          </w:tcPr>
          <w:p w14:paraId="4A0F32FC" w14:textId="1DEB9705"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½ day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4423C25E" w14:textId="720D6BE3"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CE</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2AE45B4E" w14:textId="07F0D1D7"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28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158F79EF" w14:textId="3CAEC7A6"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Conf</w:t>
            </w:r>
          </w:p>
        </w:tc>
        <w:tc>
          <w:tcPr>
            <w:tcW w:w="1276" w:type="dxa"/>
            <w:vMerge w:val="restart"/>
            <w:tcBorders>
              <w:top w:val="single" w:sz="18" w:space="0" w:color="BFBFBF"/>
              <w:left w:val="single" w:sz="18" w:space="0" w:color="C0C0C0"/>
              <w:right w:val="single" w:sz="18" w:space="0" w:color="auto"/>
            </w:tcBorders>
            <w:vAlign w:val="center"/>
          </w:tcPr>
          <w:p w14:paraId="3C457AF3" w14:textId="78AA5992" w:rsidR="00F24F04" w:rsidRPr="008C7414" w:rsidRDefault="00F24F04" w:rsidP="00F24F04">
            <w:pPr>
              <w:jc w:val="center"/>
              <w:rPr>
                <w:rFonts w:ascii="Arial Narrow" w:hAnsi="Arial Narrow" w:cs="Arial"/>
                <w:sz w:val="16"/>
                <w:szCs w:val="16"/>
              </w:rPr>
            </w:pPr>
          </w:p>
        </w:tc>
        <w:tc>
          <w:tcPr>
            <w:tcW w:w="3226" w:type="dxa"/>
            <w:vMerge w:val="restart"/>
            <w:tcBorders>
              <w:top w:val="single" w:sz="18" w:space="0" w:color="BFBFBF"/>
              <w:left w:val="single" w:sz="18" w:space="0" w:color="auto"/>
              <w:right w:val="single" w:sz="18" w:space="0" w:color="auto"/>
            </w:tcBorders>
            <w:vAlign w:val="center"/>
          </w:tcPr>
          <w:p w14:paraId="6E6EBCEC" w14:textId="104EF8EC" w:rsidR="00F24F04" w:rsidRPr="00464CCB" w:rsidRDefault="00F24F04" w:rsidP="00F24F04">
            <w:pPr>
              <w:jc w:val="center"/>
              <w:rPr>
                <w:rFonts w:ascii="Arial Narrow" w:hAnsi="Arial Narrow" w:cs="Arial"/>
                <w:color w:val="FFFFFF" w:themeColor="background1"/>
                <w:sz w:val="16"/>
                <w:szCs w:val="16"/>
              </w:rPr>
            </w:pPr>
            <w:r w:rsidRPr="00464CCB">
              <w:rPr>
                <w:rFonts w:ascii="Arial Narrow" w:hAnsi="Arial Narrow"/>
                <w:color w:val="FFFFFF" w:themeColor="background1"/>
                <w:sz w:val="16"/>
                <w:szCs w:val="16"/>
                <w:highlight w:val="green"/>
              </w:rPr>
              <w:t>Cooktown Circuit</w:t>
            </w:r>
          </w:p>
        </w:tc>
      </w:tr>
      <w:tr w:rsidR="00F24F04" w:rsidRPr="00BC2C5D" w14:paraId="4B2D90CF" w14:textId="77777777" w:rsidTr="00971872">
        <w:trPr>
          <w:trHeight w:val="95"/>
        </w:trPr>
        <w:tc>
          <w:tcPr>
            <w:tcW w:w="1111" w:type="dxa"/>
            <w:vMerge/>
            <w:tcBorders>
              <w:left w:val="single" w:sz="18" w:space="0" w:color="auto"/>
              <w:right w:val="single" w:sz="18" w:space="0" w:color="C0C0C0"/>
            </w:tcBorders>
            <w:vAlign w:val="center"/>
          </w:tcPr>
          <w:p w14:paraId="3725E7A4" w14:textId="77777777" w:rsidR="00F24F04" w:rsidRDefault="00F24F04" w:rsidP="00F24F04">
            <w:pPr>
              <w:jc w:val="center"/>
              <w:rPr>
                <w:rFonts w:ascii="Arial Narrow" w:hAnsi="Arial Narrow" w:cs="Arial"/>
                <w:sz w:val="16"/>
                <w:szCs w:val="16"/>
              </w:rPr>
            </w:pPr>
          </w:p>
        </w:tc>
        <w:tc>
          <w:tcPr>
            <w:tcW w:w="1134" w:type="dxa"/>
            <w:vMerge/>
            <w:tcBorders>
              <w:left w:val="single" w:sz="18" w:space="0" w:color="C0C0C0"/>
              <w:bottom w:val="nil"/>
              <w:right w:val="single" w:sz="18" w:space="0" w:color="C0C0C0"/>
            </w:tcBorders>
            <w:vAlign w:val="center"/>
          </w:tcPr>
          <w:p w14:paraId="4434539F" w14:textId="77777777" w:rsidR="00F24F04" w:rsidRPr="00E57545" w:rsidRDefault="00F24F04" w:rsidP="00F24F04">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cBorders>
            <w:shd w:val="clear" w:color="auto" w:fill="769250"/>
            <w:vAlign w:val="center"/>
          </w:tcPr>
          <w:p w14:paraId="2678DAD2" w14:textId="6C57A728"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CE</w:t>
            </w:r>
          </w:p>
        </w:tc>
        <w:tc>
          <w:tcPr>
            <w:tcW w:w="1417" w:type="dxa"/>
            <w:vMerge w:val="restart"/>
            <w:tcBorders>
              <w:top w:val="nil"/>
              <w:left w:val="single" w:sz="18" w:space="0" w:color="BFBFBF"/>
              <w:bottom w:val="single" w:sz="18" w:space="0" w:color="auto"/>
              <w:right w:val="single" w:sz="18" w:space="0" w:color="C0C0C0"/>
            </w:tcBorders>
            <w:shd w:val="clear" w:color="auto" w:fill="769250"/>
            <w:vAlign w:val="center"/>
          </w:tcPr>
          <w:p w14:paraId="056F7EE3" w14:textId="79B49F3E"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28 Conf</w:t>
            </w:r>
          </w:p>
        </w:tc>
        <w:tc>
          <w:tcPr>
            <w:tcW w:w="1276" w:type="dxa"/>
            <w:vMerge w:val="restart"/>
            <w:tcBorders>
              <w:top w:val="nil"/>
              <w:left w:val="single" w:sz="18" w:space="0" w:color="C0C0C0"/>
              <w:bottom w:val="single" w:sz="18" w:space="0" w:color="auto"/>
              <w:right w:val="single" w:sz="18" w:space="0" w:color="C0C0C0"/>
            </w:tcBorders>
            <w:shd w:val="clear" w:color="auto" w:fill="769250"/>
            <w:vAlign w:val="center"/>
          </w:tcPr>
          <w:p w14:paraId="216380B7" w14:textId="214DF527"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CE</w:t>
            </w:r>
          </w:p>
        </w:tc>
        <w:tc>
          <w:tcPr>
            <w:tcW w:w="1276" w:type="dxa"/>
            <w:vMerge/>
            <w:tcBorders>
              <w:left w:val="single" w:sz="18" w:space="0" w:color="C0C0C0"/>
              <w:right w:val="single" w:sz="18" w:space="0" w:color="auto"/>
            </w:tcBorders>
            <w:vAlign w:val="center"/>
          </w:tcPr>
          <w:p w14:paraId="014DB371" w14:textId="77777777" w:rsidR="00F24F04" w:rsidRPr="008C7414" w:rsidRDefault="00F24F04"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1CE9AA0E" w14:textId="77777777" w:rsidR="00F24F04" w:rsidRPr="00464CCB" w:rsidRDefault="00F24F04" w:rsidP="00F24F04">
            <w:pPr>
              <w:jc w:val="center"/>
              <w:rPr>
                <w:rFonts w:ascii="Arial Narrow" w:hAnsi="Arial Narrow"/>
                <w:color w:val="FFFFFF" w:themeColor="background1"/>
                <w:sz w:val="16"/>
                <w:szCs w:val="16"/>
                <w:highlight w:val="green"/>
              </w:rPr>
            </w:pPr>
          </w:p>
        </w:tc>
      </w:tr>
      <w:tr w:rsidR="00F24F04" w:rsidRPr="00BC2C5D" w14:paraId="0549AA8B" w14:textId="77777777" w:rsidTr="00971872">
        <w:trPr>
          <w:trHeight w:val="95"/>
        </w:trPr>
        <w:tc>
          <w:tcPr>
            <w:tcW w:w="1111" w:type="dxa"/>
            <w:vMerge/>
            <w:tcBorders>
              <w:left w:val="single" w:sz="18" w:space="0" w:color="auto"/>
              <w:right w:val="single" w:sz="18" w:space="0" w:color="C0C0C0"/>
            </w:tcBorders>
            <w:vAlign w:val="center"/>
          </w:tcPr>
          <w:p w14:paraId="2E19439C" w14:textId="77777777" w:rsidR="00F24F04" w:rsidRDefault="00F24F04" w:rsidP="00F24F04">
            <w:pPr>
              <w:jc w:val="center"/>
              <w:rPr>
                <w:rFonts w:ascii="Arial Narrow" w:hAnsi="Arial Narrow" w:cs="Arial"/>
                <w:sz w:val="16"/>
                <w:szCs w:val="16"/>
              </w:rPr>
            </w:pPr>
          </w:p>
        </w:tc>
        <w:tc>
          <w:tcPr>
            <w:tcW w:w="1134" w:type="dxa"/>
            <w:tcBorders>
              <w:top w:val="nil"/>
              <w:left w:val="single" w:sz="18" w:space="0" w:color="C0C0C0"/>
              <w:bottom w:val="single" w:sz="18" w:space="0" w:color="auto"/>
              <w:right w:val="single" w:sz="18" w:space="0" w:color="C0C0C0"/>
            </w:tcBorders>
            <w:shd w:val="clear" w:color="auto" w:fill="FFFF00"/>
            <w:vAlign w:val="center"/>
          </w:tcPr>
          <w:p w14:paraId="1A4370C5" w14:textId="5118BF61" w:rsidR="00F24F04" w:rsidRPr="00E57545" w:rsidRDefault="00F24F04" w:rsidP="00F24F04">
            <w:pPr>
              <w:jc w:val="center"/>
              <w:rPr>
                <w:rFonts w:ascii="Arial Narrow" w:hAnsi="Arial Narrow" w:cs="Arial"/>
                <w:sz w:val="16"/>
                <w:szCs w:val="16"/>
              </w:rPr>
            </w:pPr>
            <w:r w:rsidRPr="00E57545">
              <w:rPr>
                <w:rFonts w:ascii="Arial Narrow" w:hAnsi="Arial Narrow" w:cs="Arial"/>
                <w:b/>
                <w:bCs/>
                <w:sz w:val="16"/>
                <w:szCs w:val="16"/>
              </w:rPr>
              <w:t>26 CE</w:t>
            </w:r>
          </w:p>
        </w:tc>
        <w:tc>
          <w:tcPr>
            <w:tcW w:w="1418" w:type="dxa"/>
            <w:tcBorders>
              <w:top w:val="nil"/>
              <w:left w:val="single" w:sz="18" w:space="0" w:color="C0C0C0"/>
              <w:right w:val="single" w:sz="18" w:space="0" w:color="BFBFBF"/>
            </w:tcBorders>
            <w:shd w:val="clear" w:color="auto" w:fill="FFFF00"/>
            <w:vAlign w:val="center"/>
          </w:tcPr>
          <w:p w14:paraId="2849F8C7" w14:textId="3D72D61D" w:rsidR="00F24F04" w:rsidRPr="00E57545" w:rsidRDefault="00F24F04" w:rsidP="00F24F04">
            <w:pPr>
              <w:jc w:val="center"/>
              <w:rPr>
                <w:rFonts w:ascii="Arial Narrow" w:hAnsi="Arial Narrow" w:cs="Arial"/>
                <w:sz w:val="16"/>
                <w:szCs w:val="16"/>
              </w:rPr>
            </w:pPr>
            <w:r w:rsidRPr="00E57545">
              <w:rPr>
                <w:rFonts w:ascii="Arial Narrow" w:hAnsi="Arial Narrow" w:cs="Arial"/>
                <w:b/>
                <w:bCs/>
                <w:sz w:val="16"/>
                <w:szCs w:val="16"/>
              </w:rPr>
              <w:t>27 Conf</w:t>
            </w:r>
          </w:p>
        </w:tc>
        <w:tc>
          <w:tcPr>
            <w:tcW w:w="1417" w:type="dxa"/>
            <w:vMerge/>
            <w:tcBorders>
              <w:top w:val="single" w:sz="18" w:space="0" w:color="C0C0C0"/>
              <w:left w:val="single" w:sz="18" w:space="0" w:color="BFBFBF"/>
              <w:bottom w:val="single" w:sz="18" w:space="0" w:color="auto"/>
              <w:right w:val="single" w:sz="18" w:space="0" w:color="C0C0C0"/>
            </w:tcBorders>
            <w:vAlign w:val="center"/>
          </w:tcPr>
          <w:p w14:paraId="38D9C183" w14:textId="77777777" w:rsidR="00F24F04" w:rsidRPr="00E57545" w:rsidRDefault="00F24F04" w:rsidP="00F24F04">
            <w:pPr>
              <w:jc w:val="center"/>
              <w:rPr>
                <w:rFonts w:ascii="Arial Narrow" w:hAnsi="Arial Narrow" w:cs="Arial"/>
                <w:sz w:val="16"/>
                <w:szCs w:val="16"/>
              </w:rPr>
            </w:pPr>
          </w:p>
        </w:tc>
        <w:tc>
          <w:tcPr>
            <w:tcW w:w="1276" w:type="dxa"/>
            <w:vMerge/>
            <w:tcBorders>
              <w:top w:val="single" w:sz="18" w:space="0" w:color="C0C0C0"/>
              <w:left w:val="single" w:sz="18" w:space="0" w:color="C0C0C0"/>
              <w:bottom w:val="single" w:sz="18" w:space="0" w:color="auto"/>
              <w:right w:val="single" w:sz="18" w:space="0" w:color="C0C0C0"/>
            </w:tcBorders>
            <w:vAlign w:val="center"/>
          </w:tcPr>
          <w:p w14:paraId="14E1828E" w14:textId="77777777" w:rsidR="00F24F04" w:rsidRPr="00E57545" w:rsidRDefault="00F24F04" w:rsidP="00F24F04">
            <w:pPr>
              <w:jc w:val="center"/>
              <w:rPr>
                <w:rFonts w:ascii="Arial Narrow" w:hAnsi="Arial Narrow" w:cs="Arial"/>
                <w:sz w:val="16"/>
                <w:szCs w:val="16"/>
              </w:rPr>
            </w:pPr>
          </w:p>
        </w:tc>
        <w:tc>
          <w:tcPr>
            <w:tcW w:w="1276" w:type="dxa"/>
            <w:vMerge/>
            <w:tcBorders>
              <w:left w:val="single" w:sz="18" w:space="0" w:color="C0C0C0"/>
              <w:right w:val="single" w:sz="18" w:space="0" w:color="auto"/>
            </w:tcBorders>
            <w:vAlign w:val="center"/>
          </w:tcPr>
          <w:p w14:paraId="2A5A2B66" w14:textId="77777777" w:rsidR="00F24F04" w:rsidRPr="008C7414" w:rsidRDefault="00F24F04"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603FA92A" w14:textId="77777777" w:rsidR="00F24F04" w:rsidRPr="00464CCB" w:rsidRDefault="00F24F04" w:rsidP="00F24F04">
            <w:pPr>
              <w:jc w:val="center"/>
              <w:rPr>
                <w:rFonts w:ascii="Arial Narrow" w:hAnsi="Arial Narrow"/>
                <w:color w:val="FFFFFF" w:themeColor="background1"/>
                <w:sz w:val="16"/>
                <w:szCs w:val="16"/>
                <w:highlight w:val="green"/>
              </w:rPr>
            </w:pPr>
          </w:p>
        </w:tc>
      </w:tr>
      <w:tr w:rsidR="00F24F04" w:rsidRPr="00BC2C5D" w14:paraId="1CA5194F" w14:textId="77777777" w:rsidTr="00651E7A">
        <w:trPr>
          <w:trHeight w:val="218"/>
        </w:trPr>
        <w:tc>
          <w:tcPr>
            <w:tcW w:w="1111" w:type="dxa"/>
            <w:vMerge w:val="restart"/>
            <w:tcBorders>
              <w:top w:val="single" w:sz="18" w:space="0" w:color="auto"/>
              <w:left w:val="single" w:sz="18" w:space="0" w:color="auto"/>
              <w:right w:val="single" w:sz="18" w:space="0" w:color="C0C0C0"/>
            </w:tcBorders>
            <w:vAlign w:val="center"/>
          </w:tcPr>
          <w:p w14:paraId="62CCD3D4" w14:textId="20502C22" w:rsidR="00F24F04" w:rsidRPr="00A634FA" w:rsidRDefault="00F24F04" w:rsidP="00F24F04">
            <w:pPr>
              <w:jc w:val="center"/>
              <w:rPr>
                <w:rFonts w:ascii="Arial Narrow" w:hAnsi="Arial Narrow" w:cs="Arial"/>
                <w:sz w:val="16"/>
                <w:szCs w:val="16"/>
              </w:rPr>
            </w:pPr>
            <w:r>
              <w:rPr>
                <w:rFonts w:ascii="Arial Narrow" w:hAnsi="Arial Narrow" w:cs="Arial"/>
                <w:sz w:val="16"/>
                <w:szCs w:val="16"/>
              </w:rPr>
              <w:t>2 June</w:t>
            </w:r>
          </w:p>
        </w:tc>
        <w:tc>
          <w:tcPr>
            <w:tcW w:w="1134" w:type="dxa"/>
            <w:vMerge w:val="restart"/>
            <w:tcBorders>
              <w:top w:val="single" w:sz="18" w:space="0" w:color="auto"/>
              <w:left w:val="single" w:sz="18" w:space="0" w:color="C0C0C0"/>
              <w:right w:val="single" w:sz="18" w:space="0" w:color="C0C0C0"/>
            </w:tcBorders>
            <w:shd w:val="clear" w:color="auto" w:fill="FF0000"/>
            <w:vAlign w:val="center"/>
          </w:tcPr>
          <w:p w14:paraId="66E74CF9" w14:textId="2081C276"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 ½ day CE</w:t>
            </w:r>
          </w:p>
        </w:tc>
        <w:tc>
          <w:tcPr>
            <w:tcW w:w="1418" w:type="dxa"/>
            <w:tcBorders>
              <w:top w:val="single" w:sz="18" w:space="0" w:color="auto"/>
              <w:left w:val="single" w:sz="18" w:space="0" w:color="C0C0C0"/>
              <w:bottom w:val="nil"/>
              <w:right w:val="single" w:sz="18" w:space="0" w:color="BFBFBF"/>
            </w:tcBorders>
            <w:shd w:val="clear" w:color="auto" w:fill="FF0000"/>
            <w:vAlign w:val="center"/>
          </w:tcPr>
          <w:p w14:paraId="5280C7F2" w14:textId="2D0DFD8A"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Conf</w:t>
            </w:r>
          </w:p>
        </w:tc>
        <w:tc>
          <w:tcPr>
            <w:tcW w:w="1417" w:type="dxa"/>
            <w:vMerge w:val="restart"/>
            <w:tcBorders>
              <w:top w:val="single" w:sz="18" w:space="0" w:color="auto"/>
              <w:left w:val="single" w:sz="18" w:space="0" w:color="BFBFBF"/>
              <w:right w:val="single" w:sz="18" w:space="0" w:color="C0C0C0"/>
            </w:tcBorders>
            <w:shd w:val="clear" w:color="auto" w:fill="FF0000"/>
            <w:vAlign w:val="center"/>
          </w:tcPr>
          <w:p w14:paraId="31836070" w14:textId="0CC4545A"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4 Conf</w:t>
            </w:r>
          </w:p>
        </w:tc>
        <w:tc>
          <w:tcPr>
            <w:tcW w:w="1276" w:type="dxa"/>
            <w:vMerge w:val="restart"/>
            <w:tcBorders>
              <w:top w:val="single" w:sz="18" w:space="0" w:color="auto"/>
              <w:left w:val="single" w:sz="18" w:space="0" w:color="C0C0C0"/>
              <w:right w:val="single" w:sz="18" w:space="0" w:color="C0C0C0"/>
            </w:tcBorders>
            <w:shd w:val="clear" w:color="auto" w:fill="FF0000"/>
            <w:vAlign w:val="center"/>
          </w:tcPr>
          <w:p w14:paraId="18177425" w14:textId="62E4C388"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5 ½ day CE</w:t>
            </w:r>
          </w:p>
        </w:tc>
        <w:tc>
          <w:tcPr>
            <w:tcW w:w="1276" w:type="dxa"/>
            <w:vMerge w:val="restart"/>
            <w:tcBorders>
              <w:top w:val="single" w:sz="18" w:space="0" w:color="auto"/>
              <w:left w:val="single" w:sz="18" w:space="0" w:color="C0C0C0"/>
              <w:right w:val="single" w:sz="18" w:space="0" w:color="auto"/>
            </w:tcBorders>
            <w:vAlign w:val="center"/>
          </w:tcPr>
          <w:p w14:paraId="56CF5F8B" w14:textId="280FF2C9" w:rsidR="00F24F04" w:rsidRPr="008C7414" w:rsidRDefault="00F24F04" w:rsidP="00F24F04">
            <w:pPr>
              <w:jc w:val="center"/>
              <w:rPr>
                <w:rFonts w:ascii="Arial Narrow" w:hAnsi="Arial Narrow" w:cs="Arial"/>
                <w:sz w:val="16"/>
                <w:szCs w:val="16"/>
              </w:rPr>
            </w:pPr>
          </w:p>
        </w:tc>
        <w:tc>
          <w:tcPr>
            <w:tcW w:w="3226" w:type="dxa"/>
            <w:vMerge w:val="restart"/>
            <w:tcBorders>
              <w:top w:val="single" w:sz="18" w:space="0" w:color="auto"/>
              <w:left w:val="single" w:sz="18" w:space="0" w:color="auto"/>
              <w:right w:val="single" w:sz="18" w:space="0" w:color="auto"/>
            </w:tcBorders>
            <w:vAlign w:val="center"/>
          </w:tcPr>
          <w:p w14:paraId="6C9148DC" w14:textId="73AFDA91" w:rsidR="00F24F04" w:rsidRPr="00464CCB" w:rsidRDefault="00F24F04" w:rsidP="00F24F04">
            <w:pPr>
              <w:jc w:val="center"/>
              <w:rPr>
                <w:rFonts w:ascii="Arial Narrow" w:hAnsi="Arial Narrow"/>
                <w:sz w:val="16"/>
                <w:szCs w:val="16"/>
              </w:rPr>
            </w:pPr>
            <w:r w:rsidRPr="00464CCB">
              <w:rPr>
                <w:rFonts w:ascii="Arial Narrow" w:hAnsi="Arial Narrow" w:cs="Arial"/>
                <w:b/>
                <w:bCs/>
                <w:sz w:val="16"/>
                <w:szCs w:val="16"/>
              </w:rPr>
              <w:t>3 Mabo Day - DM</w:t>
            </w:r>
          </w:p>
        </w:tc>
      </w:tr>
      <w:tr w:rsidR="004949B8" w:rsidRPr="00BC2C5D" w14:paraId="4933DDC4" w14:textId="77777777" w:rsidTr="00651E7A">
        <w:trPr>
          <w:trHeight w:val="217"/>
        </w:trPr>
        <w:tc>
          <w:tcPr>
            <w:tcW w:w="1111" w:type="dxa"/>
            <w:vMerge/>
            <w:tcBorders>
              <w:left w:val="single" w:sz="18" w:space="0" w:color="auto"/>
              <w:right w:val="single" w:sz="18" w:space="0" w:color="C0C0C0"/>
            </w:tcBorders>
            <w:vAlign w:val="center"/>
          </w:tcPr>
          <w:p w14:paraId="21493532" w14:textId="77777777" w:rsidR="004949B8" w:rsidRDefault="004949B8"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108A8E97" w14:textId="77777777" w:rsidR="004949B8" w:rsidRPr="00E57545" w:rsidRDefault="004949B8" w:rsidP="00373FF9">
            <w:pPr>
              <w:jc w:val="center"/>
              <w:rPr>
                <w:rFonts w:ascii="Arial Narrow" w:hAnsi="Arial Narrow" w:cs="Arial"/>
                <w:sz w:val="16"/>
                <w:szCs w:val="16"/>
              </w:rPr>
            </w:pPr>
          </w:p>
        </w:tc>
        <w:tc>
          <w:tcPr>
            <w:tcW w:w="1418" w:type="dxa"/>
            <w:tcBorders>
              <w:top w:val="nil"/>
              <w:left w:val="single" w:sz="18" w:space="0" w:color="C0C0C0"/>
              <w:bottom w:val="single" w:sz="18" w:space="0" w:color="C0C0C0"/>
              <w:right w:val="single" w:sz="18" w:space="0" w:color="BFBFBF"/>
            </w:tcBorders>
            <w:vAlign w:val="center"/>
          </w:tcPr>
          <w:p w14:paraId="13B58578" w14:textId="77777777" w:rsidR="009C703A" w:rsidRPr="00E57545" w:rsidRDefault="009C703A" w:rsidP="009C703A">
            <w:pPr>
              <w:jc w:val="center"/>
              <w:rPr>
                <w:rFonts w:ascii="Arial Narrow" w:hAnsi="Arial Narrow" w:cs="Arial"/>
                <w:b/>
                <w:bCs/>
                <w:sz w:val="16"/>
                <w:szCs w:val="16"/>
              </w:rPr>
            </w:pPr>
            <w:r w:rsidRPr="00E57545">
              <w:rPr>
                <w:rFonts w:ascii="Arial Narrow" w:hAnsi="Arial Narrow" w:cs="Arial"/>
                <w:b/>
                <w:bCs/>
                <w:sz w:val="16"/>
                <w:szCs w:val="16"/>
              </w:rPr>
              <w:t xml:space="preserve">Special Holiday – </w:t>
            </w:r>
          </w:p>
          <w:p w14:paraId="2E8CFF03" w14:textId="35CE1161" w:rsidR="004949B8" w:rsidRPr="00E57545" w:rsidRDefault="009C703A" w:rsidP="009C703A">
            <w:pPr>
              <w:jc w:val="center"/>
              <w:rPr>
                <w:rFonts w:ascii="Arial Narrow" w:hAnsi="Arial Narrow" w:cs="Arial"/>
                <w:b/>
                <w:bCs/>
                <w:sz w:val="16"/>
                <w:szCs w:val="16"/>
              </w:rPr>
            </w:pPr>
            <w:r w:rsidRPr="00E57545">
              <w:rPr>
                <w:rFonts w:ascii="Arial Narrow" w:hAnsi="Arial Narrow" w:cs="Arial"/>
                <w:b/>
                <w:bCs/>
                <w:sz w:val="16"/>
                <w:szCs w:val="16"/>
              </w:rPr>
              <w:t>DM Only</w:t>
            </w:r>
          </w:p>
        </w:tc>
        <w:tc>
          <w:tcPr>
            <w:tcW w:w="1417" w:type="dxa"/>
            <w:vMerge/>
            <w:tcBorders>
              <w:left w:val="single" w:sz="18" w:space="0" w:color="BFBFBF"/>
              <w:right w:val="single" w:sz="18" w:space="0" w:color="C0C0C0"/>
            </w:tcBorders>
            <w:shd w:val="clear" w:color="auto" w:fill="FF0000"/>
            <w:vAlign w:val="center"/>
          </w:tcPr>
          <w:p w14:paraId="721FECDB" w14:textId="77777777" w:rsidR="004949B8" w:rsidRPr="00E57545" w:rsidRDefault="004949B8" w:rsidP="00085A14">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FF0000"/>
            <w:vAlign w:val="center"/>
          </w:tcPr>
          <w:p w14:paraId="4DCE746F" w14:textId="77777777" w:rsidR="004949B8" w:rsidRPr="00E57545" w:rsidRDefault="004949B8" w:rsidP="00E75594">
            <w:pPr>
              <w:jc w:val="center"/>
              <w:rPr>
                <w:rFonts w:ascii="Arial Narrow" w:hAnsi="Arial Narrow" w:cs="Arial"/>
                <w:sz w:val="16"/>
                <w:szCs w:val="16"/>
              </w:rPr>
            </w:pPr>
          </w:p>
        </w:tc>
        <w:tc>
          <w:tcPr>
            <w:tcW w:w="1276" w:type="dxa"/>
            <w:vMerge/>
            <w:tcBorders>
              <w:left w:val="single" w:sz="18" w:space="0" w:color="C0C0C0"/>
              <w:right w:val="single" w:sz="18" w:space="0" w:color="auto"/>
            </w:tcBorders>
            <w:vAlign w:val="center"/>
          </w:tcPr>
          <w:p w14:paraId="0455AF4D" w14:textId="77777777" w:rsidR="004949B8" w:rsidRPr="008C7414" w:rsidRDefault="004949B8"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6632E2CE" w14:textId="77777777" w:rsidR="004949B8" w:rsidRPr="00464CCB" w:rsidRDefault="004949B8" w:rsidP="00373FF9">
            <w:pPr>
              <w:jc w:val="center"/>
              <w:rPr>
                <w:rFonts w:ascii="Arial Narrow" w:hAnsi="Arial Narrow" w:cs="Arial"/>
                <w:b/>
                <w:bCs/>
                <w:sz w:val="16"/>
                <w:szCs w:val="16"/>
              </w:rPr>
            </w:pPr>
          </w:p>
        </w:tc>
      </w:tr>
      <w:tr w:rsidR="008976A7" w:rsidRPr="00BC2C5D" w14:paraId="6A282D96" w14:textId="77777777" w:rsidTr="00F97602">
        <w:trPr>
          <w:trHeight w:val="234"/>
        </w:trPr>
        <w:tc>
          <w:tcPr>
            <w:tcW w:w="1111" w:type="dxa"/>
            <w:vMerge w:val="restart"/>
            <w:tcBorders>
              <w:top w:val="single" w:sz="18" w:space="0" w:color="C0C0C0"/>
              <w:left w:val="single" w:sz="18" w:space="0" w:color="auto"/>
              <w:right w:val="single" w:sz="18" w:space="0" w:color="C0C0C0"/>
            </w:tcBorders>
            <w:vAlign w:val="center"/>
          </w:tcPr>
          <w:p w14:paraId="6D86D990" w14:textId="7FE3883F" w:rsidR="008976A7" w:rsidRPr="00A634FA" w:rsidRDefault="008976A7" w:rsidP="00F24F04">
            <w:pPr>
              <w:jc w:val="center"/>
              <w:rPr>
                <w:rFonts w:ascii="Arial Narrow" w:hAnsi="Arial Narrow" w:cs="Arial"/>
                <w:sz w:val="16"/>
                <w:szCs w:val="16"/>
              </w:rPr>
            </w:pPr>
            <w:r>
              <w:rPr>
                <w:rFonts w:ascii="Arial Narrow" w:hAnsi="Arial Narrow" w:cs="Arial"/>
                <w:sz w:val="16"/>
                <w:szCs w:val="16"/>
              </w:rPr>
              <w:t>9 June</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695555CE" w14:textId="1226940D" w:rsidR="008976A7" w:rsidRPr="00E57545" w:rsidRDefault="008976A7" w:rsidP="00F97602">
            <w:pPr>
              <w:jc w:val="center"/>
              <w:rPr>
                <w:rFonts w:ascii="Arial Narrow" w:hAnsi="Arial Narrow" w:cs="Arial"/>
                <w:color w:val="FFFFFF" w:themeColor="background1"/>
                <w:sz w:val="16"/>
                <w:szCs w:val="16"/>
                <w:highlight w:val="yellow"/>
              </w:rPr>
            </w:pPr>
            <w:r w:rsidRPr="00E57545">
              <w:rPr>
                <w:rFonts w:ascii="Arial Narrow" w:hAnsi="Arial Narrow" w:cs="Arial"/>
                <w:b/>
                <w:bCs/>
                <w:color w:val="FFFFFF" w:themeColor="background1"/>
                <w:sz w:val="16"/>
                <w:szCs w:val="16"/>
              </w:rPr>
              <w:t>9 ½ day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09C9C0A4" w14:textId="0653FADD" w:rsidR="008976A7" w:rsidRPr="008976A7" w:rsidRDefault="008976A7" w:rsidP="00F24F04">
            <w:pPr>
              <w:jc w:val="center"/>
              <w:rPr>
                <w:rFonts w:ascii="Arial Narrow" w:hAnsi="Arial Narrow" w:cs="Arial"/>
                <w:b/>
                <w:bCs/>
                <w:color w:val="FFFFFF" w:themeColor="background1"/>
                <w:sz w:val="16"/>
                <w:szCs w:val="16"/>
              </w:rPr>
            </w:pPr>
            <w:r w:rsidRPr="008976A7">
              <w:rPr>
                <w:rFonts w:ascii="Arial Narrow" w:hAnsi="Arial Narrow" w:cs="Arial"/>
                <w:b/>
                <w:bCs/>
                <w:color w:val="FFFFFF" w:themeColor="background1"/>
                <w:sz w:val="16"/>
                <w:szCs w:val="16"/>
              </w:rPr>
              <w:t>10 CE</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1BF01046" w14:textId="72CD9A4E" w:rsidR="008976A7" w:rsidRPr="008976A7" w:rsidRDefault="008976A7" w:rsidP="008976A7">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w:t>
            </w:r>
            <w:r>
              <w:rPr>
                <w:rFonts w:ascii="Arial Narrow" w:hAnsi="Arial Narrow" w:cs="Arial"/>
                <w:b/>
                <w:bCs/>
                <w:color w:val="FFFFFF" w:themeColor="background1"/>
                <w:sz w:val="16"/>
                <w:szCs w:val="16"/>
              </w:rPr>
              <w:t>E</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63AD05D9" w14:textId="361FE0A0" w:rsidR="008976A7" w:rsidRPr="008976A7" w:rsidRDefault="008976A7" w:rsidP="008976A7">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 xml:space="preserve">12 </w:t>
            </w:r>
            <w:r>
              <w:rPr>
                <w:rFonts w:ascii="Arial Narrow" w:hAnsi="Arial Narrow" w:cs="Arial"/>
                <w:b/>
                <w:bCs/>
                <w:color w:val="FFFFFF" w:themeColor="background1"/>
                <w:sz w:val="16"/>
                <w:szCs w:val="16"/>
              </w:rPr>
              <w:t>½ day CE</w:t>
            </w:r>
          </w:p>
        </w:tc>
        <w:tc>
          <w:tcPr>
            <w:tcW w:w="1276" w:type="dxa"/>
            <w:vMerge w:val="restart"/>
            <w:tcBorders>
              <w:top w:val="single" w:sz="18" w:space="0" w:color="C0C0C0"/>
              <w:left w:val="single" w:sz="18" w:space="0" w:color="C0C0C0"/>
              <w:right w:val="single" w:sz="18" w:space="0" w:color="auto"/>
            </w:tcBorders>
            <w:vAlign w:val="center"/>
          </w:tcPr>
          <w:p w14:paraId="7FC64D6A" w14:textId="34436638" w:rsidR="008976A7" w:rsidRPr="008C7414" w:rsidRDefault="008976A7" w:rsidP="00F24F04">
            <w:pPr>
              <w:jc w:val="center"/>
              <w:rPr>
                <w:rFonts w:ascii="Arial Narrow" w:hAnsi="Arial Narrow" w:cs="Arial"/>
                <w:sz w:val="16"/>
                <w:szCs w:val="16"/>
                <w:highlight w:val="yellow"/>
              </w:rPr>
            </w:pPr>
          </w:p>
        </w:tc>
        <w:tc>
          <w:tcPr>
            <w:tcW w:w="3226" w:type="dxa"/>
            <w:vMerge w:val="restart"/>
            <w:tcBorders>
              <w:top w:val="single" w:sz="18" w:space="0" w:color="C0C0C0"/>
              <w:left w:val="single" w:sz="18" w:space="0" w:color="auto"/>
              <w:right w:val="single" w:sz="18" w:space="0" w:color="auto"/>
            </w:tcBorders>
            <w:vAlign w:val="center"/>
          </w:tcPr>
          <w:p w14:paraId="3AD763E7" w14:textId="77777777" w:rsidR="008976A7" w:rsidRPr="00464CCB" w:rsidRDefault="008976A7" w:rsidP="00F24F04">
            <w:pPr>
              <w:jc w:val="center"/>
              <w:rPr>
                <w:rFonts w:ascii="Arial Narrow" w:hAnsi="Arial Narrow"/>
                <w:color w:val="31849B"/>
                <w:sz w:val="16"/>
                <w:szCs w:val="16"/>
              </w:rPr>
            </w:pPr>
            <w:r w:rsidRPr="00464CCB">
              <w:rPr>
                <w:rFonts w:ascii="Arial Narrow" w:hAnsi="Arial Narrow"/>
                <w:color w:val="31849B"/>
                <w:sz w:val="16"/>
                <w:szCs w:val="16"/>
              </w:rPr>
              <w:t>Aurukun Cape B Circuit</w:t>
            </w:r>
          </w:p>
          <w:p w14:paraId="7594D7D0" w14:textId="742078DF" w:rsidR="008976A7" w:rsidRPr="00464CCB" w:rsidRDefault="008976A7" w:rsidP="00F24F04">
            <w:pPr>
              <w:jc w:val="center"/>
              <w:rPr>
                <w:rFonts w:ascii="Arial Narrow" w:hAnsi="Arial Narrow"/>
                <w:sz w:val="16"/>
                <w:szCs w:val="16"/>
              </w:rPr>
            </w:pPr>
            <w:r w:rsidRPr="00464CCB">
              <w:rPr>
                <w:rFonts w:ascii="Arial Narrow" w:hAnsi="Arial Narrow"/>
                <w:color w:val="31849B"/>
                <w:sz w:val="16"/>
                <w:szCs w:val="16"/>
                <w:highlight w:val="magenta"/>
              </w:rPr>
              <w:t>Doomadgee Gulf Circuit</w:t>
            </w:r>
          </w:p>
        </w:tc>
      </w:tr>
      <w:tr w:rsidR="008976A7" w:rsidRPr="00BC2C5D" w14:paraId="54862DC1" w14:textId="77777777" w:rsidTr="00F97602">
        <w:trPr>
          <w:trHeight w:val="232"/>
        </w:trPr>
        <w:tc>
          <w:tcPr>
            <w:tcW w:w="1111" w:type="dxa"/>
            <w:vMerge/>
            <w:tcBorders>
              <w:left w:val="single" w:sz="18" w:space="0" w:color="auto"/>
              <w:right w:val="single" w:sz="18" w:space="0" w:color="C0C0C0"/>
            </w:tcBorders>
            <w:vAlign w:val="center"/>
          </w:tcPr>
          <w:p w14:paraId="19F13C53" w14:textId="77777777" w:rsidR="008976A7" w:rsidRDefault="008976A7" w:rsidP="00F24F04">
            <w:pPr>
              <w:jc w:val="center"/>
              <w:rPr>
                <w:rFonts w:ascii="Arial Narrow" w:hAnsi="Arial Narrow" w:cs="Arial"/>
                <w:sz w:val="16"/>
                <w:szCs w:val="16"/>
              </w:rPr>
            </w:pPr>
          </w:p>
        </w:tc>
        <w:tc>
          <w:tcPr>
            <w:tcW w:w="1134" w:type="dxa"/>
            <w:vMerge/>
            <w:tcBorders>
              <w:left w:val="single" w:sz="18" w:space="0" w:color="C0C0C0"/>
              <w:bottom w:val="nil"/>
              <w:right w:val="single" w:sz="18" w:space="0" w:color="C0C0C0"/>
            </w:tcBorders>
            <w:shd w:val="clear" w:color="auto" w:fill="A972A9"/>
            <w:vAlign w:val="center"/>
          </w:tcPr>
          <w:p w14:paraId="56A3FE76" w14:textId="77777777" w:rsidR="008976A7" w:rsidRPr="00E57545" w:rsidRDefault="008976A7" w:rsidP="00F24F04">
            <w:pPr>
              <w:jc w:val="center"/>
              <w:rPr>
                <w:rFonts w:ascii="Arial Narrow" w:hAnsi="Arial Narrow" w:cs="Arial"/>
                <w:b/>
                <w:bCs/>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A972A9"/>
            <w:vAlign w:val="center"/>
          </w:tcPr>
          <w:p w14:paraId="6C65EB8D" w14:textId="48C61C2E" w:rsidR="008976A7" w:rsidRPr="008976A7" w:rsidRDefault="008976A7" w:rsidP="00F24F04">
            <w:pPr>
              <w:jc w:val="center"/>
              <w:rPr>
                <w:rFonts w:ascii="Arial Narrow" w:hAnsi="Arial Narrow" w:cs="Arial"/>
                <w:b/>
                <w:bCs/>
                <w:color w:val="FFFFFF" w:themeColor="background1"/>
                <w:sz w:val="16"/>
                <w:szCs w:val="16"/>
              </w:rPr>
            </w:pPr>
            <w:r w:rsidRPr="008976A7">
              <w:rPr>
                <w:rFonts w:ascii="Arial Narrow" w:hAnsi="Arial Narrow" w:cs="Arial"/>
                <w:b/>
                <w:bCs/>
                <w:color w:val="FFFFFF" w:themeColor="background1"/>
                <w:sz w:val="16"/>
                <w:szCs w:val="16"/>
              </w:rPr>
              <w:t>10 CE</w:t>
            </w:r>
          </w:p>
        </w:tc>
        <w:tc>
          <w:tcPr>
            <w:tcW w:w="1417" w:type="dxa"/>
            <w:tcBorders>
              <w:top w:val="nil"/>
              <w:left w:val="single" w:sz="18" w:space="0" w:color="BFBFBF"/>
              <w:bottom w:val="nil"/>
              <w:right w:val="single" w:sz="18" w:space="0" w:color="C0C0C0"/>
            </w:tcBorders>
            <w:shd w:val="clear" w:color="auto" w:fill="A972A9"/>
            <w:vAlign w:val="center"/>
          </w:tcPr>
          <w:p w14:paraId="1D0A75A3" w14:textId="003516F5" w:rsidR="008976A7" w:rsidRPr="00E57545" w:rsidRDefault="008976A7" w:rsidP="00F24F04">
            <w:pPr>
              <w:jc w:val="center"/>
              <w:rPr>
                <w:rFonts w:ascii="Arial Narrow" w:hAnsi="Arial Narrow" w:cs="Arial"/>
                <w:b/>
                <w:bCs/>
                <w:color w:val="FFFFFF" w:themeColor="background1"/>
                <w:sz w:val="16"/>
                <w:szCs w:val="16"/>
              </w:rPr>
            </w:pPr>
            <w:r w:rsidRPr="00E57545">
              <w:rPr>
                <w:rFonts w:ascii="Arial Narrow" w:hAnsi="Arial Narrow" w:cs="Arial"/>
                <w:b/>
                <w:bCs/>
                <w:color w:val="FFFFFF" w:themeColor="background1"/>
                <w:sz w:val="16"/>
                <w:szCs w:val="16"/>
              </w:rPr>
              <w:t>11 Conf</w:t>
            </w:r>
          </w:p>
        </w:tc>
        <w:tc>
          <w:tcPr>
            <w:tcW w:w="1276" w:type="dxa"/>
            <w:tcBorders>
              <w:top w:val="nil"/>
              <w:left w:val="single" w:sz="18" w:space="0" w:color="C0C0C0"/>
              <w:bottom w:val="nil"/>
              <w:right w:val="single" w:sz="18" w:space="0" w:color="C0C0C0"/>
            </w:tcBorders>
            <w:shd w:val="clear" w:color="auto" w:fill="A972A9"/>
            <w:vAlign w:val="center"/>
          </w:tcPr>
          <w:p w14:paraId="354FB9F8" w14:textId="4B3120F7" w:rsidR="008976A7" w:rsidRPr="00E57545" w:rsidRDefault="008976A7" w:rsidP="00F24F0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12 Conf</w:t>
            </w:r>
          </w:p>
        </w:tc>
        <w:tc>
          <w:tcPr>
            <w:tcW w:w="1276" w:type="dxa"/>
            <w:vMerge/>
            <w:tcBorders>
              <w:left w:val="single" w:sz="18" w:space="0" w:color="C0C0C0"/>
              <w:right w:val="single" w:sz="18" w:space="0" w:color="auto"/>
            </w:tcBorders>
            <w:vAlign w:val="center"/>
          </w:tcPr>
          <w:p w14:paraId="4E9E2B12" w14:textId="77777777" w:rsidR="008976A7" w:rsidRPr="008C7414" w:rsidRDefault="008976A7" w:rsidP="00F24F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vAlign w:val="center"/>
          </w:tcPr>
          <w:p w14:paraId="24E7326C" w14:textId="77777777" w:rsidR="008976A7" w:rsidRPr="00464CCB" w:rsidRDefault="008976A7" w:rsidP="00F24F04">
            <w:pPr>
              <w:jc w:val="center"/>
              <w:rPr>
                <w:rFonts w:ascii="Arial Narrow" w:hAnsi="Arial Narrow"/>
                <w:color w:val="31849B"/>
                <w:sz w:val="16"/>
                <w:szCs w:val="16"/>
              </w:rPr>
            </w:pPr>
          </w:p>
        </w:tc>
      </w:tr>
      <w:tr w:rsidR="008976A7" w:rsidRPr="00BC2C5D" w14:paraId="0CA6999F" w14:textId="77777777" w:rsidTr="00F97602">
        <w:trPr>
          <w:trHeight w:val="232"/>
        </w:trPr>
        <w:tc>
          <w:tcPr>
            <w:tcW w:w="1111" w:type="dxa"/>
            <w:vMerge/>
            <w:tcBorders>
              <w:left w:val="single" w:sz="18" w:space="0" w:color="auto"/>
              <w:right w:val="single" w:sz="18" w:space="0" w:color="C0C0C0"/>
            </w:tcBorders>
            <w:vAlign w:val="center"/>
          </w:tcPr>
          <w:p w14:paraId="3A961AC2" w14:textId="77777777" w:rsidR="008976A7" w:rsidRDefault="008976A7" w:rsidP="00F24F04">
            <w:pPr>
              <w:jc w:val="center"/>
              <w:rPr>
                <w:rFonts w:ascii="Arial Narrow" w:hAnsi="Arial Narrow" w:cs="Arial"/>
                <w:sz w:val="16"/>
                <w:szCs w:val="16"/>
              </w:rPr>
            </w:pPr>
          </w:p>
        </w:tc>
        <w:tc>
          <w:tcPr>
            <w:tcW w:w="1134" w:type="dxa"/>
            <w:vMerge w:val="restart"/>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2B8D4F8E" w14:textId="3D548F46" w:rsidR="008976A7" w:rsidRPr="008976A7" w:rsidRDefault="008976A7" w:rsidP="00F24F04">
            <w:pPr>
              <w:jc w:val="center"/>
              <w:rPr>
                <w:rFonts w:ascii="Arial Narrow" w:hAnsi="Arial Narrow" w:cs="Arial"/>
                <w:b/>
                <w:bCs/>
                <w:sz w:val="16"/>
                <w:szCs w:val="16"/>
              </w:rPr>
            </w:pPr>
            <w:r w:rsidRPr="008976A7">
              <w:rPr>
                <w:rFonts w:ascii="Arial Narrow" w:hAnsi="Arial Narrow" w:cs="Arial"/>
                <w:b/>
                <w:bCs/>
                <w:sz w:val="16"/>
                <w:szCs w:val="16"/>
              </w:rPr>
              <w:t>9 CE</w:t>
            </w:r>
          </w:p>
        </w:tc>
        <w:tc>
          <w:tcPr>
            <w:tcW w:w="1418" w:type="dxa"/>
            <w:tcBorders>
              <w:top w:val="nil"/>
              <w:left w:val="single" w:sz="18" w:space="0" w:color="C0C0C0"/>
              <w:bottom w:val="nil"/>
              <w:right w:val="single" w:sz="18" w:space="0" w:color="BFBFBF"/>
            </w:tcBorders>
            <w:shd w:val="clear" w:color="auto" w:fill="769250"/>
            <w:vAlign w:val="center"/>
          </w:tcPr>
          <w:p w14:paraId="6731D493" w14:textId="5567E363" w:rsidR="008976A7" w:rsidRPr="008976A7" w:rsidRDefault="008976A7" w:rsidP="00F24F04">
            <w:pPr>
              <w:jc w:val="center"/>
              <w:rPr>
                <w:rFonts w:ascii="Arial Narrow" w:hAnsi="Arial Narrow" w:cs="Arial"/>
                <w:b/>
                <w:bCs/>
                <w:color w:val="FFFFFF" w:themeColor="background1"/>
                <w:sz w:val="16"/>
                <w:szCs w:val="16"/>
              </w:rPr>
            </w:pPr>
            <w:r w:rsidRPr="008976A7">
              <w:rPr>
                <w:rFonts w:ascii="Arial Narrow" w:hAnsi="Arial Narrow" w:cs="Arial"/>
                <w:b/>
                <w:bCs/>
                <w:color w:val="FFFFFF" w:themeColor="background1"/>
                <w:sz w:val="16"/>
                <w:szCs w:val="16"/>
              </w:rPr>
              <w:t>10 CE</w:t>
            </w:r>
          </w:p>
        </w:tc>
        <w:tc>
          <w:tcPr>
            <w:tcW w:w="1417" w:type="dxa"/>
            <w:vMerge w:val="restart"/>
            <w:tcBorders>
              <w:top w:val="nil"/>
              <w:left w:val="single" w:sz="18" w:space="0" w:color="BFBFBF"/>
              <w:right w:val="single" w:sz="18" w:space="0" w:color="C0C0C0"/>
            </w:tcBorders>
            <w:shd w:val="clear" w:color="auto" w:fill="769250"/>
            <w:vAlign w:val="center"/>
          </w:tcPr>
          <w:p w14:paraId="7DB4EB02" w14:textId="2836B667" w:rsidR="008976A7" w:rsidRPr="00E57545" w:rsidRDefault="008976A7" w:rsidP="00F24F0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11 Conf</w:t>
            </w:r>
          </w:p>
        </w:tc>
        <w:tc>
          <w:tcPr>
            <w:tcW w:w="1276" w:type="dxa"/>
            <w:vMerge w:val="restart"/>
            <w:tcBorders>
              <w:top w:val="nil"/>
              <w:left w:val="single" w:sz="18" w:space="0" w:color="C0C0C0"/>
              <w:right w:val="single" w:sz="18" w:space="0" w:color="C0C0C0"/>
            </w:tcBorders>
            <w:shd w:val="clear" w:color="auto" w:fill="769250"/>
            <w:vAlign w:val="center"/>
          </w:tcPr>
          <w:p w14:paraId="20A8A33D" w14:textId="168E752B" w:rsidR="008976A7" w:rsidRPr="00E57545" w:rsidRDefault="008976A7" w:rsidP="00F24F0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12 CE</w:t>
            </w:r>
          </w:p>
        </w:tc>
        <w:tc>
          <w:tcPr>
            <w:tcW w:w="1276" w:type="dxa"/>
            <w:vMerge/>
            <w:tcBorders>
              <w:left w:val="single" w:sz="18" w:space="0" w:color="C0C0C0"/>
              <w:right w:val="single" w:sz="18" w:space="0" w:color="auto"/>
            </w:tcBorders>
            <w:vAlign w:val="center"/>
          </w:tcPr>
          <w:p w14:paraId="008B2A37" w14:textId="77777777" w:rsidR="008976A7" w:rsidRPr="008C7414" w:rsidRDefault="008976A7" w:rsidP="00F24F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vAlign w:val="center"/>
          </w:tcPr>
          <w:p w14:paraId="75DF254B" w14:textId="77777777" w:rsidR="008976A7" w:rsidRPr="00464CCB" w:rsidRDefault="008976A7" w:rsidP="00F24F04">
            <w:pPr>
              <w:jc w:val="center"/>
              <w:rPr>
                <w:rFonts w:ascii="Arial Narrow" w:hAnsi="Arial Narrow"/>
                <w:color w:val="31849B"/>
                <w:sz w:val="16"/>
                <w:szCs w:val="16"/>
              </w:rPr>
            </w:pPr>
          </w:p>
        </w:tc>
      </w:tr>
      <w:tr w:rsidR="008976A7" w:rsidRPr="00BC2C5D" w14:paraId="2E141E38" w14:textId="77777777" w:rsidTr="00F97602">
        <w:trPr>
          <w:trHeight w:val="232"/>
        </w:trPr>
        <w:tc>
          <w:tcPr>
            <w:tcW w:w="1111" w:type="dxa"/>
            <w:vMerge/>
            <w:tcBorders>
              <w:left w:val="single" w:sz="18" w:space="0" w:color="auto"/>
              <w:right w:val="single" w:sz="18" w:space="0" w:color="C0C0C0"/>
            </w:tcBorders>
            <w:vAlign w:val="center"/>
          </w:tcPr>
          <w:p w14:paraId="6E603303" w14:textId="77777777" w:rsidR="008976A7" w:rsidRDefault="008976A7" w:rsidP="00F24F04">
            <w:pPr>
              <w:jc w:val="center"/>
              <w:rPr>
                <w:rFonts w:ascii="Arial Narrow" w:hAnsi="Arial Narrow" w:cs="Arial"/>
                <w:sz w:val="16"/>
                <w:szCs w:val="16"/>
              </w:rPr>
            </w:pPr>
          </w:p>
        </w:tc>
        <w:tc>
          <w:tcPr>
            <w:tcW w:w="1134" w:type="dxa"/>
            <w:vMerge/>
            <w:tcBorders>
              <w:top w:val="single" w:sz="18" w:space="0" w:color="FFFFFF"/>
              <w:left w:val="single" w:sz="18" w:space="0" w:color="C0C0C0"/>
              <w:bottom w:val="single" w:sz="18" w:space="0" w:color="BFBFBF" w:themeColor="background1" w:themeShade="BF"/>
              <w:right w:val="single" w:sz="18" w:space="0" w:color="C0C0C0"/>
            </w:tcBorders>
            <w:shd w:val="clear" w:color="auto" w:fill="FFFF00"/>
            <w:vAlign w:val="center"/>
          </w:tcPr>
          <w:p w14:paraId="7B91FA83" w14:textId="77777777" w:rsidR="008976A7" w:rsidRPr="00E57545" w:rsidRDefault="008976A7" w:rsidP="00F24F04">
            <w:pPr>
              <w:jc w:val="center"/>
              <w:rPr>
                <w:rFonts w:ascii="Arial Narrow" w:hAnsi="Arial Narrow" w:cs="Arial"/>
                <w:b/>
                <w:bCs/>
                <w:color w:val="FFFFFF" w:themeColor="background1"/>
                <w:sz w:val="16"/>
                <w:szCs w:val="16"/>
              </w:rPr>
            </w:pPr>
          </w:p>
        </w:tc>
        <w:tc>
          <w:tcPr>
            <w:tcW w:w="1418" w:type="dxa"/>
            <w:tcBorders>
              <w:top w:val="nil"/>
              <w:left w:val="single" w:sz="18" w:space="0" w:color="C0C0C0"/>
              <w:right w:val="single" w:sz="18" w:space="0" w:color="BFBFBF"/>
            </w:tcBorders>
            <w:shd w:val="clear" w:color="auto" w:fill="FFFF00"/>
            <w:vAlign w:val="center"/>
          </w:tcPr>
          <w:p w14:paraId="2A4480AE" w14:textId="04BFF82A" w:rsidR="008976A7" w:rsidRPr="008976A7" w:rsidRDefault="008976A7" w:rsidP="00F24F04">
            <w:pPr>
              <w:jc w:val="center"/>
              <w:rPr>
                <w:rFonts w:ascii="Arial Narrow" w:hAnsi="Arial Narrow" w:cs="Arial"/>
                <w:b/>
                <w:bCs/>
                <w:sz w:val="16"/>
                <w:szCs w:val="16"/>
              </w:rPr>
            </w:pPr>
            <w:r w:rsidRPr="008976A7">
              <w:rPr>
                <w:rFonts w:ascii="Arial Narrow" w:hAnsi="Arial Narrow" w:cs="Arial"/>
                <w:b/>
                <w:bCs/>
                <w:sz w:val="16"/>
                <w:szCs w:val="16"/>
              </w:rPr>
              <w:t>10 CE</w:t>
            </w:r>
          </w:p>
        </w:tc>
        <w:tc>
          <w:tcPr>
            <w:tcW w:w="1417" w:type="dxa"/>
            <w:vMerge/>
            <w:tcBorders>
              <w:top w:val="single" w:sz="18" w:space="0" w:color="C0C0C0"/>
              <w:left w:val="single" w:sz="18" w:space="0" w:color="BFBFBF"/>
              <w:right w:val="single" w:sz="18" w:space="0" w:color="C0C0C0"/>
            </w:tcBorders>
            <w:shd w:val="clear" w:color="auto" w:fill="FF0000"/>
            <w:vAlign w:val="center"/>
          </w:tcPr>
          <w:p w14:paraId="21096E40" w14:textId="77777777" w:rsidR="008976A7" w:rsidRPr="00E57545" w:rsidRDefault="008976A7" w:rsidP="00F24F04">
            <w:pPr>
              <w:jc w:val="center"/>
              <w:rPr>
                <w:rFonts w:ascii="Arial Narrow" w:hAnsi="Arial Narrow" w:cs="Arial"/>
                <w:b/>
                <w:bCs/>
                <w:color w:val="FFFFFF" w:themeColor="background1"/>
                <w:sz w:val="16"/>
                <w:szCs w:val="16"/>
              </w:rPr>
            </w:pPr>
          </w:p>
        </w:tc>
        <w:tc>
          <w:tcPr>
            <w:tcW w:w="1276" w:type="dxa"/>
            <w:vMerge/>
            <w:tcBorders>
              <w:top w:val="single" w:sz="18" w:space="0" w:color="C0C0C0"/>
              <w:left w:val="single" w:sz="18" w:space="0" w:color="C0C0C0"/>
              <w:right w:val="single" w:sz="18" w:space="0" w:color="C0C0C0"/>
            </w:tcBorders>
            <w:shd w:val="clear" w:color="auto" w:fill="FF0000"/>
            <w:vAlign w:val="center"/>
          </w:tcPr>
          <w:p w14:paraId="01D75B54" w14:textId="77777777" w:rsidR="008976A7" w:rsidRPr="00E57545" w:rsidRDefault="008976A7" w:rsidP="00F24F04">
            <w:pPr>
              <w:jc w:val="center"/>
              <w:rPr>
                <w:rFonts w:ascii="Arial Narrow" w:hAnsi="Arial Narrow" w:cs="Arial"/>
                <w:b/>
                <w:bCs/>
                <w:color w:val="FFFFFF" w:themeColor="background1"/>
                <w:sz w:val="16"/>
                <w:szCs w:val="16"/>
              </w:rPr>
            </w:pPr>
          </w:p>
        </w:tc>
        <w:tc>
          <w:tcPr>
            <w:tcW w:w="1276" w:type="dxa"/>
            <w:vMerge/>
            <w:tcBorders>
              <w:left w:val="single" w:sz="18" w:space="0" w:color="C0C0C0"/>
              <w:right w:val="single" w:sz="18" w:space="0" w:color="auto"/>
            </w:tcBorders>
            <w:vAlign w:val="center"/>
          </w:tcPr>
          <w:p w14:paraId="3DD76355" w14:textId="77777777" w:rsidR="008976A7" w:rsidRPr="008C7414" w:rsidRDefault="008976A7" w:rsidP="00F24F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vAlign w:val="center"/>
          </w:tcPr>
          <w:p w14:paraId="0B0A881B" w14:textId="77777777" w:rsidR="008976A7" w:rsidRPr="00464CCB" w:rsidRDefault="008976A7" w:rsidP="00F24F04">
            <w:pPr>
              <w:jc w:val="center"/>
              <w:rPr>
                <w:rFonts w:ascii="Arial Narrow" w:hAnsi="Arial Narrow"/>
                <w:color w:val="31849B"/>
                <w:sz w:val="16"/>
                <w:szCs w:val="16"/>
              </w:rPr>
            </w:pPr>
          </w:p>
        </w:tc>
      </w:tr>
      <w:tr w:rsidR="00F97602" w:rsidRPr="00BC2C5D" w14:paraId="5AD4A603" w14:textId="77777777" w:rsidTr="003D5079">
        <w:trPr>
          <w:trHeight w:val="195"/>
        </w:trPr>
        <w:tc>
          <w:tcPr>
            <w:tcW w:w="1111" w:type="dxa"/>
            <w:vMerge w:val="restart"/>
            <w:tcBorders>
              <w:top w:val="single" w:sz="18" w:space="0" w:color="BFBFBF" w:themeColor="background1" w:themeShade="BF"/>
              <w:left w:val="single" w:sz="18" w:space="0" w:color="auto"/>
              <w:right w:val="single" w:sz="18" w:space="0" w:color="C0C0C0"/>
            </w:tcBorders>
            <w:vAlign w:val="center"/>
          </w:tcPr>
          <w:p w14:paraId="541D2196" w14:textId="092320C9" w:rsidR="00F97602" w:rsidRDefault="00F97602" w:rsidP="00F24F04">
            <w:pPr>
              <w:jc w:val="center"/>
              <w:rPr>
                <w:rFonts w:ascii="Arial Narrow" w:hAnsi="Arial Narrow" w:cs="Arial"/>
                <w:sz w:val="16"/>
                <w:szCs w:val="16"/>
              </w:rPr>
            </w:pPr>
            <w:r>
              <w:rPr>
                <w:rFonts w:ascii="Arial Narrow" w:hAnsi="Arial Narrow" w:cs="Arial"/>
                <w:sz w:val="16"/>
                <w:szCs w:val="16"/>
              </w:rPr>
              <w:t>16 June</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7C9E53CD" w14:textId="3DE72D96" w:rsidR="00F97602" w:rsidRPr="00E57545" w:rsidRDefault="00F97602"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16 ½ day CE</w:t>
            </w: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6101D748" w14:textId="68CCAB88" w:rsidR="00F97602" w:rsidRPr="00E57545" w:rsidRDefault="00F97602"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17 Conf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1EACD015" w14:textId="0EDD6AA8" w:rsidR="00F97602" w:rsidRPr="00E57545" w:rsidRDefault="00F97602"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18 Conf</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66B770D2" w14:textId="5F51783C" w:rsidR="00F97602" w:rsidRPr="00E57545" w:rsidRDefault="00F97602"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½ day CE</w:t>
            </w:r>
          </w:p>
        </w:tc>
        <w:tc>
          <w:tcPr>
            <w:tcW w:w="1276" w:type="dxa"/>
            <w:vMerge w:val="restart"/>
            <w:tcBorders>
              <w:top w:val="single" w:sz="18" w:space="0" w:color="BFBFBF" w:themeColor="background1" w:themeShade="BF"/>
              <w:left w:val="single" w:sz="18" w:space="0" w:color="C0C0C0"/>
              <w:right w:val="single" w:sz="18" w:space="0" w:color="auto"/>
            </w:tcBorders>
            <w:vAlign w:val="center"/>
          </w:tcPr>
          <w:p w14:paraId="26701529" w14:textId="77777777" w:rsidR="00F97602" w:rsidRPr="008C7414" w:rsidRDefault="00F97602" w:rsidP="00F24F04">
            <w:pPr>
              <w:jc w:val="center"/>
              <w:rPr>
                <w:rFonts w:ascii="Arial Narrow" w:hAnsi="Arial Narrow" w:cs="Arial"/>
                <w:sz w:val="16"/>
                <w:szCs w:val="16"/>
                <w:highlight w:val="yellow"/>
              </w:rPr>
            </w:pPr>
          </w:p>
        </w:tc>
        <w:tc>
          <w:tcPr>
            <w:tcW w:w="3226" w:type="dxa"/>
            <w:vMerge w:val="restart"/>
            <w:tcBorders>
              <w:top w:val="single" w:sz="18" w:space="0" w:color="BFBFBF" w:themeColor="background1" w:themeShade="BF"/>
              <w:left w:val="single" w:sz="18" w:space="0" w:color="auto"/>
              <w:right w:val="single" w:sz="18" w:space="0" w:color="auto"/>
            </w:tcBorders>
            <w:vAlign w:val="center"/>
          </w:tcPr>
          <w:p w14:paraId="34E89CD0" w14:textId="086739EB" w:rsidR="00F97602" w:rsidRPr="00464CCB" w:rsidRDefault="00F97602" w:rsidP="00F24F04">
            <w:pPr>
              <w:spacing w:line="240" w:lineRule="auto"/>
              <w:jc w:val="center"/>
              <w:rPr>
                <w:rFonts w:ascii="Arial Narrow" w:hAnsi="Arial Narrow"/>
                <w:sz w:val="16"/>
                <w:szCs w:val="16"/>
              </w:rPr>
            </w:pPr>
            <w:r w:rsidRPr="00464CCB">
              <w:rPr>
                <w:rFonts w:ascii="Arial Narrow" w:hAnsi="Arial Narrow" w:cs="Arial"/>
                <w:b/>
                <w:bCs/>
                <w:sz w:val="16"/>
                <w:szCs w:val="16"/>
              </w:rPr>
              <w:t>20-21 Mount Isa Show</w:t>
            </w:r>
          </w:p>
        </w:tc>
      </w:tr>
      <w:tr w:rsidR="00F97602" w:rsidRPr="00BC2C5D" w14:paraId="01B43EFF" w14:textId="77777777" w:rsidTr="003D5079">
        <w:trPr>
          <w:trHeight w:val="195"/>
        </w:trPr>
        <w:tc>
          <w:tcPr>
            <w:tcW w:w="1111" w:type="dxa"/>
            <w:vMerge/>
            <w:tcBorders>
              <w:left w:val="single" w:sz="18" w:space="0" w:color="auto"/>
              <w:right w:val="single" w:sz="18" w:space="0" w:color="C0C0C0"/>
            </w:tcBorders>
            <w:vAlign w:val="center"/>
          </w:tcPr>
          <w:p w14:paraId="699BCF43" w14:textId="77777777" w:rsidR="00F97602" w:rsidRDefault="00F97602" w:rsidP="00F24F04">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196B3F91" w14:textId="77777777" w:rsidR="00F97602" w:rsidRPr="00E57545" w:rsidRDefault="00F97602" w:rsidP="00F24F04">
            <w:pPr>
              <w:jc w:val="center"/>
              <w:rPr>
                <w:rFonts w:ascii="Arial Narrow" w:hAnsi="Arial Narrow" w:cs="Arial"/>
                <w:b/>
                <w:bCs/>
                <w:color w:val="FFFFFF" w:themeColor="background1"/>
                <w:sz w:val="16"/>
                <w:szCs w:val="16"/>
              </w:rPr>
            </w:pPr>
          </w:p>
        </w:tc>
        <w:tc>
          <w:tcPr>
            <w:tcW w:w="1418" w:type="dxa"/>
            <w:tcBorders>
              <w:top w:val="nil"/>
              <w:left w:val="single" w:sz="18" w:space="0" w:color="C0C0C0"/>
              <w:right w:val="single" w:sz="18" w:space="0" w:color="BFBFBF"/>
            </w:tcBorders>
            <w:shd w:val="clear" w:color="auto" w:fill="20849B"/>
            <w:vAlign w:val="center"/>
          </w:tcPr>
          <w:p w14:paraId="42726BAD" w14:textId="37129621" w:rsidR="00F97602" w:rsidRPr="00E57545" w:rsidRDefault="003D5079" w:rsidP="00F24F0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17 ½ day CE</w:t>
            </w:r>
          </w:p>
        </w:tc>
        <w:tc>
          <w:tcPr>
            <w:tcW w:w="1417" w:type="dxa"/>
            <w:tcBorders>
              <w:top w:val="nil"/>
              <w:left w:val="single" w:sz="18" w:space="0" w:color="BFBFBF"/>
              <w:right w:val="single" w:sz="18" w:space="0" w:color="C0C0C0"/>
            </w:tcBorders>
            <w:shd w:val="clear" w:color="auto" w:fill="20849B"/>
            <w:vAlign w:val="center"/>
          </w:tcPr>
          <w:p w14:paraId="3A99A90F" w14:textId="0F33E80C" w:rsidR="00F97602" w:rsidRPr="00E57545" w:rsidRDefault="003D5079" w:rsidP="00F24F0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18 CE</w:t>
            </w:r>
          </w:p>
        </w:tc>
        <w:tc>
          <w:tcPr>
            <w:tcW w:w="1276" w:type="dxa"/>
            <w:tcBorders>
              <w:top w:val="nil"/>
              <w:left w:val="single" w:sz="18" w:space="0" w:color="C0C0C0"/>
              <w:right w:val="single" w:sz="18" w:space="0" w:color="C0C0C0"/>
            </w:tcBorders>
            <w:shd w:val="clear" w:color="auto" w:fill="20849B"/>
            <w:vAlign w:val="center"/>
          </w:tcPr>
          <w:p w14:paraId="33F77CCA" w14:textId="06D8CA0D" w:rsidR="00F97602" w:rsidRPr="00E57545" w:rsidRDefault="003D5079" w:rsidP="00F24F0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19 ½ day CE</w:t>
            </w:r>
          </w:p>
        </w:tc>
        <w:tc>
          <w:tcPr>
            <w:tcW w:w="1276" w:type="dxa"/>
            <w:vMerge/>
            <w:tcBorders>
              <w:left w:val="single" w:sz="18" w:space="0" w:color="C0C0C0"/>
              <w:right w:val="single" w:sz="18" w:space="0" w:color="auto"/>
            </w:tcBorders>
            <w:vAlign w:val="center"/>
          </w:tcPr>
          <w:p w14:paraId="387B3124" w14:textId="77777777" w:rsidR="00F97602" w:rsidRPr="008C7414" w:rsidRDefault="00F97602" w:rsidP="00F24F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vAlign w:val="center"/>
          </w:tcPr>
          <w:p w14:paraId="69191129" w14:textId="77777777" w:rsidR="00F97602" w:rsidRPr="00464CCB" w:rsidRDefault="00F97602" w:rsidP="00F24F04">
            <w:pPr>
              <w:spacing w:line="240" w:lineRule="auto"/>
              <w:jc w:val="center"/>
              <w:rPr>
                <w:rFonts w:ascii="Arial Narrow" w:hAnsi="Arial Narrow" w:cs="Arial"/>
                <w:b/>
                <w:bCs/>
                <w:sz w:val="16"/>
                <w:szCs w:val="16"/>
              </w:rPr>
            </w:pPr>
          </w:p>
        </w:tc>
      </w:tr>
      <w:tr w:rsidR="00F97602" w:rsidRPr="00BC2C5D" w14:paraId="358400C0" w14:textId="77777777" w:rsidTr="00F97602">
        <w:trPr>
          <w:trHeight w:val="113"/>
        </w:trPr>
        <w:tc>
          <w:tcPr>
            <w:tcW w:w="1111" w:type="dxa"/>
            <w:vMerge w:val="restart"/>
            <w:tcBorders>
              <w:top w:val="single" w:sz="18" w:space="0" w:color="BFBFBF" w:themeColor="background1" w:themeShade="BF"/>
              <w:left w:val="single" w:sz="18" w:space="0" w:color="auto"/>
              <w:right w:val="single" w:sz="18" w:space="0" w:color="C0C0C0"/>
            </w:tcBorders>
            <w:vAlign w:val="center"/>
          </w:tcPr>
          <w:p w14:paraId="7F3CCD7D" w14:textId="0730D06F" w:rsidR="00F97602" w:rsidRDefault="00F97602" w:rsidP="00F24F04">
            <w:pPr>
              <w:jc w:val="center"/>
              <w:rPr>
                <w:rFonts w:ascii="Arial Narrow" w:hAnsi="Arial Narrow" w:cs="Arial"/>
                <w:sz w:val="16"/>
                <w:szCs w:val="16"/>
              </w:rPr>
            </w:pPr>
            <w:r>
              <w:rPr>
                <w:rFonts w:ascii="Arial Narrow" w:hAnsi="Arial Narrow" w:cs="Arial"/>
                <w:sz w:val="16"/>
                <w:szCs w:val="16"/>
              </w:rPr>
              <w:t>23 June</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5AA43F07" w14:textId="3074A5F5" w:rsidR="00F97602" w:rsidRPr="00E57545" w:rsidRDefault="00F97602" w:rsidP="00F24F04">
            <w:pPr>
              <w:jc w:val="center"/>
              <w:rPr>
                <w:rFonts w:ascii="Arial Narrow" w:hAnsi="Arial Narrow" w:cs="Arial"/>
                <w:color w:val="FFFFFF" w:themeColor="background1"/>
                <w:sz w:val="16"/>
                <w:szCs w:val="16"/>
                <w:highlight w:val="yellow"/>
              </w:rPr>
            </w:pPr>
            <w:r w:rsidRPr="00E57545">
              <w:rPr>
                <w:rFonts w:ascii="Arial Narrow" w:hAnsi="Arial Narrow" w:cs="Arial"/>
                <w:b/>
                <w:bCs/>
                <w:color w:val="FFFFFF" w:themeColor="background1"/>
                <w:sz w:val="16"/>
                <w:szCs w:val="16"/>
              </w:rPr>
              <w:t>23 ½ day CE</w:t>
            </w:r>
          </w:p>
        </w:tc>
        <w:tc>
          <w:tcPr>
            <w:tcW w:w="1418" w:type="dxa"/>
            <w:tcBorders>
              <w:top w:val="single" w:sz="18" w:space="0" w:color="C0C0C0"/>
              <w:left w:val="single" w:sz="18" w:space="0" w:color="C0C0C0"/>
              <w:bottom w:val="nil"/>
              <w:right w:val="single" w:sz="18" w:space="0" w:color="BFBFBF"/>
            </w:tcBorders>
            <w:shd w:val="clear" w:color="auto" w:fill="EE0000"/>
            <w:vAlign w:val="center"/>
          </w:tcPr>
          <w:p w14:paraId="6A12CAE1" w14:textId="10DABA6E" w:rsidR="00F97602" w:rsidRPr="00F97602" w:rsidRDefault="00F97602" w:rsidP="00F24F04">
            <w:pPr>
              <w:jc w:val="center"/>
              <w:rPr>
                <w:rFonts w:ascii="Arial Narrow" w:hAnsi="Arial Narrow" w:cs="Arial"/>
                <w:b/>
                <w:bCs/>
                <w:color w:val="FFFFFF" w:themeColor="background1"/>
                <w:sz w:val="16"/>
                <w:szCs w:val="16"/>
              </w:rPr>
            </w:pPr>
            <w:r w:rsidRPr="00F97602">
              <w:rPr>
                <w:rFonts w:ascii="Arial Narrow" w:hAnsi="Arial Narrow" w:cs="Arial"/>
                <w:b/>
                <w:bCs/>
                <w:color w:val="FFFFFF" w:themeColor="background1"/>
                <w:sz w:val="16"/>
                <w:szCs w:val="16"/>
              </w:rPr>
              <w:t>24 ½ day CE</w:t>
            </w:r>
          </w:p>
        </w:tc>
        <w:tc>
          <w:tcPr>
            <w:tcW w:w="1417" w:type="dxa"/>
            <w:vMerge w:val="restart"/>
            <w:tcBorders>
              <w:top w:val="single" w:sz="18" w:space="0" w:color="BFBFBF" w:themeColor="background1" w:themeShade="BF"/>
              <w:left w:val="single" w:sz="18" w:space="0" w:color="BFBFBF"/>
              <w:right w:val="single" w:sz="18" w:space="0" w:color="C0C0C0"/>
            </w:tcBorders>
            <w:shd w:val="clear" w:color="auto" w:fill="EE0000"/>
            <w:vAlign w:val="center"/>
          </w:tcPr>
          <w:p w14:paraId="6DFE03AF" w14:textId="576DFE83" w:rsidR="00F97602" w:rsidRPr="00E57545" w:rsidRDefault="00F97602" w:rsidP="00B30955">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w:t>
            </w:r>
            <w:r>
              <w:rPr>
                <w:rFonts w:ascii="Arial Narrow" w:hAnsi="Arial Narrow" w:cs="Arial"/>
                <w:b/>
                <w:bCs/>
                <w:color w:val="FFFFFF" w:themeColor="background1"/>
                <w:sz w:val="16"/>
                <w:szCs w:val="16"/>
              </w:rPr>
              <w:t>5 CE</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EE0000"/>
            <w:vAlign w:val="center"/>
          </w:tcPr>
          <w:p w14:paraId="44E04AA2" w14:textId="0599D022" w:rsidR="00F97602" w:rsidRPr="00F97602" w:rsidRDefault="00F97602" w:rsidP="00F24F04">
            <w:pPr>
              <w:jc w:val="center"/>
              <w:rPr>
                <w:rFonts w:ascii="Arial Narrow" w:hAnsi="Arial Narrow" w:cs="Arial"/>
                <w:b/>
                <w:bCs/>
                <w:color w:val="FFFFFF" w:themeColor="background1"/>
                <w:sz w:val="16"/>
                <w:szCs w:val="16"/>
              </w:rPr>
            </w:pPr>
            <w:r w:rsidRPr="00F97602">
              <w:rPr>
                <w:rFonts w:ascii="Arial Narrow" w:hAnsi="Arial Narrow" w:cs="Arial"/>
                <w:b/>
                <w:bCs/>
                <w:color w:val="FFFFFF" w:themeColor="background1"/>
                <w:sz w:val="16"/>
                <w:szCs w:val="16"/>
              </w:rPr>
              <w:t>26 ½ day CE</w:t>
            </w:r>
          </w:p>
        </w:tc>
        <w:tc>
          <w:tcPr>
            <w:tcW w:w="1276" w:type="dxa"/>
            <w:vMerge w:val="restart"/>
            <w:tcBorders>
              <w:top w:val="single" w:sz="18" w:space="0" w:color="BFBFBF" w:themeColor="background1" w:themeShade="BF"/>
              <w:left w:val="single" w:sz="18" w:space="0" w:color="C0C0C0"/>
              <w:right w:val="single" w:sz="18" w:space="0" w:color="auto"/>
            </w:tcBorders>
            <w:vAlign w:val="center"/>
          </w:tcPr>
          <w:p w14:paraId="6B9BFEA4" w14:textId="458143CD" w:rsidR="00F97602" w:rsidRPr="00BE7F1D" w:rsidRDefault="00F97602" w:rsidP="00F24F04">
            <w:pPr>
              <w:jc w:val="center"/>
              <w:rPr>
                <w:rFonts w:ascii="Arial Narrow" w:hAnsi="Arial Narrow" w:cs="Arial"/>
                <w:b/>
                <w:bCs/>
                <w:sz w:val="16"/>
                <w:szCs w:val="16"/>
              </w:rPr>
            </w:pPr>
            <w:r>
              <w:rPr>
                <w:rFonts w:ascii="Arial Narrow" w:hAnsi="Arial Narrow" w:cs="Arial"/>
                <w:b/>
                <w:bCs/>
                <w:sz w:val="16"/>
                <w:szCs w:val="16"/>
              </w:rPr>
              <w:t>Special</w:t>
            </w:r>
            <w:r w:rsidRPr="006E14DE">
              <w:rPr>
                <w:rFonts w:ascii="Arial Narrow" w:hAnsi="Arial Narrow" w:cs="Arial"/>
                <w:b/>
                <w:bCs/>
                <w:sz w:val="16"/>
                <w:szCs w:val="16"/>
              </w:rPr>
              <w:t xml:space="preserve"> Holiday – </w:t>
            </w:r>
            <w:r>
              <w:rPr>
                <w:rFonts w:ascii="Arial Narrow" w:hAnsi="Arial Narrow" w:cs="Arial"/>
                <w:b/>
                <w:bCs/>
                <w:sz w:val="16"/>
                <w:szCs w:val="16"/>
              </w:rPr>
              <w:t>CO</w:t>
            </w:r>
            <w:r w:rsidRPr="006E14DE">
              <w:rPr>
                <w:rFonts w:ascii="Arial Narrow" w:hAnsi="Arial Narrow" w:cs="Arial"/>
                <w:b/>
                <w:bCs/>
                <w:sz w:val="16"/>
                <w:szCs w:val="16"/>
              </w:rPr>
              <w:t xml:space="preserve"> Only</w:t>
            </w:r>
          </w:p>
        </w:tc>
        <w:tc>
          <w:tcPr>
            <w:tcW w:w="3226" w:type="dxa"/>
            <w:vMerge w:val="restart"/>
            <w:tcBorders>
              <w:top w:val="single" w:sz="18" w:space="0" w:color="BFBFBF" w:themeColor="background1" w:themeShade="BF"/>
              <w:left w:val="single" w:sz="18" w:space="0" w:color="auto"/>
              <w:right w:val="single" w:sz="18" w:space="0" w:color="auto"/>
            </w:tcBorders>
            <w:vAlign w:val="center"/>
          </w:tcPr>
          <w:p w14:paraId="5A84D8F4" w14:textId="7BD6A264" w:rsidR="00F97602" w:rsidRPr="00464CCB" w:rsidRDefault="00F97602" w:rsidP="00F24F04">
            <w:pPr>
              <w:jc w:val="center"/>
              <w:rPr>
                <w:rFonts w:ascii="Arial Narrow" w:hAnsi="Arial Narrow" w:cs="Arial"/>
                <w:b/>
                <w:bCs/>
                <w:sz w:val="16"/>
                <w:szCs w:val="16"/>
              </w:rPr>
            </w:pPr>
            <w:r w:rsidRPr="00464CCB">
              <w:rPr>
                <w:rFonts w:ascii="Arial Narrow" w:hAnsi="Arial Narrow" w:cs="Arial"/>
                <w:b/>
                <w:bCs/>
                <w:sz w:val="16"/>
                <w:szCs w:val="16"/>
              </w:rPr>
              <w:t xml:space="preserve">27 June Laura Rodeo, </w:t>
            </w:r>
            <w:proofErr w:type="spellStart"/>
            <w:r w:rsidRPr="00464CCB">
              <w:rPr>
                <w:rFonts w:ascii="Arial Narrow" w:hAnsi="Arial Narrow" w:cs="Arial"/>
                <w:b/>
                <w:bCs/>
                <w:sz w:val="16"/>
                <w:szCs w:val="16"/>
              </w:rPr>
              <w:t>Campdraft</w:t>
            </w:r>
            <w:proofErr w:type="spellEnd"/>
            <w:r w:rsidRPr="00464CCB">
              <w:rPr>
                <w:rFonts w:ascii="Arial Narrow" w:hAnsi="Arial Narrow" w:cs="Arial"/>
                <w:b/>
                <w:bCs/>
                <w:sz w:val="16"/>
                <w:szCs w:val="16"/>
              </w:rPr>
              <w:t xml:space="preserve"> and Races Weekend</w:t>
            </w:r>
          </w:p>
        </w:tc>
      </w:tr>
      <w:tr w:rsidR="00F97602" w:rsidRPr="00BC2C5D" w14:paraId="60DD7C14" w14:textId="77777777" w:rsidTr="00F97602">
        <w:trPr>
          <w:trHeight w:val="112"/>
        </w:trPr>
        <w:tc>
          <w:tcPr>
            <w:tcW w:w="1111" w:type="dxa"/>
            <w:vMerge/>
            <w:tcBorders>
              <w:left w:val="single" w:sz="18" w:space="0" w:color="auto"/>
              <w:right w:val="single" w:sz="18" w:space="0" w:color="C0C0C0"/>
            </w:tcBorders>
            <w:vAlign w:val="center"/>
          </w:tcPr>
          <w:p w14:paraId="1EFF2569" w14:textId="77777777" w:rsidR="00F97602" w:rsidRDefault="00F97602" w:rsidP="00F24F04">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972A9"/>
            <w:vAlign w:val="center"/>
          </w:tcPr>
          <w:p w14:paraId="3D4AEA70" w14:textId="77777777" w:rsidR="00F97602" w:rsidRPr="00E57545" w:rsidRDefault="00F97602" w:rsidP="00F24F04">
            <w:pPr>
              <w:jc w:val="center"/>
              <w:rPr>
                <w:rFonts w:ascii="Arial Narrow" w:hAnsi="Arial Narrow" w:cs="Arial"/>
                <w:b/>
                <w:bCs/>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A972A9"/>
            <w:vAlign w:val="center"/>
          </w:tcPr>
          <w:p w14:paraId="7E10947D" w14:textId="737DA75D" w:rsidR="00F97602" w:rsidRPr="00E57545" w:rsidRDefault="00F97602" w:rsidP="00F24F04">
            <w:pPr>
              <w:jc w:val="center"/>
              <w:rPr>
                <w:rFonts w:ascii="Arial Narrow" w:hAnsi="Arial Narrow" w:cs="Arial"/>
                <w:b/>
                <w:bCs/>
                <w:color w:val="FFFFFF" w:themeColor="background1"/>
                <w:sz w:val="16"/>
                <w:szCs w:val="16"/>
              </w:rPr>
            </w:pPr>
            <w:r w:rsidRPr="00E57545">
              <w:rPr>
                <w:rFonts w:ascii="Arial Narrow" w:hAnsi="Arial Narrow" w:cs="Arial"/>
                <w:b/>
                <w:bCs/>
                <w:color w:val="FFFFFF" w:themeColor="background1"/>
                <w:sz w:val="16"/>
                <w:szCs w:val="16"/>
              </w:rPr>
              <w:t>24 C</w:t>
            </w:r>
            <w:r>
              <w:rPr>
                <w:rFonts w:ascii="Arial Narrow" w:hAnsi="Arial Narrow" w:cs="Arial"/>
                <w:b/>
                <w:bCs/>
                <w:color w:val="FFFFFF" w:themeColor="background1"/>
                <w:sz w:val="16"/>
                <w:szCs w:val="16"/>
              </w:rPr>
              <w:t>onf</w:t>
            </w:r>
          </w:p>
        </w:tc>
        <w:tc>
          <w:tcPr>
            <w:tcW w:w="1417" w:type="dxa"/>
            <w:vMerge/>
            <w:tcBorders>
              <w:left w:val="single" w:sz="18" w:space="0" w:color="BFBFBF"/>
              <w:bottom w:val="nil"/>
              <w:right w:val="single" w:sz="18" w:space="0" w:color="C0C0C0"/>
            </w:tcBorders>
            <w:shd w:val="clear" w:color="auto" w:fill="EE0000"/>
            <w:vAlign w:val="center"/>
          </w:tcPr>
          <w:p w14:paraId="5D1D7C64" w14:textId="77777777" w:rsidR="00F97602" w:rsidRPr="00E57545" w:rsidRDefault="00F97602" w:rsidP="00B30955">
            <w:pPr>
              <w:jc w:val="center"/>
              <w:rPr>
                <w:rFonts w:ascii="Arial Narrow" w:hAnsi="Arial Narrow" w:cs="Arial"/>
                <w:b/>
                <w:bCs/>
                <w:color w:val="FFFFFF" w:themeColor="background1"/>
                <w:sz w:val="16"/>
                <w:szCs w:val="16"/>
              </w:rPr>
            </w:pPr>
          </w:p>
        </w:tc>
        <w:tc>
          <w:tcPr>
            <w:tcW w:w="1276" w:type="dxa"/>
            <w:tcBorders>
              <w:top w:val="nil"/>
              <w:left w:val="single" w:sz="18" w:space="0" w:color="C0C0C0"/>
              <w:bottom w:val="nil"/>
              <w:right w:val="single" w:sz="18" w:space="0" w:color="C0C0C0"/>
            </w:tcBorders>
            <w:shd w:val="clear" w:color="auto" w:fill="A972A9"/>
            <w:vAlign w:val="center"/>
          </w:tcPr>
          <w:p w14:paraId="4F39E144" w14:textId="331B2C27" w:rsidR="00F97602" w:rsidRPr="00E57545" w:rsidRDefault="00F97602" w:rsidP="00F24F04">
            <w:pPr>
              <w:jc w:val="center"/>
              <w:rPr>
                <w:rFonts w:ascii="Arial Narrow" w:hAnsi="Arial Narrow" w:cs="Arial"/>
                <w:b/>
                <w:bCs/>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vMerge/>
            <w:tcBorders>
              <w:left w:val="single" w:sz="18" w:space="0" w:color="C0C0C0"/>
              <w:right w:val="single" w:sz="18" w:space="0" w:color="auto"/>
            </w:tcBorders>
            <w:vAlign w:val="center"/>
          </w:tcPr>
          <w:p w14:paraId="7A83DED7" w14:textId="77777777" w:rsidR="00F97602" w:rsidRDefault="00F97602" w:rsidP="00F24F04">
            <w:pPr>
              <w:jc w:val="center"/>
              <w:rPr>
                <w:rFonts w:ascii="Arial Narrow" w:hAnsi="Arial Narrow" w:cs="Arial"/>
                <w:b/>
                <w:bCs/>
                <w:sz w:val="16"/>
                <w:szCs w:val="16"/>
              </w:rPr>
            </w:pPr>
          </w:p>
        </w:tc>
        <w:tc>
          <w:tcPr>
            <w:tcW w:w="3226" w:type="dxa"/>
            <w:vMerge/>
            <w:tcBorders>
              <w:left w:val="single" w:sz="18" w:space="0" w:color="auto"/>
              <w:right w:val="single" w:sz="18" w:space="0" w:color="auto"/>
            </w:tcBorders>
            <w:vAlign w:val="center"/>
          </w:tcPr>
          <w:p w14:paraId="3008E8F3" w14:textId="77777777" w:rsidR="00F97602" w:rsidRPr="00464CCB" w:rsidRDefault="00F97602" w:rsidP="00F24F04">
            <w:pPr>
              <w:jc w:val="center"/>
              <w:rPr>
                <w:rFonts w:ascii="Arial Narrow" w:hAnsi="Arial Narrow" w:cs="Arial"/>
                <w:b/>
                <w:bCs/>
                <w:sz w:val="16"/>
                <w:szCs w:val="16"/>
              </w:rPr>
            </w:pPr>
          </w:p>
        </w:tc>
      </w:tr>
      <w:tr w:rsidR="00F97602" w:rsidRPr="00BC2C5D" w14:paraId="60CC701A" w14:textId="77777777" w:rsidTr="00F97602">
        <w:trPr>
          <w:trHeight w:val="217"/>
        </w:trPr>
        <w:tc>
          <w:tcPr>
            <w:tcW w:w="1111" w:type="dxa"/>
            <w:vMerge/>
            <w:tcBorders>
              <w:left w:val="single" w:sz="18" w:space="0" w:color="auto"/>
              <w:bottom w:val="single" w:sz="18" w:space="0" w:color="BFBFBF" w:themeColor="background1" w:themeShade="BF"/>
              <w:right w:val="single" w:sz="18" w:space="0" w:color="C0C0C0"/>
            </w:tcBorders>
            <w:vAlign w:val="center"/>
          </w:tcPr>
          <w:p w14:paraId="5C9A815C" w14:textId="77777777" w:rsidR="00F97602" w:rsidRDefault="00F97602" w:rsidP="00F24F04">
            <w:pPr>
              <w:jc w:val="center"/>
              <w:rPr>
                <w:rFonts w:ascii="Arial Narrow" w:hAnsi="Arial Narrow" w:cs="Arial"/>
                <w:sz w:val="16"/>
                <w:szCs w:val="16"/>
              </w:rPr>
            </w:pPr>
          </w:p>
        </w:tc>
        <w:tc>
          <w:tcPr>
            <w:tcW w:w="1134" w:type="dxa"/>
            <w:vMerge/>
            <w:tcBorders>
              <w:left w:val="single" w:sz="18" w:space="0" w:color="C0C0C0"/>
              <w:bottom w:val="single" w:sz="18" w:space="0" w:color="BFBFBF" w:themeColor="background1" w:themeShade="BF"/>
              <w:right w:val="single" w:sz="18" w:space="0" w:color="C0C0C0"/>
            </w:tcBorders>
            <w:vAlign w:val="center"/>
          </w:tcPr>
          <w:p w14:paraId="2E61886E" w14:textId="77777777" w:rsidR="00F97602" w:rsidRPr="00E57545" w:rsidRDefault="00F97602" w:rsidP="00F24F04">
            <w:pPr>
              <w:jc w:val="center"/>
              <w:rPr>
                <w:rFonts w:ascii="Arial Narrow" w:hAnsi="Arial Narrow" w:cs="Arial"/>
                <w:color w:val="FFFFFF" w:themeColor="background1"/>
                <w:sz w:val="16"/>
                <w:szCs w:val="16"/>
                <w:highlight w:val="yellow"/>
              </w:rPr>
            </w:pPr>
          </w:p>
        </w:tc>
        <w:tc>
          <w:tcPr>
            <w:tcW w:w="1418" w:type="dxa"/>
            <w:tcBorders>
              <w:top w:val="nil"/>
              <w:left w:val="single" w:sz="18" w:space="0" w:color="C0C0C0"/>
              <w:bottom w:val="single" w:sz="18" w:space="0" w:color="C0C0C0"/>
              <w:right w:val="single" w:sz="18" w:space="0" w:color="BFBFBF"/>
            </w:tcBorders>
            <w:shd w:val="clear" w:color="auto" w:fill="769250"/>
            <w:vAlign w:val="center"/>
          </w:tcPr>
          <w:p w14:paraId="6EBBADEA" w14:textId="515A2FA8" w:rsidR="00F97602" w:rsidRPr="00E57545" w:rsidRDefault="00F97602"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24 CE</w:t>
            </w:r>
          </w:p>
        </w:tc>
        <w:tc>
          <w:tcPr>
            <w:tcW w:w="1417"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310BCE90" w14:textId="6CBD1A59" w:rsidR="00F97602" w:rsidRPr="00F97602" w:rsidRDefault="00F97602" w:rsidP="00F24F04">
            <w:pPr>
              <w:jc w:val="center"/>
              <w:rPr>
                <w:rFonts w:ascii="Arial Narrow" w:hAnsi="Arial Narrow" w:cs="Arial"/>
                <w:b/>
                <w:bCs/>
                <w:color w:val="FFFFFF" w:themeColor="background1"/>
                <w:sz w:val="16"/>
                <w:szCs w:val="16"/>
              </w:rPr>
            </w:pPr>
            <w:r w:rsidRPr="00F97602">
              <w:rPr>
                <w:rFonts w:ascii="Arial Narrow" w:hAnsi="Arial Narrow" w:cs="Arial"/>
                <w:b/>
                <w:bCs/>
                <w:color w:val="FFFFFF" w:themeColor="background1"/>
                <w:sz w:val="16"/>
                <w:szCs w:val="16"/>
              </w:rPr>
              <w:t>25 Conf</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2D003B29" w14:textId="263E50CA" w:rsidR="00F97602" w:rsidRPr="00E57545" w:rsidRDefault="00F97602"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CE</w:t>
            </w:r>
          </w:p>
        </w:tc>
        <w:tc>
          <w:tcPr>
            <w:tcW w:w="1276" w:type="dxa"/>
            <w:vMerge/>
            <w:tcBorders>
              <w:left w:val="single" w:sz="18" w:space="0" w:color="C0C0C0"/>
              <w:bottom w:val="single" w:sz="18" w:space="0" w:color="BFBFBF" w:themeColor="background1" w:themeShade="BF"/>
              <w:right w:val="single" w:sz="18" w:space="0" w:color="auto"/>
            </w:tcBorders>
            <w:vAlign w:val="center"/>
          </w:tcPr>
          <w:p w14:paraId="7CEA6D5B" w14:textId="77777777" w:rsidR="00F97602" w:rsidRDefault="00F97602" w:rsidP="00F24F04">
            <w:pPr>
              <w:jc w:val="center"/>
              <w:rPr>
                <w:rFonts w:ascii="Arial Narrow" w:hAnsi="Arial Narrow" w:cs="Arial"/>
                <w:b/>
                <w:bCs/>
                <w:sz w:val="16"/>
                <w:szCs w:val="16"/>
              </w:rPr>
            </w:pPr>
          </w:p>
        </w:tc>
        <w:tc>
          <w:tcPr>
            <w:tcW w:w="3226" w:type="dxa"/>
            <w:vMerge/>
            <w:tcBorders>
              <w:left w:val="single" w:sz="18" w:space="0" w:color="auto"/>
              <w:bottom w:val="single" w:sz="18" w:space="0" w:color="BFBFBF" w:themeColor="background1" w:themeShade="BF"/>
              <w:right w:val="single" w:sz="18" w:space="0" w:color="auto"/>
            </w:tcBorders>
            <w:vAlign w:val="center"/>
          </w:tcPr>
          <w:p w14:paraId="4872379D" w14:textId="77777777" w:rsidR="00F97602" w:rsidRPr="00464CCB" w:rsidRDefault="00F97602" w:rsidP="00F24F04">
            <w:pPr>
              <w:jc w:val="center"/>
              <w:rPr>
                <w:rFonts w:ascii="Arial Narrow" w:hAnsi="Arial Narrow" w:cs="Arial"/>
                <w:b/>
                <w:bCs/>
                <w:sz w:val="16"/>
                <w:szCs w:val="16"/>
              </w:rPr>
            </w:pPr>
          </w:p>
        </w:tc>
      </w:tr>
      <w:tr w:rsidR="00BD223A" w:rsidRPr="00BC2C5D" w14:paraId="33054B5D" w14:textId="77777777" w:rsidTr="00464CCB">
        <w:trPr>
          <w:trHeight w:val="284"/>
        </w:trPr>
        <w:tc>
          <w:tcPr>
            <w:tcW w:w="1111" w:type="dxa"/>
            <w:tcBorders>
              <w:top w:val="single" w:sz="18" w:space="0" w:color="BFBFBF" w:themeColor="background1" w:themeShade="BF"/>
              <w:left w:val="single" w:sz="18" w:space="0" w:color="auto"/>
              <w:bottom w:val="single" w:sz="18" w:space="0" w:color="auto"/>
              <w:right w:val="single" w:sz="18" w:space="0" w:color="C0C0C0"/>
            </w:tcBorders>
            <w:vAlign w:val="center"/>
          </w:tcPr>
          <w:p w14:paraId="6561B462" w14:textId="1DFC16EF" w:rsidR="00BD223A" w:rsidRDefault="00BD223A" w:rsidP="00BD223A">
            <w:pPr>
              <w:jc w:val="center"/>
              <w:rPr>
                <w:rFonts w:ascii="Arial Narrow" w:hAnsi="Arial Narrow" w:cs="Arial"/>
                <w:sz w:val="16"/>
                <w:szCs w:val="16"/>
              </w:rPr>
            </w:pPr>
            <w:r>
              <w:rPr>
                <w:rFonts w:ascii="Arial Narrow" w:hAnsi="Arial Narrow" w:cs="Arial"/>
                <w:sz w:val="16"/>
                <w:szCs w:val="16"/>
              </w:rPr>
              <w:t xml:space="preserve">30 </w:t>
            </w:r>
            <w:r w:rsidR="0022339B">
              <w:rPr>
                <w:rFonts w:ascii="Arial Narrow" w:hAnsi="Arial Narrow" w:cs="Arial"/>
                <w:sz w:val="16"/>
                <w:szCs w:val="16"/>
              </w:rPr>
              <w:t>June</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705202A5" w14:textId="77777777" w:rsidR="00BD223A" w:rsidRPr="00BD223A" w:rsidRDefault="00BD223A" w:rsidP="00BD223A">
            <w:pPr>
              <w:jc w:val="center"/>
              <w:rPr>
                <w:rFonts w:ascii="Arial Narrow" w:hAnsi="Arial Narrow" w:cs="Arial"/>
                <w:sz w:val="15"/>
                <w:szCs w:val="15"/>
                <w:highlight w:val="yellow"/>
              </w:rPr>
            </w:pPr>
          </w:p>
        </w:tc>
        <w:tc>
          <w:tcPr>
            <w:tcW w:w="1418"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153C5520" w14:textId="77777777" w:rsidR="00BD223A" w:rsidRPr="00BD223A" w:rsidRDefault="00BD223A" w:rsidP="00BD223A">
            <w:pPr>
              <w:jc w:val="center"/>
              <w:rPr>
                <w:rFonts w:ascii="Arial Narrow" w:hAnsi="Arial Narrow" w:cs="Arial"/>
                <w:color w:val="000000"/>
                <w:sz w:val="15"/>
                <w:szCs w:val="15"/>
              </w:rPr>
            </w:pP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469A76BB" w14:textId="562C76A8" w:rsidR="00BD223A" w:rsidRPr="00BD223A" w:rsidRDefault="00BD223A" w:rsidP="00BD223A">
            <w:pPr>
              <w:jc w:val="center"/>
              <w:rPr>
                <w:rFonts w:ascii="Arial Narrow" w:hAnsi="Arial Narrow" w:cs="Arial"/>
                <w:color w:val="000000"/>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EC9B010" w14:textId="77777777" w:rsidR="00BD223A" w:rsidRPr="00BD223A" w:rsidRDefault="00BD223A" w:rsidP="00BD223A">
            <w:pPr>
              <w:jc w:val="center"/>
              <w:rPr>
                <w:rFonts w:ascii="Arial Narrow" w:hAnsi="Arial Narrow" w:cs="Arial"/>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0A741E46" w14:textId="77777777" w:rsidR="00BD223A" w:rsidRPr="00BD223A" w:rsidRDefault="00BD223A" w:rsidP="00BD223A">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3526AD38" w14:textId="77777777" w:rsidR="00464CCB" w:rsidRPr="00464CCB" w:rsidRDefault="00464CCB" w:rsidP="00464CCB">
            <w:pPr>
              <w:jc w:val="center"/>
              <w:rPr>
                <w:rFonts w:ascii="Arial Narrow" w:hAnsi="Arial Narrow"/>
                <w:color w:val="31849B"/>
                <w:sz w:val="16"/>
                <w:szCs w:val="16"/>
              </w:rPr>
            </w:pPr>
            <w:r w:rsidRPr="00464CCB">
              <w:rPr>
                <w:rFonts w:ascii="Arial Narrow" w:hAnsi="Arial Narrow"/>
                <w:color w:val="31849B"/>
                <w:sz w:val="16"/>
                <w:szCs w:val="16"/>
              </w:rPr>
              <w:t>Cooktown Circuit</w:t>
            </w:r>
          </w:p>
          <w:p w14:paraId="23BA0958" w14:textId="27D01E4E" w:rsidR="00BD223A" w:rsidRPr="00464CCB" w:rsidRDefault="00464CCB" w:rsidP="00464CCB">
            <w:pPr>
              <w:jc w:val="center"/>
              <w:rPr>
                <w:rFonts w:ascii="Arial Narrow" w:hAnsi="Arial Narrow"/>
                <w:color w:val="31849B"/>
                <w:sz w:val="16"/>
                <w:szCs w:val="16"/>
              </w:rPr>
            </w:pPr>
            <w:r w:rsidRPr="00464CCB">
              <w:rPr>
                <w:rFonts w:ascii="Arial Narrow" w:hAnsi="Arial Narrow"/>
                <w:color w:val="31849B"/>
                <w:sz w:val="16"/>
                <w:szCs w:val="16"/>
              </w:rPr>
              <w:t>Hope Vale Circuit</w:t>
            </w:r>
          </w:p>
        </w:tc>
      </w:tr>
    </w:tbl>
    <w:p w14:paraId="5919018A" w14:textId="6CA67322" w:rsidR="00FA7DA0" w:rsidRDefault="00FA7DA0" w:rsidP="000A0210">
      <w:pPr>
        <w:rPr>
          <w:rFonts w:ascii="Arial Narrow" w:hAnsi="Arial Narrow"/>
        </w:rPr>
      </w:pPr>
    </w:p>
    <w:p w14:paraId="489BDA62" w14:textId="77777777" w:rsidR="00FA7DA0" w:rsidRDefault="00FA7DA0">
      <w:pPr>
        <w:spacing w:line="240" w:lineRule="auto"/>
        <w:rPr>
          <w:rFonts w:ascii="Arial Narrow" w:hAnsi="Arial Narrow"/>
        </w:rPr>
      </w:pPr>
      <w:r>
        <w:rPr>
          <w:rFonts w:ascii="Arial Narrow" w:hAnsi="Arial Narrow"/>
        </w:rPr>
        <w:br w:type="page"/>
      </w:r>
    </w:p>
    <w:p w14:paraId="0FAFF714" w14:textId="77777777" w:rsidR="000A0210" w:rsidRPr="000A0210" w:rsidRDefault="000A0210" w:rsidP="000A0210">
      <w:pPr>
        <w:rPr>
          <w:rFonts w:ascii="Arial Narrow" w:hAnsi="Arial Narrow"/>
        </w:rPr>
      </w:pPr>
    </w:p>
    <w:p w14:paraId="0D98CD12" w14:textId="258ACE4C"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tcPr>
          <w:p w14:paraId="2A743319" w14:textId="73BCF515" w:rsidR="00FA3323" w:rsidRPr="00D20D53" w:rsidRDefault="00FA3323" w:rsidP="00A15FC1">
            <w:pPr>
              <w:rPr>
                <w:rFonts w:ascii="Arial Narrow" w:hAnsi="Arial Narrow"/>
                <w:sz w:val="18"/>
                <w:szCs w:val="18"/>
              </w:rPr>
            </w:pPr>
            <w:r w:rsidRPr="00D20D53">
              <w:rPr>
                <w:rFonts w:ascii="Arial" w:hAnsi="Arial" w:cs="Arial"/>
                <w:sz w:val="18"/>
                <w:szCs w:val="18"/>
              </w:rPr>
              <w:t>Office Days</w:t>
            </w:r>
            <w:r w:rsidR="006049DC">
              <w:rPr>
                <w:rFonts w:ascii="Arial" w:hAnsi="Arial" w:cs="Arial"/>
                <w:sz w:val="18"/>
                <w:szCs w:val="18"/>
              </w:rPr>
              <w:t>/School Holidays</w:t>
            </w:r>
          </w:p>
        </w:tc>
      </w:tr>
      <w:tr w:rsidR="00FA3323" w:rsidRPr="0036066B" w14:paraId="2B38FB28" w14:textId="77777777" w:rsidTr="00432753">
        <w:tc>
          <w:tcPr>
            <w:tcW w:w="710" w:type="dxa"/>
            <w:tcBorders>
              <w:bottom w:val="single" w:sz="4" w:space="0" w:color="auto"/>
            </w:tcBorders>
          </w:tcPr>
          <w:p w14:paraId="1001310F" w14:textId="77777777" w:rsidR="00FA3323" w:rsidRPr="0036066B" w:rsidRDefault="00FA3323" w:rsidP="00A15FC1">
            <w:pPr>
              <w:rPr>
                <w:rFonts w:ascii="Arial Narrow" w:hAnsi="Arial Narrow"/>
              </w:rPr>
            </w:pPr>
          </w:p>
        </w:tc>
        <w:tc>
          <w:tcPr>
            <w:tcW w:w="2693" w:type="dxa"/>
          </w:tcPr>
          <w:p w14:paraId="18C3D116" w14:textId="1BDC4B7F" w:rsidR="00FA3323" w:rsidRPr="00432753" w:rsidRDefault="00FA3323" w:rsidP="00A15FC1">
            <w:pPr>
              <w:rPr>
                <w:rFonts w:ascii="Arial Narrow" w:hAnsi="Arial Narrow"/>
                <w:b/>
                <w:bCs/>
                <w:sz w:val="18"/>
                <w:szCs w:val="18"/>
              </w:rPr>
            </w:pPr>
            <w:r w:rsidRPr="00432753">
              <w:rPr>
                <w:rFonts w:ascii="Arial" w:hAnsi="Arial" w:cs="Arial"/>
                <w:b/>
                <w:bCs/>
                <w:sz w:val="18"/>
                <w:szCs w:val="18"/>
              </w:rPr>
              <w:t>Public</w:t>
            </w:r>
            <w:r w:rsidR="00432753" w:rsidRPr="00432753">
              <w:rPr>
                <w:rFonts w:ascii="Arial" w:hAnsi="Arial" w:cs="Arial"/>
                <w:b/>
                <w:bCs/>
                <w:sz w:val="18"/>
                <w:szCs w:val="18"/>
              </w:rPr>
              <w:t>/Bank</w:t>
            </w:r>
            <w:r w:rsidRPr="00432753">
              <w:rPr>
                <w:rFonts w:ascii="Arial" w:hAnsi="Arial" w:cs="Arial"/>
                <w:b/>
                <w:bCs/>
                <w:sz w:val="18"/>
                <w:szCs w:val="18"/>
              </w:rPr>
              <w:t xml:space="preserve">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vAlign w:val="center"/>
          </w:tcPr>
          <w:p w14:paraId="5116CEAB" w14:textId="6BB604AB" w:rsidR="00583BA9" w:rsidRPr="00583BA9" w:rsidRDefault="00583BA9" w:rsidP="00583BA9">
            <w:pPr>
              <w:rPr>
                <w:rFonts w:ascii="Arial" w:hAnsi="Arial" w:cs="Arial"/>
                <w:sz w:val="18"/>
                <w:szCs w:val="18"/>
              </w:rPr>
            </w:pPr>
            <w:r w:rsidRPr="00583BA9">
              <w:rPr>
                <w:rFonts w:ascii="Arial" w:hAnsi="Arial" w:cs="Arial"/>
                <w:sz w:val="18"/>
                <w:szCs w:val="18"/>
              </w:rPr>
              <w:t>Cairns –</w:t>
            </w:r>
            <w:r w:rsidR="002D7B26">
              <w:rPr>
                <w:rFonts w:ascii="Arial" w:hAnsi="Arial" w:cs="Arial"/>
                <w:sz w:val="18"/>
                <w:szCs w:val="18"/>
              </w:rPr>
              <w:t xml:space="preserve"> </w:t>
            </w:r>
            <w:r w:rsidRPr="00583BA9">
              <w:rPr>
                <w:rFonts w:ascii="Arial" w:hAnsi="Arial" w:cs="Arial"/>
                <w:sz w:val="18"/>
                <w:szCs w:val="18"/>
              </w:rPr>
              <w:t>Registrar</w:t>
            </w:r>
          </w:p>
        </w:tc>
        <w:tc>
          <w:tcPr>
            <w:tcW w:w="2308" w:type="dxa"/>
            <w:vAlign w:val="center"/>
          </w:tcPr>
          <w:p w14:paraId="73035401" w14:textId="7A2D2B56" w:rsidR="00583BA9" w:rsidRPr="00583BA9" w:rsidRDefault="002D7B26" w:rsidP="00583BA9">
            <w:pPr>
              <w:rPr>
                <w:rFonts w:ascii="Arial" w:hAnsi="Arial" w:cs="Arial"/>
                <w:sz w:val="18"/>
                <w:szCs w:val="18"/>
              </w:rPr>
            </w:pPr>
            <w:r>
              <w:rPr>
                <w:rFonts w:ascii="Arial" w:hAnsi="Arial" w:cs="Arial"/>
                <w:sz w:val="18"/>
                <w:szCs w:val="18"/>
              </w:rPr>
              <w:t>Helen Weedon</w:t>
            </w:r>
          </w:p>
        </w:tc>
        <w:tc>
          <w:tcPr>
            <w:tcW w:w="1261" w:type="dxa"/>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vAlign w:val="center"/>
          </w:tcPr>
          <w:p w14:paraId="05C1E82E" w14:textId="7B665BB9" w:rsidR="00583BA9" w:rsidRPr="00583BA9" w:rsidRDefault="00583BA9" w:rsidP="00583BA9">
            <w:pPr>
              <w:rPr>
                <w:rFonts w:ascii="Arial" w:hAnsi="Arial" w:cs="Arial"/>
                <w:sz w:val="18"/>
                <w:szCs w:val="18"/>
              </w:rPr>
            </w:pPr>
            <w:r w:rsidRPr="00583BA9">
              <w:rPr>
                <w:rFonts w:ascii="Arial" w:hAnsi="Arial" w:cs="Arial"/>
                <w:sz w:val="18"/>
                <w:szCs w:val="18"/>
              </w:rPr>
              <w:t>Cairns –</w:t>
            </w:r>
            <w:r w:rsidR="007711C5">
              <w:rPr>
                <w:rFonts w:ascii="Arial" w:hAnsi="Arial" w:cs="Arial"/>
                <w:sz w:val="18"/>
                <w:szCs w:val="18"/>
              </w:rPr>
              <w:t xml:space="preserve"> </w:t>
            </w:r>
            <w:r w:rsidRPr="00583BA9">
              <w:rPr>
                <w:rFonts w:ascii="Arial" w:hAnsi="Arial" w:cs="Arial"/>
                <w:sz w:val="18"/>
                <w:szCs w:val="18"/>
              </w:rPr>
              <w:t>Executive Officer (</w:t>
            </w:r>
            <w:r w:rsidR="007711C5">
              <w:rPr>
                <w:rFonts w:ascii="Arial" w:hAnsi="Arial" w:cs="Arial"/>
                <w:sz w:val="18"/>
                <w:szCs w:val="18"/>
              </w:rPr>
              <w:t>Corporate</w:t>
            </w:r>
            <w:r w:rsidRPr="00583BA9">
              <w:rPr>
                <w:rFonts w:ascii="Arial" w:hAnsi="Arial" w:cs="Arial"/>
                <w:sz w:val="18"/>
                <w:szCs w:val="18"/>
              </w:rPr>
              <w:t>)</w:t>
            </w:r>
          </w:p>
        </w:tc>
        <w:tc>
          <w:tcPr>
            <w:tcW w:w="2308" w:type="dxa"/>
            <w:vAlign w:val="center"/>
          </w:tcPr>
          <w:p w14:paraId="7AF4D22C" w14:textId="2253871C" w:rsidR="00583BA9" w:rsidRPr="00583BA9" w:rsidRDefault="002D7B26" w:rsidP="00583BA9">
            <w:pPr>
              <w:rPr>
                <w:rFonts w:ascii="Arial" w:hAnsi="Arial" w:cs="Arial"/>
                <w:sz w:val="18"/>
                <w:szCs w:val="18"/>
              </w:rPr>
            </w:pPr>
            <w:r>
              <w:rPr>
                <w:rFonts w:ascii="Arial" w:hAnsi="Arial" w:cs="Arial"/>
                <w:sz w:val="18"/>
                <w:szCs w:val="18"/>
              </w:rPr>
              <w:t>Wayne Massey</w:t>
            </w:r>
          </w:p>
        </w:tc>
        <w:tc>
          <w:tcPr>
            <w:tcW w:w="1261" w:type="dxa"/>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vAlign w:val="center"/>
          </w:tcPr>
          <w:p w14:paraId="1A138756" w14:textId="77777777" w:rsidR="00C97DD8" w:rsidRPr="00583BA9" w:rsidRDefault="00C97DD8" w:rsidP="008F23DF">
            <w:pPr>
              <w:jc w:val="center"/>
              <w:rPr>
                <w:rFonts w:ascii="Arial" w:hAnsi="Arial" w:cs="Arial"/>
                <w:sz w:val="18"/>
                <w:szCs w:val="18"/>
              </w:rPr>
            </w:pPr>
          </w:p>
        </w:tc>
        <w:tc>
          <w:tcPr>
            <w:tcW w:w="1275" w:type="dxa"/>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vAlign w:val="center"/>
          </w:tcPr>
          <w:p w14:paraId="4F007F93" w14:textId="3A026D0C" w:rsidR="00583BA9" w:rsidRPr="00583BA9" w:rsidRDefault="00F44D63" w:rsidP="00583BA9">
            <w:pPr>
              <w:rPr>
                <w:rFonts w:ascii="Arial" w:hAnsi="Arial" w:cs="Arial"/>
                <w:sz w:val="18"/>
                <w:szCs w:val="18"/>
              </w:rPr>
            </w:pPr>
            <w:r>
              <w:rPr>
                <w:rFonts w:ascii="Arial" w:hAnsi="Arial" w:cs="Arial"/>
                <w:sz w:val="18"/>
                <w:szCs w:val="18"/>
              </w:rPr>
              <w:t>Michelle Stewart</w:t>
            </w:r>
          </w:p>
        </w:tc>
        <w:tc>
          <w:tcPr>
            <w:tcW w:w="1261" w:type="dxa"/>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vAlign w:val="center"/>
          </w:tcPr>
          <w:p w14:paraId="605C8262" w14:textId="7EAB3040"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6A4774" w:rsidRPr="00583BA9" w14:paraId="6FC0D0D9" w14:textId="77777777" w:rsidTr="00506939">
        <w:trPr>
          <w:trHeight w:val="284"/>
        </w:trPr>
        <w:tc>
          <w:tcPr>
            <w:tcW w:w="3686" w:type="dxa"/>
            <w:vAlign w:val="center"/>
          </w:tcPr>
          <w:p w14:paraId="386ECEC3" w14:textId="77777777" w:rsidR="006A4774" w:rsidRPr="00583BA9" w:rsidRDefault="006A4774" w:rsidP="00506939">
            <w:pPr>
              <w:rPr>
                <w:rFonts w:ascii="Arial" w:hAnsi="Arial" w:cs="Arial"/>
                <w:sz w:val="18"/>
                <w:szCs w:val="18"/>
              </w:rPr>
            </w:pPr>
            <w:r w:rsidRPr="00583BA9">
              <w:rPr>
                <w:rFonts w:ascii="Arial" w:hAnsi="Arial" w:cs="Arial"/>
                <w:sz w:val="18"/>
                <w:szCs w:val="18"/>
              </w:rPr>
              <w:t>Aurukun Local Registry Coordinator</w:t>
            </w:r>
          </w:p>
        </w:tc>
        <w:tc>
          <w:tcPr>
            <w:tcW w:w="2308" w:type="dxa"/>
            <w:vAlign w:val="center"/>
          </w:tcPr>
          <w:p w14:paraId="0DFEE77C" w14:textId="372DAF1A" w:rsidR="006A4774" w:rsidRPr="00583BA9" w:rsidRDefault="006A4774" w:rsidP="00506939">
            <w:pPr>
              <w:rPr>
                <w:rFonts w:ascii="Arial" w:hAnsi="Arial" w:cs="Arial"/>
                <w:sz w:val="18"/>
                <w:szCs w:val="18"/>
              </w:rPr>
            </w:pPr>
            <w:r>
              <w:rPr>
                <w:rFonts w:ascii="Arial" w:hAnsi="Arial" w:cs="Arial"/>
                <w:sz w:val="18"/>
                <w:szCs w:val="18"/>
              </w:rPr>
              <w:t>Willy Smith</w:t>
            </w:r>
          </w:p>
        </w:tc>
        <w:tc>
          <w:tcPr>
            <w:tcW w:w="1261" w:type="dxa"/>
            <w:vAlign w:val="center"/>
          </w:tcPr>
          <w:p w14:paraId="07032EF5" w14:textId="77777777" w:rsidR="006A4774" w:rsidRPr="00583BA9" w:rsidRDefault="006A4774" w:rsidP="00506939">
            <w:pPr>
              <w:jc w:val="center"/>
              <w:rPr>
                <w:rFonts w:ascii="Arial" w:hAnsi="Arial" w:cs="Arial"/>
                <w:sz w:val="18"/>
                <w:szCs w:val="18"/>
              </w:rPr>
            </w:pPr>
            <w:r w:rsidRPr="00583BA9">
              <w:rPr>
                <w:rFonts w:ascii="Arial" w:hAnsi="Arial" w:cs="Arial"/>
                <w:sz w:val="18"/>
                <w:szCs w:val="18"/>
              </w:rPr>
              <w:t>4060 6185</w:t>
            </w:r>
          </w:p>
        </w:tc>
        <w:tc>
          <w:tcPr>
            <w:tcW w:w="1535" w:type="dxa"/>
            <w:vAlign w:val="center"/>
          </w:tcPr>
          <w:p w14:paraId="202D153E" w14:textId="728A3358" w:rsidR="006A4774" w:rsidRPr="00583BA9" w:rsidRDefault="006A4774" w:rsidP="00506939">
            <w:pPr>
              <w:jc w:val="center"/>
              <w:rPr>
                <w:rFonts w:ascii="Arial" w:hAnsi="Arial" w:cs="Arial"/>
                <w:sz w:val="18"/>
                <w:szCs w:val="18"/>
              </w:rPr>
            </w:pPr>
            <w:r>
              <w:rPr>
                <w:rFonts w:ascii="Arial" w:hAnsi="Arial" w:cs="Arial"/>
                <w:sz w:val="18"/>
                <w:szCs w:val="18"/>
              </w:rPr>
              <w:t>0417 798 392</w:t>
            </w:r>
          </w:p>
        </w:tc>
        <w:tc>
          <w:tcPr>
            <w:tcW w:w="1275" w:type="dxa"/>
            <w:vAlign w:val="center"/>
          </w:tcPr>
          <w:p w14:paraId="7C94B3C0" w14:textId="77777777" w:rsidR="006A4774" w:rsidRPr="00583BA9" w:rsidRDefault="006A4774" w:rsidP="0050693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vAlign w:val="center"/>
          </w:tcPr>
          <w:p w14:paraId="364D4494" w14:textId="08670D9A" w:rsidR="00583BA9" w:rsidRPr="00583BA9" w:rsidRDefault="00583BA9" w:rsidP="00583BA9">
            <w:pPr>
              <w:rPr>
                <w:rFonts w:ascii="Arial" w:hAnsi="Arial" w:cs="Arial"/>
                <w:sz w:val="18"/>
                <w:szCs w:val="18"/>
              </w:rPr>
            </w:pPr>
            <w:r w:rsidRPr="00583BA9">
              <w:rPr>
                <w:rFonts w:ascii="Arial" w:hAnsi="Arial" w:cs="Arial"/>
                <w:sz w:val="18"/>
                <w:szCs w:val="18"/>
              </w:rPr>
              <w:t>Coen Local Registry Coordinator</w:t>
            </w:r>
          </w:p>
        </w:tc>
        <w:tc>
          <w:tcPr>
            <w:tcW w:w="2308" w:type="dxa"/>
            <w:vAlign w:val="center"/>
          </w:tcPr>
          <w:p w14:paraId="4D4CC50C" w14:textId="2DF3C4BA" w:rsidR="00583BA9" w:rsidRPr="00583BA9" w:rsidRDefault="00282CE3" w:rsidP="00583BA9">
            <w:pPr>
              <w:rPr>
                <w:rFonts w:ascii="Arial" w:hAnsi="Arial" w:cs="Arial"/>
                <w:sz w:val="18"/>
                <w:szCs w:val="18"/>
              </w:rPr>
            </w:pPr>
            <w:r>
              <w:rPr>
                <w:rFonts w:ascii="Arial" w:hAnsi="Arial" w:cs="Arial"/>
                <w:sz w:val="18"/>
                <w:szCs w:val="18"/>
              </w:rPr>
              <w:t>Linda Saunders</w:t>
            </w:r>
          </w:p>
        </w:tc>
        <w:tc>
          <w:tcPr>
            <w:tcW w:w="1261" w:type="dxa"/>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73E266CB" w14:textId="7DAF8761" w:rsidR="00583BA9" w:rsidRPr="00583BA9" w:rsidRDefault="00583BA9" w:rsidP="00583BA9">
            <w:pPr>
              <w:jc w:val="center"/>
              <w:rPr>
                <w:rFonts w:ascii="Arial" w:hAnsi="Arial" w:cs="Arial"/>
                <w:sz w:val="18"/>
                <w:szCs w:val="18"/>
              </w:rPr>
            </w:pPr>
            <w:r w:rsidRPr="00583BA9">
              <w:rPr>
                <w:rFonts w:ascii="Arial" w:hAnsi="Arial" w:cs="Arial"/>
                <w:sz w:val="18"/>
                <w:szCs w:val="18"/>
              </w:rPr>
              <w:t>04</w:t>
            </w:r>
            <w:r w:rsidR="00C76DBD">
              <w:rPr>
                <w:rFonts w:ascii="Arial" w:hAnsi="Arial" w:cs="Arial"/>
                <w:sz w:val="18"/>
                <w:szCs w:val="18"/>
              </w:rPr>
              <w:t>7</w:t>
            </w:r>
            <w:r w:rsidRPr="00583BA9">
              <w:rPr>
                <w:rFonts w:ascii="Arial" w:hAnsi="Arial" w:cs="Arial"/>
                <w:sz w:val="18"/>
                <w:szCs w:val="18"/>
              </w:rPr>
              <w:t xml:space="preserve">7 </w:t>
            </w:r>
            <w:r w:rsidR="00C76DBD">
              <w:rPr>
                <w:rFonts w:ascii="Arial" w:hAnsi="Arial" w:cs="Arial"/>
                <w:sz w:val="18"/>
                <w:szCs w:val="18"/>
              </w:rPr>
              <w:t>621</w:t>
            </w:r>
            <w:r w:rsidRPr="00583BA9">
              <w:rPr>
                <w:rFonts w:ascii="Arial" w:hAnsi="Arial" w:cs="Arial"/>
                <w:sz w:val="18"/>
                <w:szCs w:val="18"/>
              </w:rPr>
              <w:t xml:space="preserve"> </w:t>
            </w:r>
            <w:r w:rsidR="00C76DBD">
              <w:rPr>
                <w:rFonts w:ascii="Arial" w:hAnsi="Arial" w:cs="Arial"/>
                <w:sz w:val="18"/>
                <w:szCs w:val="18"/>
              </w:rPr>
              <w:t>580</w:t>
            </w:r>
          </w:p>
        </w:tc>
        <w:tc>
          <w:tcPr>
            <w:tcW w:w="1275" w:type="dxa"/>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vAlign w:val="center"/>
          </w:tcPr>
          <w:p w14:paraId="59965F87" w14:textId="0A55AAAF" w:rsidR="00583BA9" w:rsidRPr="00583BA9" w:rsidRDefault="00282CE3" w:rsidP="00583BA9">
            <w:pPr>
              <w:rPr>
                <w:rFonts w:ascii="Arial" w:hAnsi="Arial" w:cs="Arial"/>
                <w:sz w:val="18"/>
                <w:szCs w:val="18"/>
              </w:rPr>
            </w:pPr>
            <w:r>
              <w:rPr>
                <w:rFonts w:ascii="Arial" w:hAnsi="Arial" w:cs="Arial"/>
                <w:sz w:val="18"/>
                <w:szCs w:val="18"/>
              </w:rPr>
              <w:t>Kate Gooding</w:t>
            </w:r>
          </w:p>
        </w:tc>
        <w:tc>
          <w:tcPr>
            <w:tcW w:w="1261" w:type="dxa"/>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7E63B7" w:rsidRPr="00D83311" w14:paraId="31821147" w14:textId="77777777" w:rsidTr="00F10DE3">
        <w:trPr>
          <w:trHeight w:val="284"/>
        </w:trPr>
        <w:tc>
          <w:tcPr>
            <w:tcW w:w="3686" w:type="dxa"/>
            <w:vAlign w:val="center"/>
          </w:tcPr>
          <w:p w14:paraId="2B2BB564" w14:textId="74817448" w:rsidR="007E63B7" w:rsidRPr="00583BA9" w:rsidRDefault="007E63B7" w:rsidP="007E63B7">
            <w:pPr>
              <w:rPr>
                <w:rFonts w:ascii="Arial" w:hAnsi="Arial" w:cs="Arial"/>
                <w:sz w:val="18"/>
                <w:szCs w:val="18"/>
              </w:rPr>
            </w:pPr>
            <w:r w:rsidRPr="00583BA9">
              <w:rPr>
                <w:rFonts w:ascii="Arial" w:hAnsi="Arial" w:cs="Arial"/>
                <w:sz w:val="18"/>
                <w:szCs w:val="18"/>
              </w:rPr>
              <w:t>Mossman Gorge Local Registry Coordinator</w:t>
            </w:r>
          </w:p>
        </w:tc>
        <w:tc>
          <w:tcPr>
            <w:tcW w:w="2308" w:type="dxa"/>
            <w:vAlign w:val="center"/>
          </w:tcPr>
          <w:p w14:paraId="46DA8975" w14:textId="64186D94" w:rsidR="007E63B7" w:rsidRPr="00583BA9" w:rsidRDefault="007E63B7" w:rsidP="007E63B7">
            <w:pPr>
              <w:rPr>
                <w:rFonts w:ascii="Arial" w:hAnsi="Arial" w:cs="Arial"/>
                <w:sz w:val="18"/>
                <w:szCs w:val="18"/>
              </w:rPr>
            </w:pPr>
            <w:r>
              <w:rPr>
                <w:rFonts w:ascii="Arial" w:hAnsi="Arial" w:cs="Arial"/>
                <w:sz w:val="18"/>
                <w:szCs w:val="18"/>
              </w:rPr>
              <w:t>Linda Saunders</w:t>
            </w:r>
          </w:p>
        </w:tc>
        <w:tc>
          <w:tcPr>
            <w:tcW w:w="1261" w:type="dxa"/>
            <w:vAlign w:val="center"/>
          </w:tcPr>
          <w:p w14:paraId="48D815F6" w14:textId="207C3EB8" w:rsidR="007E63B7" w:rsidRPr="00583BA9" w:rsidRDefault="007E63B7" w:rsidP="007E63B7">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24CF4AA5" w14:textId="19540B5A" w:rsidR="007E63B7" w:rsidRPr="00583BA9" w:rsidRDefault="007E63B7" w:rsidP="007E63B7">
            <w:pPr>
              <w:jc w:val="center"/>
              <w:rPr>
                <w:rFonts w:ascii="Arial" w:hAnsi="Arial" w:cs="Arial"/>
                <w:sz w:val="18"/>
                <w:szCs w:val="18"/>
              </w:rPr>
            </w:pPr>
            <w:r w:rsidRPr="00583BA9">
              <w:rPr>
                <w:rFonts w:ascii="Arial" w:hAnsi="Arial" w:cs="Arial"/>
                <w:sz w:val="18"/>
                <w:szCs w:val="18"/>
              </w:rPr>
              <w:t>04</w:t>
            </w:r>
            <w:r>
              <w:rPr>
                <w:rFonts w:ascii="Arial" w:hAnsi="Arial" w:cs="Arial"/>
                <w:sz w:val="18"/>
                <w:szCs w:val="18"/>
              </w:rPr>
              <w:t>7</w:t>
            </w:r>
            <w:r w:rsidRPr="00583BA9">
              <w:rPr>
                <w:rFonts w:ascii="Arial" w:hAnsi="Arial" w:cs="Arial"/>
                <w:sz w:val="18"/>
                <w:szCs w:val="18"/>
              </w:rPr>
              <w:t xml:space="preserve">7 </w:t>
            </w:r>
            <w:r>
              <w:rPr>
                <w:rFonts w:ascii="Arial" w:hAnsi="Arial" w:cs="Arial"/>
                <w:sz w:val="18"/>
                <w:szCs w:val="18"/>
              </w:rPr>
              <w:t>621</w:t>
            </w:r>
            <w:r w:rsidRPr="00583BA9">
              <w:rPr>
                <w:rFonts w:ascii="Arial" w:hAnsi="Arial" w:cs="Arial"/>
                <w:sz w:val="18"/>
                <w:szCs w:val="18"/>
              </w:rPr>
              <w:t xml:space="preserve"> </w:t>
            </w:r>
            <w:r>
              <w:rPr>
                <w:rFonts w:ascii="Arial" w:hAnsi="Arial" w:cs="Arial"/>
                <w:sz w:val="18"/>
                <w:szCs w:val="18"/>
              </w:rPr>
              <w:t>580</w:t>
            </w:r>
          </w:p>
        </w:tc>
        <w:tc>
          <w:tcPr>
            <w:tcW w:w="1275" w:type="dxa"/>
            <w:vAlign w:val="center"/>
          </w:tcPr>
          <w:p w14:paraId="3F6F7256" w14:textId="7AAA3E77" w:rsidR="007E63B7" w:rsidRPr="00583BA9" w:rsidRDefault="007E63B7" w:rsidP="007E63B7">
            <w:pPr>
              <w:jc w:val="center"/>
              <w:rPr>
                <w:rFonts w:ascii="Arial" w:hAnsi="Arial" w:cs="Arial"/>
                <w:sz w:val="18"/>
                <w:szCs w:val="18"/>
              </w:rPr>
            </w:pPr>
            <w:r w:rsidRPr="00583BA9">
              <w:rPr>
                <w:rFonts w:ascii="Arial" w:hAnsi="Arial" w:cs="Arial"/>
                <w:sz w:val="18"/>
                <w:szCs w:val="18"/>
              </w:rPr>
              <w:t>4041 0974</w:t>
            </w:r>
          </w:p>
        </w:tc>
      </w:tr>
    </w:tbl>
    <w:p w14:paraId="3AE90444" w14:textId="77E4524C" w:rsidR="00967E77" w:rsidRDefault="00967E77" w:rsidP="00D1560D">
      <w:pPr>
        <w:rPr>
          <w:rFonts w:ascii="Arial Narrow" w:hAnsi="Arial Narrow"/>
        </w:rPr>
      </w:pPr>
    </w:p>
    <w:sectPr w:rsidR="00967E77" w:rsidSect="00ED0FBA">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400D" w14:textId="77777777" w:rsidR="00D0419C" w:rsidRDefault="00D0419C">
      <w:r>
        <w:separator/>
      </w:r>
    </w:p>
  </w:endnote>
  <w:endnote w:type="continuationSeparator" w:id="0">
    <w:p w14:paraId="4A1FB9C4" w14:textId="77777777" w:rsidR="00D0419C" w:rsidRDefault="00D0419C">
      <w:r>
        <w:continuationSeparator/>
      </w:r>
    </w:p>
  </w:endnote>
  <w:endnote w:type="continuationNotice" w:id="1">
    <w:p w14:paraId="60F14958" w14:textId="77777777" w:rsidR="00D0419C" w:rsidRDefault="00D041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9C90" w14:textId="77777777" w:rsidR="00D0419C" w:rsidRDefault="00D0419C">
      <w:r>
        <w:separator/>
      </w:r>
    </w:p>
  </w:footnote>
  <w:footnote w:type="continuationSeparator" w:id="0">
    <w:p w14:paraId="677CE2E1" w14:textId="77777777" w:rsidR="00D0419C" w:rsidRDefault="00D0419C">
      <w:r>
        <w:continuationSeparator/>
      </w:r>
    </w:p>
  </w:footnote>
  <w:footnote w:type="continuationNotice" w:id="1">
    <w:p w14:paraId="77F3AD7E" w14:textId="77777777" w:rsidR="00D0419C" w:rsidRDefault="00D0419C">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87089A" w:rsidRPr="00504360" w:rsidRDefault="0087089A" w:rsidP="00E105F5">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87089A" w:rsidRPr="00504360" w:rsidRDefault="0087089A" w:rsidP="00E105F5">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5C039B3D"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w:t>
      </w:r>
      <w:r w:rsidR="00984286">
        <w:rPr>
          <w:sz w:val="16"/>
          <w:szCs w:val="16"/>
        </w:rPr>
        <w:t>on the Table of Contents page</w:t>
      </w:r>
      <w:r w:rsidRPr="007F1AF6">
        <w:rPr>
          <w:sz w:val="16"/>
          <w:szCs w:val="16"/>
        </w:rPr>
        <w:t>.</w:t>
      </w:r>
    </w:p>
  </w:footnote>
  <w:footnote w:id="6">
    <w:p w14:paraId="255B35DE" w14:textId="295C6E52" w:rsidR="00324B7B" w:rsidRDefault="00324B7B">
      <w:pPr>
        <w:pStyle w:val="FootnoteText"/>
      </w:pPr>
      <w:r>
        <w:rPr>
          <w:rStyle w:val="FootnoteReference"/>
        </w:rPr>
        <w:footnoteRef/>
      </w:r>
      <w:r>
        <w:t xml:space="preserve"> </w:t>
      </w:r>
      <w:bookmarkStart w:id="10" w:name="_Hlk97300676"/>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bookmarkEnd w:id="10"/>
      <w:r w:rsidR="00984286">
        <w:rPr>
          <w:sz w:val="16"/>
          <w:szCs w:val="16"/>
        </w:rPr>
        <w:t>.</w:t>
      </w:r>
    </w:p>
  </w:footnote>
  <w:footnote w:id="7">
    <w:p w14:paraId="621C3F9F" w14:textId="07148581"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w:t>
      </w:r>
      <w:r w:rsidR="007D1311">
        <w:rPr>
          <w:sz w:val="16"/>
          <w:szCs w:val="16"/>
        </w:rPr>
        <w:t xml:space="preserve">the </w:t>
      </w:r>
      <w:r w:rsidRPr="00850FF3">
        <w:rPr>
          <w:rStyle w:val="FootnoteReference"/>
          <w:sz w:val="16"/>
          <w:szCs w:val="16"/>
          <w:vertAlign w:val="baseline"/>
        </w:rPr>
        <w:t>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8">
    <w:p w14:paraId="0902E148" w14:textId="65770F59"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w:t>
      </w:r>
      <w:r w:rsidR="00C2387A">
        <w:rPr>
          <w:sz w:val="16"/>
          <w:szCs w:val="16"/>
        </w:rPr>
        <w:t xml:space="preserve">Families, Seniors, Disability Services and Child Safety </w:t>
      </w:r>
      <w:r>
        <w:rPr>
          <w:sz w:val="16"/>
          <w:szCs w:val="16"/>
        </w:rPr>
        <w:t>only</w:t>
      </w:r>
      <w:r w:rsidRPr="00850FF3">
        <w:rPr>
          <w:sz w:val="16"/>
          <w:szCs w:val="16"/>
        </w:rPr>
        <w:t>.</w:t>
      </w:r>
    </w:p>
  </w:footnote>
  <w:footnote w:id="9">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0">
    <w:p w14:paraId="1D04A1CF" w14:textId="04927D6C" w:rsidR="00B93B7B" w:rsidRDefault="00B93B7B" w:rsidP="0013112F">
      <w:pPr>
        <w:pStyle w:val="FootnoteText"/>
      </w:pPr>
      <w:r w:rsidRPr="00C5462F">
        <w:rPr>
          <w:rStyle w:val="FootnoteReference"/>
          <w:sz w:val="16"/>
          <w:szCs w:val="16"/>
        </w:rPr>
        <w:footnoteRef/>
      </w:r>
      <w:r>
        <w:t xml:space="preserve"> </w:t>
      </w:r>
      <w:r w:rsidRPr="00EC4FC8">
        <w:rPr>
          <w:rStyle w:val="FootnoteReference"/>
          <w:sz w:val="16"/>
          <w:szCs w:val="16"/>
          <w:vertAlign w:val="baseline"/>
        </w:rPr>
        <w:t>Average age of a client who had a notice assessed as within jurisdiction for the quarter is calculated at the date of the first notice assessed for the client during the quarter</w:t>
      </w:r>
      <w:r w:rsidRPr="007A314B">
        <w:rPr>
          <w:rStyle w:val="FootnoteReference"/>
          <w:sz w:val="16"/>
          <w:szCs w:val="16"/>
          <w:vertAlign w:val="baseline"/>
        </w:rPr>
        <w:t>.</w:t>
      </w:r>
    </w:p>
  </w:footnote>
  <w:footnote w:id="11">
    <w:p w14:paraId="55C03F91" w14:textId="77777777" w:rsidR="00B93B7B" w:rsidRDefault="00B93B7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2">
    <w:p w14:paraId="5AC10446" w14:textId="4BCBC3CF" w:rsidR="00B93B7B" w:rsidRDefault="00B93B7B"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3">
    <w:p w14:paraId="5B5EB21A" w14:textId="5E93C8C9" w:rsidR="00B93B7B" w:rsidRPr="004C7880" w:rsidRDefault="00B93B7B"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4">
    <w:p w14:paraId="5014099E" w14:textId="0B6B0C8B" w:rsidR="00B93B7B" w:rsidRDefault="00B93B7B">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5">
    <w:p w14:paraId="4AA50FB0" w14:textId="6EE82DFD" w:rsidR="00B93B7B" w:rsidRDefault="00B93B7B">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 client for the quarter is calculated at the start date of the agreement where the client was placed on a VIM during the quarter.</w:t>
      </w:r>
    </w:p>
  </w:footnote>
  <w:footnote w:id="16">
    <w:p w14:paraId="7CE1A087" w14:textId="49542CF8" w:rsidR="00B93B7B" w:rsidRDefault="00B93B7B">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7">
    <w:p w14:paraId="15716F00" w14:textId="77A93B81"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B81347" w:rsidRPr="00A60F7B">
        <w:rPr>
          <w:sz w:val="16"/>
          <w:szCs w:val="16"/>
        </w:rPr>
        <w:t>Australian Statistical Geography Standard Edition 3, July 2021 – June 2026 boundaries for local government areas of Aurukun, Doomadgee and Hope Vale, and statistical areas level 1 (SA1s) of 31501139616 for Coen and 30604116408 for Mossman Gorge.</w:t>
      </w:r>
    </w:p>
  </w:footnote>
  <w:footnote w:id="18">
    <w:p w14:paraId="3BBC0E7E" w14:textId="6FB234F1"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B81347" w:rsidRPr="00A60F7B">
        <w:rPr>
          <w:sz w:val="16"/>
          <w:szCs w:val="16"/>
        </w:rPr>
        <w:t xml:space="preserve">Adults 18 years and over provided by the Queensland Government Statistician’s Office (QGSO), Queensland Treasury, based on the </w:t>
      </w:r>
      <w:r w:rsidR="00B81347" w:rsidRPr="00882E74">
        <w:rPr>
          <w:rStyle w:val="BodyText1"/>
          <w:rFonts w:ascii="Arial" w:hAnsi="Arial" w:cs="Arial"/>
          <w:sz w:val="16"/>
          <w:szCs w:val="16"/>
        </w:rPr>
        <w:t>Australian Bureau of Statistics</w:t>
      </w:r>
      <w:r w:rsidR="00B81347" w:rsidRPr="00882E74">
        <w:rPr>
          <w:sz w:val="16"/>
          <w:szCs w:val="16"/>
        </w:rPr>
        <w:t xml:space="preserve"> (</w:t>
      </w:r>
      <w:r w:rsidR="00B81347" w:rsidRPr="00A60F7B">
        <w:rPr>
          <w:sz w:val="16"/>
          <w:szCs w:val="16"/>
        </w:rPr>
        <w:t>ABS</w:t>
      </w:r>
      <w:r w:rsidR="00B81347">
        <w:rPr>
          <w:sz w:val="16"/>
          <w:szCs w:val="16"/>
        </w:rPr>
        <w:t>)</w:t>
      </w:r>
      <w:r w:rsidR="00B81347" w:rsidRPr="00A60F7B">
        <w:rPr>
          <w:sz w:val="16"/>
          <w:szCs w:val="16"/>
        </w:rPr>
        <w:t xml:space="preserve"> unpublished preliminary Estimated Resident Population (ERP) data by age and sex at the Local Government Area level for 30 June 202</w:t>
      </w:r>
      <w:r w:rsidR="00646445">
        <w:rPr>
          <w:sz w:val="16"/>
          <w:szCs w:val="16"/>
        </w:rPr>
        <w:t>4</w:t>
      </w:r>
      <w:r w:rsidR="00B81347" w:rsidRPr="00A60F7B">
        <w:rPr>
          <w:sz w:val="16"/>
          <w:szCs w:val="16"/>
        </w:rPr>
        <w:t>.</w:t>
      </w:r>
    </w:p>
  </w:footnote>
  <w:footnote w:id="19">
    <w:p w14:paraId="3884DA28" w14:textId="0DCFA8BB"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B81347" w:rsidRPr="00A60F7B">
        <w:rPr>
          <w:sz w:val="16"/>
          <w:szCs w:val="16"/>
        </w:rPr>
        <w:t>Adults 18 years and over provided by QGSO, Queensland Treasury, based on the ABS unpublished preliminary ERP data by age and sex at the Statistical Area level 1 for 30 June 202</w:t>
      </w:r>
      <w:r w:rsidR="00646445">
        <w:rPr>
          <w:sz w:val="16"/>
          <w:szCs w:val="16"/>
        </w:rPr>
        <w:t>4</w:t>
      </w:r>
      <w:r w:rsidR="00B81347" w:rsidRPr="00A60F7B">
        <w:rPr>
          <w:sz w:val="16"/>
          <w:szCs w:val="16"/>
        </w:rPr>
        <w:t>.</w:t>
      </w:r>
    </w:p>
  </w:footnote>
  <w:footnote w:id="20">
    <w:p w14:paraId="5BB1F6F6" w14:textId="13BD545A"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B81347" w:rsidRPr="00A60F7B">
        <w:rPr>
          <w:sz w:val="16"/>
          <w:szCs w:val="16"/>
        </w:rPr>
        <w:t xml:space="preserve">Total population provided by QGSO, Queensland Treasury, not 18 years and older, due to the small size of the total population </w:t>
      </w:r>
      <w:r w:rsidR="00B81347" w:rsidRPr="00A60F7B">
        <w:rPr>
          <w:rFonts w:cs="Arial"/>
          <w:sz w:val="16"/>
          <w:szCs w:val="16"/>
        </w:rPr>
        <w:t>from the ABS unpublished preliminary ERP data at the Statistical Area level 1 for 30 June 202</w:t>
      </w:r>
      <w:r w:rsidR="00646445">
        <w:rPr>
          <w:rFonts w:cs="Arial"/>
          <w:sz w:val="16"/>
          <w:szCs w:val="16"/>
        </w:rPr>
        <w:t>4</w:t>
      </w:r>
      <w:r w:rsidR="00B81347" w:rsidRPr="00A60F7B">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4D45DE7"/>
    <w:multiLevelType w:val="hybridMultilevel"/>
    <w:tmpl w:val="C010C7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D16FA4"/>
    <w:multiLevelType w:val="hybridMultilevel"/>
    <w:tmpl w:val="6E44851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324414AE"/>
    <w:multiLevelType w:val="hybridMultilevel"/>
    <w:tmpl w:val="B6322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F12E7E"/>
    <w:multiLevelType w:val="hybridMultilevel"/>
    <w:tmpl w:val="658C286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6D84276E"/>
    <w:multiLevelType w:val="hybridMultilevel"/>
    <w:tmpl w:val="B6322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625386"/>
    <w:multiLevelType w:val="hybridMultilevel"/>
    <w:tmpl w:val="2B107B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2352227"/>
    <w:multiLevelType w:val="hybridMultilevel"/>
    <w:tmpl w:val="B6322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720553">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12"/>
  </w:num>
  <w:num w:numId="3" w16cid:durableId="1469781046">
    <w:abstractNumId w:val="3"/>
  </w:num>
  <w:num w:numId="4" w16cid:durableId="47189556">
    <w:abstractNumId w:val="15"/>
  </w:num>
  <w:num w:numId="5" w16cid:durableId="1836995923">
    <w:abstractNumId w:val="16"/>
  </w:num>
  <w:num w:numId="6" w16cid:durableId="879827819">
    <w:abstractNumId w:val="0"/>
  </w:num>
  <w:num w:numId="7" w16cid:durableId="2082289908">
    <w:abstractNumId w:val="6"/>
  </w:num>
  <w:num w:numId="8" w16cid:durableId="655643015">
    <w:abstractNumId w:val="2"/>
  </w:num>
  <w:num w:numId="9" w16cid:durableId="1632320174">
    <w:abstractNumId w:val="9"/>
  </w:num>
  <w:num w:numId="10" w16cid:durableId="687173672">
    <w:abstractNumId w:val="8"/>
  </w:num>
  <w:num w:numId="11" w16cid:durableId="1309020323">
    <w:abstractNumId w:val="10"/>
  </w:num>
  <w:num w:numId="12" w16cid:durableId="985745313">
    <w:abstractNumId w:val="5"/>
  </w:num>
  <w:num w:numId="13" w16cid:durableId="1052076935">
    <w:abstractNumId w:val="13"/>
  </w:num>
  <w:num w:numId="14" w16cid:durableId="1697197779">
    <w:abstractNumId w:val="14"/>
  </w:num>
  <w:num w:numId="15" w16cid:durableId="1521552715">
    <w:abstractNumId w:val="7"/>
  </w:num>
  <w:num w:numId="16" w16cid:durableId="1893077301">
    <w:abstractNumId w:val="11"/>
  </w:num>
  <w:num w:numId="17" w16cid:durableId="117094316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1F4"/>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AD4"/>
    <w:rsid w:val="00003FA5"/>
    <w:rsid w:val="000040A8"/>
    <w:rsid w:val="0000478B"/>
    <w:rsid w:val="000047DC"/>
    <w:rsid w:val="00004A47"/>
    <w:rsid w:val="00004A4B"/>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65"/>
    <w:rsid w:val="000102C9"/>
    <w:rsid w:val="00010328"/>
    <w:rsid w:val="00010639"/>
    <w:rsid w:val="000108AD"/>
    <w:rsid w:val="0001094E"/>
    <w:rsid w:val="000109D5"/>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8F6"/>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4BF"/>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088"/>
    <w:rsid w:val="0002112E"/>
    <w:rsid w:val="00021288"/>
    <w:rsid w:val="000215B0"/>
    <w:rsid w:val="000215F3"/>
    <w:rsid w:val="000216DD"/>
    <w:rsid w:val="000216F3"/>
    <w:rsid w:val="000218DF"/>
    <w:rsid w:val="0002195A"/>
    <w:rsid w:val="000219BE"/>
    <w:rsid w:val="00021D30"/>
    <w:rsid w:val="00021FD3"/>
    <w:rsid w:val="00021FED"/>
    <w:rsid w:val="00022256"/>
    <w:rsid w:val="00022349"/>
    <w:rsid w:val="00022690"/>
    <w:rsid w:val="0002274E"/>
    <w:rsid w:val="000228CE"/>
    <w:rsid w:val="00022A61"/>
    <w:rsid w:val="0002304D"/>
    <w:rsid w:val="00023090"/>
    <w:rsid w:val="00023110"/>
    <w:rsid w:val="0002314A"/>
    <w:rsid w:val="00023277"/>
    <w:rsid w:val="000232D9"/>
    <w:rsid w:val="0002375F"/>
    <w:rsid w:val="000237E5"/>
    <w:rsid w:val="000238CF"/>
    <w:rsid w:val="000238EE"/>
    <w:rsid w:val="00023E90"/>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686"/>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DA2"/>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9CF"/>
    <w:rsid w:val="00047E2E"/>
    <w:rsid w:val="000500C4"/>
    <w:rsid w:val="0005023F"/>
    <w:rsid w:val="00050296"/>
    <w:rsid w:val="00050402"/>
    <w:rsid w:val="000504D9"/>
    <w:rsid w:val="00050592"/>
    <w:rsid w:val="000506CB"/>
    <w:rsid w:val="0005083D"/>
    <w:rsid w:val="00050961"/>
    <w:rsid w:val="00050A13"/>
    <w:rsid w:val="00050BAC"/>
    <w:rsid w:val="00050BCC"/>
    <w:rsid w:val="00050D22"/>
    <w:rsid w:val="00050E56"/>
    <w:rsid w:val="00050F3B"/>
    <w:rsid w:val="00050F4A"/>
    <w:rsid w:val="00051000"/>
    <w:rsid w:val="0005100D"/>
    <w:rsid w:val="0005113F"/>
    <w:rsid w:val="000511C7"/>
    <w:rsid w:val="000512CC"/>
    <w:rsid w:val="0005148A"/>
    <w:rsid w:val="00051756"/>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ACC"/>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AA"/>
    <w:rsid w:val="000566F8"/>
    <w:rsid w:val="00056B48"/>
    <w:rsid w:val="00056D0D"/>
    <w:rsid w:val="00056DA3"/>
    <w:rsid w:val="00057179"/>
    <w:rsid w:val="000575B6"/>
    <w:rsid w:val="00057753"/>
    <w:rsid w:val="00057823"/>
    <w:rsid w:val="0005786D"/>
    <w:rsid w:val="00057A8F"/>
    <w:rsid w:val="00057B6E"/>
    <w:rsid w:val="00057D2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3DCC"/>
    <w:rsid w:val="0006411B"/>
    <w:rsid w:val="0006419D"/>
    <w:rsid w:val="00064419"/>
    <w:rsid w:val="000646F9"/>
    <w:rsid w:val="00064810"/>
    <w:rsid w:val="00064A70"/>
    <w:rsid w:val="00064D55"/>
    <w:rsid w:val="00064FBC"/>
    <w:rsid w:val="0006502C"/>
    <w:rsid w:val="00065105"/>
    <w:rsid w:val="0006512B"/>
    <w:rsid w:val="00065352"/>
    <w:rsid w:val="000653B3"/>
    <w:rsid w:val="0006570C"/>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51"/>
    <w:rsid w:val="0007389A"/>
    <w:rsid w:val="00073A17"/>
    <w:rsid w:val="00073ACD"/>
    <w:rsid w:val="00073C0A"/>
    <w:rsid w:val="00073C92"/>
    <w:rsid w:val="00073E3A"/>
    <w:rsid w:val="00074080"/>
    <w:rsid w:val="000742F0"/>
    <w:rsid w:val="00074381"/>
    <w:rsid w:val="000743F4"/>
    <w:rsid w:val="00074403"/>
    <w:rsid w:val="0007447B"/>
    <w:rsid w:val="000745D1"/>
    <w:rsid w:val="0007465F"/>
    <w:rsid w:val="0007479D"/>
    <w:rsid w:val="00074A02"/>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24"/>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7CC"/>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50F"/>
    <w:rsid w:val="00084610"/>
    <w:rsid w:val="0008495D"/>
    <w:rsid w:val="00084C17"/>
    <w:rsid w:val="00084EA5"/>
    <w:rsid w:val="00084F95"/>
    <w:rsid w:val="000850EB"/>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0B"/>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0BD"/>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6AB"/>
    <w:rsid w:val="0009773A"/>
    <w:rsid w:val="00097935"/>
    <w:rsid w:val="00097A20"/>
    <w:rsid w:val="00097AE7"/>
    <w:rsid w:val="00097BC8"/>
    <w:rsid w:val="00097C07"/>
    <w:rsid w:val="000A008C"/>
    <w:rsid w:val="000A0166"/>
    <w:rsid w:val="000A01CF"/>
    <w:rsid w:val="000A0210"/>
    <w:rsid w:val="000A04C2"/>
    <w:rsid w:val="000A04DF"/>
    <w:rsid w:val="000A05BB"/>
    <w:rsid w:val="000A060E"/>
    <w:rsid w:val="000A088B"/>
    <w:rsid w:val="000A0BFC"/>
    <w:rsid w:val="000A0CFA"/>
    <w:rsid w:val="000A0E07"/>
    <w:rsid w:val="000A0FB7"/>
    <w:rsid w:val="000A10EF"/>
    <w:rsid w:val="000A10F8"/>
    <w:rsid w:val="000A110A"/>
    <w:rsid w:val="000A110F"/>
    <w:rsid w:val="000A118E"/>
    <w:rsid w:val="000A121A"/>
    <w:rsid w:val="000A14E2"/>
    <w:rsid w:val="000A155A"/>
    <w:rsid w:val="000A19DD"/>
    <w:rsid w:val="000A1E36"/>
    <w:rsid w:val="000A1ED7"/>
    <w:rsid w:val="000A1F37"/>
    <w:rsid w:val="000A203F"/>
    <w:rsid w:val="000A20DE"/>
    <w:rsid w:val="000A223C"/>
    <w:rsid w:val="000A22E3"/>
    <w:rsid w:val="000A2349"/>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60"/>
    <w:rsid w:val="000A3ACD"/>
    <w:rsid w:val="000A3D78"/>
    <w:rsid w:val="000A3DB3"/>
    <w:rsid w:val="000A3FD2"/>
    <w:rsid w:val="000A41DF"/>
    <w:rsid w:val="000A4528"/>
    <w:rsid w:val="000A46F3"/>
    <w:rsid w:val="000A473E"/>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32"/>
    <w:rsid w:val="000B315A"/>
    <w:rsid w:val="000B3226"/>
    <w:rsid w:val="000B3356"/>
    <w:rsid w:val="000B3974"/>
    <w:rsid w:val="000B3A1C"/>
    <w:rsid w:val="000B3A80"/>
    <w:rsid w:val="000B3F04"/>
    <w:rsid w:val="000B3FDC"/>
    <w:rsid w:val="000B41FB"/>
    <w:rsid w:val="000B423B"/>
    <w:rsid w:val="000B4667"/>
    <w:rsid w:val="000B471D"/>
    <w:rsid w:val="000B47E1"/>
    <w:rsid w:val="000B492D"/>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1FF5"/>
    <w:rsid w:val="000C2208"/>
    <w:rsid w:val="000C2444"/>
    <w:rsid w:val="000C25A1"/>
    <w:rsid w:val="000C268D"/>
    <w:rsid w:val="000C26D8"/>
    <w:rsid w:val="000C2716"/>
    <w:rsid w:val="000C285E"/>
    <w:rsid w:val="000C2D12"/>
    <w:rsid w:val="000C31BE"/>
    <w:rsid w:val="000C346F"/>
    <w:rsid w:val="000C3763"/>
    <w:rsid w:val="000C37BD"/>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42C"/>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071"/>
    <w:rsid w:val="000C74AF"/>
    <w:rsid w:val="000C75D2"/>
    <w:rsid w:val="000C7917"/>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3FE1"/>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5F83"/>
    <w:rsid w:val="000D603B"/>
    <w:rsid w:val="000D60FD"/>
    <w:rsid w:val="000D619E"/>
    <w:rsid w:val="000D622E"/>
    <w:rsid w:val="000D6508"/>
    <w:rsid w:val="000D6590"/>
    <w:rsid w:val="000D65AE"/>
    <w:rsid w:val="000D6B88"/>
    <w:rsid w:val="000D6BA5"/>
    <w:rsid w:val="000D6E9A"/>
    <w:rsid w:val="000D7292"/>
    <w:rsid w:val="000D72EE"/>
    <w:rsid w:val="000D7306"/>
    <w:rsid w:val="000D79E4"/>
    <w:rsid w:val="000D79FD"/>
    <w:rsid w:val="000D7A37"/>
    <w:rsid w:val="000E028F"/>
    <w:rsid w:val="000E0895"/>
    <w:rsid w:val="000E0AD8"/>
    <w:rsid w:val="000E0C2F"/>
    <w:rsid w:val="000E0C5F"/>
    <w:rsid w:val="000E0C69"/>
    <w:rsid w:val="000E0FEA"/>
    <w:rsid w:val="000E1050"/>
    <w:rsid w:val="000E11E3"/>
    <w:rsid w:val="000E12DA"/>
    <w:rsid w:val="000E14DF"/>
    <w:rsid w:val="000E15D5"/>
    <w:rsid w:val="000E186F"/>
    <w:rsid w:val="000E1A77"/>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8A0"/>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784"/>
    <w:rsid w:val="000E5E4B"/>
    <w:rsid w:val="000E5FE8"/>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97E"/>
    <w:rsid w:val="000E7C1E"/>
    <w:rsid w:val="000E7CA0"/>
    <w:rsid w:val="000F0196"/>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03"/>
    <w:rsid w:val="000F2ACC"/>
    <w:rsid w:val="000F2DD2"/>
    <w:rsid w:val="000F2F9F"/>
    <w:rsid w:val="000F2FE5"/>
    <w:rsid w:val="000F310B"/>
    <w:rsid w:val="000F316B"/>
    <w:rsid w:val="000F32A8"/>
    <w:rsid w:val="000F32B6"/>
    <w:rsid w:val="000F364D"/>
    <w:rsid w:val="000F37F8"/>
    <w:rsid w:val="000F3A02"/>
    <w:rsid w:val="000F3AEA"/>
    <w:rsid w:val="000F3B8A"/>
    <w:rsid w:val="000F3D4B"/>
    <w:rsid w:val="000F3E04"/>
    <w:rsid w:val="000F3FA4"/>
    <w:rsid w:val="000F408B"/>
    <w:rsid w:val="000F40C3"/>
    <w:rsid w:val="000F48DE"/>
    <w:rsid w:val="000F4948"/>
    <w:rsid w:val="000F4A7B"/>
    <w:rsid w:val="000F4AF1"/>
    <w:rsid w:val="000F4D8D"/>
    <w:rsid w:val="000F4E91"/>
    <w:rsid w:val="000F5082"/>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A65"/>
    <w:rsid w:val="000F7BC7"/>
    <w:rsid w:val="000F7CB0"/>
    <w:rsid w:val="000F7DA2"/>
    <w:rsid w:val="000F7F99"/>
    <w:rsid w:val="000F7FE8"/>
    <w:rsid w:val="0010040B"/>
    <w:rsid w:val="001004DC"/>
    <w:rsid w:val="001004E7"/>
    <w:rsid w:val="0010050F"/>
    <w:rsid w:val="00100679"/>
    <w:rsid w:val="0010094D"/>
    <w:rsid w:val="00100B8F"/>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4AD"/>
    <w:rsid w:val="0010360B"/>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5F8E"/>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171"/>
    <w:rsid w:val="00111178"/>
    <w:rsid w:val="0011142A"/>
    <w:rsid w:val="001114D4"/>
    <w:rsid w:val="001114E8"/>
    <w:rsid w:val="00111660"/>
    <w:rsid w:val="001118E9"/>
    <w:rsid w:val="00111A66"/>
    <w:rsid w:val="00111B27"/>
    <w:rsid w:val="00111D8A"/>
    <w:rsid w:val="00111E4B"/>
    <w:rsid w:val="00111F45"/>
    <w:rsid w:val="001121B3"/>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673"/>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47"/>
    <w:rsid w:val="001179BE"/>
    <w:rsid w:val="00117ACE"/>
    <w:rsid w:val="00117C54"/>
    <w:rsid w:val="00117DD2"/>
    <w:rsid w:val="00117F5F"/>
    <w:rsid w:val="0012005D"/>
    <w:rsid w:val="00120068"/>
    <w:rsid w:val="001200DF"/>
    <w:rsid w:val="00120380"/>
    <w:rsid w:val="001203DF"/>
    <w:rsid w:val="001204E3"/>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12"/>
    <w:rsid w:val="001307E4"/>
    <w:rsid w:val="00130B12"/>
    <w:rsid w:val="00130BE6"/>
    <w:rsid w:val="00130D3D"/>
    <w:rsid w:val="00130E12"/>
    <w:rsid w:val="001310D7"/>
    <w:rsid w:val="0013112F"/>
    <w:rsid w:val="00131179"/>
    <w:rsid w:val="0013138E"/>
    <w:rsid w:val="00131659"/>
    <w:rsid w:val="001316B4"/>
    <w:rsid w:val="00131A31"/>
    <w:rsid w:val="00131BAC"/>
    <w:rsid w:val="00131FBE"/>
    <w:rsid w:val="00132190"/>
    <w:rsid w:val="001321C2"/>
    <w:rsid w:val="00132487"/>
    <w:rsid w:val="0013297A"/>
    <w:rsid w:val="00132A72"/>
    <w:rsid w:val="00132CD8"/>
    <w:rsid w:val="00132E0D"/>
    <w:rsid w:val="00132E75"/>
    <w:rsid w:val="00133373"/>
    <w:rsid w:val="0013357C"/>
    <w:rsid w:val="00133ACC"/>
    <w:rsid w:val="00133B3F"/>
    <w:rsid w:val="00133EE4"/>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EB"/>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19"/>
    <w:rsid w:val="00144D99"/>
    <w:rsid w:val="00144DB6"/>
    <w:rsid w:val="00144E8B"/>
    <w:rsid w:val="00144FEF"/>
    <w:rsid w:val="00145063"/>
    <w:rsid w:val="001453DE"/>
    <w:rsid w:val="0014564D"/>
    <w:rsid w:val="001458A2"/>
    <w:rsid w:val="00145A45"/>
    <w:rsid w:val="00145A95"/>
    <w:rsid w:val="00145ABF"/>
    <w:rsid w:val="00145BA4"/>
    <w:rsid w:val="00146082"/>
    <w:rsid w:val="00146127"/>
    <w:rsid w:val="00146208"/>
    <w:rsid w:val="00146210"/>
    <w:rsid w:val="001465BD"/>
    <w:rsid w:val="001466E0"/>
    <w:rsid w:val="001466E2"/>
    <w:rsid w:val="00146E06"/>
    <w:rsid w:val="00146E0E"/>
    <w:rsid w:val="00146E4C"/>
    <w:rsid w:val="001474AC"/>
    <w:rsid w:val="0014786E"/>
    <w:rsid w:val="0014797C"/>
    <w:rsid w:val="001479C9"/>
    <w:rsid w:val="00147B73"/>
    <w:rsid w:val="00147BA3"/>
    <w:rsid w:val="00147C79"/>
    <w:rsid w:val="00147E38"/>
    <w:rsid w:val="001501D0"/>
    <w:rsid w:val="00150274"/>
    <w:rsid w:val="0015076E"/>
    <w:rsid w:val="0015090C"/>
    <w:rsid w:val="00150973"/>
    <w:rsid w:val="0015104D"/>
    <w:rsid w:val="001511BB"/>
    <w:rsid w:val="001511ED"/>
    <w:rsid w:val="00151377"/>
    <w:rsid w:val="00151482"/>
    <w:rsid w:val="001514CF"/>
    <w:rsid w:val="001514EB"/>
    <w:rsid w:val="001515F8"/>
    <w:rsid w:val="0015170A"/>
    <w:rsid w:val="00151B30"/>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8D1"/>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121"/>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37"/>
    <w:rsid w:val="001654A8"/>
    <w:rsid w:val="001654E8"/>
    <w:rsid w:val="001656BF"/>
    <w:rsid w:val="00165792"/>
    <w:rsid w:val="001659B3"/>
    <w:rsid w:val="00165A39"/>
    <w:rsid w:val="00165FAB"/>
    <w:rsid w:val="0016605D"/>
    <w:rsid w:val="001660C6"/>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443"/>
    <w:rsid w:val="001725A3"/>
    <w:rsid w:val="001726B3"/>
    <w:rsid w:val="00172866"/>
    <w:rsid w:val="001728B2"/>
    <w:rsid w:val="00172AF9"/>
    <w:rsid w:val="00172BC3"/>
    <w:rsid w:val="00172C68"/>
    <w:rsid w:val="00172D1E"/>
    <w:rsid w:val="001731A9"/>
    <w:rsid w:val="001733FD"/>
    <w:rsid w:val="001734D9"/>
    <w:rsid w:val="00173B0A"/>
    <w:rsid w:val="00173C48"/>
    <w:rsid w:val="00173D64"/>
    <w:rsid w:val="00173EDF"/>
    <w:rsid w:val="00173F7B"/>
    <w:rsid w:val="001741B0"/>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4EE"/>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14"/>
    <w:rsid w:val="001879E2"/>
    <w:rsid w:val="00187AFB"/>
    <w:rsid w:val="00187C50"/>
    <w:rsid w:val="00187C96"/>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4B"/>
    <w:rsid w:val="001928E3"/>
    <w:rsid w:val="00192AD0"/>
    <w:rsid w:val="00192D8A"/>
    <w:rsid w:val="00192E60"/>
    <w:rsid w:val="00192FD5"/>
    <w:rsid w:val="0019319F"/>
    <w:rsid w:val="00193290"/>
    <w:rsid w:val="00193311"/>
    <w:rsid w:val="001933E1"/>
    <w:rsid w:val="001935FC"/>
    <w:rsid w:val="0019391E"/>
    <w:rsid w:val="00193997"/>
    <w:rsid w:val="00193A27"/>
    <w:rsid w:val="00193DC9"/>
    <w:rsid w:val="00193FBE"/>
    <w:rsid w:val="00194083"/>
    <w:rsid w:val="0019429D"/>
    <w:rsid w:val="001942EC"/>
    <w:rsid w:val="001943A3"/>
    <w:rsid w:val="00194491"/>
    <w:rsid w:val="00194600"/>
    <w:rsid w:val="0019497F"/>
    <w:rsid w:val="00194B76"/>
    <w:rsid w:val="00194BA3"/>
    <w:rsid w:val="00194DC1"/>
    <w:rsid w:val="00195130"/>
    <w:rsid w:val="0019514A"/>
    <w:rsid w:val="00195208"/>
    <w:rsid w:val="00195441"/>
    <w:rsid w:val="0019544D"/>
    <w:rsid w:val="0019570F"/>
    <w:rsid w:val="00195901"/>
    <w:rsid w:val="001959BF"/>
    <w:rsid w:val="00195A24"/>
    <w:rsid w:val="00195FA1"/>
    <w:rsid w:val="001966F3"/>
    <w:rsid w:val="001967E1"/>
    <w:rsid w:val="001969B3"/>
    <w:rsid w:val="00196B86"/>
    <w:rsid w:val="00196E8F"/>
    <w:rsid w:val="00196F8B"/>
    <w:rsid w:val="0019713E"/>
    <w:rsid w:val="0019775D"/>
    <w:rsid w:val="00197850"/>
    <w:rsid w:val="001978C4"/>
    <w:rsid w:val="001979EB"/>
    <w:rsid w:val="00197D5B"/>
    <w:rsid w:val="00197F57"/>
    <w:rsid w:val="001A0060"/>
    <w:rsid w:val="001A02F1"/>
    <w:rsid w:val="001A02F3"/>
    <w:rsid w:val="001A05DB"/>
    <w:rsid w:val="001A0629"/>
    <w:rsid w:val="001A0A5B"/>
    <w:rsid w:val="001A0E2E"/>
    <w:rsid w:val="001A0E57"/>
    <w:rsid w:val="001A0F20"/>
    <w:rsid w:val="001A10D1"/>
    <w:rsid w:val="001A1980"/>
    <w:rsid w:val="001A198A"/>
    <w:rsid w:val="001A19B9"/>
    <w:rsid w:val="001A1A13"/>
    <w:rsid w:val="001A1C15"/>
    <w:rsid w:val="001A1C6D"/>
    <w:rsid w:val="001A1D6C"/>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BF3"/>
    <w:rsid w:val="001A5C02"/>
    <w:rsid w:val="001A5C4C"/>
    <w:rsid w:val="001A5CE8"/>
    <w:rsid w:val="001A5E82"/>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0D4C"/>
    <w:rsid w:val="001B127A"/>
    <w:rsid w:val="001B14ED"/>
    <w:rsid w:val="001B1637"/>
    <w:rsid w:val="001B192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A4D"/>
    <w:rsid w:val="001C5CF9"/>
    <w:rsid w:val="001C5FEA"/>
    <w:rsid w:val="001C603C"/>
    <w:rsid w:val="001C63AB"/>
    <w:rsid w:val="001C63BB"/>
    <w:rsid w:val="001C63DE"/>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1C9"/>
    <w:rsid w:val="001D22DC"/>
    <w:rsid w:val="001D2307"/>
    <w:rsid w:val="001D2406"/>
    <w:rsid w:val="001D2418"/>
    <w:rsid w:val="001D25A7"/>
    <w:rsid w:val="001D25FC"/>
    <w:rsid w:val="001D2648"/>
    <w:rsid w:val="001D265B"/>
    <w:rsid w:val="001D2688"/>
    <w:rsid w:val="001D2935"/>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482"/>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A9C"/>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1D69"/>
    <w:rsid w:val="001F201B"/>
    <w:rsid w:val="001F2042"/>
    <w:rsid w:val="001F23DB"/>
    <w:rsid w:val="001F24E6"/>
    <w:rsid w:val="001F257E"/>
    <w:rsid w:val="001F2626"/>
    <w:rsid w:val="001F2D80"/>
    <w:rsid w:val="001F2D96"/>
    <w:rsid w:val="001F2E86"/>
    <w:rsid w:val="001F2EAD"/>
    <w:rsid w:val="001F2F48"/>
    <w:rsid w:val="001F2F93"/>
    <w:rsid w:val="001F3117"/>
    <w:rsid w:val="001F3249"/>
    <w:rsid w:val="001F34F8"/>
    <w:rsid w:val="001F350A"/>
    <w:rsid w:val="001F35B5"/>
    <w:rsid w:val="001F3E3C"/>
    <w:rsid w:val="001F4006"/>
    <w:rsid w:val="001F4165"/>
    <w:rsid w:val="001F41EC"/>
    <w:rsid w:val="001F42AE"/>
    <w:rsid w:val="001F435A"/>
    <w:rsid w:val="001F44E0"/>
    <w:rsid w:val="001F4530"/>
    <w:rsid w:val="001F4555"/>
    <w:rsid w:val="001F48E5"/>
    <w:rsid w:val="001F4A16"/>
    <w:rsid w:val="001F4FEB"/>
    <w:rsid w:val="001F5264"/>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742"/>
    <w:rsid w:val="002027B6"/>
    <w:rsid w:val="00202A02"/>
    <w:rsid w:val="00202CAF"/>
    <w:rsid w:val="00202CF8"/>
    <w:rsid w:val="00202DBB"/>
    <w:rsid w:val="00203195"/>
    <w:rsid w:val="00203297"/>
    <w:rsid w:val="0020336B"/>
    <w:rsid w:val="00203398"/>
    <w:rsid w:val="00203455"/>
    <w:rsid w:val="002035B5"/>
    <w:rsid w:val="002036AB"/>
    <w:rsid w:val="00203ADB"/>
    <w:rsid w:val="0020410C"/>
    <w:rsid w:val="0020415E"/>
    <w:rsid w:val="0020453F"/>
    <w:rsid w:val="002047D9"/>
    <w:rsid w:val="00204808"/>
    <w:rsid w:val="00204903"/>
    <w:rsid w:val="0020496A"/>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984"/>
    <w:rsid w:val="00207D72"/>
    <w:rsid w:val="00207E69"/>
    <w:rsid w:val="00207F6A"/>
    <w:rsid w:val="00210054"/>
    <w:rsid w:val="00210119"/>
    <w:rsid w:val="002101E6"/>
    <w:rsid w:val="0021059B"/>
    <w:rsid w:val="00210610"/>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723"/>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17FF3"/>
    <w:rsid w:val="00220343"/>
    <w:rsid w:val="00220473"/>
    <w:rsid w:val="002206A9"/>
    <w:rsid w:val="002208A5"/>
    <w:rsid w:val="00220E92"/>
    <w:rsid w:val="0022103B"/>
    <w:rsid w:val="0022147C"/>
    <w:rsid w:val="00221573"/>
    <w:rsid w:val="00221576"/>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39B"/>
    <w:rsid w:val="00223439"/>
    <w:rsid w:val="002236AD"/>
    <w:rsid w:val="002238A3"/>
    <w:rsid w:val="00223BCC"/>
    <w:rsid w:val="00223E73"/>
    <w:rsid w:val="0022408A"/>
    <w:rsid w:val="002240E5"/>
    <w:rsid w:val="0022412A"/>
    <w:rsid w:val="0022442F"/>
    <w:rsid w:val="002245AF"/>
    <w:rsid w:val="0022460E"/>
    <w:rsid w:val="00224849"/>
    <w:rsid w:val="002248E1"/>
    <w:rsid w:val="00224A65"/>
    <w:rsid w:val="00224BA1"/>
    <w:rsid w:val="00224D20"/>
    <w:rsid w:val="00224D4A"/>
    <w:rsid w:val="002250C4"/>
    <w:rsid w:val="00225148"/>
    <w:rsid w:val="00225247"/>
    <w:rsid w:val="00225350"/>
    <w:rsid w:val="0022580A"/>
    <w:rsid w:val="00225883"/>
    <w:rsid w:val="00225B0D"/>
    <w:rsid w:val="00225B15"/>
    <w:rsid w:val="00226010"/>
    <w:rsid w:val="002260DE"/>
    <w:rsid w:val="00226467"/>
    <w:rsid w:val="002264E8"/>
    <w:rsid w:val="00226691"/>
    <w:rsid w:val="002267D6"/>
    <w:rsid w:val="002268FB"/>
    <w:rsid w:val="002269EA"/>
    <w:rsid w:val="00226B65"/>
    <w:rsid w:val="00226C3C"/>
    <w:rsid w:val="00226CE4"/>
    <w:rsid w:val="00226D28"/>
    <w:rsid w:val="00226E5A"/>
    <w:rsid w:val="00226F33"/>
    <w:rsid w:val="00226FAC"/>
    <w:rsid w:val="00227336"/>
    <w:rsid w:val="002275EB"/>
    <w:rsid w:val="00227972"/>
    <w:rsid w:val="002279C6"/>
    <w:rsid w:val="00227C0F"/>
    <w:rsid w:val="00227D2C"/>
    <w:rsid w:val="00227E3A"/>
    <w:rsid w:val="00227E88"/>
    <w:rsid w:val="00227FC8"/>
    <w:rsid w:val="00230125"/>
    <w:rsid w:val="002307F0"/>
    <w:rsid w:val="00230AE7"/>
    <w:rsid w:val="00230B87"/>
    <w:rsid w:val="00230D71"/>
    <w:rsid w:val="00230D8F"/>
    <w:rsid w:val="00230DBF"/>
    <w:rsid w:val="0023187E"/>
    <w:rsid w:val="00231E8C"/>
    <w:rsid w:val="00232030"/>
    <w:rsid w:val="002323FE"/>
    <w:rsid w:val="002326E6"/>
    <w:rsid w:val="0023277F"/>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1F8"/>
    <w:rsid w:val="00234224"/>
    <w:rsid w:val="0023447A"/>
    <w:rsid w:val="002344DE"/>
    <w:rsid w:val="00234552"/>
    <w:rsid w:val="002346ED"/>
    <w:rsid w:val="00234711"/>
    <w:rsid w:val="002349F3"/>
    <w:rsid w:val="00234A37"/>
    <w:rsid w:val="00234ADD"/>
    <w:rsid w:val="00234C1B"/>
    <w:rsid w:val="00234D37"/>
    <w:rsid w:val="00235176"/>
    <w:rsid w:val="0023535D"/>
    <w:rsid w:val="0023542D"/>
    <w:rsid w:val="0023544C"/>
    <w:rsid w:val="00235477"/>
    <w:rsid w:val="002355AA"/>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79"/>
    <w:rsid w:val="00241C82"/>
    <w:rsid w:val="00241D97"/>
    <w:rsid w:val="00242025"/>
    <w:rsid w:val="00242297"/>
    <w:rsid w:val="0024233C"/>
    <w:rsid w:val="00242391"/>
    <w:rsid w:val="002423BB"/>
    <w:rsid w:val="002425F8"/>
    <w:rsid w:val="00242865"/>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4B5A"/>
    <w:rsid w:val="002450D9"/>
    <w:rsid w:val="00245104"/>
    <w:rsid w:val="00245373"/>
    <w:rsid w:val="00245417"/>
    <w:rsid w:val="002455F7"/>
    <w:rsid w:val="002459C6"/>
    <w:rsid w:val="00245A2B"/>
    <w:rsid w:val="00245C15"/>
    <w:rsid w:val="00245CC2"/>
    <w:rsid w:val="00245D14"/>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AC2"/>
    <w:rsid w:val="00247C82"/>
    <w:rsid w:val="00247F8F"/>
    <w:rsid w:val="00247FC0"/>
    <w:rsid w:val="00250129"/>
    <w:rsid w:val="00250219"/>
    <w:rsid w:val="0025038E"/>
    <w:rsid w:val="002503FD"/>
    <w:rsid w:val="00250609"/>
    <w:rsid w:val="002507B4"/>
    <w:rsid w:val="0025091F"/>
    <w:rsid w:val="00250933"/>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7F6"/>
    <w:rsid w:val="00252B12"/>
    <w:rsid w:val="00252DF9"/>
    <w:rsid w:val="002534A2"/>
    <w:rsid w:val="002536FE"/>
    <w:rsid w:val="0025370B"/>
    <w:rsid w:val="002537AE"/>
    <w:rsid w:val="002538B5"/>
    <w:rsid w:val="00253CC4"/>
    <w:rsid w:val="00253CFB"/>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4EDA"/>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B58"/>
    <w:rsid w:val="00261C1A"/>
    <w:rsid w:val="00261CF4"/>
    <w:rsid w:val="00261DCA"/>
    <w:rsid w:val="00261EEC"/>
    <w:rsid w:val="00261F6F"/>
    <w:rsid w:val="0026210B"/>
    <w:rsid w:val="002623F0"/>
    <w:rsid w:val="00262592"/>
    <w:rsid w:val="002627DC"/>
    <w:rsid w:val="00262B23"/>
    <w:rsid w:val="00262C79"/>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92"/>
    <w:rsid w:val="002676E7"/>
    <w:rsid w:val="002678D9"/>
    <w:rsid w:val="00267AC6"/>
    <w:rsid w:val="00267B20"/>
    <w:rsid w:val="00267C91"/>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AA"/>
    <w:rsid w:val="002720BD"/>
    <w:rsid w:val="002721E6"/>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491"/>
    <w:rsid w:val="002765ED"/>
    <w:rsid w:val="00276B44"/>
    <w:rsid w:val="00276C81"/>
    <w:rsid w:val="00276E4B"/>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CE3"/>
    <w:rsid w:val="00282E5D"/>
    <w:rsid w:val="002830EA"/>
    <w:rsid w:val="002833B6"/>
    <w:rsid w:val="00283823"/>
    <w:rsid w:val="002839BA"/>
    <w:rsid w:val="00283B66"/>
    <w:rsid w:val="00284013"/>
    <w:rsid w:val="0028410A"/>
    <w:rsid w:val="00284160"/>
    <w:rsid w:val="0028429B"/>
    <w:rsid w:val="00284440"/>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295"/>
    <w:rsid w:val="00286451"/>
    <w:rsid w:val="0028656F"/>
    <w:rsid w:val="00286579"/>
    <w:rsid w:val="00286637"/>
    <w:rsid w:val="0028664A"/>
    <w:rsid w:val="0028679C"/>
    <w:rsid w:val="002868C4"/>
    <w:rsid w:val="00286A6C"/>
    <w:rsid w:val="00286DE2"/>
    <w:rsid w:val="00286EAE"/>
    <w:rsid w:val="00286F52"/>
    <w:rsid w:val="00287055"/>
    <w:rsid w:val="00287095"/>
    <w:rsid w:val="002870D1"/>
    <w:rsid w:val="002872AF"/>
    <w:rsid w:val="002872C7"/>
    <w:rsid w:val="00287306"/>
    <w:rsid w:val="002873CD"/>
    <w:rsid w:val="00287728"/>
    <w:rsid w:val="002878AC"/>
    <w:rsid w:val="00287BD6"/>
    <w:rsid w:val="00287C18"/>
    <w:rsid w:val="00287C56"/>
    <w:rsid w:val="00287CB5"/>
    <w:rsid w:val="00287E70"/>
    <w:rsid w:val="00287EF7"/>
    <w:rsid w:val="00287FD5"/>
    <w:rsid w:val="00290086"/>
    <w:rsid w:val="00290202"/>
    <w:rsid w:val="002903D6"/>
    <w:rsid w:val="0029046E"/>
    <w:rsid w:val="00290677"/>
    <w:rsid w:val="00290943"/>
    <w:rsid w:val="00290F7D"/>
    <w:rsid w:val="00290F99"/>
    <w:rsid w:val="0029104A"/>
    <w:rsid w:val="002911E2"/>
    <w:rsid w:val="00291201"/>
    <w:rsid w:val="002914BA"/>
    <w:rsid w:val="00291953"/>
    <w:rsid w:val="00291A00"/>
    <w:rsid w:val="00291B72"/>
    <w:rsid w:val="00291BB3"/>
    <w:rsid w:val="00291CC0"/>
    <w:rsid w:val="00291D0A"/>
    <w:rsid w:val="00291DF7"/>
    <w:rsid w:val="00291EE5"/>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5B1"/>
    <w:rsid w:val="002936C7"/>
    <w:rsid w:val="00293A17"/>
    <w:rsid w:val="00293B29"/>
    <w:rsid w:val="0029446F"/>
    <w:rsid w:val="002944FA"/>
    <w:rsid w:val="00294543"/>
    <w:rsid w:val="002945D0"/>
    <w:rsid w:val="0029467C"/>
    <w:rsid w:val="0029471D"/>
    <w:rsid w:val="002947C7"/>
    <w:rsid w:val="0029480A"/>
    <w:rsid w:val="002948B0"/>
    <w:rsid w:val="0029496D"/>
    <w:rsid w:val="00294999"/>
    <w:rsid w:val="00294AA0"/>
    <w:rsid w:val="00294ABE"/>
    <w:rsid w:val="00294CE6"/>
    <w:rsid w:val="00294D17"/>
    <w:rsid w:val="00294F71"/>
    <w:rsid w:val="00294FD6"/>
    <w:rsid w:val="00295064"/>
    <w:rsid w:val="002950B4"/>
    <w:rsid w:val="00295484"/>
    <w:rsid w:val="00295559"/>
    <w:rsid w:val="0029599A"/>
    <w:rsid w:val="002959A1"/>
    <w:rsid w:val="00295B95"/>
    <w:rsid w:val="002962F6"/>
    <w:rsid w:val="00296A3D"/>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28"/>
    <w:rsid w:val="002A0053"/>
    <w:rsid w:val="002A0093"/>
    <w:rsid w:val="002A01E9"/>
    <w:rsid w:val="002A0223"/>
    <w:rsid w:val="002A028D"/>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50D"/>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8"/>
    <w:rsid w:val="002A502C"/>
    <w:rsid w:val="002A51C6"/>
    <w:rsid w:val="002A554D"/>
    <w:rsid w:val="002A581C"/>
    <w:rsid w:val="002A5824"/>
    <w:rsid w:val="002A5875"/>
    <w:rsid w:val="002A5E00"/>
    <w:rsid w:val="002A5F9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6C8"/>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4B93"/>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1FA"/>
    <w:rsid w:val="002C7536"/>
    <w:rsid w:val="002C7757"/>
    <w:rsid w:val="002C782B"/>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612"/>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26"/>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82"/>
    <w:rsid w:val="002E2B92"/>
    <w:rsid w:val="002E2E7F"/>
    <w:rsid w:val="002E2FBB"/>
    <w:rsid w:val="002E318A"/>
    <w:rsid w:val="002E355F"/>
    <w:rsid w:val="002E3693"/>
    <w:rsid w:val="002E37C0"/>
    <w:rsid w:val="002E3954"/>
    <w:rsid w:val="002E3A88"/>
    <w:rsid w:val="002E3B21"/>
    <w:rsid w:val="002E3C76"/>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37"/>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69"/>
    <w:rsid w:val="002F208C"/>
    <w:rsid w:val="002F2405"/>
    <w:rsid w:val="002F25AB"/>
    <w:rsid w:val="002F267F"/>
    <w:rsid w:val="002F280A"/>
    <w:rsid w:val="002F28A8"/>
    <w:rsid w:val="002F2A2E"/>
    <w:rsid w:val="002F2CD5"/>
    <w:rsid w:val="002F2D0E"/>
    <w:rsid w:val="002F2E1E"/>
    <w:rsid w:val="002F2FBB"/>
    <w:rsid w:val="002F30E6"/>
    <w:rsid w:val="002F31D7"/>
    <w:rsid w:val="002F33AF"/>
    <w:rsid w:val="002F33D3"/>
    <w:rsid w:val="002F378D"/>
    <w:rsid w:val="002F39C2"/>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EB5"/>
    <w:rsid w:val="00302F59"/>
    <w:rsid w:val="00302FE1"/>
    <w:rsid w:val="003032F4"/>
    <w:rsid w:val="00303309"/>
    <w:rsid w:val="003039AB"/>
    <w:rsid w:val="003039DB"/>
    <w:rsid w:val="00303C40"/>
    <w:rsid w:val="00303CD8"/>
    <w:rsid w:val="00303EEF"/>
    <w:rsid w:val="00304127"/>
    <w:rsid w:val="0030416A"/>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5E5"/>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04"/>
    <w:rsid w:val="003079A8"/>
    <w:rsid w:val="003079B3"/>
    <w:rsid w:val="00307E4C"/>
    <w:rsid w:val="00307E6F"/>
    <w:rsid w:val="00310310"/>
    <w:rsid w:val="00310463"/>
    <w:rsid w:val="003104FC"/>
    <w:rsid w:val="003105E9"/>
    <w:rsid w:val="00310942"/>
    <w:rsid w:val="00310A4F"/>
    <w:rsid w:val="00310A88"/>
    <w:rsid w:val="00310B32"/>
    <w:rsid w:val="00310B75"/>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2D1"/>
    <w:rsid w:val="0031475E"/>
    <w:rsid w:val="00314A18"/>
    <w:rsid w:val="00314BE0"/>
    <w:rsid w:val="00314D43"/>
    <w:rsid w:val="00314FA1"/>
    <w:rsid w:val="00315047"/>
    <w:rsid w:val="0031519F"/>
    <w:rsid w:val="0031561D"/>
    <w:rsid w:val="00315697"/>
    <w:rsid w:val="00315A3B"/>
    <w:rsid w:val="00315EF3"/>
    <w:rsid w:val="00315F1E"/>
    <w:rsid w:val="0031607E"/>
    <w:rsid w:val="00316357"/>
    <w:rsid w:val="00316397"/>
    <w:rsid w:val="0031655B"/>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6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C20"/>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CDB"/>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37FBF"/>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0"/>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3B7"/>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892"/>
    <w:rsid w:val="00351A5E"/>
    <w:rsid w:val="00351AB8"/>
    <w:rsid w:val="00351BA7"/>
    <w:rsid w:val="00351C10"/>
    <w:rsid w:val="00351DDE"/>
    <w:rsid w:val="00352196"/>
    <w:rsid w:val="00352226"/>
    <w:rsid w:val="003524E5"/>
    <w:rsid w:val="00352711"/>
    <w:rsid w:val="003527F7"/>
    <w:rsid w:val="003529AF"/>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DE8"/>
    <w:rsid w:val="00362F87"/>
    <w:rsid w:val="00362FA9"/>
    <w:rsid w:val="003633A3"/>
    <w:rsid w:val="003633F5"/>
    <w:rsid w:val="0036369C"/>
    <w:rsid w:val="0036398B"/>
    <w:rsid w:val="00363CB9"/>
    <w:rsid w:val="00363CBC"/>
    <w:rsid w:val="00363DB6"/>
    <w:rsid w:val="00364259"/>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822"/>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245"/>
    <w:rsid w:val="003735D0"/>
    <w:rsid w:val="00373696"/>
    <w:rsid w:val="00373782"/>
    <w:rsid w:val="003737FE"/>
    <w:rsid w:val="00373AD0"/>
    <w:rsid w:val="00373B12"/>
    <w:rsid w:val="00373B81"/>
    <w:rsid w:val="00373BAD"/>
    <w:rsid w:val="00373BCB"/>
    <w:rsid w:val="00373C8C"/>
    <w:rsid w:val="00373FF9"/>
    <w:rsid w:val="003740B4"/>
    <w:rsid w:val="00374224"/>
    <w:rsid w:val="00374469"/>
    <w:rsid w:val="003745A9"/>
    <w:rsid w:val="00374710"/>
    <w:rsid w:val="00374932"/>
    <w:rsid w:val="00374BCA"/>
    <w:rsid w:val="00374C9C"/>
    <w:rsid w:val="003751C0"/>
    <w:rsid w:val="003751F1"/>
    <w:rsid w:val="00375330"/>
    <w:rsid w:val="00375372"/>
    <w:rsid w:val="003755B5"/>
    <w:rsid w:val="00375723"/>
    <w:rsid w:val="0037573E"/>
    <w:rsid w:val="00375796"/>
    <w:rsid w:val="003757E6"/>
    <w:rsid w:val="00375A31"/>
    <w:rsid w:val="00375E2B"/>
    <w:rsid w:val="00375FA7"/>
    <w:rsid w:val="0037604F"/>
    <w:rsid w:val="00376121"/>
    <w:rsid w:val="003763BC"/>
    <w:rsid w:val="003765A4"/>
    <w:rsid w:val="0037671E"/>
    <w:rsid w:val="003769FC"/>
    <w:rsid w:val="00376E4E"/>
    <w:rsid w:val="00376EA0"/>
    <w:rsid w:val="00376FB9"/>
    <w:rsid w:val="003771D3"/>
    <w:rsid w:val="00377249"/>
    <w:rsid w:val="003776C1"/>
    <w:rsid w:val="0037788C"/>
    <w:rsid w:val="00377915"/>
    <w:rsid w:val="00377B28"/>
    <w:rsid w:val="00377CE7"/>
    <w:rsid w:val="00377D7B"/>
    <w:rsid w:val="00377E4B"/>
    <w:rsid w:val="00377F84"/>
    <w:rsid w:val="00377FB5"/>
    <w:rsid w:val="0038017F"/>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6F"/>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960"/>
    <w:rsid w:val="00391D30"/>
    <w:rsid w:val="00391E51"/>
    <w:rsid w:val="00391EAB"/>
    <w:rsid w:val="00391EC6"/>
    <w:rsid w:val="00391F9B"/>
    <w:rsid w:val="003924C2"/>
    <w:rsid w:val="003924C8"/>
    <w:rsid w:val="0039275D"/>
    <w:rsid w:val="003929CC"/>
    <w:rsid w:val="00392A89"/>
    <w:rsid w:val="00392C56"/>
    <w:rsid w:val="00393284"/>
    <w:rsid w:val="0039329F"/>
    <w:rsid w:val="0039387D"/>
    <w:rsid w:val="003939C2"/>
    <w:rsid w:val="00393A7F"/>
    <w:rsid w:val="00393AE3"/>
    <w:rsid w:val="00393F7B"/>
    <w:rsid w:val="003944F8"/>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1D"/>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6A7"/>
    <w:rsid w:val="003A1745"/>
    <w:rsid w:val="003A1BD6"/>
    <w:rsid w:val="003A1CA3"/>
    <w:rsid w:val="003A1DAC"/>
    <w:rsid w:val="003A1EDF"/>
    <w:rsid w:val="003A204B"/>
    <w:rsid w:val="003A204D"/>
    <w:rsid w:val="003A22CB"/>
    <w:rsid w:val="003A24C7"/>
    <w:rsid w:val="003A24F4"/>
    <w:rsid w:val="003A253E"/>
    <w:rsid w:val="003A26AA"/>
    <w:rsid w:val="003A2A3E"/>
    <w:rsid w:val="003A2B0D"/>
    <w:rsid w:val="003A2CA4"/>
    <w:rsid w:val="003A3080"/>
    <w:rsid w:val="003A3107"/>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5FB"/>
    <w:rsid w:val="003B06E2"/>
    <w:rsid w:val="003B072E"/>
    <w:rsid w:val="003B0C41"/>
    <w:rsid w:val="003B114F"/>
    <w:rsid w:val="003B178C"/>
    <w:rsid w:val="003B19B6"/>
    <w:rsid w:val="003B19FF"/>
    <w:rsid w:val="003B1A97"/>
    <w:rsid w:val="003B2043"/>
    <w:rsid w:val="003B2306"/>
    <w:rsid w:val="003B23C4"/>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4FB4"/>
    <w:rsid w:val="003B5074"/>
    <w:rsid w:val="003B50E4"/>
    <w:rsid w:val="003B5420"/>
    <w:rsid w:val="003B5466"/>
    <w:rsid w:val="003B55DA"/>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098"/>
    <w:rsid w:val="003C431C"/>
    <w:rsid w:val="003C4334"/>
    <w:rsid w:val="003C444D"/>
    <w:rsid w:val="003C4512"/>
    <w:rsid w:val="003C480D"/>
    <w:rsid w:val="003C4919"/>
    <w:rsid w:val="003C4B63"/>
    <w:rsid w:val="003C4BCE"/>
    <w:rsid w:val="003C4BE8"/>
    <w:rsid w:val="003C4C35"/>
    <w:rsid w:val="003C4CE8"/>
    <w:rsid w:val="003C4FE9"/>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915"/>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32"/>
    <w:rsid w:val="003D26CE"/>
    <w:rsid w:val="003D2743"/>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079"/>
    <w:rsid w:val="003D51DA"/>
    <w:rsid w:val="003D5274"/>
    <w:rsid w:val="003D534B"/>
    <w:rsid w:val="003D53BE"/>
    <w:rsid w:val="003D53C5"/>
    <w:rsid w:val="003D57D4"/>
    <w:rsid w:val="003D582F"/>
    <w:rsid w:val="003D5918"/>
    <w:rsid w:val="003D593C"/>
    <w:rsid w:val="003D5ABB"/>
    <w:rsid w:val="003D5C10"/>
    <w:rsid w:val="003D5CD2"/>
    <w:rsid w:val="003D5E3D"/>
    <w:rsid w:val="003D5F85"/>
    <w:rsid w:val="003D6065"/>
    <w:rsid w:val="003D6267"/>
    <w:rsid w:val="003D62F1"/>
    <w:rsid w:val="003D645A"/>
    <w:rsid w:val="003D6490"/>
    <w:rsid w:val="003D65D1"/>
    <w:rsid w:val="003D66FB"/>
    <w:rsid w:val="003D68EF"/>
    <w:rsid w:val="003D69E8"/>
    <w:rsid w:val="003D6A7A"/>
    <w:rsid w:val="003D6AE5"/>
    <w:rsid w:val="003D6E6D"/>
    <w:rsid w:val="003D6FAA"/>
    <w:rsid w:val="003D70E8"/>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1B0"/>
    <w:rsid w:val="003E3291"/>
    <w:rsid w:val="003E32BD"/>
    <w:rsid w:val="003E342A"/>
    <w:rsid w:val="003E36D2"/>
    <w:rsid w:val="003E3704"/>
    <w:rsid w:val="003E386F"/>
    <w:rsid w:val="003E38FD"/>
    <w:rsid w:val="003E392B"/>
    <w:rsid w:val="003E3944"/>
    <w:rsid w:val="003E3A3F"/>
    <w:rsid w:val="003E3C38"/>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67F"/>
    <w:rsid w:val="003E5702"/>
    <w:rsid w:val="003E5723"/>
    <w:rsid w:val="003E57DB"/>
    <w:rsid w:val="003E589C"/>
    <w:rsid w:val="003E5925"/>
    <w:rsid w:val="003E5E7A"/>
    <w:rsid w:val="003E5FF1"/>
    <w:rsid w:val="003E6169"/>
    <w:rsid w:val="003E620B"/>
    <w:rsid w:val="003E6634"/>
    <w:rsid w:val="003E6914"/>
    <w:rsid w:val="003E6DD3"/>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0CBC"/>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C25"/>
    <w:rsid w:val="003F3E8A"/>
    <w:rsid w:val="003F4141"/>
    <w:rsid w:val="003F4222"/>
    <w:rsid w:val="003F4588"/>
    <w:rsid w:val="003F4794"/>
    <w:rsid w:val="003F4913"/>
    <w:rsid w:val="003F4AD0"/>
    <w:rsid w:val="003F4B37"/>
    <w:rsid w:val="003F4B3B"/>
    <w:rsid w:val="003F4EE1"/>
    <w:rsid w:val="003F5062"/>
    <w:rsid w:val="003F5289"/>
    <w:rsid w:val="003F52F1"/>
    <w:rsid w:val="003F5391"/>
    <w:rsid w:val="003F55C0"/>
    <w:rsid w:val="003F55F1"/>
    <w:rsid w:val="003F5A4A"/>
    <w:rsid w:val="003F5AA8"/>
    <w:rsid w:val="003F5C6A"/>
    <w:rsid w:val="003F6061"/>
    <w:rsid w:val="003F638D"/>
    <w:rsid w:val="003F6452"/>
    <w:rsid w:val="003F65E7"/>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539"/>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2A9"/>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4CA"/>
    <w:rsid w:val="004076D9"/>
    <w:rsid w:val="0040779A"/>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2"/>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924"/>
    <w:rsid w:val="00415BC8"/>
    <w:rsid w:val="00416048"/>
    <w:rsid w:val="004161DF"/>
    <w:rsid w:val="00416222"/>
    <w:rsid w:val="0041632D"/>
    <w:rsid w:val="0041652D"/>
    <w:rsid w:val="00416642"/>
    <w:rsid w:val="004166D3"/>
    <w:rsid w:val="004168F8"/>
    <w:rsid w:val="00416ADE"/>
    <w:rsid w:val="00416B46"/>
    <w:rsid w:val="00416DF3"/>
    <w:rsid w:val="00416E90"/>
    <w:rsid w:val="00416FFC"/>
    <w:rsid w:val="00417172"/>
    <w:rsid w:val="004171F3"/>
    <w:rsid w:val="00417625"/>
    <w:rsid w:val="0041778C"/>
    <w:rsid w:val="00417A65"/>
    <w:rsid w:val="00417AFD"/>
    <w:rsid w:val="00417B0B"/>
    <w:rsid w:val="00417B5D"/>
    <w:rsid w:val="00417BBA"/>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32D"/>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6"/>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6F3"/>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3A9"/>
    <w:rsid w:val="0043260A"/>
    <w:rsid w:val="0043261E"/>
    <w:rsid w:val="00432753"/>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2AE"/>
    <w:rsid w:val="00443406"/>
    <w:rsid w:val="00443AFC"/>
    <w:rsid w:val="00443C7F"/>
    <w:rsid w:val="00443EA1"/>
    <w:rsid w:val="00443F98"/>
    <w:rsid w:val="004441F9"/>
    <w:rsid w:val="00444713"/>
    <w:rsid w:val="0044486C"/>
    <w:rsid w:val="004449B9"/>
    <w:rsid w:val="00444C25"/>
    <w:rsid w:val="00444D8D"/>
    <w:rsid w:val="00444F08"/>
    <w:rsid w:val="00445276"/>
    <w:rsid w:val="004452E4"/>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8A7"/>
    <w:rsid w:val="00447CAD"/>
    <w:rsid w:val="00447D92"/>
    <w:rsid w:val="00447E0A"/>
    <w:rsid w:val="004500C3"/>
    <w:rsid w:val="00450130"/>
    <w:rsid w:val="0045024C"/>
    <w:rsid w:val="004502D6"/>
    <w:rsid w:val="004503F6"/>
    <w:rsid w:val="0045067B"/>
    <w:rsid w:val="004506AE"/>
    <w:rsid w:val="00450D22"/>
    <w:rsid w:val="00450EC9"/>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1F8"/>
    <w:rsid w:val="00454301"/>
    <w:rsid w:val="0045431E"/>
    <w:rsid w:val="00454343"/>
    <w:rsid w:val="00454602"/>
    <w:rsid w:val="00454779"/>
    <w:rsid w:val="0045485E"/>
    <w:rsid w:val="00454A2C"/>
    <w:rsid w:val="00454A8C"/>
    <w:rsid w:val="00454DCF"/>
    <w:rsid w:val="00454E1A"/>
    <w:rsid w:val="00454FE1"/>
    <w:rsid w:val="00455209"/>
    <w:rsid w:val="0045533F"/>
    <w:rsid w:val="00455573"/>
    <w:rsid w:val="00455780"/>
    <w:rsid w:val="004558F6"/>
    <w:rsid w:val="0045598B"/>
    <w:rsid w:val="00455AE7"/>
    <w:rsid w:val="00455DFA"/>
    <w:rsid w:val="004560D1"/>
    <w:rsid w:val="004561BD"/>
    <w:rsid w:val="004561FB"/>
    <w:rsid w:val="00456247"/>
    <w:rsid w:val="0045629D"/>
    <w:rsid w:val="0045676B"/>
    <w:rsid w:val="004569FA"/>
    <w:rsid w:val="00456B4E"/>
    <w:rsid w:val="00456DAA"/>
    <w:rsid w:val="00456F96"/>
    <w:rsid w:val="004570C7"/>
    <w:rsid w:val="00457194"/>
    <w:rsid w:val="004571D6"/>
    <w:rsid w:val="004573F7"/>
    <w:rsid w:val="0045773E"/>
    <w:rsid w:val="0045776F"/>
    <w:rsid w:val="004579EE"/>
    <w:rsid w:val="00457A48"/>
    <w:rsid w:val="00457A9D"/>
    <w:rsid w:val="00457B10"/>
    <w:rsid w:val="00457B40"/>
    <w:rsid w:val="00457CB8"/>
    <w:rsid w:val="00457D6B"/>
    <w:rsid w:val="00457EAF"/>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776"/>
    <w:rsid w:val="0046185F"/>
    <w:rsid w:val="004618CD"/>
    <w:rsid w:val="004619FC"/>
    <w:rsid w:val="00461B5F"/>
    <w:rsid w:val="00461BC4"/>
    <w:rsid w:val="00461C9B"/>
    <w:rsid w:val="00461DCA"/>
    <w:rsid w:val="00461E64"/>
    <w:rsid w:val="00461EB3"/>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355"/>
    <w:rsid w:val="0046444F"/>
    <w:rsid w:val="00464609"/>
    <w:rsid w:val="004647A0"/>
    <w:rsid w:val="00464890"/>
    <w:rsid w:val="004649F1"/>
    <w:rsid w:val="00464BE4"/>
    <w:rsid w:val="00464CCB"/>
    <w:rsid w:val="00464CD6"/>
    <w:rsid w:val="00464E31"/>
    <w:rsid w:val="00464FA2"/>
    <w:rsid w:val="004651D9"/>
    <w:rsid w:val="00465337"/>
    <w:rsid w:val="004653A1"/>
    <w:rsid w:val="004655FD"/>
    <w:rsid w:val="00465B0D"/>
    <w:rsid w:val="00465CF6"/>
    <w:rsid w:val="00465DC6"/>
    <w:rsid w:val="00465E1B"/>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437"/>
    <w:rsid w:val="00472596"/>
    <w:rsid w:val="004727DD"/>
    <w:rsid w:val="00472860"/>
    <w:rsid w:val="0047297B"/>
    <w:rsid w:val="00472CE3"/>
    <w:rsid w:val="004731FD"/>
    <w:rsid w:val="00473270"/>
    <w:rsid w:val="004732F2"/>
    <w:rsid w:val="0047332A"/>
    <w:rsid w:val="004734DF"/>
    <w:rsid w:val="00473614"/>
    <w:rsid w:val="00473794"/>
    <w:rsid w:val="00473964"/>
    <w:rsid w:val="00473A01"/>
    <w:rsid w:val="00473A8E"/>
    <w:rsid w:val="00473DD5"/>
    <w:rsid w:val="00474017"/>
    <w:rsid w:val="004740B0"/>
    <w:rsid w:val="004742D6"/>
    <w:rsid w:val="0047437E"/>
    <w:rsid w:val="0047442D"/>
    <w:rsid w:val="00474533"/>
    <w:rsid w:val="0047457E"/>
    <w:rsid w:val="004746A8"/>
    <w:rsid w:val="004748B3"/>
    <w:rsid w:val="00474B22"/>
    <w:rsid w:val="00474E51"/>
    <w:rsid w:val="00474FA4"/>
    <w:rsid w:val="00475020"/>
    <w:rsid w:val="004753C9"/>
    <w:rsid w:val="0047569A"/>
    <w:rsid w:val="004756A9"/>
    <w:rsid w:val="00475871"/>
    <w:rsid w:val="00475A72"/>
    <w:rsid w:val="00475B13"/>
    <w:rsid w:val="00475BE3"/>
    <w:rsid w:val="00475BF7"/>
    <w:rsid w:val="00475E34"/>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3C"/>
    <w:rsid w:val="0048018A"/>
    <w:rsid w:val="00480197"/>
    <w:rsid w:val="004801DD"/>
    <w:rsid w:val="0048047F"/>
    <w:rsid w:val="00480546"/>
    <w:rsid w:val="00480970"/>
    <w:rsid w:val="004809AF"/>
    <w:rsid w:val="00480D4C"/>
    <w:rsid w:val="00480EC5"/>
    <w:rsid w:val="00480FAB"/>
    <w:rsid w:val="0048107C"/>
    <w:rsid w:val="004814A3"/>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34F"/>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00"/>
    <w:rsid w:val="00484A73"/>
    <w:rsid w:val="00484AD0"/>
    <w:rsid w:val="004852AF"/>
    <w:rsid w:val="00485325"/>
    <w:rsid w:val="00485368"/>
    <w:rsid w:val="004853D2"/>
    <w:rsid w:val="0048544E"/>
    <w:rsid w:val="00485495"/>
    <w:rsid w:val="00485541"/>
    <w:rsid w:val="00485641"/>
    <w:rsid w:val="0048566C"/>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E2D"/>
    <w:rsid w:val="00490E74"/>
    <w:rsid w:val="00490FBF"/>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D77"/>
    <w:rsid w:val="00493E0D"/>
    <w:rsid w:val="00493EF3"/>
    <w:rsid w:val="004940B5"/>
    <w:rsid w:val="00494106"/>
    <w:rsid w:val="004941DB"/>
    <w:rsid w:val="004942C6"/>
    <w:rsid w:val="0049450C"/>
    <w:rsid w:val="00494691"/>
    <w:rsid w:val="00494962"/>
    <w:rsid w:val="004949A8"/>
    <w:rsid w:val="004949B8"/>
    <w:rsid w:val="004949D1"/>
    <w:rsid w:val="00494B9C"/>
    <w:rsid w:val="00494BC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5E"/>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7AA"/>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09F"/>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6"/>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C30"/>
    <w:rsid w:val="004B1E78"/>
    <w:rsid w:val="004B2022"/>
    <w:rsid w:val="004B215D"/>
    <w:rsid w:val="004B230D"/>
    <w:rsid w:val="004B2427"/>
    <w:rsid w:val="004B244C"/>
    <w:rsid w:val="004B2461"/>
    <w:rsid w:val="004B272F"/>
    <w:rsid w:val="004B27A0"/>
    <w:rsid w:val="004B28B8"/>
    <w:rsid w:val="004B2A32"/>
    <w:rsid w:val="004B2CC0"/>
    <w:rsid w:val="004B2EBA"/>
    <w:rsid w:val="004B3063"/>
    <w:rsid w:val="004B316F"/>
    <w:rsid w:val="004B3656"/>
    <w:rsid w:val="004B37B3"/>
    <w:rsid w:val="004B398F"/>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3D"/>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39D"/>
    <w:rsid w:val="004B7415"/>
    <w:rsid w:val="004B75FB"/>
    <w:rsid w:val="004B7861"/>
    <w:rsid w:val="004B78A1"/>
    <w:rsid w:val="004B78A8"/>
    <w:rsid w:val="004B79D2"/>
    <w:rsid w:val="004B7E54"/>
    <w:rsid w:val="004B7EB0"/>
    <w:rsid w:val="004B7EFB"/>
    <w:rsid w:val="004C007C"/>
    <w:rsid w:val="004C0163"/>
    <w:rsid w:val="004C0274"/>
    <w:rsid w:val="004C054F"/>
    <w:rsid w:val="004C05D4"/>
    <w:rsid w:val="004C0682"/>
    <w:rsid w:val="004C06A4"/>
    <w:rsid w:val="004C0751"/>
    <w:rsid w:val="004C07F9"/>
    <w:rsid w:val="004C0860"/>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05E"/>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5E"/>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3C"/>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C83"/>
    <w:rsid w:val="004C7E09"/>
    <w:rsid w:val="004C7F5B"/>
    <w:rsid w:val="004C7F77"/>
    <w:rsid w:val="004C7F98"/>
    <w:rsid w:val="004D015E"/>
    <w:rsid w:val="004D0508"/>
    <w:rsid w:val="004D0775"/>
    <w:rsid w:val="004D07FA"/>
    <w:rsid w:val="004D0A4F"/>
    <w:rsid w:val="004D0A6B"/>
    <w:rsid w:val="004D0BDC"/>
    <w:rsid w:val="004D0C91"/>
    <w:rsid w:val="004D0CE5"/>
    <w:rsid w:val="004D0E00"/>
    <w:rsid w:val="004D10CE"/>
    <w:rsid w:val="004D113E"/>
    <w:rsid w:val="004D1326"/>
    <w:rsid w:val="004D1406"/>
    <w:rsid w:val="004D1666"/>
    <w:rsid w:val="004D1736"/>
    <w:rsid w:val="004D1A34"/>
    <w:rsid w:val="004D1C6D"/>
    <w:rsid w:val="004D1D12"/>
    <w:rsid w:val="004D1D19"/>
    <w:rsid w:val="004D1D23"/>
    <w:rsid w:val="004D1F4B"/>
    <w:rsid w:val="004D2007"/>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15"/>
    <w:rsid w:val="004D474C"/>
    <w:rsid w:val="004D478C"/>
    <w:rsid w:val="004D4AB6"/>
    <w:rsid w:val="004D4B4E"/>
    <w:rsid w:val="004D4BB3"/>
    <w:rsid w:val="004D4BE6"/>
    <w:rsid w:val="004D4C8D"/>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020"/>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1EDE"/>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4EA"/>
    <w:rsid w:val="004F05E5"/>
    <w:rsid w:val="004F0661"/>
    <w:rsid w:val="004F071E"/>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003"/>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EDE"/>
    <w:rsid w:val="004F530A"/>
    <w:rsid w:val="004F58FC"/>
    <w:rsid w:val="004F5A1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2CB"/>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DDB"/>
    <w:rsid w:val="00501E26"/>
    <w:rsid w:val="00501EC3"/>
    <w:rsid w:val="00501F90"/>
    <w:rsid w:val="0050235F"/>
    <w:rsid w:val="00502647"/>
    <w:rsid w:val="005029CF"/>
    <w:rsid w:val="00502BE6"/>
    <w:rsid w:val="00502D4D"/>
    <w:rsid w:val="00502DD6"/>
    <w:rsid w:val="00503047"/>
    <w:rsid w:val="005035E6"/>
    <w:rsid w:val="005036F1"/>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369"/>
    <w:rsid w:val="0050742A"/>
    <w:rsid w:val="00507536"/>
    <w:rsid w:val="005075F1"/>
    <w:rsid w:val="005077EA"/>
    <w:rsid w:val="005078A9"/>
    <w:rsid w:val="00507AE7"/>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898"/>
    <w:rsid w:val="00511907"/>
    <w:rsid w:val="00511BA3"/>
    <w:rsid w:val="00511C17"/>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981"/>
    <w:rsid w:val="00514A2B"/>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81A"/>
    <w:rsid w:val="00520C1B"/>
    <w:rsid w:val="00520C2D"/>
    <w:rsid w:val="00520D8C"/>
    <w:rsid w:val="00520E5B"/>
    <w:rsid w:val="00521003"/>
    <w:rsid w:val="0052107A"/>
    <w:rsid w:val="005212BC"/>
    <w:rsid w:val="005215EC"/>
    <w:rsid w:val="00521C85"/>
    <w:rsid w:val="00521C88"/>
    <w:rsid w:val="00521CB6"/>
    <w:rsid w:val="00521D17"/>
    <w:rsid w:val="00522077"/>
    <w:rsid w:val="005224A5"/>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2F9"/>
    <w:rsid w:val="005265FF"/>
    <w:rsid w:val="00526713"/>
    <w:rsid w:val="00526875"/>
    <w:rsid w:val="0052691D"/>
    <w:rsid w:val="00526AA6"/>
    <w:rsid w:val="00526B0D"/>
    <w:rsid w:val="00526B5B"/>
    <w:rsid w:val="00526C70"/>
    <w:rsid w:val="0052714C"/>
    <w:rsid w:val="005273D7"/>
    <w:rsid w:val="00527499"/>
    <w:rsid w:val="00527716"/>
    <w:rsid w:val="00527719"/>
    <w:rsid w:val="0052778A"/>
    <w:rsid w:val="00527852"/>
    <w:rsid w:val="00527DE4"/>
    <w:rsid w:val="00527DFB"/>
    <w:rsid w:val="00527E4A"/>
    <w:rsid w:val="00527ECA"/>
    <w:rsid w:val="00527F68"/>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9D1"/>
    <w:rsid w:val="00532AE3"/>
    <w:rsid w:val="00532DE9"/>
    <w:rsid w:val="00533066"/>
    <w:rsid w:val="00533123"/>
    <w:rsid w:val="00533405"/>
    <w:rsid w:val="005335A4"/>
    <w:rsid w:val="00533727"/>
    <w:rsid w:val="005337B9"/>
    <w:rsid w:val="0053389F"/>
    <w:rsid w:val="005339FF"/>
    <w:rsid w:val="00533B44"/>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B5"/>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51"/>
    <w:rsid w:val="00541781"/>
    <w:rsid w:val="005417C8"/>
    <w:rsid w:val="00541BBB"/>
    <w:rsid w:val="00541E72"/>
    <w:rsid w:val="00542082"/>
    <w:rsid w:val="00542331"/>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1B"/>
    <w:rsid w:val="005472F7"/>
    <w:rsid w:val="00547481"/>
    <w:rsid w:val="0054749B"/>
    <w:rsid w:val="0054770F"/>
    <w:rsid w:val="0054773D"/>
    <w:rsid w:val="00547836"/>
    <w:rsid w:val="00547A1E"/>
    <w:rsid w:val="00547A84"/>
    <w:rsid w:val="00547B58"/>
    <w:rsid w:val="00547C69"/>
    <w:rsid w:val="00550257"/>
    <w:rsid w:val="0055047D"/>
    <w:rsid w:val="005504AF"/>
    <w:rsid w:val="005508E5"/>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181"/>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3B"/>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286"/>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74E"/>
    <w:rsid w:val="00571E51"/>
    <w:rsid w:val="00571E7E"/>
    <w:rsid w:val="005720B8"/>
    <w:rsid w:val="005720D2"/>
    <w:rsid w:val="005721E7"/>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3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DAE"/>
    <w:rsid w:val="00580FC3"/>
    <w:rsid w:val="00581284"/>
    <w:rsid w:val="0058140D"/>
    <w:rsid w:val="005814EB"/>
    <w:rsid w:val="00581B24"/>
    <w:rsid w:val="00581C11"/>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C7"/>
    <w:rsid w:val="005862F4"/>
    <w:rsid w:val="005865A4"/>
    <w:rsid w:val="005868E7"/>
    <w:rsid w:val="00586A64"/>
    <w:rsid w:val="00586B89"/>
    <w:rsid w:val="00586D8D"/>
    <w:rsid w:val="00586ED4"/>
    <w:rsid w:val="00586EE4"/>
    <w:rsid w:val="00586F8B"/>
    <w:rsid w:val="00587232"/>
    <w:rsid w:val="0058725B"/>
    <w:rsid w:val="00587367"/>
    <w:rsid w:val="00587778"/>
    <w:rsid w:val="00587B6E"/>
    <w:rsid w:val="00587B7C"/>
    <w:rsid w:val="00587E21"/>
    <w:rsid w:val="00587F3B"/>
    <w:rsid w:val="005902E7"/>
    <w:rsid w:val="005905CA"/>
    <w:rsid w:val="0059072F"/>
    <w:rsid w:val="005908F8"/>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4E"/>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4F30"/>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8A"/>
    <w:rsid w:val="00597DE8"/>
    <w:rsid w:val="005A02C1"/>
    <w:rsid w:val="005A0387"/>
    <w:rsid w:val="005A04A1"/>
    <w:rsid w:val="005A05A0"/>
    <w:rsid w:val="005A0635"/>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5E3"/>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7E0"/>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496"/>
    <w:rsid w:val="005B6588"/>
    <w:rsid w:val="005B6827"/>
    <w:rsid w:val="005B68BC"/>
    <w:rsid w:val="005B6A00"/>
    <w:rsid w:val="005B6C19"/>
    <w:rsid w:val="005B6D05"/>
    <w:rsid w:val="005B6E6E"/>
    <w:rsid w:val="005B7368"/>
    <w:rsid w:val="005B7A2C"/>
    <w:rsid w:val="005B7A33"/>
    <w:rsid w:val="005B7A50"/>
    <w:rsid w:val="005B7F9C"/>
    <w:rsid w:val="005C01C5"/>
    <w:rsid w:val="005C01FA"/>
    <w:rsid w:val="005C0215"/>
    <w:rsid w:val="005C02C6"/>
    <w:rsid w:val="005C02EB"/>
    <w:rsid w:val="005C0309"/>
    <w:rsid w:val="005C062E"/>
    <w:rsid w:val="005C0A9F"/>
    <w:rsid w:val="005C0F44"/>
    <w:rsid w:val="005C0F55"/>
    <w:rsid w:val="005C10AF"/>
    <w:rsid w:val="005C14D4"/>
    <w:rsid w:val="005C163D"/>
    <w:rsid w:val="005C167F"/>
    <w:rsid w:val="005C16D3"/>
    <w:rsid w:val="005C18FD"/>
    <w:rsid w:val="005C19EE"/>
    <w:rsid w:val="005C1A88"/>
    <w:rsid w:val="005C1C8A"/>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25D"/>
    <w:rsid w:val="005C4312"/>
    <w:rsid w:val="005C438E"/>
    <w:rsid w:val="005C45AD"/>
    <w:rsid w:val="005C47B7"/>
    <w:rsid w:val="005C48A1"/>
    <w:rsid w:val="005C4C4C"/>
    <w:rsid w:val="005C4CA6"/>
    <w:rsid w:val="005C4DBF"/>
    <w:rsid w:val="005C4E57"/>
    <w:rsid w:val="005C4F91"/>
    <w:rsid w:val="005C50A8"/>
    <w:rsid w:val="005C50DA"/>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0D"/>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898"/>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10"/>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26D"/>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80A"/>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12B"/>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2C4"/>
    <w:rsid w:val="005F5321"/>
    <w:rsid w:val="005F53B1"/>
    <w:rsid w:val="005F544B"/>
    <w:rsid w:val="005F5686"/>
    <w:rsid w:val="005F57C2"/>
    <w:rsid w:val="005F57E9"/>
    <w:rsid w:val="005F58D2"/>
    <w:rsid w:val="005F595C"/>
    <w:rsid w:val="005F5B63"/>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8D0"/>
    <w:rsid w:val="00602D3D"/>
    <w:rsid w:val="00602DFB"/>
    <w:rsid w:val="00602E65"/>
    <w:rsid w:val="00602F6F"/>
    <w:rsid w:val="006030A4"/>
    <w:rsid w:val="0060329D"/>
    <w:rsid w:val="006032B3"/>
    <w:rsid w:val="0060373C"/>
    <w:rsid w:val="00603883"/>
    <w:rsid w:val="00603938"/>
    <w:rsid w:val="00603ADC"/>
    <w:rsid w:val="00603BFE"/>
    <w:rsid w:val="00603C65"/>
    <w:rsid w:val="00603DFC"/>
    <w:rsid w:val="006042AF"/>
    <w:rsid w:val="00604429"/>
    <w:rsid w:val="00604494"/>
    <w:rsid w:val="006044D1"/>
    <w:rsid w:val="00604518"/>
    <w:rsid w:val="006045B8"/>
    <w:rsid w:val="0060464F"/>
    <w:rsid w:val="0060472E"/>
    <w:rsid w:val="0060477F"/>
    <w:rsid w:val="006049DC"/>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2C6"/>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2D"/>
    <w:rsid w:val="00612291"/>
    <w:rsid w:val="006126CD"/>
    <w:rsid w:val="006126D3"/>
    <w:rsid w:val="006128D5"/>
    <w:rsid w:val="00612A65"/>
    <w:rsid w:val="00612CFC"/>
    <w:rsid w:val="00612D46"/>
    <w:rsid w:val="00612E0F"/>
    <w:rsid w:val="00612E6C"/>
    <w:rsid w:val="00613158"/>
    <w:rsid w:val="00613362"/>
    <w:rsid w:val="00613441"/>
    <w:rsid w:val="00613477"/>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43F"/>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5D9"/>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01"/>
    <w:rsid w:val="006230C4"/>
    <w:rsid w:val="0062313A"/>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031"/>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9E9"/>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570"/>
    <w:rsid w:val="006315A9"/>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4A9"/>
    <w:rsid w:val="0063591F"/>
    <w:rsid w:val="0063595A"/>
    <w:rsid w:val="0063596F"/>
    <w:rsid w:val="00635D95"/>
    <w:rsid w:val="00635E2C"/>
    <w:rsid w:val="00635E73"/>
    <w:rsid w:val="006360E0"/>
    <w:rsid w:val="0063631A"/>
    <w:rsid w:val="006363C6"/>
    <w:rsid w:val="006364AC"/>
    <w:rsid w:val="006364BF"/>
    <w:rsid w:val="00636579"/>
    <w:rsid w:val="006366A8"/>
    <w:rsid w:val="006367B5"/>
    <w:rsid w:val="00636866"/>
    <w:rsid w:val="00636A16"/>
    <w:rsid w:val="00636A97"/>
    <w:rsid w:val="00636B6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1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445"/>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535"/>
    <w:rsid w:val="0064769C"/>
    <w:rsid w:val="00647861"/>
    <w:rsid w:val="00647AB8"/>
    <w:rsid w:val="00647CEE"/>
    <w:rsid w:val="00647FD8"/>
    <w:rsid w:val="006503F1"/>
    <w:rsid w:val="00650501"/>
    <w:rsid w:val="006505E9"/>
    <w:rsid w:val="00650718"/>
    <w:rsid w:val="0065079E"/>
    <w:rsid w:val="006507D1"/>
    <w:rsid w:val="00650B45"/>
    <w:rsid w:val="00650CC7"/>
    <w:rsid w:val="00650D7D"/>
    <w:rsid w:val="00650E0D"/>
    <w:rsid w:val="00651739"/>
    <w:rsid w:val="006517E0"/>
    <w:rsid w:val="006518F2"/>
    <w:rsid w:val="00651AD6"/>
    <w:rsid w:val="00651E7A"/>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3E6D"/>
    <w:rsid w:val="00664014"/>
    <w:rsid w:val="00664347"/>
    <w:rsid w:val="006644D3"/>
    <w:rsid w:val="006645F6"/>
    <w:rsid w:val="00664659"/>
    <w:rsid w:val="00664898"/>
    <w:rsid w:val="0066489E"/>
    <w:rsid w:val="006648A1"/>
    <w:rsid w:val="0066491F"/>
    <w:rsid w:val="006649D7"/>
    <w:rsid w:val="00664A18"/>
    <w:rsid w:val="00664DFF"/>
    <w:rsid w:val="00664ED3"/>
    <w:rsid w:val="00665006"/>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65B"/>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6C"/>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6C"/>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488"/>
    <w:rsid w:val="006816CB"/>
    <w:rsid w:val="00681AB4"/>
    <w:rsid w:val="00682573"/>
    <w:rsid w:val="0068269A"/>
    <w:rsid w:val="00682AD8"/>
    <w:rsid w:val="00682F69"/>
    <w:rsid w:val="00683195"/>
    <w:rsid w:val="006831C9"/>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0A"/>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6F5E"/>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5E"/>
    <w:rsid w:val="006918FF"/>
    <w:rsid w:val="00691920"/>
    <w:rsid w:val="00691AC7"/>
    <w:rsid w:val="00691CC2"/>
    <w:rsid w:val="00691CD2"/>
    <w:rsid w:val="00691DAA"/>
    <w:rsid w:val="00691E94"/>
    <w:rsid w:val="00692355"/>
    <w:rsid w:val="006926A4"/>
    <w:rsid w:val="0069270A"/>
    <w:rsid w:val="00692734"/>
    <w:rsid w:val="00692906"/>
    <w:rsid w:val="00692AEF"/>
    <w:rsid w:val="00692C2A"/>
    <w:rsid w:val="00692D2B"/>
    <w:rsid w:val="00692EED"/>
    <w:rsid w:val="00692FBD"/>
    <w:rsid w:val="006930E8"/>
    <w:rsid w:val="006932EB"/>
    <w:rsid w:val="0069335C"/>
    <w:rsid w:val="006933DE"/>
    <w:rsid w:val="00693410"/>
    <w:rsid w:val="00693472"/>
    <w:rsid w:val="006939FB"/>
    <w:rsid w:val="00693B38"/>
    <w:rsid w:val="00693F9E"/>
    <w:rsid w:val="00694048"/>
    <w:rsid w:val="00694159"/>
    <w:rsid w:val="00694347"/>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674"/>
    <w:rsid w:val="0069576B"/>
    <w:rsid w:val="006957B0"/>
    <w:rsid w:val="006958F6"/>
    <w:rsid w:val="00695B67"/>
    <w:rsid w:val="00695C1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F70"/>
    <w:rsid w:val="006A22FF"/>
    <w:rsid w:val="006A23C5"/>
    <w:rsid w:val="006A246D"/>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ED2"/>
    <w:rsid w:val="006A3F30"/>
    <w:rsid w:val="006A46A9"/>
    <w:rsid w:val="006A4765"/>
    <w:rsid w:val="006A4774"/>
    <w:rsid w:val="006A4B88"/>
    <w:rsid w:val="006A4C66"/>
    <w:rsid w:val="006A4DBD"/>
    <w:rsid w:val="006A4DD7"/>
    <w:rsid w:val="006A4FDF"/>
    <w:rsid w:val="006A51C1"/>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67F"/>
    <w:rsid w:val="006B3C18"/>
    <w:rsid w:val="006B3E1E"/>
    <w:rsid w:val="006B428E"/>
    <w:rsid w:val="006B42E2"/>
    <w:rsid w:val="006B43D5"/>
    <w:rsid w:val="006B49C0"/>
    <w:rsid w:val="006B4B21"/>
    <w:rsid w:val="006B4B73"/>
    <w:rsid w:val="006B4D24"/>
    <w:rsid w:val="006B4DA4"/>
    <w:rsid w:val="006B4EA9"/>
    <w:rsid w:val="006B4FFA"/>
    <w:rsid w:val="006B510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910"/>
    <w:rsid w:val="006B6AF7"/>
    <w:rsid w:val="006B6B00"/>
    <w:rsid w:val="006B6CC5"/>
    <w:rsid w:val="006B6EB3"/>
    <w:rsid w:val="006B6F28"/>
    <w:rsid w:val="006B6FDF"/>
    <w:rsid w:val="006B702E"/>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646"/>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1EE"/>
    <w:rsid w:val="006C348F"/>
    <w:rsid w:val="006C355C"/>
    <w:rsid w:val="006C35FA"/>
    <w:rsid w:val="006C39B0"/>
    <w:rsid w:val="006C3ABD"/>
    <w:rsid w:val="006C3D0B"/>
    <w:rsid w:val="006C3F10"/>
    <w:rsid w:val="006C46B5"/>
    <w:rsid w:val="006C495B"/>
    <w:rsid w:val="006C4F2C"/>
    <w:rsid w:val="006C4FB4"/>
    <w:rsid w:val="006C5060"/>
    <w:rsid w:val="006C5071"/>
    <w:rsid w:val="006C5114"/>
    <w:rsid w:val="006C512B"/>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A23"/>
    <w:rsid w:val="006C7AC4"/>
    <w:rsid w:val="006C7E2A"/>
    <w:rsid w:val="006C7F0B"/>
    <w:rsid w:val="006C7F5F"/>
    <w:rsid w:val="006D0054"/>
    <w:rsid w:val="006D0330"/>
    <w:rsid w:val="006D04BD"/>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0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C44"/>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99"/>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2FB6"/>
    <w:rsid w:val="006E3009"/>
    <w:rsid w:val="006E3081"/>
    <w:rsid w:val="006E310F"/>
    <w:rsid w:val="006E312F"/>
    <w:rsid w:val="006E33BA"/>
    <w:rsid w:val="006E36C6"/>
    <w:rsid w:val="006E370E"/>
    <w:rsid w:val="006E3787"/>
    <w:rsid w:val="006E390C"/>
    <w:rsid w:val="006E39D5"/>
    <w:rsid w:val="006E39F0"/>
    <w:rsid w:val="006E3A0F"/>
    <w:rsid w:val="006E3BC1"/>
    <w:rsid w:val="006E3C46"/>
    <w:rsid w:val="006E3E92"/>
    <w:rsid w:val="006E3EF6"/>
    <w:rsid w:val="006E3FBB"/>
    <w:rsid w:val="006E414C"/>
    <w:rsid w:val="006E41F2"/>
    <w:rsid w:val="006E420D"/>
    <w:rsid w:val="006E4237"/>
    <w:rsid w:val="006E43A9"/>
    <w:rsid w:val="006E46A7"/>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02E"/>
    <w:rsid w:val="006F0455"/>
    <w:rsid w:val="006F0620"/>
    <w:rsid w:val="006F06F1"/>
    <w:rsid w:val="006F07D3"/>
    <w:rsid w:val="006F0800"/>
    <w:rsid w:val="006F08FF"/>
    <w:rsid w:val="006F0A9B"/>
    <w:rsid w:val="006F1152"/>
    <w:rsid w:val="006F1218"/>
    <w:rsid w:val="006F162A"/>
    <w:rsid w:val="006F16D4"/>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944"/>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4E9"/>
    <w:rsid w:val="006F76FF"/>
    <w:rsid w:val="006F7B1B"/>
    <w:rsid w:val="006F7C1D"/>
    <w:rsid w:val="006F7D10"/>
    <w:rsid w:val="006F7D82"/>
    <w:rsid w:val="006F7DDE"/>
    <w:rsid w:val="006F7EC0"/>
    <w:rsid w:val="006F7F9C"/>
    <w:rsid w:val="00700084"/>
    <w:rsid w:val="00700168"/>
    <w:rsid w:val="0070023D"/>
    <w:rsid w:val="00700258"/>
    <w:rsid w:val="00700320"/>
    <w:rsid w:val="00700339"/>
    <w:rsid w:val="00700391"/>
    <w:rsid w:val="00700B5D"/>
    <w:rsid w:val="00700F3A"/>
    <w:rsid w:val="00700F3B"/>
    <w:rsid w:val="00700F85"/>
    <w:rsid w:val="007012EF"/>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B69"/>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28"/>
    <w:rsid w:val="00704C5A"/>
    <w:rsid w:val="00704F80"/>
    <w:rsid w:val="007051A0"/>
    <w:rsid w:val="00705253"/>
    <w:rsid w:val="00705589"/>
    <w:rsid w:val="007057AC"/>
    <w:rsid w:val="00705AE1"/>
    <w:rsid w:val="00705B27"/>
    <w:rsid w:val="00705E28"/>
    <w:rsid w:val="0070633B"/>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49F"/>
    <w:rsid w:val="00726762"/>
    <w:rsid w:val="007267F9"/>
    <w:rsid w:val="00726956"/>
    <w:rsid w:val="007269AC"/>
    <w:rsid w:val="00726B7B"/>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172"/>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B1B"/>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237"/>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3F2D"/>
    <w:rsid w:val="0074418F"/>
    <w:rsid w:val="007443CB"/>
    <w:rsid w:val="00744795"/>
    <w:rsid w:val="007448C4"/>
    <w:rsid w:val="007448E9"/>
    <w:rsid w:val="00744ADD"/>
    <w:rsid w:val="00744AE1"/>
    <w:rsid w:val="00744B4C"/>
    <w:rsid w:val="00744B4F"/>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718"/>
    <w:rsid w:val="007468B7"/>
    <w:rsid w:val="007468D3"/>
    <w:rsid w:val="00746ABA"/>
    <w:rsid w:val="00746BE6"/>
    <w:rsid w:val="00746DA5"/>
    <w:rsid w:val="00746DBE"/>
    <w:rsid w:val="00746EA6"/>
    <w:rsid w:val="00747068"/>
    <w:rsid w:val="0074718A"/>
    <w:rsid w:val="00747237"/>
    <w:rsid w:val="0074741C"/>
    <w:rsid w:val="00747713"/>
    <w:rsid w:val="00747AA6"/>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9D5"/>
    <w:rsid w:val="00751CB6"/>
    <w:rsid w:val="00751D29"/>
    <w:rsid w:val="00751D2B"/>
    <w:rsid w:val="00751DDF"/>
    <w:rsid w:val="00751FC3"/>
    <w:rsid w:val="00752198"/>
    <w:rsid w:val="0075230E"/>
    <w:rsid w:val="007525B5"/>
    <w:rsid w:val="00752676"/>
    <w:rsid w:val="00752981"/>
    <w:rsid w:val="007529CE"/>
    <w:rsid w:val="00752A20"/>
    <w:rsid w:val="00752C02"/>
    <w:rsid w:val="007530A4"/>
    <w:rsid w:val="0075315A"/>
    <w:rsid w:val="00753195"/>
    <w:rsid w:val="007533FE"/>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E40"/>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9B"/>
    <w:rsid w:val="007629A7"/>
    <w:rsid w:val="00762B63"/>
    <w:rsid w:val="00762BA7"/>
    <w:rsid w:val="00762C7B"/>
    <w:rsid w:val="00762D60"/>
    <w:rsid w:val="00762E48"/>
    <w:rsid w:val="00762F11"/>
    <w:rsid w:val="00763002"/>
    <w:rsid w:val="0076340F"/>
    <w:rsid w:val="007634DA"/>
    <w:rsid w:val="007634E1"/>
    <w:rsid w:val="00763792"/>
    <w:rsid w:val="007637A3"/>
    <w:rsid w:val="00763850"/>
    <w:rsid w:val="00763956"/>
    <w:rsid w:val="0076399F"/>
    <w:rsid w:val="007639AB"/>
    <w:rsid w:val="00763A0D"/>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681"/>
    <w:rsid w:val="00766727"/>
    <w:rsid w:val="00766847"/>
    <w:rsid w:val="00766A39"/>
    <w:rsid w:val="00766A5D"/>
    <w:rsid w:val="00766A93"/>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0D02"/>
    <w:rsid w:val="00770F5C"/>
    <w:rsid w:val="0077111B"/>
    <w:rsid w:val="007711C5"/>
    <w:rsid w:val="0077142B"/>
    <w:rsid w:val="00771466"/>
    <w:rsid w:val="0077157F"/>
    <w:rsid w:val="0077171B"/>
    <w:rsid w:val="0077183E"/>
    <w:rsid w:val="007719F5"/>
    <w:rsid w:val="00771A14"/>
    <w:rsid w:val="00771B23"/>
    <w:rsid w:val="0077201F"/>
    <w:rsid w:val="007721D1"/>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C10"/>
    <w:rsid w:val="00773D8A"/>
    <w:rsid w:val="00773F5B"/>
    <w:rsid w:val="00774178"/>
    <w:rsid w:val="0077426A"/>
    <w:rsid w:val="00774296"/>
    <w:rsid w:val="007742AB"/>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5F61"/>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63B"/>
    <w:rsid w:val="00780734"/>
    <w:rsid w:val="00780758"/>
    <w:rsid w:val="00780783"/>
    <w:rsid w:val="00780786"/>
    <w:rsid w:val="007807B5"/>
    <w:rsid w:val="00780953"/>
    <w:rsid w:val="00780C42"/>
    <w:rsid w:val="00780E1C"/>
    <w:rsid w:val="00780E27"/>
    <w:rsid w:val="00780E7E"/>
    <w:rsid w:val="00780F21"/>
    <w:rsid w:val="00781094"/>
    <w:rsid w:val="007813E3"/>
    <w:rsid w:val="0078164C"/>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A2B"/>
    <w:rsid w:val="00782B14"/>
    <w:rsid w:val="00782C46"/>
    <w:rsid w:val="00782D19"/>
    <w:rsid w:val="00782DC6"/>
    <w:rsid w:val="00782DCA"/>
    <w:rsid w:val="0078329A"/>
    <w:rsid w:val="007835FA"/>
    <w:rsid w:val="0078376B"/>
    <w:rsid w:val="007838FB"/>
    <w:rsid w:val="00783D15"/>
    <w:rsid w:val="00783ED8"/>
    <w:rsid w:val="00783F13"/>
    <w:rsid w:val="00783F55"/>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B5B"/>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3FB"/>
    <w:rsid w:val="007974BD"/>
    <w:rsid w:val="00797652"/>
    <w:rsid w:val="007976B9"/>
    <w:rsid w:val="00797813"/>
    <w:rsid w:val="007978B1"/>
    <w:rsid w:val="00797AD4"/>
    <w:rsid w:val="00797C42"/>
    <w:rsid w:val="00797D04"/>
    <w:rsid w:val="00797FB4"/>
    <w:rsid w:val="007A002E"/>
    <w:rsid w:val="007A02D2"/>
    <w:rsid w:val="007A048F"/>
    <w:rsid w:val="007A05CF"/>
    <w:rsid w:val="007A05F6"/>
    <w:rsid w:val="007A0956"/>
    <w:rsid w:val="007A0A3F"/>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036"/>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4DAD"/>
    <w:rsid w:val="007A4F99"/>
    <w:rsid w:val="007A5045"/>
    <w:rsid w:val="007A5141"/>
    <w:rsid w:val="007A5244"/>
    <w:rsid w:val="007A52E2"/>
    <w:rsid w:val="007A5341"/>
    <w:rsid w:val="007A534F"/>
    <w:rsid w:val="007A53BB"/>
    <w:rsid w:val="007A56DA"/>
    <w:rsid w:val="007A5735"/>
    <w:rsid w:val="007A5A38"/>
    <w:rsid w:val="007A5A44"/>
    <w:rsid w:val="007A5ADC"/>
    <w:rsid w:val="007A5B2A"/>
    <w:rsid w:val="007A5B83"/>
    <w:rsid w:val="007A613D"/>
    <w:rsid w:val="007A6399"/>
    <w:rsid w:val="007A63E9"/>
    <w:rsid w:val="007A66AC"/>
    <w:rsid w:val="007A6883"/>
    <w:rsid w:val="007A693D"/>
    <w:rsid w:val="007A6944"/>
    <w:rsid w:val="007A69A8"/>
    <w:rsid w:val="007A69B5"/>
    <w:rsid w:val="007A6B9C"/>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7C"/>
    <w:rsid w:val="007B1A9C"/>
    <w:rsid w:val="007B1B1F"/>
    <w:rsid w:val="007B1D50"/>
    <w:rsid w:val="007B1D81"/>
    <w:rsid w:val="007B1F5A"/>
    <w:rsid w:val="007B1FCA"/>
    <w:rsid w:val="007B2054"/>
    <w:rsid w:val="007B2122"/>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185"/>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A35"/>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31C"/>
    <w:rsid w:val="007C0598"/>
    <w:rsid w:val="007C0829"/>
    <w:rsid w:val="007C08AA"/>
    <w:rsid w:val="007C099F"/>
    <w:rsid w:val="007C0AFA"/>
    <w:rsid w:val="007C0B7D"/>
    <w:rsid w:val="007C0B8E"/>
    <w:rsid w:val="007C0D43"/>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730"/>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311"/>
    <w:rsid w:val="007D1345"/>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4A"/>
    <w:rsid w:val="007D5EBC"/>
    <w:rsid w:val="007D6412"/>
    <w:rsid w:val="007D663A"/>
    <w:rsid w:val="007D6675"/>
    <w:rsid w:val="007D66C1"/>
    <w:rsid w:val="007D6D9C"/>
    <w:rsid w:val="007D6DBF"/>
    <w:rsid w:val="007D6EF8"/>
    <w:rsid w:val="007D700F"/>
    <w:rsid w:val="007D70C3"/>
    <w:rsid w:val="007D7134"/>
    <w:rsid w:val="007D7B7B"/>
    <w:rsid w:val="007D7EC6"/>
    <w:rsid w:val="007E017B"/>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4A3"/>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1A"/>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26"/>
    <w:rsid w:val="007E5A2F"/>
    <w:rsid w:val="007E5AE9"/>
    <w:rsid w:val="007E5BDD"/>
    <w:rsid w:val="007E5C40"/>
    <w:rsid w:val="007E5FFC"/>
    <w:rsid w:val="007E6024"/>
    <w:rsid w:val="007E63B7"/>
    <w:rsid w:val="007E65A1"/>
    <w:rsid w:val="007E6898"/>
    <w:rsid w:val="007E68A8"/>
    <w:rsid w:val="007E6B6D"/>
    <w:rsid w:val="007E6C64"/>
    <w:rsid w:val="007E6C80"/>
    <w:rsid w:val="007E6CD9"/>
    <w:rsid w:val="007E6D87"/>
    <w:rsid w:val="007E6E5D"/>
    <w:rsid w:val="007E6EC6"/>
    <w:rsid w:val="007E6EF5"/>
    <w:rsid w:val="007E6EFD"/>
    <w:rsid w:val="007E6FD9"/>
    <w:rsid w:val="007E7082"/>
    <w:rsid w:val="007E73AD"/>
    <w:rsid w:val="007E745A"/>
    <w:rsid w:val="007E74C4"/>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6DA"/>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8C"/>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A18"/>
    <w:rsid w:val="007F5E09"/>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800"/>
    <w:rsid w:val="00800AD4"/>
    <w:rsid w:val="00800C2A"/>
    <w:rsid w:val="00800D98"/>
    <w:rsid w:val="00800E22"/>
    <w:rsid w:val="00800F51"/>
    <w:rsid w:val="00800F5C"/>
    <w:rsid w:val="008011F0"/>
    <w:rsid w:val="0080120E"/>
    <w:rsid w:val="00801300"/>
    <w:rsid w:val="00801406"/>
    <w:rsid w:val="0080161F"/>
    <w:rsid w:val="0080164F"/>
    <w:rsid w:val="008016D1"/>
    <w:rsid w:val="008018EC"/>
    <w:rsid w:val="00801D83"/>
    <w:rsid w:val="00801E6B"/>
    <w:rsid w:val="00802088"/>
    <w:rsid w:val="0080234F"/>
    <w:rsid w:val="00802C77"/>
    <w:rsid w:val="00802CCF"/>
    <w:rsid w:val="00802F7D"/>
    <w:rsid w:val="008030D0"/>
    <w:rsid w:val="0080313B"/>
    <w:rsid w:val="00803425"/>
    <w:rsid w:val="00803431"/>
    <w:rsid w:val="00803510"/>
    <w:rsid w:val="00803641"/>
    <w:rsid w:val="008037B3"/>
    <w:rsid w:val="00803A30"/>
    <w:rsid w:val="00803A91"/>
    <w:rsid w:val="00803D0A"/>
    <w:rsid w:val="00803D9D"/>
    <w:rsid w:val="00803DF8"/>
    <w:rsid w:val="00803F63"/>
    <w:rsid w:val="00803F76"/>
    <w:rsid w:val="00803FB7"/>
    <w:rsid w:val="00804261"/>
    <w:rsid w:val="0080444C"/>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09"/>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A70"/>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8A0"/>
    <w:rsid w:val="00816D15"/>
    <w:rsid w:val="00816F5F"/>
    <w:rsid w:val="0081705C"/>
    <w:rsid w:val="00817122"/>
    <w:rsid w:val="008172B3"/>
    <w:rsid w:val="008173DA"/>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9"/>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329"/>
    <w:rsid w:val="0082456E"/>
    <w:rsid w:val="008245D2"/>
    <w:rsid w:val="008246F5"/>
    <w:rsid w:val="00824804"/>
    <w:rsid w:val="00824BB3"/>
    <w:rsid w:val="00824E21"/>
    <w:rsid w:val="00824EEC"/>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49F"/>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066"/>
    <w:rsid w:val="008401B0"/>
    <w:rsid w:val="008401DF"/>
    <w:rsid w:val="008401F5"/>
    <w:rsid w:val="00840382"/>
    <w:rsid w:val="0084040F"/>
    <w:rsid w:val="0084053B"/>
    <w:rsid w:val="0084061E"/>
    <w:rsid w:val="0084096F"/>
    <w:rsid w:val="00840A1A"/>
    <w:rsid w:val="00840FC8"/>
    <w:rsid w:val="00841117"/>
    <w:rsid w:val="008411DC"/>
    <w:rsid w:val="008411E5"/>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6DC"/>
    <w:rsid w:val="0084391A"/>
    <w:rsid w:val="00843B97"/>
    <w:rsid w:val="00843BEF"/>
    <w:rsid w:val="00843E8C"/>
    <w:rsid w:val="0084402A"/>
    <w:rsid w:val="00844219"/>
    <w:rsid w:val="0084434D"/>
    <w:rsid w:val="008443C9"/>
    <w:rsid w:val="008443F5"/>
    <w:rsid w:val="0084450D"/>
    <w:rsid w:val="00844680"/>
    <w:rsid w:val="0084469E"/>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CCA"/>
    <w:rsid w:val="00852DCE"/>
    <w:rsid w:val="00852F41"/>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969"/>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947"/>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1E9"/>
    <w:rsid w:val="00864456"/>
    <w:rsid w:val="008646AD"/>
    <w:rsid w:val="008646C0"/>
    <w:rsid w:val="008646F5"/>
    <w:rsid w:val="00864773"/>
    <w:rsid w:val="008647C6"/>
    <w:rsid w:val="00864874"/>
    <w:rsid w:val="00864A37"/>
    <w:rsid w:val="00864A50"/>
    <w:rsid w:val="00864B23"/>
    <w:rsid w:val="00864B8F"/>
    <w:rsid w:val="00864F35"/>
    <w:rsid w:val="0086505E"/>
    <w:rsid w:val="008650C9"/>
    <w:rsid w:val="00865140"/>
    <w:rsid w:val="00865345"/>
    <w:rsid w:val="0086562E"/>
    <w:rsid w:val="00865691"/>
    <w:rsid w:val="00865891"/>
    <w:rsid w:val="008658F7"/>
    <w:rsid w:val="00865D70"/>
    <w:rsid w:val="00865ED0"/>
    <w:rsid w:val="008661B4"/>
    <w:rsid w:val="008661EE"/>
    <w:rsid w:val="00866253"/>
    <w:rsid w:val="008663D3"/>
    <w:rsid w:val="008663FA"/>
    <w:rsid w:val="00866689"/>
    <w:rsid w:val="0086695D"/>
    <w:rsid w:val="00866A26"/>
    <w:rsid w:val="00866AD6"/>
    <w:rsid w:val="00866BB3"/>
    <w:rsid w:val="00866CA0"/>
    <w:rsid w:val="00866CA4"/>
    <w:rsid w:val="00866D3A"/>
    <w:rsid w:val="00866FD0"/>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9A"/>
    <w:rsid w:val="008708AC"/>
    <w:rsid w:val="008708F3"/>
    <w:rsid w:val="0087099B"/>
    <w:rsid w:val="00870A0D"/>
    <w:rsid w:val="00870ADE"/>
    <w:rsid w:val="00870D2F"/>
    <w:rsid w:val="00870DBE"/>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81"/>
    <w:rsid w:val="008739CB"/>
    <w:rsid w:val="008739E6"/>
    <w:rsid w:val="00873F92"/>
    <w:rsid w:val="0087406D"/>
    <w:rsid w:val="008740C8"/>
    <w:rsid w:val="008740C9"/>
    <w:rsid w:val="008741D4"/>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75F"/>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7D8"/>
    <w:rsid w:val="00885888"/>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125"/>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AAA"/>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A6B"/>
    <w:rsid w:val="00895C20"/>
    <w:rsid w:val="00895CDC"/>
    <w:rsid w:val="00895D84"/>
    <w:rsid w:val="00895F50"/>
    <w:rsid w:val="00896113"/>
    <w:rsid w:val="0089623B"/>
    <w:rsid w:val="00896254"/>
    <w:rsid w:val="008963DB"/>
    <w:rsid w:val="0089654A"/>
    <w:rsid w:val="00896819"/>
    <w:rsid w:val="00896978"/>
    <w:rsid w:val="00896A2C"/>
    <w:rsid w:val="00896C67"/>
    <w:rsid w:val="00896DA1"/>
    <w:rsid w:val="00897094"/>
    <w:rsid w:val="00897108"/>
    <w:rsid w:val="008971A8"/>
    <w:rsid w:val="0089722C"/>
    <w:rsid w:val="008972FF"/>
    <w:rsid w:val="008974FA"/>
    <w:rsid w:val="00897556"/>
    <w:rsid w:val="008976A7"/>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ABA"/>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0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E3F"/>
    <w:rsid w:val="008B7FA2"/>
    <w:rsid w:val="008B7FCC"/>
    <w:rsid w:val="008C00C8"/>
    <w:rsid w:val="008C02B9"/>
    <w:rsid w:val="008C05DB"/>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851"/>
    <w:rsid w:val="008C1940"/>
    <w:rsid w:val="008C1E84"/>
    <w:rsid w:val="008C1F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B7E"/>
    <w:rsid w:val="008C6C01"/>
    <w:rsid w:val="008C6F71"/>
    <w:rsid w:val="008C6FD2"/>
    <w:rsid w:val="008C700A"/>
    <w:rsid w:val="008C72F3"/>
    <w:rsid w:val="008C7414"/>
    <w:rsid w:val="008C76C4"/>
    <w:rsid w:val="008C76E1"/>
    <w:rsid w:val="008C78B5"/>
    <w:rsid w:val="008C79C0"/>
    <w:rsid w:val="008C7A3D"/>
    <w:rsid w:val="008C7A97"/>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66"/>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0AD"/>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59"/>
    <w:rsid w:val="008D7DAD"/>
    <w:rsid w:val="008D7E51"/>
    <w:rsid w:val="008E0182"/>
    <w:rsid w:val="008E04C5"/>
    <w:rsid w:val="008E04DD"/>
    <w:rsid w:val="008E04E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4A0"/>
    <w:rsid w:val="008E46D0"/>
    <w:rsid w:val="008E476C"/>
    <w:rsid w:val="008E491E"/>
    <w:rsid w:val="008E49DF"/>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6F77"/>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A4"/>
    <w:rsid w:val="008F0DFD"/>
    <w:rsid w:val="008F1118"/>
    <w:rsid w:val="008F1172"/>
    <w:rsid w:val="008F1173"/>
    <w:rsid w:val="008F1195"/>
    <w:rsid w:val="008F12A6"/>
    <w:rsid w:val="008F16B9"/>
    <w:rsid w:val="008F1A66"/>
    <w:rsid w:val="008F1ABF"/>
    <w:rsid w:val="008F1B22"/>
    <w:rsid w:val="008F2390"/>
    <w:rsid w:val="008F23DF"/>
    <w:rsid w:val="008F2546"/>
    <w:rsid w:val="008F2554"/>
    <w:rsid w:val="008F2735"/>
    <w:rsid w:val="008F27F5"/>
    <w:rsid w:val="008F2A87"/>
    <w:rsid w:val="008F2C0C"/>
    <w:rsid w:val="008F2C53"/>
    <w:rsid w:val="008F2CC4"/>
    <w:rsid w:val="008F2D40"/>
    <w:rsid w:val="008F2D91"/>
    <w:rsid w:val="008F2F53"/>
    <w:rsid w:val="008F30B0"/>
    <w:rsid w:val="008F30B8"/>
    <w:rsid w:val="008F350C"/>
    <w:rsid w:val="008F3569"/>
    <w:rsid w:val="008F3607"/>
    <w:rsid w:val="008F3C9A"/>
    <w:rsid w:val="008F3CF5"/>
    <w:rsid w:val="008F3D9F"/>
    <w:rsid w:val="008F4238"/>
    <w:rsid w:val="008F4305"/>
    <w:rsid w:val="008F4444"/>
    <w:rsid w:val="008F449C"/>
    <w:rsid w:val="008F4633"/>
    <w:rsid w:val="008F474A"/>
    <w:rsid w:val="008F47CC"/>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69B"/>
    <w:rsid w:val="008F6708"/>
    <w:rsid w:val="008F6888"/>
    <w:rsid w:val="008F6A96"/>
    <w:rsid w:val="008F6C0E"/>
    <w:rsid w:val="008F6F9E"/>
    <w:rsid w:val="008F70BC"/>
    <w:rsid w:val="008F720D"/>
    <w:rsid w:val="008F73A6"/>
    <w:rsid w:val="008F78EE"/>
    <w:rsid w:val="008F7933"/>
    <w:rsid w:val="008F7A07"/>
    <w:rsid w:val="008F7D30"/>
    <w:rsid w:val="008F7E9F"/>
    <w:rsid w:val="00900037"/>
    <w:rsid w:val="00900094"/>
    <w:rsid w:val="00900210"/>
    <w:rsid w:val="0090026F"/>
    <w:rsid w:val="00900501"/>
    <w:rsid w:val="009006CC"/>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3BD0"/>
    <w:rsid w:val="009040CC"/>
    <w:rsid w:val="0090411E"/>
    <w:rsid w:val="009042BF"/>
    <w:rsid w:val="00904383"/>
    <w:rsid w:val="009043BB"/>
    <w:rsid w:val="00904589"/>
    <w:rsid w:val="0090475A"/>
    <w:rsid w:val="0090496B"/>
    <w:rsid w:val="009049C2"/>
    <w:rsid w:val="00904A58"/>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094"/>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0C8"/>
    <w:rsid w:val="00911106"/>
    <w:rsid w:val="00911294"/>
    <w:rsid w:val="0091144D"/>
    <w:rsid w:val="00911628"/>
    <w:rsid w:val="0091170F"/>
    <w:rsid w:val="009117C3"/>
    <w:rsid w:val="00911AC8"/>
    <w:rsid w:val="00911CF5"/>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4C"/>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40E"/>
    <w:rsid w:val="00914499"/>
    <w:rsid w:val="0091458E"/>
    <w:rsid w:val="0091466C"/>
    <w:rsid w:val="00914714"/>
    <w:rsid w:val="00914960"/>
    <w:rsid w:val="00914A09"/>
    <w:rsid w:val="00914A78"/>
    <w:rsid w:val="00914A7D"/>
    <w:rsid w:val="00914C40"/>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5EF1"/>
    <w:rsid w:val="009161E1"/>
    <w:rsid w:val="009161EF"/>
    <w:rsid w:val="0091627F"/>
    <w:rsid w:val="00916486"/>
    <w:rsid w:val="00916552"/>
    <w:rsid w:val="009167B5"/>
    <w:rsid w:val="0091685B"/>
    <w:rsid w:val="009169F8"/>
    <w:rsid w:val="00916C57"/>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CC5"/>
    <w:rsid w:val="00920EB8"/>
    <w:rsid w:val="00920F71"/>
    <w:rsid w:val="00920FC3"/>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02E"/>
    <w:rsid w:val="00931184"/>
    <w:rsid w:val="0093137B"/>
    <w:rsid w:val="009313E7"/>
    <w:rsid w:val="0093151F"/>
    <w:rsid w:val="009315C2"/>
    <w:rsid w:val="009315E4"/>
    <w:rsid w:val="009317F4"/>
    <w:rsid w:val="0093193A"/>
    <w:rsid w:val="00931B6E"/>
    <w:rsid w:val="00931D5B"/>
    <w:rsid w:val="00931DF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27F"/>
    <w:rsid w:val="0093332D"/>
    <w:rsid w:val="0093343F"/>
    <w:rsid w:val="00933599"/>
    <w:rsid w:val="00933667"/>
    <w:rsid w:val="009337D5"/>
    <w:rsid w:val="00933824"/>
    <w:rsid w:val="009338AE"/>
    <w:rsid w:val="0093393D"/>
    <w:rsid w:val="009339E2"/>
    <w:rsid w:val="00933AC7"/>
    <w:rsid w:val="00933AF8"/>
    <w:rsid w:val="00933CA6"/>
    <w:rsid w:val="00933D60"/>
    <w:rsid w:val="009341B6"/>
    <w:rsid w:val="0093420D"/>
    <w:rsid w:val="009346E9"/>
    <w:rsid w:val="0093486B"/>
    <w:rsid w:val="00934DE3"/>
    <w:rsid w:val="00935039"/>
    <w:rsid w:val="00935163"/>
    <w:rsid w:val="0093534F"/>
    <w:rsid w:val="0093568F"/>
    <w:rsid w:val="009357E2"/>
    <w:rsid w:val="0093594A"/>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439"/>
    <w:rsid w:val="00937653"/>
    <w:rsid w:val="0093779D"/>
    <w:rsid w:val="009378A1"/>
    <w:rsid w:val="00937F38"/>
    <w:rsid w:val="0094027C"/>
    <w:rsid w:val="00940280"/>
    <w:rsid w:val="00940469"/>
    <w:rsid w:val="00940510"/>
    <w:rsid w:val="00940514"/>
    <w:rsid w:val="00940519"/>
    <w:rsid w:val="00940598"/>
    <w:rsid w:val="00940680"/>
    <w:rsid w:val="009408A8"/>
    <w:rsid w:val="0094093A"/>
    <w:rsid w:val="0094094B"/>
    <w:rsid w:val="00940CE1"/>
    <w:rsid w:val="00940DA0"/>
    <w:rsid w:val="0094130B"/>
    <w:rsid w:val="0094130D"/>
    <w:rsid w:val="0094167C"/>
    <w:rsid w:val="009416EA"/>
    <w:rsid w:val="009418B3"/>
    <w:rsid w:val="00941D17"/>
    <w:rsid w:val="00941F17"/>
    <w:rsid w:val="0094200C"/>
    <w:rsid w:val="00942094"/>
    <w:rsid w:val="009421CA"/>
    <w:rsid w:val="0094220E"/>
    <w:rsid w:val="00942274"/>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10A"/>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7E2"/>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1B1"/>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B8D"/>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D3D"/>
    <w:rsid w:val="00960E0D"/>
    <w:rsid w:val="00960EE1"/>
    <w:rsid w:val="009610F8"/>
    <w:rsid w:val="00961614"/>
    <w:rsid w:val="009616E2"/>
    <w:rsid w:val="00961ADB"/>
    <w:rsid w:val="00961AE8"/>
    <w:rsid w:val="00961EB1"/>
    <w:rsid w:val="00961F32"/>
    <w:rsid w:val="009620D8"/>
    <w:rsid w:val="0096240D"/>
    <w:rsid w:val="0096252B"/>
    <w:rsid w:val="009626C7"/>
    <w:rsid w:val="009627D3"/>
    <w:rsid w:val="00962AD9"/>
    <w:rsid w:val="00962B95"/>
    <w:rsid w:val="00962E47"/>
    <w:rsid w:val="00962E88"/>
    <w:rsid w:val="00962EB2"/>
    <w:rsid w:val="00962EED"/>
    <w:rsid w:val="00962F88"/>
    <w:rsid w:val="00963053"/>
    <w:rsid w:val="0096314B"/>
    <w:rsid w:val="00963350"/>
    <w:rsid w:val="009635FB"/>
    <w:rsid w:val="009637A0"/>
    <w:rsid w:val="0096404D"/>
    <w:rsid w:val="009640AF"/>
    <w:rsid w:val="00964194"/>
    <w:rsid w:val="009641D3"/>
    <w:rsid w:val="00964591"/>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911"/>
    <w:rsid w:val="00965AB9"/>
    <w:rsid w:val="00965AE7"/>
    <w:rsid w:val="00965B99"/>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CF2"/>
    <w:rsid w:val="00967D7E"/>
    <w:rsid w:val="00967E77"/>
    <w:rsid w:val="009700AE"/>
    <w:rsid w:val="0097025A"/>
    <w:rsid w:val="00970298"/>
    <w:rsid w:val="0097034E"/>
    <w:rsid w:val="00970A10"/>
    <w:rsid w:val="00970A79"/>
    <w:rsid w:val="00970B37"/>
    <w:rsid w:val="00970EFB"/>
    <w:rsid w:val="00970F1C"/>
    <w:rsid w:val="009714D3"/>
    <w:rsid w:val="00971816"/>
    <w:rsid w:val="00971872"/>
    <w:rsid w:val="00971A83"/>
    <w:rsid w:val="00971D04"/>
    <w:rsid w:val="00971FC6"/>
    <w:rsid w:val="0097204A"/>
    <w:rsid w:val="0097219B"/>
    <w:rsid w:val="00972390"/>
    <w:rsid w:val="009725EA"/>
    <w:rsid w:val="009725EC"/>
    <w:rsid w:val="009726BF"/>
    <w:rsid w:val="0097271A"/>
    <w:rsid w:val="00972842"/>
    <w:rsid w:val="009729BF"/>
    <w:rsid w:val="00972A97"/>
    <w:rsid w:val="00972B52"/>
    <w:rsid w:val="00972CFA"/>
    <w:rsid w:val="00972D8F"/>
    <w:rsid w:val="00972E9F"/>
    <w:rsid w:val="0097306E"/>
    <w:rsid w:val="00973166"/>
    <w:rsid w:val="009733CA"/>
    <w:rsid w:val="00973468"/>
    <w:rsid w:val="009736EE"/>
    <w:rsid w:val="00973782"/>
    <w:rsid w:val="009738EC"/>
    <w:rsid w:val="00973948"/>
    <w:rsid w:val="00973AE4"/>
    <w:rsid w:val="00973B50"/>
    <w:rsid w:val="00973EB3"/>
    <w:rsid w:val="00974043"/>
    <w:rsid w:val="009740DE"/>
    <w:rsid w:val="00974227"/>
    <w:rsid w:val="00974428"/>
    <w:rsid w:val="0097446A"/>
    <w:rsid w:val="00974750"/>
    <w:rsid w:val="00974A1B"/>
    <w:rsid w:val="00974CD0"/>
    <w:rsid w:val="00974E24"/>
    <w:rsid w:val="00974E48"/>
    <w:rsid w:val="00974E57"/>
    <w:rsid w:val="0097503C"/>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5AB"/>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286"/>
    <w:rsid w:val="00984429"/>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9DB"/>
    <w:rsid w:val="00985A1E"/>
    <w:rsid w:val="00985BC9"/>
    <w:rsid w:val="00985C19"/>
    <w:rsid w:val="00985D1B"/>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C15"/>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3FB3"/>
    <w:rsid w:val="00994383"/>
    <w:rsid w:val="00994459"/>
    <w:rsid w:val="0099447B"/>
    <w:rsid w:val="009944F1"/>
    <w:rsid w:val="0099478F"/>
    <w:rsid w:val="00994941"/>
    <w:rsid w:val="00994A3C"/>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2DC"/>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3E4"/>
    <w:rsid w:val="009A381B"/>
    <w:rsid w:val="009A38D8"/>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56A"/>
    <w:rsid w:val="009B66BB"/>
    <w:rsid w:val="009B67C9"/>
    <w:rsid w:val="009B6A21"/>
    <w:rsid w:val="009B6DDB"/>
    <w:rsid w:val="009B7147"/>
    <w:rsid w:val="009B75AF"/>
    <w:rsid w:val="009B75ED"/>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A75"/>
    <w:rsid w:val="009C0B35"/>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03A"/>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8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6D7"/>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3A5"/>
    <w:rsid w:val="009E454F"/>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4F6"/>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A99"/>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B4B"/>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59D"/>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4B9"/>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6F5E"/>
    <w:rsid w:val="00A071FE"/>
    <w:rsid w:val="00A0722E"/>
    <w:rsid w:val="00A073AF"/>
    <w:rsid w:val="00A07518"/>
    <w:rsid w:val="00A07682"/>
    <w:rsid w:val="00A07804"/>
    <w:rsid w:val="00A078B9"/>
    <w:rsid w:val="00A07A63"/>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8E"/>
    <w:rsid w:val="00A110BE"/>
    <w:rsid w:val="00A111F5"/>
    <w:rsid w:val="00A11250"/>
    <w:rsid w:val="00A1127A"/>
    <w:rsid w:val="00A112DC"/>
    <w:rsid w:val="00A112FC"/>
    <w:rsid w:val="00A115B9"/>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41B"/>
    <w:rsid w:val="00A13BCA"/>
    <w:rsid w:val="00A13C31"/>
    <w:rsid w:val="00A13D05"/>
    <w:rsid w:val="00A13FF1"/>
    <w:rsid w:val="00A14177"/>
    <w:rsid w:val="00A141CC"/>
    <w:rsid w:val="00A14297"/>
    <w:rsid w:val="00A14455"/>
    <w:rsid w:val="00A145DE"/>
    <w:rsid w:val="00A14655"/>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A4"/>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27C6A"/>
    <w:rsid w:val="00A3065C"/>
    <w:rsid w:val="00A306C4"/>
    <w:rsid w:val="00A307BE"/>
    <w:rsid w:val="00A3087D"/>
    <w:rsid w:val="00A308A0"/>
    <w:rsid w:val="00A3096E"/>
    <w:rsid w:val="00A30A4C"/>
    <w:rsid w:val="00A30B6E"/>
    <w:rsid w:val="00A30BA5"/>
    <w:rsid w:val="00A30FB2"/>
    <w:rsid w:val="00A3108A"/>
    <w:rsid w:val="00A310B5"/>
    <w:rsid w:val="00A3118F"/>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79"/>
    <w:rsid w:val="00A32C80"/>
    <w:rsid w:val="00A32CB6"/>
    <w:rsid w:val="00A32CD4"/>
    <w:rsid w:val="00A32D72"/>
    <w:rsid w:val="00A333FE"/>
    <w:rsid w:val="00A3381B"/>
    <w:rsid w:val="00A33841"/>
    <w:rsid w:val="00A33914"/>
    <w:rsid w:val="00A33BB2"/>
    <w:rsid w:val="00A33C4A"/>
    <w:rsid w:val="00A33D0D"/>
    <w:rsid w:val="00A33D69"/>
    <w:rsid w:val="00A33DF1"/>
    <w:rsid w:val="00A340C0"/>
    <w:rsid w:val="00A34155"/>
    <w:rsid w:val="00A3416B"/>
    <w:rsid w:val="00A34371"/>
    <w:rsid w:val="00A34423"/>
    <w:rsid w:val="00A3452D"/>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D41"/>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4A5"/>
    <w:rsid w:val="00A41820"/>
    <w:rsid w:val="00A41AD7"/>
    <w:rsid w:val="00A41B9D"/>
    <w:rsid w:val="00A41BCF"/>
    <w:rsid w:val="00A41BDC"/>
    <w:rsid w:val="00A41BFB"/>
    <w:rsid w:val="00A41D36"/>
    <w:rsid w:val="00A41E41"/>
    <w:rsid w:val="00A41F47"/>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448"/>
    <w:rsid w:val="00A44AD7"/>
    <w:rsid w:val="00A44C18"/>
    <w:rsid w:val="00A44CEC"/>
    <w:rsid w:val="00A44FCE"/>
    <w:rsid w:val="00A450D2"/>
    <w:rsid w:val="00A450F9"/>
    <w:rsid w:val="00A45248"/>
    <w:rsid w:val="00A45252"/>
    <w:rsid w:val="00A453E1"/>
    <w:rsid w:val="00A45527"/>
    <w:rsid w:val="00A4562C"/>
    <w:rsid w:val="00A4588D"/>
    <w:rsid w:val="00A458CF"/>
    <w:rsid w:val="00A458DC"/>
    <w:rsid w:val="00A4637F"/>
    <w:rsid w:val="00A46526"/>
    <w:rsid w:val="00A4664F"/>
    <w:rsid w:val="00A46793"/>
    <w:rsid w:val="00A467AB"/>
    <w:rsid w:val="00A46962"/>
    <w:rsid w:val="00A46999"/>
    <w:rsid w:val="00A46AAD"/>
    <w:rsid w:val="00A46C7E"/>
    <w:rsid w:val="00A46CA4"/>
    <w:rsid w:val="00A46CED"/>
    <w:rsid w:val="00A46D13"/>
    <w:rsid w:val="00A46E70"/>
    <w:rsid w:val="00A46E8D"/>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281"/>
    <w:rsid w:val="00A514E7"/>
    <w:rsid w:val="00A516E2"/>
    <w:rsid w:val="00A51AB7"/>
    <w:rsid w:val="00A51B82"/>
    <w:rsid w:val="00A51B84"/>
    <w:rsid w:val="00A51FDE"/>
    <w:rsid w:val="00A524D0"/>
    <w:rsid w:val="00A524DA"/>
    <w:rsid w:val="00A52518"/>
    <w:rsid w:val="00A526A0"/>
    <w:rsid w:val="00A52940"/>
    <w:rsid w:val="00A529BF"/>
    <w:rsid w:val="00A52AA6"/>
    <w:rsid w:val="00A52AD2"/>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3F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76"/>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365"/>
    <w:rsid w:val="00A62535"/>
    <w:rsid w:val="00A62642"/>
    <w:rsid w:val="00A6265C"/>
    <w:rsid w:val="00A627E4"/>
    <w:rsid w:val="00A62ADE"/>
    <w:rsid w:val="00A62CCF"/>
    <w:rsid w:val="00A62E0C"/>
    <w:rsid w:val="00A62E5C"/>
    <w:rsid w:val="00A62FE8"/>
    <w:rsid w:val="00A632AF"/>
    <w:rsid w:val="00A634FA"/>
    <w:rsid w:val="00A635CF"/>
    <w:rsid w:val="00A6390F"/>
    <w:rsid w:val="00A64038"/>
    <w:rsid w:val="00A640CB"/>
    <w:rsid w:val="00A64160"/>
    <w:rsid w:val="00A6437C"/>
    <w:rsid w:val="00A6440C"/>
    <w:rsid w:val="00A646AC"/>
    <w:rsid w:val="00A648EB"/>
    <w:rsid w:val="00A64B02"/>
    <w:rsid w:val="00A64CD6"/>
    <w:rsid w:val="00A64DD4"/>
    <w:rsid w:val="00A64DE5"/>
    <w:rsid w:val="00A64ECE"/>
    <w:rsid w:val="00A6507C"/>
    <w:rsid w:val="00A650FD"/>
    <w:rsid w:val="00A65279"/>
    <w:rsid w:val="00A652B3"/>
    <w:rsid w:val="00A65324"/>
    <w:rsid w:val="00A6541E"/>
    <w:rsid w:val="00A6553F"/>
    <w:rsid w:val="00A655AC"/>
    <w:rsid w:val="00A65691"/>
    <w:rsid w:val="00A656B3"/>
    <w:rsid w:val="00A6580E"/>
    <w:rsid w:val="00A65919"/>
    <w:rsid w:val="00A65B45"/>
    <w:rsid w:val="00A65B9C"/>
    <w:rsid w:val="00A65C1F"/>
    <w:rsid w:val="00A65C7C"/>
    <w:rsid w:val="00A65F64"/>
    <w:rsid w:val="00A66056"/>
    <w:rsid w:val="00A66472"/>
    <w:rsid w:val="00A665F6"/>
    <w:rsid w:val="00A667A1"/>
    <w:rsid w:val="00A66AAA"/>
    <w:rsid w:val="00A66C7B"/>
    <w:rsid w:val="00A66E6B"/>
    <w:rsid w:val="00A67236"/>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06"/>
    <w:rsid w:val="00A70937"/>
    <w:rsid w:val="00A70AC3"/>
    <w:rsid w:val="00A70B04"/>
    <w:rsid w:val="00A70CA3"/>
    <w:rsid w:val="00A70E16"/>
    <w:rsid w:val="00A711DC"/>
    <w:rsid w:val="00A71223"/>
    <w:rsid w:val="00A7130B"/>
    <w:rsid w:val="00A715CC"/>
    <w:rsid w:val="00A7170D"/>
    <w:rsid w:val="00A7187A"/>
    <w:rsid w:val="00A718E6"/>
    <w:rsid w:val="00A71911"/>
    <w:rsid w:val="00A71A19"/>
    <w:rsid w:val="00A71BCD"/>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6CC"/>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5BA"/>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295"/>
    <w:rsid w:val="00A7734B"/>
    <w:rsid w:val="00A77893"/>
    <w:rsid w:val="00A77AF0"/>
    <w:rsid w:val="00A77B1C"/>
    <w:rsid w:val="00A77E09"/>
    <w:rsid w:val="00A77FAC"/>
    <w:rsid w:val="00A80111"/>
    <w:rsid w:val="00A80315"/>
    <w:rsid w:val="00A80323"/>
    <w:rsid w:val="00A8044D"/>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8FA"/>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CCE"/>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B7A"/>
    <w:rsid w:val="00A85C09"/>
    <w:rsid w:val="00A85CEE"/>
    <w:rsid w:val="00A85D6B"/>
    <w:rsid w:val="00A85D70"/>
    <w:rsid w:val="00A85D97"/>
    <w:rsid w:val="00A85E39"/>
    <w:rsid w:val="00A85F1C"/>
    <w:rsid w:val="00A85F30"/>
    <w:rsid w:val="00A86549"/>
    <w:rsid w:val="00A86589"/>
    <w:rsid w:val="00A8668C"/>
    <w:rsid w:val="00A8670D"/>
    <w:rsid w:val="00A86A34"/>
    <w:rsid w:val="00A86D6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77D"/>
    <w:rsid w:val="00A918C4"/>
    <w:rsid w:val="00A9191E"/>
    <w:rsid w:val="00A91AC0"/>
    <w:rsid w:val="00A91BC0"/>
    <w:rsid w:val="00A91D06"/>
    <w:rsid w:val="00A91F12"/>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52B"/>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2A8"/>
    <w:rsid w:val="00A9732B"/>
    <w:rsid w:val="00A973C8"/>
    <w:rsid w:val="00A973F5"/>
    <w:rsid w:val="00A975E3"/>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A18"/>
    <w:rsid w:val="00AA1CA2"/>
    <w:rsid w:val="00AA1E6F"/>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68"/>
    <w:rsid w:val="00AA409E"/>
    <w:rsid w:val="00AA40BA"/>
    <w:rsid w:val="00AA4130"/>
    <w:rsid w:val="00AA4186"/>
    <w:rsid w:val="00AA41E5"/>
    <w:rsid w:val="00AA43DD"/>
    <w:rsid w:val="00AA4417"/>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E45"/>
    <w:rsid w:val="00AA6E7A"/>
    <w:rsid w:val="00AA6F2A"/>
    <w:rsid w:val="00AA6F6C"/>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555"/>
    <w:rsid w:val="00AB2662"/>
    <w:rsid w:val="00AB26F9"/>
    <w:rsid w:val="00AB28F9"/>
    <w:rsid w:val="00AB29E5"/>
    <w:rsid w:val="00AB2E0E"/>
    <w:rsid w:val="00AB2E18"/>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35"/>
    <w:rsid w:val="00AB5FE9"/>
    <w:rsid w:val="00AB6A2B"/>
    <w:rsid w:val="00AB6B0B"/>
    <w:rsid w:val="00AB6EB6"/>
    <w:rsid w:val="00AB7393"/>
    <w:rsid w:val="00AB74F8"/>
    <w:rsid w:val="00AB757B"/>
    <w:rsid w:val="00AB770A"/>
    <w:rsid w:val="00AB775A"/>
    <w:rsid w:val="00AB7791"/>
    <w:rsid w:val="00AB7866"/>
    <w:rsid w:val="00AB7A2F"/>
    <w:rsid w:val="00AB7B22"/>
    <w:rsid w:val="00AB7E1A"/>
    <w:rsid w:val="00AC008A"/>
    <w:rsid w:val="00AC019C"/>
    <w:rsid w:val="00AC020C"/>
    <w:rsid w:val="00AC0489"/>
    <w:rsid w:val="00AC04B0"/>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701"/>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811"/>
    <w:rsid w:val="00AC5A5D"/>
    <w:rsid w:val="00AC5D81"/>
    <w:rsid w:val="00AC5E51"/>
    <w:rsid w:val="00AC5FB2"/>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56"/>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0FA0"/>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48E"/>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8FD"/>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6D"/>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80C"/>
    <w:rsid w:val="00AE5C52"/>
    <w:rsid w:val="00AE5E63"/>
    <w:rsid w:val="00AE60BF"/>
    <w:rsid w:val="00AE618A"/>
    <w:rsid w:val="00AE6592"/>
    <w:rsid w:val="00AE65B3"/>
    <w:rsid w:val="00AE65CC"/>
    <w:rsid w:val="00AE661A"/>
    <w:rsid w:val="00AE6690"/>
    <w:rsid w:val="00AE6C43"/>
    <w:rsid w:val="00AE6C9A"/>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A25"/>
    <w:rsid w:val="00AF0F7E"/>
    <w:rsid w:val="00AF0FD4"/>
    <w:rsid w:val="00AF1343"/>
    <w:rsid w:val="00AF18F1"/>
    <w:rsid w:val="00AF1961"/>
    <w:rsid w:val="00AF1CA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0DE"/>
    <w:rsid w:val="00AF40FF"/>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5C6"/>
    <w:rsid w:val="00AF77AA"/>
    <w:rsid w:val="00AF79D6"/>
    <w:rsid w:val="00AF7AB8"/>
    <w:rsid w:val="00AF7C00"/>
    <w:rsid w:val="00AF7C07"/>
    <w:rsid w:val="00B001D4"/>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A3C"/>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4B"/>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D1"/>
    <w:rsid w:val="00B220F7"/>
    <w:rsid w:val="00B221B4"/>
    <w:rsid w:val="00B225ED"/>
    <w:rsid w:val="00B2275B"/>
    <w:rsid w:val="00B2285C"/>
    <w:rsid w:val="00B228FC"/>
    <w:rsid w:val="00B22926"/>
    <w:rsid w:val="00B22C21"/>
    <w:rsid w:val="00B22DE1"/>
    <w:rsid w:val="00B2301D"/>
    <w:rsid w:val="00B232B8"/>
    <w:rsid w:val="00B23469"/>
    <w:rsid w:val="00B23523"/>
    <w:rsid w:val="00B23932"/>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6FC"/>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6"/>
    <w:rsid w:val="00B361AF"/>
    <w:rsid w:val="00B36492"/>
    <w:rsid w:val="00B36790"/>
    <w:rsid w:val="00B36917"/>
    <w:rsid w:val="00B36931"/>
    <w:rsid w:val="00B36BA3"/>
    <w:rsid w:val="00B36CCB"/>
    <w:rsid w:val="00B37478"/>
    <w:rsid w:val="00B37869"/>
    <w:rsid w:val="00B37FA2"/>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356"/>
    <w:rsid w:val="00B504D5"/>
    <w:rsid w:val="00B504F3"/>
    <w:rsid w:val="00B5084A"/>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944"/>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49"/>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42"/>
    <w:rsid w:val="00B63050"/>
    <w:rsid w:val="00B63270"/>
    <w:rsid w:val="00B635A7"/>
    <w:rsid w:val="00B63804"/>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041"/>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EE1"/>
    <w:rsid w:val="00B73FDF"/>
    <w:rsid w:val="00B740D4"/>
    <w:rsid w:val="00B740E7"/>
    <w:rsid w:val="00B7427B"/>
    <w:rsid w:val="00B7438B"/>
    <w:rsid w:val="00B745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930"/>
    <w:rsid w:val="00B80F0C"/>
    <w:rsid w:val="00B80F96"/>
    <w:rsid w:val="00B8112E"/>
    <w:rsid w:val="00B81347"/>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3DD2"/>
    <w:rsid w:val="00B8400F"/>
    <w:rsid w:val="00B843F9"/>
    <w:rsid w:val="00B84481"/>
    <w:rsid w:val="00B8453F"/>
    <w:rsid w:val="00B846F8"/>
    <w:rsid w:val="00B84809"/>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31E"/>
    <w:rsid w:val="00B8753A"/>
    <w:rsid w:val="00B8755A"/>
    <w:rsid w:val="00B876BB"/>
    <w:rsid w:val="00B8773B"/>
    <w:rsid w:val="00B878C1"/>
    <w:rsid w:val="00B87981"/>
    <w:rsid w:val="00B87B6F"/>
    <w:rsid w:val="00B87C89"/>
    <w:rsid w:val="00B87CE8"/>
    <w:rsid w:val="00B87E9C"/>
    <w:rsid w:val="00B87F6D"/>
    <w:rsid w:val="00B90041"/>
    <w:rsid w:val="00B900DF"/>
    <w:rsid w:val="00B90169"/>
    <w:rsid w:val="00B904CE"/>
    <w:rsid w:val="00B904D8"/>
    <w:rsid w:val="00B907CB"/>
    <w:rsid w:val="00B90E2C"/>
    <w:rsid w:val="00B90F3A"/>
    <w:rsid w:val="00B90FD6"/>
    <w:rsid w:val="00B90FF9"/>
    <w:rsid w:val="00B91008"/>
    <w:rsid w:val="00B910E1"/>
    <w:rsid w:val="00B9114B"/>
    <w:rsid w:val="00B9130D"/>
    <w:rsid w:val="00B91324"/>
    <w:rsid w:val="00B9145B"/>
    <w:rsid w:val="00B914BD"/>
    <w:rsid w:val="00B9171C"/>
    <w:rsid w:val="00B917E8"/>
    <w:rsid w:val="00B91869"/>
    <w:rsid w:val="00B91C3E"/>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7CA"/>
    <w:rsid w:val="00B9380B"/>
    <w:rsid w:val="00B93AD9"/>
    <w:rsid w:val="00B93B7A"/>
    <w:rsid w:val="00B93B7B"/>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37D"/>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BDA"/>
    <w:rsid w:val="00B97D94"/>
    <w:rsid w:val="00B97DB5"/>
    <w:rsid w:val="00BA0247"/>
    <w:rsid w:val="00BA03C4"/>
    <w:rsid w:val="00BA0564"/>
    <w:rsid w:val="00BA0800"/>
    <w:rsid w:val="00BA08BA"/>
    <w:rsid w:val="00BA09E0"/>
    <w:rsid w:val="00BA0B9C"/>
    <w:rsid w:val="00BA0C48"/>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46"/>
    <w:rsid w:val="00BA5672"/>
    <w:rsid w:val="00BA5869"/>
    <w:rsid w:val="00BA58C6"/>
    <w:rsid w:val="00BA598B"/>
    <w:rsid w:val="00BA5E57"/>
    <w:rsid w:val="00BA6182"/>
    <w:rsid w:val="00BA6190"/>
    <w:rsid w:val="00BA6325"/>
    <w:rsid w:val="00BA634B"/>
    <w:rsid w:val="00BA658E"/>
    <w:rsid w:val="00BA6611"/>
    <w:rsid w:val="00BA69BC"/>
    <w:rsid w:val="00BA6A4E"/>
    <w:rsid w:val="00BA6AF1"/>
    <w:rsid w:val="00BA6C5F"/>
    <w:rsid w:val="00BA6DD8"/>
    <w:rsid w:val="00BA6DF6"/>
    <w:rsid w:val="00BA7015"/>
    <w:rsid w:val="00BA71BB"/>
    <w:rsid w:val="00BA736F"/>
    <w:rsid w:val="00BA766D"/>
    <w:rsid w:val="00BA76B2"/>
    <w:rsid w:val="00BA78FD"/>
    <w:rsid w:val="00BA7903"/>
    <w:rsid w:val="00BA7A51"/>
    <w:rsid w:val="00BA7B72"/>
    <w:rsid w:val="00BA7CA8"/>
    <w:rsid w:val="00BA7F37"/>
    <w:rsid w:val="00BA7FA7"/>
    <w:rsid w:val="00BB0013"/>
    <w:rsid w:val="00BB03B7"/>
    <w:rsid w:val="00BB0582"/>
    <w:rsid w:val="00BB061A"/>
    <w:rsid w:val="00BB06AE"/>
    <w:rsid w:val="00BB0B26"/>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221"/>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9BB"/>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75"/>
    <w:rsid w:val="00BC5381"/>
    <w:rsid w:val="00BC5417"/>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4B6"/>
    <w:rsid w:val="00BD15FD"/>
    <w:rsid w:val="00BD1607"/>
    <w:rsid w:val="00BD1640"/>
    <w:rsid w:val="00BD16F4"/>
    <w:rsid w:val="00BD1712"/>
    <w:rsid w:val="00BD1718"/>
    <w:rsid w:val="00BD1BCB"/>
    <w:rsid w:val="00BD1D1D"/>
    <w:rsid w:val="00BD1D6F"/>
    <w:rsid w:val="00BD1DEF"/>
    <w:rsid w:val="00BD1EFC"/>
    <w:rsid w:val="00BD222A"/>
    <w:rsid w:val="00BD223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BA5"/>
    <w:rsid w:val="00BD4C19"/>
    <w:rsid w:val="00BD4D1F"/>
    <w:rsid w:val="00BD4E8C"/>
    <w:rsid w:val="00BD5002"/>
    <w:rsid w:val="00BD5152"/>
    <w:rsid w:val="00BD568A"/>
    <w:rsid w:val="00BD5718"/>
    <w:rsid w:val="00BD5837"/>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18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1D"/>
    <w:rsid w:val="00BE7F68"/>
    <w:rsid w:val="00BF0333"/>
    <w:rsid w:val="00BF038E"/>
    <w:rsid w:val="00BF053B"/>
    <w:rsid w:val="00BF0816"/>
    <w:rsid w:val="00BF08AE"/>
    <w:rsid w:val="00BF08C6"/>
    <w:rsid w:val="00BF099E"/>
    <w:rsid w:val="00BF0E0C"/>
    <w:rsid w:val="00BF0E63"/>
    <w:rsid w:val="00BF0F02"/>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4A3"/>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217"/>
    <w:rsid w:val="00BF73B5"/>
    <w:rsid w:val="00BF75D3"/>
    <w:rsid w:val="00BF7649"/>
    <w:rsid w:val="00BF79D0"/>
    <w:rsid w:val="00BF7CB6"/>
    <w:rsid w:val="00BF7D82"/>
    <w:rsid w:val="00BF7DAE"/>
    <w:rsid w:val="00BF7FFA"/>
    <w:rsid w:val="00C0031A"/>
    <w:rsid w:val="00C008B0"/>
    <w:rsid w:val="00C00AB7"/>
    <w:rsid w:val="00C00C3C"/>
    <w:rsid w:val="00C00E70"/>
    <w:rsid w:val="00C00E73"/>
    <w:rsid w:val="00C00F9F"/>
    <w:rsid w:val="00C00FCF"/>
    <w:rsid w:val="00C012EB"/>
    <w:rsid w:val="00C01380"/>
    <w:rsid w:val="00C013A0"/>
    <w:rsid w:val="00C0141A"/>
    <w:rsid w:val="00C0148A"/>
    <w:rsid w:val="00C014C9"/>
    <w:rsid w:val="00C015BF"/>
    <w:rsid w:val="00C01687"/>
    <w:rsid w:val="00C017A9"/>
    <w:rsid w:val="00C01980"/>
    <w:rsid w:val="00C01A73"/>
    <w:rsid w:val="00C01B78"/>
    <w:rsid w:val="00C01E5D"/>
    <w:rsid w:val="00C01EC0"/>
    <w:rsid w:val="00C02177"/>
    <w:rsid w:val="00C022D0"/>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C81"/>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3B4"/>
    <w:rsid w:val="00C065CC"/>
    <w:rsid w:val="00C067F5"/>
    <w:rsid w:val="00C06A66"/>
    <w:rsid w:val="00C06D77"/>
    <w:rsid w:val="00C06E52"/>
    <w:rsid w:val="00C06F76"/>
    <w:rsid w:val="00C06FD2"/>
    <w:rsid w:val="00C07269"/>
    <w:rsid w:val="00C073D1"/>
    <w:rsid w:val="00C0742D"/>
    <w:rsid w:val="00C075A7"/>
    <w:rsid w:val="00C0797D"/>
    <w:rsid w:val="00C07A46"/>
    <w:rsid w:val="00C07BD3"/>
    <w:rsid w:val="00C07D6A"/>
    <w:rsid w:val="00C07F6F"/>
    <w:rsid w:val="00C10183"/>
    <w:rsid w:val="00C101B7"/>
    <w:rsid w:val="00C103E8"/>
    <w:rsid w:val="00C10591"/>
    <w:rsid w:val="00C1079F"/>
    <w:rsid w:val="00C1093D"/>
    <w:rsid w:val="00C10BB3"/>
    <w:rsid w:val="00C112B8"/>
    <w:rsid w:val="00C112ED"/>
    <w:rsid w:val="00C11305"/>
    <w:rsid w:val="00C1168B"/>
    <w:rsid w:val="00C1192F"/>
    <w:rsid w:val="00C119A5"/>
    <w:rsid w:val="00C11B1D"/>
    <w:rsid w:val="00C11C18"/>
    <w:rsid w:val="00C120AD"/>
    <w:rsid w:val="00C12223"/>
    <w:rsid w:val="00C12282"/>
    <w:rsid w:val="00C126F1"/>
    <w:rsid w:val="00C1287C"/>
    <w:rsid w:val="00C12E6F"/>
    <w:rsid w:val="00C12EC0"/>
    <w:rsid w:val="00C1305F"/>
    <w:rsid w:val="00C13517"/>
    <w:rsid w:val="00C136CD"/>
    <w:rsid w:val="00C13958"/>
    <w:rsid w:val="00C13DE1"/>
    <w:rsid w:val="00C13F8A"/>
    <w:rsid w:val="00C141F4"/>
    <w:rsid w:val="00C14298"/>
    <w:rsid w:val="00C14593"/>
    <w:rsid w:val="00C14ACD"/>
    <w:rsid w:val="00C14C85"/>
    <w:rsid w:val="00C14D00"/>
    <w:rsid w:val="00C14DFE"/>
    <w:rsid w:val="00C14FC9"/>
    <w:rsid w:val="00C150EC"/>
    <w:rsid w:val="00C150F2"/>
    <w:rsid w:val="00C1555A"/>
    <w:rsid w:val="00C15841"/>
    <w:rsid w:val="00C15A85"/>
    <w:rsid w:val="00C15AAF"/>
    <w:rsid w:val="00C15ADA"/>
    <w:rsid w:val="00C15AF0"/>
    <w:rsid w:val="00C15B84"/>
    <w:rsid w:val="00C15BF7"/>
    <w:rsid w:val="00C15C71"/>
    <w:rsid w:val="00C15CD2"/>
    <w:rsid w:val="00C15D60"/>
    <w:rsid w:val="00C15ECB"/>
    <w:rsid w:val="00C15EEB"/>
    <w:rsid w:val="00C15F99"/>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5CA"/>
    <w:rsid w:val="00C20623"/>
    <w:rsid w:val="00C2072D"/>
    <w:rsid w:val="00C20743"/>
    <w:rsid w:val="00C207D6"/>
    <w:rsid w:val="00C20A81"/>
    <w:rsid w:val="00C20A85"/>
    <w:rsid w:val="00C20D57"/>
    <w:rsid w:val="00C20DF5"/>
    <w:rsid w:val="00C20E95"/>
    <w:rsid w:val="00C20FCA"/>
    <w:rsid w:val="00C212CB"/>
    <w:rsid w:val="00C21555"/>
    <w:rsid w:val="00C21658"/>
    <w:rsid w:val="00C2165D"/>
    <w:rsid w:val="00C218E8"/>
    <w:rsid w:val="00C219DD"/>
    <w:rsid w:val="00C21B46"/>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7A"/>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5E7"/>
    <w:rsid w:val="00C25781"/>
    <w:rsid w:val="00C258C6"/>
    <w:rsid w:val="00C25C22"/>
    <w:rsid w:val="00C25C49"/>
    <w:rsid w:val="00C2618D"/>
    <w:rsid w:val="00C2644D"/>
    <w:rsid w:val="00C264C5"/>
    <w:rsid w:val="00C265BD"/>
    <w:rsid w:val="00C2682B"/>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27FE9"/>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7DC"/>
    <w:rsid w:val="00C31875"/>
    <w:rsid w:val="00C31927"/>
    <w:rsid w:val="00C31BDC"/>
    <w:rsid w:val="00C31F42"/>
    <w:rsid w:val="00C31FEB"/>
    <w:rsid w:val="00C320D1"/>
    <w:rsid w:val="00C321AC"/>
    <w:rsid w:val="00C32214"/>
    <w:rsid w:val="00C3231D"/>
    <w:rsid w:val="00C3253A"/>
    <w:rsid w:val="00C327C3"/>
    <w:rsid w:val="00C32801"/>
    <w:rsid w:val="00C32B80"/>
    <w:rsid w:val="00C32C08"/>
    <w:rsid w:val="00C32F7E"/>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1D"/>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6E2C"/>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95E"/>
    <w:rsid w:val="00C40BC2"/>
    <w:rsid w:val="00C40DAF"/>
    <w:rsid w:val="00C40DE8"/>
    <w:rsid w:val="00C41210"/>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8F"/>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519"/>
    <w:rsid w:val="00C525B1"/>
    <w:rsid w:val="00C5277B"/>
    <w:rsid w:val="00C527A8"/>
    <w:rsid w:val="00C527AD"/>
    <w:rsid w:val="00C52B7B"/>
    <w:rsid w:val="00C52B88"/>
    <w:rsid w:val="00C52BD0"/>
    <w:rsid w:val="00C52E21"/>
    <w:rsid w:val="00C52E6C"/>
    <w:rsid w:val="00C52F60"/>
    <w:rsid w:val="00C52F77"/>
    <w:rsid w:val="00C530FA"/>
    <w:rsid w:val="00C53429"/>
    <w:rsid w:val="00C53592"/>
    <w:rsid w:val="00C5360C"/>
    <w:rsid w:val="00C536A4"/>
    <w:rsid w:val="00C5376B"/>
    <w:rsid w:val="00C538F2"/>
    <w:rsid w:val="00C53902"/>
    <w:rsid w:val="00C53F74"/>
    <w:rsid w:val="00C54067"/>
    <w:rsid w:val="00C5416B"/>
    <w:rsid w:val="00C5437C"/>
    <w:rsid w:val="00C54416"/>
    <w:rsid w:val="00C5462F"/>
    <w:rsid w:val="00C5478E"/>
    <w:rsid w:val="00C547E9"/>
    <w:rsid w:val="00C54900"/>
    <w:rsid w:val="00C54966"/>
    <w:rsid w:val="00C54C6D"/>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E5F"/>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BC0"/>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A"/>
    <w:rsid w:val="00C65B7E"/>
    <w:rsid w:val="00C65F97"/>
    <w:rsid w:val="00C66386"/>
    <w:rsid w:val="00C66923"/>
    <w:rsid w:val="00C669C1"/>
    <w:rsid w:val="00C66DC6"/>
    <w:rsid w:val="00C66E9F"/>
    <w:rsid w:val="00C66FEE"/>
    <w:rsid w:val="00C6705B"/>
    <w:rsid w:val="00C670F3"/>
    <w:rsid w:val="00C6738E"/>
    <w:rsid w:val="00C673E7"/>
    <w:rsid w:val="00C67400"/>
    <w:rsid w:val="00C676E5"/>
    <w:rsid w:val="00C67816"/>
    <w:rsid w:val="00C678D4"/>
    <w:rsid w:val="00C6790C"/>
    <w:rsid w:val="00C67914"/>
    <w:rsid w:val="00C67E53"/>
    <w:rsid w:val="00C67EBE"/>
    <w:rsid w:val="00C700EC"/>
    <w:rsid w:val="00C70280"/>
    <w:rsid w:val="00C702C9"/>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432"/>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4A1"/>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74F"/>
    <w:rsid w:val="00C76B37"/>
    <w:rsid w:val="00C76D62"/>
    <w:rsid w:val="00C76D70"/>
    <w:rsid w:val="00C76DBD"/>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126"/>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247"/>
    <w:rsid w:val="00C913CB"/>
    <w:rsid w:val="00C914F6"/>
    <w:rsid w:val="00C915F8"/>
    <w:rsid w:val="00C91869"/>
    <w:rsid w:val="00C91990"/>
    <w:rsid w:val="00C9199C"/>
    <w:rsid w:val="00C922AF"/>
    <w:rsid w:val="00C9245D"/>
    <w:rsid w:val="00C9261E"/>
    <w:rsid w:val="00C92655"/>
    <w:rsid w:val="00C92729"/>
    <w:rsid w:val="00C9273D"/>
    <w:rsid w:val="00C927D1"/>
    <w:rsid w:val="00C928CA"/>
    <w:rsid w:val="00C92D4E"/>
    <w:rsid w:val="00C92E65"/>
    <w:rsid w:val="00C92E85"/>
    <w:rsid w:val="00C9324E"/>
    <w:rsid w:val="00C93413"/>
    <w:rsid w:val="00C93586"/>
    <w:rsid w:val="00C938B8"/>
    <w:rsid w:val="00C93B63"/>
    <w:rsid w:val="00C93CF6"/>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797"/>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3D7"/>
    <w:rsid w:val="00CB481A"/>
    <w:rsid w:val="00CB4870"/>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115"/>
    <w:rsid w:val="00CB7211"/>
    <w:rsid w:val="00CB724C"/>
    <w:rsid w:val="00CB742A"/>
    <w:rsid w:val="00CB7482"/>
    <w:rsid w:val="00CB7A8C"/>
    <w:rsid w:val="00CB7EE5"/>
    <w:rsid w:val="00CB7FB6"/>
    <w:rsid w:val="00CC00B1"/>
    <w:rsid w:val="00CC0178"/>
    <w:rsid w:val="00CC0335"/>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BB"/>
    <w:rsid w:val="00CC1BE1"/>
    <w:rsid w:val="00CC1F56"/>
    <w:rsid w:val="00CC1F93"/>
    <w:rsid w:val="00CC2156"/>
    <w:rsid w:val="00CC23DC"/>
    <w:rsid w:val="00CC23F2"/>
    <w:rsid w:val="00CC244D"/>
    <w:rsid w:val="00CC24DF"/>
    <w:rsid w:val="00CC254C"/>
    <w:rsid w:val="00CC2724"/>
    <w:rsid w:val="00CC27F8"/>
    <w:rsid w:val="00CC2970"/>
    <w:rsid w:val="00CC2B00"/>
    <w:rsid w:val="00CC2C03"/>
    <w:rsid w:val="00CC2C25"/>
    <w:rsid w:val="00CC2C8F"/>
    <w:rsid w:val="00CC2F6A"/>
    <w:rsid w:val="00CC3208"/>
    <w:rsid w:val="00CC347B"/>
    <w:rsid w:val="00CC35DF"/>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7"/>
    <w:rsid w:val="00CC78CD"/>
    <w:rsid w:val="00CC793E"/>
    <w:rsid w:val="00CC7960"/>
    <w:rsid w:val="00CC7C26"/>
    <w:rsid w:val="00CC7D35"/>
    <w:rsid w:val="00CC7F48"/>
    <w:rsid w:val="00CC7F5E"/>
    <w:rsid w:val="00CD004E"/>
    <w:rsid w:val="00CD00AA"/>
    <w:rsid w:val="00CD0412"/>
    <w:rsid w:val="00CD04E5"/>
    <w:rsid w:val="00CD04EE"/>
    <w:rsid w:val="00CD0577"/>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D59"/>
    <w:rsid w:val="00CD1E00"/>
    <w:rsid w:val="00CD1FA9"/>
    <w:rsid w:val="00CD21A9"/>
    <w:rsid w:val="00CD22AA"/>
    <w:rsid w:val="00CD2393"/>
    <w:rsid w:val="00CD2468"/>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D8A"/>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178"/>
    <w:rsid w:val="00CE1294"/>
    <w:rsid w:val="00CE179E"/>
    <w:rsid w:val="00CE17FA"/>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3B6D"/>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975"/>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EE2"/>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C3A"/>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C4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19C"/>
    <w:rsid w:val="00D044A5"/>
    <w:rsid w:val="00D044CF"/>
    <w:rsid w:val="00D045DF"/>
    <w:rsid w:val="00D045F9"/>
    <w:rsid w:val="00D04624"/>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0F"/>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0D"/>
    <w:rsid w:val="00D15668"/>
    <w:rsid w:val="00D15733"/>
    <w:rsid w:val="00D1574B"/>
    <w:rsid w:val="00D157E2"/>
    <w:rsid w:val="00D1591A"/>
    <w:rsid w:val="00D15A5E"/>
    <w:rsid w:val="00D15B5A"/>
    <w:rsid w:val="00D15DF3"/>
    <w:rsid w:val="00D15E1F"/>
    <w:rsid w:val="00D1608C"/>
    <w:rsid w:val="00D161BA"/>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536"/>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59E"/>
    <w:rsid w:val="00D226BA"/>
    <w:rsid w:val="00D227F2"/>
    <w:rsid w:val="00D22916"/>
    <w:rsid w:val="00D22976"/>
    <w:rsid w:val="00D22A50"/>
    <w:rsid w:val="00D22B03"/>
    <w:rsid w:val="00D22C24"/>
    <w:rsid w:val="00D22C38"/>
    <w:rsid w:val="00D22E75"/>
    <w:rsid w:val="00D231DC"/>
    <w:rsid w:val="00D23644"/>
    <w:rsid w:val="00D23799"/>
    <w:rsid w:val="00D238C3"/>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6E"/>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7BA"/>
    <w:rsid w:val="00D3186F"/>
    <w:rsid w:val="00D3196A"/>
    <w:rsid w:val="00D32004"/>
    <w:rsid w:val="00D32026"/>
    <w:rsid w:val="00D32161"/>
    <w:rsid w:val="00D32402"/>
    <w:rsid w:val="00D32411"/>
    <w:rsid w:val="00D32453"/>
    <w:rsid w:val="00D3253B"/>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2FFC"/>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19"/>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5F42"/>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91E"/>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EE9"/>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B8B"/>
    <w:rsid w:val="00D54BEF"/>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65C"/>
    <w:rsid w:val="00D57745"/>
    <w:rsid w:val="00D577C9"/>
    <w:rsid w:val="00D5788D"/>
    <w:rsid w:val="00D5795F"/>
    <w:rsid w:val="00D57A1D"/>
    <w:rsid w:val="00D57E13"/>
    <w:rsid w:val="00D600F7"/>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56"/>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174"/>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48"/>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87C"/>
    <w:rsid w:val="00D77954"/>
    <w:rsid w:val="00D77B4C"/>
    <w:rsid w:val="00D77C33"/>
    <w:rsid w:val="00D77C79"/>
    <w:rsid w:val="00D77DCB"/>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6AB"/>
    <w:rsid w:val="00D82AFC"/>
    <w:rsid w:val="00D82BEC"/>
    <w:rsid w:val="00D82C22"/>
    <w:rsid w:val="00D82CD3"/>
    <w:rsid w:val="00D82D44"/>
    <w:rsid w:val="00D82F12"/>
    <w:rsid w:val="00D82F28"/>
    <w:rsid w:val="00D8334A"/>
    <w:rsid w:val="00D834D5"/>
    <w:rsid w:val="00D8362A"/>
    <w:rsid w:val="00D83659"/>
    <w:rsid w:val="00D8377F"/>
    <w:rsid w:val="00D837CC"/>
    <w:rsid w:val="00D8389E"/>
    <w:rsid w:val="00D83901"/>
    <w:rsid w:val="00D83AC3"/>
    <w:rsid w:val="00D83BBF"/>
    <w:rsid w:val="00D83D2C"/>
    <w:rsid w:val="00D83E3E"/>
    <w:rsid w:val="00D83F81"/>
    <w:rsid w:val="00D840DE"/>
    <w:rsid w:val="00D841BA"/>
    <w:rsid w:val="00D842D9"/>
    <w:rsid w:val="00D844DD"/>
    <w:rsid w:val="00D84558"/>
    <w:rsid w:val="00D845E4"/>
    <w:rsid w:val="00D84772"/>
    <w:rsid w:val="00D848EA"/>
    <w:rsid w:val="00D84916"/>
    <w:rsid w:val="00D8497C"/>
    <w:rsid w:val="00D8497D"/>
    <w:rsid w:val="00D84EBC"/>
    <w:rsid w:val="00D85018"/>
    <w:rsid w:val="00D850B5"/>
    <w:rsid w:val="00D85243"/>
    <w:rsid w:val="00D8553F"/>
    <w:rsid w:val="00D85930"/>
    <w:rsid w:val="00D85A77"/>
    <w:rsid w:val="00D85AC2"/>
    <w:rsid w:val="00D85DDC"/>
    <w:rsid w:val="00D85F24"/>
    <w:rsid w:val="00D85F59"/>
    <w:rsid w:val="00D860CF"/>
    <w:rsid w:val="00D86134"/>
    <w:rsid w:val="00D8626A"/>
    <w:rsid w:val="00D863C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0DC"/>
    <w:rsid w:val="00D9020E"/>
    <w:rsid w:val="00D902A6"/>
    <w:rsid w:val="00D903A7"/>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79"/>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5E8"/>
    <w:rsid w:val="00DA563B"/>
    <w:rsid w:val="00DA56D7"/>
    <w:rsid w:val="00DA57D4"/>
    <w:rsid w:val="00DA57D8"/>
    <w:rsid w:val="00DA5CD9"/>
    <w:rsid w:val="00DA5E35"/>
    <w:rsid w:val="00DA5E39"/>
    <w:rsid w:val="00DA5EE2"/>
    <w:rsid w:val="00DA6085"/>
    <w:rsid w:val="00DA60E4"/>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B3"/>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6AA"/>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5B4D"/>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33D"/>
    <w:rsid w:val="00DC1485"/>
    <w:rsid w:val="00DC1905"/>
    <w:rsid w:val="00DC19FD"/>
    <w:rsid w:val="00DC1B5A"/>
    <w:rsid w:val="00DC1CDD"/>
    <w:rsid w:val="00DC1D50"/>
    <w:rsid w:val="00DC215E"/>
    <w:rsid w:val="00DC2278"/>
    <w:rsid w:val="00DC29B5"/>
    <w:rsid w:val="00DC2BCA"/>
    <w:rsid w:val="00DC2CB7"/>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3A2"/>
    <w:rsid w:val="00DC440D"/>
    <w:rsid w:val="00DC4739"/>
    <w:rsid w:val="00DC4854"/>
    <w:rsid w:val="00DC4904"/>
    <w:rsid w:val="00DC4946"/>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DD6"/>
    <w:rsid w:val="00DC5E74"/>
    <w:rsid w:val="00DC5EBC"/>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B3B"/>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6DF"/>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5FE9"/>
    <w:rsid w:val="00DD6079"/>
    <w:rsid w:val="00DD6328"/>
    <w:rsid w:val="00DD659F"/>
    <w:rsid w:val="00DD65AC"/>
    <w:rsid w:val="00DD682A"/>
    <w:rsid w:val="00DD691E"/>
    <w:rsid w:val="00DD6A99"/>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35D"/>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8C"/>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4F1F"/>
    <w:rsid w:val="00DE5021"/>
    <w:rsid w:val="00DE50B3"/>
    <w:rsid w:val="00DE50B8"/>
    <w:rsid w:val="00DE5241"/>
    <w:rsid w:val="00DE5273"/>
    <w:rsid w:val="00DE52A0"/>
    <w:rsid w:val="00DE5335"/>
    <w:rsid w:val="00DE5513"/>
    <w:rsid w:val="00DE582E"/>
    <w:rsid w:val="00DE59C6"/>
    <w:rsid w:val="00DE5A45"/>
    <w:rsid w:val="00DE5C8B"/>
    <w:rsid w:val="00DE5CD3"/>
    <w:rsid w:val="00DE5DF9"/>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816"/>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4"/>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A8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7B7"/>
    <w:rsid w:val="00E04911"/>
    <w:rsid w:val="00E04AC1"/>
    <w:rsid w:val="00E04E39"/>
    <w:rsid w:val="00E04E4D"/>
    <w:rsid w:val="00E05297"/>
    <w:rsid w:val="00E05631"/>
    <w:rsid w:val="00E05669"/>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D3"/>
    <w:rsid w:val="00E07BF7"/>
    <w:rsid w:val="00E100D1"/>
    <w:rsid w:val="00E103E5"/>
    <w:rsid w:val="00E1041B"/>
    <w:rsid w:val="00E104AD"/>
    <w:rsid w:val="00E10506"/>
    <w:rsid w:val="00E10522"/>
    <w:rsid w:val="00E105F5"/>
    <w:rsid w:val="00E1098F"/>
    <w:rsid w:val="00E10D3F"/>
    <w:rsid w:val="00E10F88"/>
    <w:rsid w:val="00E1144C"/>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18"/>
    <w:rsid w:val="00E1315B"/>
    <w:rsid w:val="00E13485"/>
    <w:rsid w:val="00E134D6"/>
    <w:rsid w:val="00E13581"/>
    <w:rsid w:val="00E13C3D"/>
    <w:rsid w:val="00E13D9D"/>
    <w:rsid w:val="00E14037"/>
    <w:rsid w:val="00E1424F"/>
    <w:rsid w:val="00E144A2"/>
    <w:rsid w:val="00E145F1"/>
    <w:rsid w:val="00E1489F"/>
    <w:rsid w:val="00E14A42"/>
    <w:rsid w:val="00E14EB9"/>
    <w:rsid w:val="00E1513B"/>
    <w:rsid w:val="00E1520B"/>
    <w:rsid w:val="00E15343"/>
    <w:rsid w:val="00E1546D"/>
    <w:rsid w:val="00E15491"/>
    <w:rsid w:val="00E15510"/>
    <w:rsid w:val="00E158BD"/>
    <w:rsid w:val="00E158E2"/>
    <w:rsid w:val="00E15AF0"/>
    <w:rsid w:val="00E15DFB"/>
    <w:rsid w:val="00E15F80"/>
    <w:rsid w:val="00E15F9B"/>
    <w:rsid w:val="00E164B8"/>
    <w:rsid w:val="00E16529"/>
    <w:rsid w:val="00E168D4"/>
    <w:rsid w:val="00E16AD6"/>
    <w:rsid w:val="00E16CDC"/>
    <w:rsid w:val="00E170A3"/>
    <w:rsid w:val="00E1715C"/>
    <w:rsid w:val="00E1731D"/>
    <w:rsid w:val="00E175F7"/>
    <w:rsid w:val="00E1763D"/>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0E2"/>
    <w:rsid w:val="00E25138"/>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C40"/>
    <w:rsid w:val="00E26D11"/>
    <w:rsid w:val="00E26DAC"/>
    <w:rsid w:val="00E26F46"/>
    <w:rsid w:val="00E27302"/>
    <w:rsid w:val="00E27369"/>
    <w:rsid w:val="00E273E7"/>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727"/>
    <w:rsid w:val="00E339AD"/>
    <w:rsid w:val="00E33A56"/>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5E13"/>
    <w:rsid w:val="00E36035"/>
    <w:rsid w:val="00E360D3"/>
    <w:rsid w:val="00E3623B"/>
    <w:rsid w:val="00E3625E"/>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A28"/>
    <w:rsid w:val="00E40B50"/>
    <w:rsid w:val="00E40DDB"/>
    <w:rsid w:val="00E40E69"/>
    <w:rsid w:val="00E40E6A"/>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C75"/>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201"/>
    <w:rsid w:val="00E5044E"/>
    <w:rsid w:val="00E5052F"/>
    <w:rsid w:val="00E50626"/>
    <w:rsid w:val="00E506C6"/>
    <w:rsid w:val="00E507C5"/>
    <w:rsid w:val="00E50D2B"/>
    <w:rsid w:val="00E51086"/>
    <w:rsid w:val="00E513D7"/>
    <w:rsid w:val="00E51456"/>
    <w:rsid w:val="00E51655"/>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17"/>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820"/>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45"/>
    <w:rsid w:val="00E575AB"/>
    <w:rsid w:val="00E5764C"/>
    <w:rsid w:val="00E57888"/>
    <w:rsid w:val="00E578C5"/>
    <w:rsid w:val="00E57EFB"/>
    <w:rsid w:val="00E60035"/>
    <w:rsid w:val="00E6051E"/>
    <w:rsid w:val="00E609B1"/>
    <w:rsid w:val="00E60E32"/>
    <w:rsid w:val="00E60E88"/>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2FD0"/>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00"/>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22E"/>
    <w:rsid w:val="00E70320"/>
    <w:rsid w:val="00E70615"/>
    <w:rsid w:val="00E70887"/>
    <w:rsid w:val="00E70A3D"/>
    <w:rsid w:val="00E70E44"/>
    <w:rsid w:val="00E70EE0"/>
    <w:rsid w:val="00E70F07"/>
    <w:rsid w:val="00E710D0"/>
    <w:rsid w:val="00E711B7"/>
    <w:rsid w:val="00E71366"/>
    <w:rsid w:val="00E7145E"/>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96D"/>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4B9"/>
    <w:rsid w:val="00E776B7"/>
    <w:rsid w:val="00E77802"/>
    <w:rsid w:val="00E778DB"/>
    <w:rsid w:val="00E7790B"/>
    <w:rsid w:val="00E77B26"/>
    <w:rsid w:val="00E77CA4"/>
    <w:rsid w:val="00E80359"/>
    <w:rsid w:val="00E80389"/>
    <w:rsid w:val="00E8059F"/>
    <w:rsid w:val="00E80807"/>
    <w:rsid w:val="00E80819"/>
    <w:rsid w:val="00E80C6A"/>
    <w:rsid w:val="00E80D3C"/>
    <w:rsid w:val="00E80D40"/>
    <w:rsid w:val="00E80DAC"/>
    <w:rsid w:val="00E80EC6"/>
    <w:rsid w:val="00E80F06"/>
    <w:rsid w:val="00E80FD5"/>
    <w:rsid w:val="00E810E5"/>
    <w:rsid w:val="00E811BC"/>
    <w:rsid w:val="00E8141B"/>
    <w:rsid w:val="00E815D9"/>
    <w:rsid w:val="00E81678"/>
    <w:rsid w:val="00E8168E"/>
    <w:rsid w:val="00E81826"/>
    <w:rsid w:val="00E818AC"/>
    <w:rsid w:val="00E818C4"/>
    <w:rsid w:val="00E818FF"/>
    <w:rsid w:val="00E81C28"/>
    <w:rsid w:val="00E8209B"/>
    <w:rsid w:val="00E82213"/>
    <w:rsid w:val="00E8224E"/>
    <w:rsid w:val="00E8239C"/>
    <w:rsid w:val="00E82495"/>
    <w:rsid w:val="00E824F0"/>
    <w:rsid w:val="00E824FD"/>
    <w:rsid w:val="00E8274D"/>
    <w:rsid w:val="00E8281E"/>
    <w:rsid w:val="00E82BE2"/>
    <w:rsid w:val="00E82D66"/>
    <w:rsid w:val="00E830C8"/>
    <w:rsid w:val="00E831CB"/>
    <w:rsid w:val="00E831E6"/>
    <w:rsid w:val="00E833E5"/>
    <w:rsid w:val="00E837A3"/>
    <w:rsid w:val="00E83A26"/>
    <w:rsid w:val="00E83AEA"/>
    <w:rsid w:val="00E83B76"/>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06"/>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0"/>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5A"/>
    <w:rsid w:val="00E9468A"/>
    <w:rsid w:val="00E94A7F"/>
    <w:rsid w:val="00E94A9B"/>
    <w:rsid w:val="00E94CD4"/>
    <w:rsid w:val="00E94EC0"/>
    <w:rsid w:val="00E94F28"/>
    <w:rsid w:val="00E94F3F"/>
    <w:rsid w:val="00E94F53"/>
    <w:rsid w:val="00E94F8E"/>
    <w:rsid w:val="00E95073"/>
    <w:rsid w:val="00E9558F"/>
    <w:rsid w:val="00E955FD"/>
    <w:rsid w:val="00E9573B"/>
    <w:rsid w:val="00E95BA8"/>
    <w:rsid w:val="00E95F84"/>
    <w:rsid w:val="00E96303"/>
    <w:rsid w:val="00E96669"/>
    <w:rsid w:val="00E967F7"/>
    <w:rsid w:val="00E96CC9"/>
    <w:rsid w:val="00E96D74"/>
    <w:rsid w:val="00E96D83"/>
    <w:rsid w:val="00E9715B"/>
    <w:rsid w:val="00E97170"/>
    <w:rsid w:val="00E971F5"/>
    <w:rsid w:val="00E97245"/>
    <w:rsid w:val="00E9725A"/>
    <w:rsid w:val="00E974C2"/>
    <w:rsid w:val="00E97532"/>
    <w:rsid w:val="00E97542"/>
    <w:rsid w:val="00E975EC"/>
    <w:rsid w:val="00E9770B"/>
    <w:rsid w:val="00E97741"/>
    <w:rsid w:val="00E97A29"/>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8D4"/>
    <w:rsid w:val="00EA196B"/>
    <w:rsid w:val="00EA1C64"/>
    <w:rsid w:val="00EA2031"/>
    <w:rsid w:val="00EA2611"/>
    <w:rsid w:val="00EA2738"/>
    <w:rsid w:val="00EA275A"/>
    <w:rsid w:val="00EA28EA"/>
    <w:rsid w:val="00EA2C33"/>
    <w:rsid w:val="00EA2E1C"/>
    <w:rsid w:val="00EA2EAA"/>
    <w:rsid w:val="00EA3008"/>
    <w:rsid w:val="00EA326B"/>
    <w:rsid w:val="00EA3386"/>
    <w:rsid w:val="00EA33D8"/>
    <w:rsid w:val="00EA34BE"/>
    <w:rsid w:val="00EA35CD"/>
    <w:rsid w:val="00EA388F"/>
    <w:rsid w:val="00EA3A87"/>
    <w:rsid w:val="00EA3BAA"/>
    <w:rsid w:val="00EA3C1B"/>
    <w:rsid w:val="00EA3C83"/>
    <w:rsid w:val="00EA3D3C"/>
    <w:rsid w:val="00EA3D7D"/>
    <w:rsid w:val="00EA3E5C"/>
    <w:rsid w:val="00EA4011"/>
    <w:rsid w:val="00EA4031"/>
    <w:rsid w:val="00EA4462"/>
    <w:rsid w:val="00EA44F8"/>
    <w:rsid w:val="00EA4552"/>
    <w:rsid w:val="00EA46DE"/>
    <w:rsid w:val="00EA4968"/>
    <w:rsid w:val="00EA4A96"/>
    <w:rsid w:val="00EA4BA4"/>
    <w:rsid w:val="00EA4BEC"/>
    <w:rsid w:val="00EA4C57"/>
    <w:rsid w:val="00EA4CE5"/>
    <w:rsid w:val="00EA503D"/>
    <w:rsid w:val="00EA508E"/>
    <w:rsid w:val="00EA50E3"/>
    <w:rsid w:val="00EA52EE"/>
    <w:rsid w:val="00EA530B"/>
    <w:rsid w:val="00EA54D9"/>
    <w:rsid w:val="00EA56FC"/>
    <w:rsid w:val="00EA5816"/>
    <w:rsid w:val="00EA5932"/>
    <w:rsid w:val="00EA59B7"/>
    <w:rsid w:val="00EA5A9C"/>
    <w:rsid w:val="00EA5BDD"/>
    <w:rsid w:val="00EA5BEC"/>
    <w:rsid w:val="00EA5C01"/>
    <w:rsid w:val="00EA5DF7"/>
    <w:rsid w:val="00EA5E7C"/>
    <w:rsid w:val="00EA5EB0"/>
    <w:rsid w:val="00EA6072"/>
    <w:rsid w:val="00EA62D3"/>
    <w:rsid w:val="00EA62DD"/>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6D3"/>
    <w:rsid w:val="00EB1701"/>
    <w:rsid w:val="00EB1CCA"/>
    <w:rsid w:val="00EB1E53"/>
    <w:rsid w:val="00EB1F9E"/>
    <w:rsid w:val="00EB2078"/>
    <w:rsid w:val="00EB21BE"/>
    <w:rsid w:val="00EB22CA"/>
    <w:rsid w:val="00EB2464"/>
    <w:rsid w:val="00EB2777"/>
    <w:rsid w:val="00EB280A"/>
    <w:rsid w:val="00EB2EAC"/>
    <w:rsid w:val="00EB2F7E"/>
    <w:rsid w:val="00EB302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D35"/>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5B0B"/>
    <w:rsid w:val="00EB6046"/>
    <w:rsid w:val="00EB6124"/>
    <w:rsid w:val="00EB6126"/>
    <w:rsid w:val="00EB6449"/>
    <w:rsid w:val="00EB679F"/>
    <w:rsid w:val="00EB6850"/>
    <w:rsid w:val="00EB6946"/>
    <w:rsid w:val="00EB6CCF"/>
    <w:rsid w:val="00EB6CFE"/>
    <w:rsid w:val="00EB6EB6"/>
    <w:rsid w:val="00EB6F17"/>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4D1"/>
    <w:rsid w:val="00EC0599"/>
    <w:rsid w:val="00EC059B"/>
    <w:rsid w:val="00EC09B3"/>
    <w:rsid w:val="00EC0BE6"/>
    <w:rsid w:val="00EC0CEB"/>
    <w:rsid w:val="00EC1177"/>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BBF"/>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4F2"/>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73D"/>
    <w:rsid w:val="00EC48D8"/>
    <w:rsid w:val="00EC4AA6"/>
    <w:rsid w:val="00EC4B07"/>
    <w:rsid w:val="00EC4B9A"/>
    <w:rsid w:val="00EC4D56"/>
    <w:rsid w:val="00EC4DCE"/>
    <w:rsid w:val="00EC4ED7"/>
    <w:rsid w:val="00EC4ED9"/>
    <w:rsid w:val="00EC51C8"/>
    <w:rsid w:val="00EC52D5"/>
    <w:rsid w:val="00EC5416"/>
    <w:rsid w:val="00EC5502"/>
    <w:rsid w:val="00EC55B8"/>
    <w:rsid w:val="00EC5605"/>
    <w:rsid w:val="00EC56A6"/>
    <w:rsid w:val="00EC59B1"/>
    <w:rsid w:val="00EC5E05"/>
    <w:rsid w:val="00EC5EA3"/>
    <w:rsid w:val="00EC6467"/>
    <w:rsid w:val="00EC671E"/>
    <w:rsid w:val="00EC6AB5"/>
    <w:rsid w:val="00EC6BC7"/>
    <w:rsid w:val="00EC6C6E"/>
    <w:rsid w:val="00EC6CA0"/>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0FBA"/>
    <w:rsid w:val="00ED1115"/>
    <w:rsid w:val="00ED114E"/>
    <w:rsid w:val="00ED1210"/>
    <w:rsid w:val="00ED1214"/>
    <w:rsid w:val="00ED1269"/>
    <w:rsid w:val="00ED163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2D4"/>
    <w:rsid w:val="00ED4568"/>
    <w:rsid w:val="00ED4588"/>
    <w:rsid w:val="00ED4A3C"/>
    <w:rsid w:val="00ED4D69"/>
    <w:rsid w:val="00ED4E78"/>
    <w:rsid w:val="00ED4EB6"/>
    <w:rsid w:val="00ED4F2E"/>
    <w:rsid w:val="00ED508C"/>
    <w:rsid w:val="00ED50E2"/>
    <w:rsid w:val="00ED5242"/>
    <w:rsid w:val="00ED5285"/>
    <w:rsid w:val="00ED55CD"/>
    <w:rsid w:val="00ED5621"/>
    <w:rsid w:val="00ED5AAF"/>
    <w:rsid w:val="00ED5AE3"/>
    <w:rsid w:val="00ED5AEC"/>
    <w:rsid w:val="00ED5D13"/>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3C5"/>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2E22"/>
    <w:rsid w:val="00EE33BD"/>
    <w:rsid w:val="00EE3454"/>
    <w:rsid w:val="00EE3682"/>
    <w:rsid w:val="00EE3729"/>
    <w:rsid w:val="00EE37C3"/>
    <w:rsid w:val="00EE3BD8"/>
    <w:rsid w:val="00EE3EE6"/>
    <w:rsid w:val="00EE418B"/>
    <w:rsid w:val="00EE4468"/>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212"/>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CC7"/>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EE8"/>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263"/>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EF7EFC"/>
    <w:rsid w:val="00F00118"/>
    <w:rsid w:val="00F00235"/>
    <w:rsid w:val="00F003D1"/>
    <w:rsid w:val="00F00743"/>
    <w:rsid w:val="00F00BF9"/>
    <w:rsid w:val="00F00F73"/>
    <w:rsid w:val="00F01279"/>
    <w:rsid w:val="00F01287"/>
    <w:rsid w:val="00F01336"/>
    <w:rsid w:val="00F015EE"/>
    <w:rsid w:val="00F01636"/>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4B6"/>
    <w:rsid w:val="00F0353E"/>
    <w:rsid w:val="00F0354E"/>
    <w:rsid w:val="00F035FD"/>
    <w:rsid w:val="00F037F1"/>
    <w:rsid w:val="00F037F5"/>
    <w:rsid w:val="00F03B07"/>
    <w:rsid w:val="00F0402C"/>
    <w:rsid w:val="00F04202"/>
    <w:rsid w:val="00F04376"/>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9EC"/>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1C0"/>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74"/>
    <w:rsid w:val="00F126F6"/>
    <w:rsid w:val="00F127B3"/>
    <w:rsid w:val="00F12A63"/>
    <w:rsid w:val="00F12B0F"/>
    <w:rsid w:val="00F12C72"/>
    <w:rsid w:val="00F12DAA"/>
    <w:rsid w:val="00F12FA3"/>
    <w:rsid w:val="00F13151"/>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89A"/>
    <w:rsid w:val="00F17A1A"/>
    <w:rsid w:val="00F17A76"/>
    <w:rsid w:val="00F17B00"/>
    <w:rsid w:val="00F17B2E"/>
    <w:rsid w:val="00F17CE1"/>
    <w:rsid w:val="00F17E09"/>
    <w:rsid w:val="00F20239"/>
    <w:rsid w:val="00F20348"/>
    <w:rsid w:val="00F20425"/>
    <w:rsid w:val="00F2061F"/>
    <w:rsid w:val="00F20709"/>
    <w:rsid w:val="00F208DD"/>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6C9"/>
    <w:rsid w:val="00F23B51"/>
    <w:rsid w:val="00F23BC3"/>
    <w:rsid w:val="00F23CE1"/>
    <w:rsid w:val="00F23D5A"/>
    <w:rsid w:val="00F24059"/>
    <w:rsid w:val="00F241B4"/>
    <w:rsid w:val="00F2432D"/>
    <w:rsid w:val="00F24446"/>
    <w:rsid w:val="00F2459A"/>
    <w:rsid w:val="00F24690"/>
    <w:rsid w:val="00F24767"/>
    <w:rsid w:val="00F247F6"/>
    <w:rsid w:val="00F2488D"/>
    <w:rsid w:val="00F248B7"/>
    <w:rsid w:val="00F24AF9"/>
    <w:rsid w:val="00F24B08"/>
    <w:rsid w:val="00F24BE7"/>
    <w:rsid w:val="00F24DD0"/>
    <w:rsid w:val="00F24DEE"/>
    <w:rsid w:val="00F24DF6"/>
    <w:rsid w:val="00F24E20"/>
    <w:rsid w:val="00F24EE3"/>
    <w:rsid w:val="00F24F04"/>
    <w:rsid w:val="00F24F79"/>
    <w:rsid w:val="00F2503B"/>
    <w:rsid w:val="00F25525"/>
    <w:rsid w:val="00F255E3"/>
    <w:rsid w:val="00F257B3"/>
    <w:rsid w:val="00F25CAD"/>
    <w:rsid w:val="00F26034"/>
    <w:rsid w:val="00F260B0"/>
    <w:rsid w:val="00F2610E"/>
    <w:rsid w:val="00F2619D"/>
    <w:rsid w:val="00F26314"/>
    <w:rsid w:val="00F26475"/>
    <w:rsid w:val="00F26962"/>
    <w:rsid w:val="00F26BC0"/>
    <w:rsid w:val="00F26E67"/>
    <w:rsid w:val="00F26FE3"/>
    <w:rsid w:val="00F27033"/>
    <w:rsid w:val="00F27225"/>
    <w:rsid w:val="00F27353"/>
    <w:rsid w:val="00F274EE"/>
    <w:rsid w:val="00F275B6"/>
    <w:rsid w:val="00F278A7"/>
    <w:rsid w:val="00F279EF"/>
    <w:rsid w:val="00F27B64"/>
    <w:rsid w:val="00F27BF1"/>
    <w:rsid w:val="00F27E2B"/>
    <w:rsid w:val="00F27E58"/>
    <w:rsid w:val="00F27F5C"/>
    <w:rsid w:val="00F303F0"/>
    <w:rsid w:val="00F305AB"/>
    <w:rsid w:val="00F305F2"/>
    <w:rsid w:val="00F306BC"/>
    <w:rsid w:val="00F30856"/>
    <w:rsid w:val="00F308B4"/>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0AF"/>
    <w:rsid w:val="00F332BF"/>
    <w:rsid w:val="00F3330A"/>
    <w:rsid w:val="00F33345"/>
    <w:rsid w:val="00F33352"/>
    <w:rsid w:val="00F3359A"/>
    <w:rsid w:val="00F3374E"/>
    <w:rsid w:val="00F339CF"/>
    <w:rsid w:val="00F33CAF"/>
    <w:rsid w:val="00F33D38"/>
    <w:rsid w:val="00F33D61"/>
    <w:rsid w:val="00F33E5D"/>
    <w:rsid w:val="00F33EFE"/>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789"/>
    <w:rsid w:val="00F3589E"/>
    <w:rsid w:val="00F358EE"/>
    <w:rsid w:val="00F365C2"/>
    <w:rsid w:val="00F36671"/>
    <w:rsid w:val="00F36BA3"/>
    <w:rsid w:val="00F36BD9"/>
    <w:rsid w:val="00F36D9D"/>
    <w:rsid w:val="00F36E46"/>
    <w:rsid w:val="00F372E7"/>
    <w:rsid w:val="00F374F0"/>
    <w:rsid w:val="00F375D2"/>
    <w:rsid w:val="00F37604"/>
    <w:rsid w:val="00F377C3"/>
    <w:rsid w:val="00F377E0"/>
    <w:rsid w:val="00F379AB"/>
    <w:rsid w:val="00F37A46"/>
    <w:rsid w:val="00F37B73"/>
    <w:rsid w:val="00F37B76"/>
    <w:rsid w:val="00F37BA1"/>
    <w:rsid w:val="00F40075"/>
    <w:rsid w:val="00F40431"/>
    <w:rsid w:val="00F404CD"/>
    <w:rsid w:val="00F40552"/>
    <w:rsid w:val="00F4059C"/>
    <w:rsid w:val="00F406CA"/>
    <w:rsid w:val="00F408D8"/>
    <w:rsid w:val="00F409FE"/>
    <w:rsid w:val="00F40A56"/>
    <w:rsid w:val="00F40A77"/>
    <w:rsid w:val="00F40C50"/>
    <w:rsid w:val="00F40CD9"/>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5A"/>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5B4"/>
    <w:rsid w:val="00F44609"/>
    <w:rsid w:val="00F44B20"/>
    <w:rsid w:val="00F44D63"/>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BD6"/>
    <w:rsid w:val="00F46D4D"/>
    <w:rsid w:val="00F46D9D"/>
    <w:rsid w:val="00F46E9B"/>
    <w:rsid w:val="00F46F56"/>
    <w:rsid w:val="00F4719E"/>
    <w:rsid w:val="00F471B2"/>
    <w:rsid w:val="00F471BA"/>
    <w:rsid w:val="00F47473"/>
    <w:rsid w:val="00F47A25"/>
    <w:rsid w:val="00F47A98"/>
    <w:rsid w:val="00F47AF5"/>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1D90"/>
    <w:rsid w:val="00F51DA4"/>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234"/>
    <w:rsid w:val="00F54480"/>
    <w:rsid w:val="00F5460F"/>
    <w:rsid w:val="00F54653"/>
    <w:rsid w:val="00F5467D"/>
    <w:rsid w:val="00F546BA"/>
    <w:rsid w:val="00F548CC"/>
    <w:rsid w:val="00F54911"/>
    <w:rsid w:val="00F549C6"/>
    <w:rsid w:val="00F54F8C"/>
    <w:rsid w:val="00F55367"/>
    <w:rsid w:val="00F554D2"/>
    <w:rsid w:val="00F5587F"/>
    <w:rsid w:val="00F558AC"/>
    <w:rsid w:val="00F558EF"/>
    <w:rsid w:val="00F55A06"/>
    <w:rsid w:val="00F55A68"/>
    <w:rsid w:val="00F55CF8"/>
    <w:rsid w:val="00F55F12"/>
    <w:rsid w:val="00F55FCE"/>
    <w:rsid w:val="00F5608A"/>
    <w:rsid w:val="00F5623D"/>
    <w:rsid w:val="00F56655"/>
    <w:rsid w:val="00F5684E"/>
    <w:rsid w:val="00F56B94"/>
    <w:rsid w:val="00F56BE1"/>
    <w:rsid w:val="00F56D35"/>
    <w:rsid w:val="00F56F3A"/>
    <w:rsid w:val="00F56F9D"/>
    <w:rsid w:val="00F57077"/>
    <w:rsid w:val="00F575A7"/>
    <w:rsid w:val="00F575FF"/>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93"/>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618"/>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58"/>
    <w:rsid w:val="00F641E3"/>
    <w:rsid w:val="00F642E0"/>
    <w:rsid w:val="00F64491"/>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878"/>
    <w:rsid w:val="00F72979"/>
    <w:rsid w:val="00F72FE1"/>
    <w:rsid w:val="00F73039"/>
    <w:rsid w:val="00F730C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BE3"/>
    <w:rsid w:val="00F74C6C"/>
    <w:rsid w:val="00F750EF"/>
    <w:rsid w:val="00F751CA"/>
    <w:rsid w:val="00F75384"/>
    <w:rsid w:val="00F7546E"/>
    <w:rsid w:val="00F75B0C"/>
    <w:rsid w:val="00F75BA9"/>
    <w:rsid w:val="00F75CB7"/>
    <w:rsid w:val="00F75DB2"/>
    <w:rsid w:val="00F75DCA"/>
    <w:rsid w:val="00F761DD"/>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11"/>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6A7"/>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AE9"/>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8A"/>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071"/>
    <w:rsid w:val="00F97141"/>
    <w:rsid w:val="00F973AB"/>
    <w:rsid w:val="00F9747F"/>
    <w:rsid w:val="00F97602"/>
    <w:rsid w:val="00F9779C"/>
    <w:rsid w:val="00F97815"/>
    <w:rsid w:val="00F978F8"/>
    <w:rsid w:val="00F97914"/>
    <w:rsid w:val="00F97A02"/>
    <w:rsid w:val="00F97B27"/>
    <w:rsid w:val="00F97B78"/>
    <w:rsid w:val="00F97C9B"/>
    <w:rsid w:val="00FA00C7"/>
    <w:rsid w:val="00FA0121"/>
    <w:rsid w:val="00FA015A"/>
    <w:rsid w:val="00FA02AF"/>
    <w:rsid w:val="00FA062D"/>
    <w:rsid w:val="00FA0680"/>
    <w:rsid w:val="00FA06DF"/>
    <w:rsid w:val="00FA0783"/>
    <w:rsid w:val="00FA0888"/>
    <w:rsid w:val="00FA0926"/>
    <w:rsid w:val="00FA0990"/>
    <w:rsid w:val="00FA0A68"/>
    <w:rsid w:val="00FA0AF5"/>
    <w:rsid w:val="00FA0C10"/>
    <w:rsid w:val="00FA0D86"/>
    <w:rsid w:val="00FA0F09"/>
    <w:rsid w:val="00FA0F93"/>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3FAA"/>
    <w:rsid w:val="00FA3FE4"/>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255"/>
    <w:rsid w:val="00FA640D"/>
    <w:rsid w:val="00FA6608"/>
    <w:rsid w:val="00FA676F"/>
    <w:rsid w:val="00FA67DF"/>
    <w:rsid w:val="00FA6C46"/>
    <w:rsid w:val="00FA6CA0"/>
    <w:rsid w:val="00FA6F15"/>
    <w:rsid w:val="00FA714C"/>
    <w:rsid w:val="00FA7226"/>
    <w:rsid w:val="00FA7515"/>
    <w:rsid w:val="00FA7528"/>
    <w:rsid w:val="00FA7845"/>
    <w:rsid w:val="00FA7876"/>
    <w:rsid w:val="00FA7DA0"/>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7B4"/>
    <w:rsid w:val="00FB2CA9"/>
    <w:rsid w:val="00FB3120"/>
    <w:rsid w:val="00FB31E7"/>
    <w:rsid w:val="00FB320D"/>
    <w:rsid w:val="00FB3262"/>
    <w:rsid w:val="00FB3539"/>
    <w:rsid w:val="00FB3762"/>
    <w:rsid w:val="00FB379F"/>
    <w:rsid w:val="00FB3E7A"/>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4"/>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2C2"/>
    <w:rsid w:val="00FC03C2"/>
    <w:rsid w:val="00FC06AA"/>
    <w:rsid w:val="00FC074A"/>
    <w:rsid w:val="00FC090C"/>
    <w:rsid w:val="00FC0922"/>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1A4"/>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88D"/>
    <w:rsid w:val="00FC6AEB"/>
    <w:rsid w:val="00FC6B38"/>
    <w:rsid w:val="00FC6C73"/>
    <w:rsid w:val="00FC6D52"/>
    <w:rsid w:val="00FC6DA7"/>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39"/>
    <w:rsid w:val="00FD03B3"/>
    <w:rsid w:val="00FD082A"/>
    <w:rsid w:val="00FD09DB"/>
    <w:rsid w:val="00FD0B65"/>
    <w:rsid w:val="00FD0D52"/>
    <w:rsid w:val="00FD0DCB"/>
    <w:rsid w:val="00FD0DF9"/>
    <w:rsid w:val="00FD0E47"/>
    <w:rsid w:val="00FD139C"/>
    <w:rsid w:val="00FD14C0"/>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B71"/>
    <w:rsid w:val="00FD4D58"/>
    <w:rsid w:val="00FD4DF9"/>
    <w:rsid w:val="00FD4FC4"/>
    <w:rsid w:val="00FD515E"/>
    <w:rsid w:val="00FD529F"/>
    <w:rsid w:val="00FD52E3"/>
    <w:rsid w:val="00FD5669"/>
    <w:rsid w:val="00FD58E1"/>
    <w:rsid w:val="00FD59F2"/>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E17"/>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A50"/>
    <w:rsid w:val="00FF1B53"/>
    <w:rsid w:val="00FF1D89"/>
    <w:rsid w:val="00FF1F09"/>
    <w:rsid w:val="00FF1F16"/>
    <w:rsid w:val="00FF2035"/>
    <w:rsid w:val="00FF232C"/>
    <w:rsid w:val="00FF282D"/>
    <w:rsid w:val="00FF2B3B"/>
    <w:rsid w:val="00FF2B4D"/>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1C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8EF"/>
    <w:rsid w:val="00FF69E4"/>
    <w:rsid w:val="00FF6A41"/>
    <w:rsid w:val="00FF6A4D"/>
    <w:rsid w:val="00FF6A91"/>
    <w:rsid w:val="00FF6D75"/>
    <w:rsid w:val="00FF71FC"/>
    <w:rsid w:val="00FF72DC"/>
    <w:rsid w:val="00FF73BC"/>
    <w:rsid w:val="00FF757C"/>
    <w:rsid w:val="00FF75CA"/>
    <w:rsid w:val="00FF76A0"/>
    <w:rsid w:val="00FF7BFC"/>
    <w:rsid w:val="00FF7E71"/>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C41210"/>
    <w:pPr>
      <w:spacing w:after="120"/>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C41210"/>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uiPriority w:val="99"/>
    <w:semiHidden/>
    <w:rsid w:val="007220DF"/>
    <w:rPr>
      <w:rFonts w:ascii="Arial" w:hAnsi="Arial" w:cs="Times New Roman"/>
      <w:sz w:val="16"/>
    </w:rPr>
  </w:style>
  <w:style w:type="paragraph" w:styleId="CommentText">
    <w:name w:val="annotation text"/>
    <w:basedOn w:val="Normal"/>
    <w:link w:val="CommentTextChar1"/>
    <w:uiPriority w:val="99"/>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256B52"/>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uiPriority w:val="99"/>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67117431">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6046809">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4854283">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7955793">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18281072">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196387">
      <w:bodyDiv w:val="1"/>
      <w:marLeft w:val="0"/>
      <w:marRight w:val="0"/>
      <w:marTop w:val="0"/>
      <w:marBottom w:val="0"/>
      <w:divBdr>
        <w:top w:val="none" w:sz="0" w:space="0" w:color="auto"/>
        <w:left w:val="none" w:sz="0" w:space="0" w:color="auto"/>
        <w:bottom w:val="none" w:sz="0" w:space="0" w:color="auto"/>
        <w:right w:val="none" w:sz="0" w:space="0" w:color="auto"/>
      </w:divBdr>
      <w:divsChild>
        <w:div w:id="1596136755">
          <w:marLeft w:val="0"/>
          <w:marRight w:val="0"/>
          <w:marTop w:val="0"/>
          <w:marBottom w:val="0"/>
          <w:divBdr>
            <w:top w:val="none" w:sz="0" w:space="0" w:color="auto"/>
            <w:left w:val="none" w:sz="0" w:space="0" w:color="auto"/>
            <w:bottom w:val="none" w:sz="0" w:space="0" w:color="auto"/>
            <w:right w:val="none" w:sz="0" w:space="0" w:color="auto"/>
          </w:divBdr>
        </w:div>
      </w:divsChild>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779183819">
      <w:bodyDiv w:val="1"/>
      <w:marLeft w:val="0"/>
      <w:marRight w:val="0"/>
      <w:marTop w:val="0"/>
      <w:marBottom w:val="0"/>
      <w:divBdr>
        <w:top w:val="none" w:sz="0" w:space="0" w:color="auto"/>
        <w:left w:val="none" w:sz="0" w:space="0" w:color="auto"/>
        <w:bottom w:val="none" w:sz="0" w:space="0" w:color="auto"/>
        <w:right w:val="none" w:sz="0" w:space="0" w:color="auto"/>
      </w:divBdr>
      <w:divsChild>
        <w:div w:id="2037464917">
          <w:marLeft w:val="0"/>
          <w:marRight w:val="0"/>
          <w:marTop w:val="0"/>
          <w:marBottom w:val="0"/>
          <w:divBdr>
            <w:top w:val="none" w:sz="0" w:space="0" w:color="auto"/>
            <w:left w:val="none" w:sz="0" w:space="0" w:color="auto"/>
            <w:bottom w:val="none" w:sz="0" w:space="0" w:color="auto"/>
            <w:right w:val="none" w:sz="0" w:space="0" w:color="auto"/>
          </w:divBdr>
        </w:div>
      </w:divsChild>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45709">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877271">
      <w:bodyDiv w:val="1"/>
      <w:marLeft w:val="0"/>
      <w:marRight w:val="0"/>
      <w:marTop w:val="0"/>
      <w:marBottom w:val="0"/>
      <w:divBdr>
        <w:top w:val="none" w:sz="0" w:space="0" w:color="auto"/>
        <w:left w:val="none" w:sz="0" w:space="0" w:color="auto"/>
        <w:bottom w:val="none" w:sz="0" w:space="0" w:color="auto"/>
        <w:right w:val="none" w:sz="0" w:space="0" w:color="auto"/>
      </w:divBdr>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983780108">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29260720">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3334889">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5882485">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2735">
      <w:bodyDiv w:val="1"/>
      <w:marLeft w:val="0"/>
      <w:marRight w:val="0"/>
      <w:marTop w:val="0"/>
      <w:marBottom w:val="0"/>
      <w:divBdr>
        <w:top w:val="none" w:sz="0" w:space="0" w:color="auto"/>
        <w:left w:val="none" w:sz="0" w:space="0" w:color="auto"/>
        <w:bottom w:val="none" w:sz="0" w:space="0" w:color="auto"/>
        <w:right w:val="none" w:sz="0" w:space="0" w:color="auto"/>
      </w:divBdr>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01479509">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299145464">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11254873">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001756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1178919">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76661891">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04838770">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75873414">
      <w:bodyDiv w:val="1"/>
      <w:marLeft w:val="0"/>
      <w:marRight w:val="0"/>
      <w:marTop w:val="0"/>
      <w:marBottom w:val="0"/>
      <w:divBdr>
        <w:top w:val="none" w:sz="0" w:space="0" w:color="auto"/>
        <w:left w:val="none" w:sz="0" w:space="0" w:color="auto"/>
        <w:bottom w:val="none" w:sz="0" w:space="0" w:color="auto"/>
        <w:right w:val="none" w:sz="0" w:space="0" w:color="auto"/>
      </w:divBdr>
      <w:divsChild>
        <w:div w:id="642736087">
          <w:marLeft w:val="0"/>
          <w:marRight w:val="0"/>
          <w:marTop w:val="0"/>
          <w:marBottom w:val="0"/>
          <w:divBdr>
            <w:top w:val="none" w:sz="0" w:space="0" w:color="auto"/>
            <w:left w:val="none" w:sz="0" w:space="0" w:color="auto"/>
            <w:bottom w:val="none" w:sz="0" w:space="0" w:color="auto"/>
            <w:right w:val="none" w:sz="0" w:space="0" w:color="auto"/>
          </w:divBdr>
        </w:div>
      </w:divsChild>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82772798">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4299208">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56994219">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3007798">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08828965">
      <w:bodyDiv w:val="1"/>
      <w:marLeft w:val="0"/>
      <w:marRight w:val="0"/>
      <w:marTop w:val="0"/>
      <w:marBottom w:val="0"/>
      <w:divBdr>
        <w:top w:val="none" w:sz="0" w:space="0" w:color="auto"/>
        <w:left w:val="none" w:sz="0" w:space="0" w:color="auto"/>
        <w:bottom w:val="none" w:sz="0" w:space="0" w:color="auto"/>
        <w:right w:val="none" w:sz="0" w:space="0" w:color="auto"/>
      </w:divBdr>
      <w:divsChild>
        <w:div w:id="932973251">
          <w:marLeft w:val="0"/>
          <w:marRight w:val="0"/>
          <w:marTop w:val="0"/>
          <w:marBottom w:val="0"/>
          <w:divBdr>
            <w:top w:val="none" w:sz="0" w:space="0" w:color="auto"/>
            <w:left w:val="none" w:sz="0" w:space="0" w:color="auto"/>
            <w:bottom w:val="none" w:sz="0" w:space="0" w:color="auto"/>
            <w:right w:val="none" w:sz="0" w:space="0" w:color="auto"/>
          </w:divBdr>
        </w:div>
      </w:divsChild>
    </w:div>
    <w:div w:id="20165676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8386906">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09886531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67</TotalTime>
  <Pages>28</Pages>
  <Words>10435</Words>
  <Characters>51239</Characters>
  <Application>Microsoft Office Word</Application>
  <DocSecurity>0</DocSecurity>
  <Lines>3202</Lines>
  <Paragraphs>2466</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59208</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17</cp:revision>
  <cp:lastPrinted>2026-03-30T01:33:00Z</cp:lastPrinted>
  <dcterms:created xsi:type="dcterms:W3CDTF">2026-03-30T00:39:00Z</dcterms:created>
  <dcterms:modified xsi:type="dcterms:W3CDTF">2026-03-30T02:09:00Z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2023-12-06T00:02:41Z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72f69e5f-b329-429b-be8f-1f9031a46df8</vt:lpwstr>
  </property>
  <property fmtid="{D5CDD505-2E9C-101B-9397-08002B2CF9AE}" pid="10" name="MSIP_Label_defa4170-0d19-0005-0004-bc88714345d2_ContentBits">
    <vt:lpwstr>0</vt:lpwstr>
  </property>
</Properties>
</file>